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B2C24" w:rsidP="1C3D7091" w:rsidRDefault="4A048B5C" w14:paraId="44C4B0E2" w14:textId="2E5DA6D6">
      <w:pPr>
        <w:spacing w:before="281" w:after="281"/>
        <w:rPr>
          <w:rFonts w:ascii="Arial" w:hAnsi="Arial" w:eastAsia="Arial" w:cs="Arial"/>
          <w:b/>
          <w:bCs/>
          <w:color w:val="000000" w:themeColor="text1"/>
          <w:sz w:val="22"/>
          <w:szCs w:val="22"/>
        </w:rPr>
      </w:pPr>
      <w:r w:rsidRPr="1C3D7091">
        <w:rPr>
          <w:rFonts w:ascii="Arial" w:hAnsi="Arial" w:eastAsia="Arial" w:cs="Arial"/>
          <w:b/>
          <w:bCs/>
          <w:color w:val="000000" w:themeColor="text1"/>
          <w:sz w:val="22"/>
          <w:szCs w:val="22"/>
        </w:rPr>
        <w:t xml:space="preserve">                      </w:t>
      </w:r>
      <w:r w:rsidRPr="1C3D7091" w:rsidR="7F9FAADB">
        <w:rPr>
          <w:rFonts w:ascii="Arial" w:hAnsi="Arial" w:eastAsia="Arial" w:cs="Arial"/>
          <w:b/>
          <w:bCs/>
          <w:color w:val="000000" w:themeColor="text1"/>
          <w:sz w:val="22"/>
          <w:szCs w:val="22"/>
        </w:rPr>
        <w:t xml:space="preserve"> </w:t>
      </w:r>
    </w:p>
    <w:p w:rsidR="00BB2C24" w:rsidP="1C3D7091" w:rsidRDefault="00BB2C24" w14:paraId="32F0E1D7" w14:textId="188F8805">
      <w:pPr>
        <w:spacing w:before="281" w:after="281"/>
        <w:rPr>
          <w:rFonts w:ascii="Arial" w:hAnsi="Arial" w:eastAsia="Arial" w:cs="Arial"/>
          <w:b/>
          <w:bCs/>
          <w:color w:val="000000" w:themeColor="text1"/>
          <w:sz w:val="22"/>
          <w:szCs w:val="22"/>
        </w:rPr>
      </w:pPr>
    </w:p>
    <w:p w:rsidR="00BB2C24" w:rsidP="1C3D7091" w:rsidRDefault="6AA8529B" w14:paraId="7C51A784" w14:textId="65062523">
      <w:pPr>
        <w:spacing w:before="281" w:after="281" w:line="360" w:lineRule="auto"/>
        <w:rPr>
          <w:rFonts w:ascii="Arial" w:hAnsi="Arial" w:eastAsia="Arial" w:cs="Arial"/>
          <w:sz w:val="22"/>
          <w:szCs w:val="22"/>
        </w:rPr>
      </w:pPr>
      <w:r w:rsidRPr="1C3D7091">
        <w:rPr>
          <w:rFonts w:ascii="Arial" w:hAnsi="Arial" w:eastAsia="Arial" w:cs="Arial"/>
          <w:b/>
          <w:bCs/>
          <w:color w:val="000000" w:themeColor="text1"/>
          <w:sz w:val="22"/>
          <w:szCs w:val="22"/>
        </w:rPr>
        <w:t xml:space="preserve">                              Introduction to Independent Research Skills</w:t>
      </w:r>
    </w:p>
    <w:p w:rsidR="00BB2C24" w:rsidP="1C3D7091" w:rsidRDefault="00BB2C24" w14:paraId="0B245829" w14:textId="25BFF5E7">
      <w:pPr>
        <w:spacing w:before="281" w:after="281"/>
        <w:rPr>
          <w:rFonts w:ascii="Arial" w:hAnsi="Arial" w:eastAsia="Arial" w:cs="Arial"/>
          <w:b/>
          <w:bCs/>
          <w:color w:val="000000" w:themeColor="text1"/>
          <w:sz w:val="22"/>
          <w:szCs w:val="22"/>
        </w:rPr>
      </w:pPr>
    </w:p>
    <w:p w:rsidR="00BB2C24" w:rsidP="1C3D7091" w:rsidRDefault="00BB2C24" w14:paraId="61A5B27C" w14:textId="22E2061A">
      <w:pPr>
        <w:spacing w:before="281" w:after="281"/>
        <w:rPr>
          <w:rFonts w:ascii="Arial" w:hAnsi="Arial" w:eastAsia="Arial" w:cs="Arial"/>
          <w:b/>
          <w:bCs/>
          <w:color w:val="000000" w:themeColor="text1"/>
          <w:sz w:val="22"/>
          <w:szCs w:val="22"/>
        </w:rPr>
      </w:pPr>
    </w:p>
    <w:p w:rsidR="00BB2C24" w:rsidP="1C3D7091" w:rsidRDefault="00BB2C24" w14:paraId="08FF7E93" w14:textId="69E1B9C3">
      <w:pPr>
        <w:spacing w:before="281" w:after="281"/>
        <w:rPr>
          <w:rFonts w:ascii="Arial" w:hAnsi="Arial" w:eastAsia="Arial" w:cs="Arial"/>
          <w:b/>
          <w:bCs/>
          <w:color w:val="000000" w:themeColor="text1"/>
          <w:sz w:val="22"/>
          <w:szCs w:val="22"/>
        </w:rPr>
      </w:pPr>
    </w:p>
    <w:p w:rsidR="00BB2C24" w:rsidP="1C3D7091" w:rsidRDefault="00BB2C24" w14:paraId="470126C4" w14:textId="646C7C12">
      <w:pPr>
        <w:spacing w:before="281" w:after="281"/>
        <w:rPr>
          <w:rFonts w:ascii="Arial" w:hAnsi="Arial" w:eastAsia="Arial" w:cs="Arial"/>
          <w:b/>
          <w:bCs/>
          <w:color w:val="000000" w:themeColor="text1"/>
          <w:sz w:val="22"/>
          <w:szCs w:val="22"/>
        </w:rPr>
      </w:pPr>
    </w:p>
    <w:p w:rsidR="7794F4BF" w:rsidP="7794F4BF" w:rsidRDefault="7794F4BF" w14:paraId="2D0785E7" w14:textId="0660872C">
      <w:pPr>
        <w:spacing w:before="281" w:after="281"/>
        <w:rPr>
          <w:rFonts w:ascii="Arial" w:hAnsi="Arial" w:eastAsia="Arial" w:cs="Arial"/>
          <w:b/>
          <w:bCs/>
          <w:color w:val="000000" w:themeColor="text1"/>
          <w:sz w:val="22"/>
          <w:szCs w:val="22"/>
        </w:rPr>
      </w:pPr>
    </w:p>
    <w:p w:rsidR="7794F4BF" w:rsidP="7794F4BF" w:rsidRDefault="7794F4BF" w14:paraId="604D4484" w14:textId="16676DDE">
      <w:pPr>
        <w:spacing w:before="281" w:after="281"/>
        <w:rPr>
          <w:rFonts w:ascii="Arial" w:hAnsi="Arial" w:eastAsia="Arial" w:cs="Arial"/>
          <w:b/>
          <w:bCs/>
          <w:color w:val="000000" w:themeColor="text1"/>
          <w:sz w:val="22"/>
          <w:szCs w:val="22"/>
        </w:rPr>
      </w:pPr>
    </w:p>
    <w:p w:rsidR="7794F4BF" w:rsidP="7794F4BF" w:rsidRDefault="7794F4BF" w14:paraId="00851D35" w14:textId="1625A966">
      <w:pPr>
        <w:spacing w:before="281" w:after="281"/>
        <w:rPr>
          <w:rFonts w:ascii="Arial" w:hAnsi="Arial" w:eastAsia="Arial" w:cs="Arial"/>
          <w:b/>
          <w:bCs/>
          <w:color w:val="000000" w:themeColor="text1"/>
          <w:sz w:val="22"/>
          <w:szCs w:val="22"/>
        </w:rPr>
      </w:pPr>
    </w:p>
    <w:p w:rsidR="7794F4BF" w:rsidP="7794F4BF" w:rsidRDefault="7794F4BF" w14:paraId="56D92D5E" w14:textId="644D5462">
      <w:pPr>
        <w:spacing w:before="281" w:after="281"/>
        <w:rPr>
          <w:rFonts w:ascii="Arial" w:hAnsi="Arial" w:eastAsia="Arial" w:cs="Arial"/>
          <w:b/>
          <w:bCs/>
          <w:color w:val="000000" w:themeColor="text1"/>
          <w:sz w:val="22"/>
          <w:szCs w:val="22"/>
        </w:rPr>
      </w:pPr>
    </w:p>
    <w:p w:rsidR="00BB2C24" w:rsidP="7794F4BF" w:rsidRDefault="013442A9" w14:paraId="4A0AF674" w14:textId="06CB6864">
      <w:pPr>
        <w:spacing w:before="281" w:after="281"/>
        <w:rPr>
          <w:rFonts w:ascii="Arial" w:hAnsi="Arial" w:eastAsia="Arial" w:cs="Arial"/>
          <w:b/>
          <w:bCs/>
          <w:color w:val="000000" w:themeColor="text1"/>
          <w:sz w:val="22"/>
          <w:szCs w:val="22"/>
        </w:rPr>
      </w:pPr>
      <w:r w:rsidRPr="7794F4BF">
        <w:rPr>
          <w:rFonts w:ascii="Arial" w:hAnsi="Arial" w:eastAsia="Arial" w:cs="Arial"/>
          <w:b/>
          <w:bCs/>
          <w:color w:val="000000" w:themeColor="text1"/>
          <w:sz w:val="22"/>
          <w:szCs w:val="22"/>
        </w:rPr>
        <w:t xml:space="preserve">                                        </w:t>
      </w:r>
      <w:r w:rsidRPr="7794F4BF" w:rsidR="71B014F3">
        <w:rPr>
          <w:rFonts w:ascii="Arial" w:hAnsi="Arial" w:eastAsia="Arial" w:cs="Arial"/>
          <w:b/>
          <w:bCs/>
          <w:color w:val="000000" w:themeColor="text1"/>
          <w:sz w:val="22"/>
          <w:szCs w:val="22"/>
        </w:rPr>
        <w:t xml:space="preserve">Student Name: Carlington Swaby </w:t>
      </w:r>
    </w:p>
    <w:p w:rsidR="00BB2C24" w:rsidP="1C3D7091" w:rsidRDefault="72B1BFC4" w14:paraId="247C58BA" w14:textId="1BEF72BC">
      <w:pPr>
        <w:spacing w:line="360" w:lineRule="auto"/>
        <w:jc w:val="center"/>
        <w:rPr>
          <w:rFonts w:ascii="Arial" w:hAnsi="Arial" w:eastAsia="Arial" w:cs="Arial"/>
          <w:color w:val="000000" w:themeColor="text1"/>
          <w:sz w:val="22"/>
          <w:szCs w:val="22"/>
        </w:rPr>
      </w:pPr>
      <w:r w:rsidRPr="1C3D7091">
        <w:rPr>
          <w:rFonts w:ascii="Arial" w:hAnsi="Arial" w:eastAsia="Arial" w:cs="Arial"/>
          <w:b/>
          <w:bCs/>
          <w:color w:val="000000" w:themeColor="text1"/>
          <w:sz w:val="22"/>
          <w:szCs w:val="22"/>
        </w:rPr>
        <w:t>Student Number:2320978</w:t>
      </w:r>
    </w:p>
    <w:p w:rsidR="00BB2C24" w:rsidP="7794F4BF" w:rsidRDefault="71B014F3" w14:paraId="443ED89C" w14:textId="2772CA9F">
      <w:pPr>
        <w:spacing w:line="360" w:lineRule="auto"/>
        <w:jc w:val="center"/>
        <w:rPr>
          <w:rFonts w:ascii="Arial" w:hAnsi="Arial" w:eastAsia="Arial" w:cs="Arial"/>
          <w:color w:val="000000" w:themeColor="text1"/>
          <w:sz w:val="22"/>
          <w:szCs w:val="22"/>
        </w:rPr>
      </w:pPr>
      <w:r w:rsidRPr="7794F4BF">
        <w:rPr>
          <w:rFonts w:ascii="Arial" w:hAnsi="Arial" w:eastAsia="Arial" w:cs="Arial"/>
          <w:b/>
          <w:bCs/>
          <w:color w:val="000000" w:themeColor="text1"/>
          <w:sz w:val="22"/>
          <w:szCs w:val="22"/>
        </w:rPr>
        <w:t>Module number: BHMP5019</w:t>
      </w:r>
    </w:p>
    <w:p w:rsidR="00BB2C24" w:rsidP="7794F4BF" w:rsidRDefault="00BB2C24" w14:paraId="4002FD4C" w14:textId="6845CC83">
      <w:pPr>
        <w:spacing w:line="360" w:lineRule="auto"/>
        <w:jc w:val="center"/>
        <w:rPr>
          <w:rFonts w:ascii="Arial" w:hAnsi="Arial" w:eastAsia="Arial" w:cs="Arial"/>
          <w:b/>
          <w:bCs/>
          <w:color w:val="000000" w:themeColor="text1"/>
          <w:sz w:val="22"/>
          <w:szCs w:val="22"/>
        </w:rPr>
      </w:pPr>
    </w:p>
    <w:p w:rsidR="00BB2C24" w:rsidP="7794F4BF" w:rsidRDefault="00BB2C24" w14:paraId="218F5CF8" w14:textId="73886F4C">
      <w:pPr>
        <w:spacing w:line="360" w:lineRule="auto"/>
        <w:jc w:val="center"/>
        <w:rPr>
          <w:rFonts w:ascii="Arial" w:hAnsi="Arial" w:eastAsia="Arial" w:cs="Arial"/>
          <w:b/>
          <w:bCs/>
          <w:color w:val="000000" w:themeColor="text1"/>
          <w:sz w:val="22"/>
          <w:szCs w:val="22"/>
        </w:rPr>
      </w:pPr>
    </w:p>
    <w:p w:rsidR="00BB2C24" w:rsidP="7794F4BF" w:rsidRDefault="00BB2C24" w14:paraId="508DAC83" w14:textId="47BEABA6">
      <w:pPr>
        <w:spacing w:line="360" w:lineRule="auto"/>
        <w:jc w:val="center"/>
        <w:rPr>
          <w:rFonts w:ascii="Arial" w:hAnsi="Arial" w:eastAsia="Arial" w:cs="Arial"/>
          <w:b/>
          <w:bCs/>
          <w:color w:val="000000" w:themeColor="text1"/>
          <w:sz w:val="22"/>
          <w:szCs w:val="22"/>
        </w:rPr>
      </w:pPr>
    </w:p>
    <w:p w:rsidR="00BB2C24" w:rsidP="7794F4BF" w:rsidRDefault="00BB2C24" w14:paraId="01B9B16F" w14:textId="4AACF393" w14:noSpellErr="1">
      <w:pPr>
        <w:spacing w:line="360" w:lineRule="auto"/>
        <w:jc w:val="center"/>
        <w:rPr>
          <w:rFonts w:ascii="Arial" w:hAnsi="Arial" w:eastAsia="Arial" w:cs="Arial"/>
          <w:b w:val="1"/>
          <w:bCs w:val="1"/>
          <w:color w:val="000000" w:themeColor="text1"/>
          <w:sz w:val="22"/>
          <w:szCs w:val="22"/>
        </w:rPr>
      </w:pPr>
    </w:p>
    <w:p w:rsidR="7E619F55" w:rsidP="7E619F55" w:rsidRDefault="7E619F55" w14:paraId="0B4A6E64" w14:textId="7FCC736E">
      <w:pPr>
        <w:spacing w:line="360" w:lineRule="auto"/>
        <w:jc w:val="center"/>
        <w:rPr>
          <w:rFonts w:ascii="Arial" w:hAnsi="Arial" w:eastAsia="Arial" w:cs="Arial"/>
          <w:b w:val="1"/>
          <w:bCs w:val="1"/>
          <w:color w:val="000000" w:themeColor="text1" w:themeTint="FF" w:themeShade="FF"/>
          <w:sz w:val="22"/>
          <w:szCs w:val="22"/>
        </w:rPr>
      </w:pPr>
    </w:p>
    <w:p w:rsidR="1B1FA65B" w:rsidP="7E619F55" w:rsidRDefault="1B1FA65B" w14:paraId="21347014" w14:textId="0355AA7D">
      <w:pPr>
        <w:spacing w:line="360" w:lineRule="auto"/>
        <w:jc w:val="center"/>
        <w:rPr>
          <w:rFonts w:ascii="Arial" w:hAnsi="Arial" w:eastAsia="Arial" w:cs="Arial"/>
          <w:b w:val="1"/>
          <w:bCs w:val="1"/>
          <w:color w:val="000000" w:themeColor="text1" w:themeTint="FF" w:themeShade="FF"/>
          <w:sz w:val="22"/>
          <w:szCs w:val="22"/>
        </w:rPr>
      </w:pPr>
      <w:r w:rsidRPr="7E619F55" w:rsidR="1B1FA65B">
        <w:rPr>
          <w:rFonts w:ascii="Arial" w:hAnsi="Arial" w:eastAsia="Arial" w:cs="Arial"/>
          <w:b w:val="1"/>
          <w:bCs w:val="1"/>
          <w:color w:val="000000" w:themeColor="text1" w:themeTint="FF" w:themeShade="FF"/>
          <w:sz w:val="22"/>
          <w:szCs w:val="22"/>
        </w:rPr>
        <w:t xml:space="preserve"> Table of content</w:t>
      </w:r>
    </w:p>
    <w:p w:rsidR="7E619F55" w:rsidP="7E619F55" w:rsidRDefault="7E619F55" w14:paraId="4EE1C74C" w14:textId="081A2E48">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4DC1BCEC" w14:textId="1312B291">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Introduction.........................................................................................................3-4</w:t>
      </w:r>
    </w:p>
    <w:p w:rsidR="7E619F55" w:rsidP="7E619F55" w:rsidRDefault="7E619F55" w14:paraId="706F47EB" w14:textId="4055FE21">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51EE8C86" w14:textId="2CB5217C">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Background.........................................................................................................5-7</w:t>
      </w:r>
    </w:p>
    <w:p w:rsidR="7E619F55" w:rsidP="7E619F55" w:rsidRDefault="7E619F55" w14:paraId="2A309DC7" w14:textId="3093B6AF">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7B652353" w14:textId="7472E386">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Methods................................................................................................................7-9</w:t>
      </w:r>
    </w:p>
    <w:p w:rsidR="7E619F55" w:rsidP="7E619F55" w:rsidRDefault="7E619F55" w14:paraId="1708AAEC" w14:textId="5C6948D9">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3B3CE397" w14:textId="63514317">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Results..................................................................................................................9-11</w:t>
      </w:r>
    </w:p>
    <w:p w:rsidR="7E619F55" w:rsidP="7E619F55" w:rsidRDefault="7E619F55" w14:paraId="2F8D8BE7" w14:textId="0DA55217">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485FB309" w14:textId="04C4322B">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Discussion............................................................................................................12-16</w:t>
      </w:r>
    </w:p>
    <w:p w:rsidR="7E619F55" w:rsidP="7E619F55" w:rsidRDefault="7E619F55" w14:paraId="5CB46F24" w14:textId="00EA0BC9">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33287755" w14:textId="4D8CE95B">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Recommendations and Conclusions................................................................</w:t>
      </w:r>
      <w:r w:rsidRPr="7E619F55" w:rsidR="0270AA8A">
        <w:rPr>
          <w:rFonts w:ascii="Arial" w:hAnsi="Arial" w:eastAsia="Arial" w:cs="Arial"/>
          <w:b w:val="1"/>
          <w:bCs w:val="1"/>
          <w:color w:val="000000" w:themeColor="text1" w:themeTint="FF" w:themeShade="FF"/>
          <w:sz w:val="22"/>
          <w:szCs w:val="22"/>
        </w:rPr>
        <w:t>16-17</w:t>
      </w:r>
    </w:p>
    <w:p w:rsidR="7E619F55" w:rsidP="7E619F55" w:rsidRDefault="7E619F55" w14:paraId="4E9BC30C" w14:textId="002867B2">
      <w:pPr>
        <w:spacing w:line="360" w:lineRule="auto"/>
        <w:jc w:val="left"/>
        <w:rPr>
          <w:rFonts w:ascii="Arial" w:hAnsi="Arial" w:eastAsia="Arial" w:cs="Arial"/>
          <w:b w:val="1"/>
          <w:bCs w:val="1"/>
          <w:color w:val="000000" w:themeColor="text1" w:themeTint="FF" w:themeShade="FF"/>
          <w:sz w:val="22"/>
          <w:szCs w:val="22"/>
        </w:rPr>
      </w:pPr>
    </w:p>
    <w:p w:rsidR="0270AA8A" w:rsidP="7E619F55" w:rsidRDefault="0270AA8A" w14:paraId="37CA2E9D" w14:textId="5CDA6CA0">
      <w:pPr>
        <w:spacing w:line="360" w:lineRule="auto"/>
        <w:jc w:val="left"/>
        <w:rPr>
          <w:rFonts w:ascii="Arial" w:hAnsi="Arial" w:eastAsia="Arial" w:cs="Arial"/>
          <w:b w:val="1"/>
          <w:bCs w:val="1"/>
          <w:color w:val="000000" w:themeColor="text1" w:themeTint="FF" w:themeShade="FF"/>
          <w:sz w:val="22"/>
          <w:szCs w:val="22"/>
        </w:rPr>
      </w:pPr>
      <w:r w:rsidRPr="7E619F55" w:rsidR="0270AA8A">
        <w:rPr>
          <w:rFonts w:ascii="Arial" w:hAnsi="Arial" w:eastAsia="Arial" w:cs="Arial"/>
          <w:b w:val="1"/>
          <w:bCs w:val="1"/>
          <w:color w:val="000000" w:themeColor="text1" w:themeTint="FF" w:themeShade="FF"/>
          <w:sz w:val="22"/>
          <w:szCs w:val="22"/>
        </w:rPr>
        <w:t>Re</w:t>
      </w:r>
      <w:r w:rsidRPr="7E619F55" w:rsidR="3B45882E">
        <w:rPr>
          <w:rFonts w:ascii="Arial" w:hAnsi="Arial" w:eastAsia="Arial" w:cs="Arial"/>
          <w:b w:val="1"/>
          <w:bCs w:val="1"/>
          <w:color w:val="000000" w:themeColor="text1" w:themeTint="FF" w:themeShade="FF"/>
          <w:sz w:val="22"/>
          <w:szCs w:val="22"/>
        </w:rPr>
        <w:t>ferences</w:t>
      </w:r>
      <w:r w:rsidRPr="7E619F55" w:rsidR="0270AA8A">
        <w:rPr>
          <w:rFonts w:ascii="Arial" w:hAnsi="Arial" w:eastAsia="Arial" w:cs="Arial"/>
          <w:b w:val="1"/>
          <w:bCs w:val="1"/>
          <w:color w:val="000000" w:themeColor="text1" w:themeTint="FF" w:themeShade="FF"/>
          <w:sz w:val="22"/>
          <w:szCs w:val="22"/>
        </w:rPr>
        <w:t>............................................................................................................18-2</w:t>
      </w:r>
      <w:r w:rsidRPr="7E619F55" w:rsidR="288AB651">
        <w:rPr>
          <w:rFonts w:ascii="Arial" w:hAnsi="Arial" w:eastAsia="Arial" w:cs="Arial"/>
          <w:b w:val="1"/>
          <w:bCs w:val="1"/>
          <w:color w:val="000000" w:themeColor="text1" w:themeTint="FF" w:themeShade="FF"/>
          <w:sz w:val="22"/>
          <w:szCs w:val="22"/>
        </w:rPr>
        <w:t>0</w:t>
      </w:r>
    </w:p>
    <w:p w:rsidR="7E619F55" w:rsidP="7E619F55" w:rsidRDefault="7E619F55" w14:paraId="464CA5A3" w14:textId="0A1EC9E5">
      <w:pPr>
        <w:spacing w:line="360" w:lineRule="auto"/>
        <w:jc w:val="left"/>
        <w:rPr>
          <w:rFonts w:ascii="Arial" w:hAnsi="Arial" w:eastAsia="Arial" w:cs="Arial"/>
          <w:b w:val="1"/>
          <w:bCs w:val="1"/>
          <w:color w:val="000000" w:themeColor="text1" w:themeTint="FF" w:themeShade="FF"/>
          <w:sz w:val="22"/>
          <w:szCs w:val="22"/>
        </w:rPr>
      </w:pPr>
    </w:p>
    <w:p w:rsidR="7E619F55" w:rsidP="7E619F55" w:rsidRDefault="7E619F55" w14:paraId="1F2949A6" w14:textId="5B528094">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D8A16DA" w14:textId="029518D2">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6E48A11" w14:textId="467336FA">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4BCC38A3" w14:textId="10E4D1A0">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32B557BD" w14:textId="6ED9DF7D">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4FA88C17" w14:textId="3360036C">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B5CD587" w14:textId="7BA2E713">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44E70B95" w14:textId="5FCF525B">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2A77A29D" w14:textId="3E00DCAE">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C982B5D" w14:textId="3D3937BA">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64C878BD" w14:textId="0A35FE8A">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59E1D28" w14:textId="286E8DE4">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3A2EE026" w14:textId="25B1421B">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922B96B" w14:textId="1BD37155">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7E5FDC7E" w14:textId="7AF47481">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CD2EEA9" w14:textId="25B306A5">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2864F2DD" w14:textId="1F323E8F">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20766247" w14:textId="7B3DF595">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7E15DE84" w14:textId="02024167">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65BEE221" w14:textId="16860651">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6157AE3B" w14:textId="6236481E">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68FB1D1E" w14:textId="29F96FA7">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1210A4C2" w14:textId="33CC65EA">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4C129536" w14:textId="5575DFC8">
      <w:pPr>
        <w:spacing w:line="360" w:lineRule="auto"/>
        <w:jc w:val="center"/>
        <w:rPr>
          <w:rFonts w:ascii="Arial" w:hAnsi="Arial" w:eastAsia="Arial" w:cs="Arial"/>
          <w:b w:val="1"/>
          <w:bCs w:val="1"/>
          <w:color w:val="000000" w:themeColor="text1" w:themeTint="FF" w:themeShade="FF"/>
          <w:sz w:val="22"/>
          <w:szCs w:val="22"/>
        </w:rPr>
      </w:pPr>
    </w:p>
    <w:p w:rsidR="7E619F55" w:rsidP="7E619F55" w:rsidRDefault="7E619F55" w14:paraId="73801140" w14:textId="79439C92">
      <w:pPr>
        <w:spacing w:line="360" w:lineRule="auto"/>
        <w:jc w:val="center"/>
        <w:rPr>
          <w:rFonts w:ascii="Arial" w:hAnsi="Arial" w:eastAsia="Arial" w:cs="Arial"/>
          <w:b w:val="1"/>
          <w:bCs w:val="1"/>
          <w:color w:val="000000" w:themeColor="text1" w:themeTint="FF" w:themeShade="FF"/>
          <w:sz w:val="22"/>
          <w:szCs w:val="22"/>
        </w:rPr>
      </w:pPr>
    </w:p>
    <w:p w:rsidR="00BB2C24" w:rsidP="7794F4BF" w:rsidRDefault="00BB2C24" w14:paraId="7218EC77" w14:textId="33E65305" w14:noSpellErr="1">
      <w:pPr>
        <w:spacing w:line="360" w:lineRule="auto"/>
        <w:jc w:val="center"/>
        <w:rPr>
          <w:rFonts w:ascii="Arial" w:hAnsi="Arial" w:eastAsia="Arial" w:cs="Arial"/>
          <w:b w:val="1"/>
          <w:bCs w:val="1"/>
          <w:color w:val="000000" w:themeColor="text1"/>
          <w:sz w:val="22"/>
          <w:szCs w:val="22"/>
        </w:rPr>
      </w:pPr>
    </w:p>
    <w:p w:rsidR="00BB2C24" w:rsidP="7E619F55" w:rsidRDefault="1269FB9D" w14:paraId="350B184E" w14:textId="46EECA51" w14:noSpellErr="1">
      <w:pPr>
        <w:spacing w:before="281" w:after="281" w:line="360" w:lineRule="auto"/>
        <w:rPr>
          <w:rFonts w:ascii="Arial" w:hAnsi="Arial" w:eastAsia="Arial" w:cs="Arial"/>
          <w:b w:val="1"/>
          <w:bCs w:val="1"/>
          <w:color w:val="000000" w:themeColor="text1" w:themeTint="FF" w:themeShade="FF"/>
          <w:sz w:val="22"/>
          <w:szCs w:val="22"/>
        </w:rPr>
      </w:pPr>
      <w:r w:rsidRPr="7E619F55" w:rsidR="068ECABA">
        <w:rPr>
          <w:rFonts w:ascii="Arial" w:hAnsi="Arial" w:eastAsia="Arial" w:cs="Arial"/>
          <w:b w:val="1"/>
          <w:bCs w:val="1"/>
          <w:color w:val="000000" w:themeColor="text1" w:themeTint="FF" w:themeShade="FF"/>
          <w:sz w:val="22"/>
          <w:szCs w:val="22"/>
        </w:rPr>
        <w:t xml:space="preserve">Introduction </w:t>
      </w:r>
    </w:p>
    <w:p w:rsidR="00BB2C24" w:rsidP="7E619F55" w:rsidRDefault="1269FB9D" w14:paraId="484E7213" w14:textId="25F39AF7" w14:noSpellErr="1">
      <w:pPr>
        <w:spacing w:before="281" w:after="281" w:line="360" w:lineRule="auto"/>
        <w:rPr>
          <w:rFonts w:ascii="Arial" w:hAnsi="Arial" w:eastAsia="Arial" w:cs="Arial"/>
          <w:b w:val="1"/>
          <w:bCs w:val="1"/>
          <w:color w:val="000000" w:themeColor="text1" w:themeTint="FF" w:themeShade="FF"/>
          <w:sz w:val="22"/>
          <w:szCs w:val="22"/>
        </w:rPr>
      </w:pPr>
      <w:r w:rsidRPr="7E619F55" w:rsidR="068ECABA">
        <w:rPr>
          <w:rFonts w:ascii="Arial" w:hAnsi="Arial" w:eastAsia="Arial" w:cs="Arial"/>
          <w:b w:val="1"/>
          <w:bCs w:val="1"/>
          <w:color w:val="000000" w:themeColor="text1" w:themeTint="FF" w:themeShade="FF"/>
          <w:sz w:val="22"/>
          <w:szCs w:val="22"/>
        </w:rPr>
        <w:t xml:space="preserve"> Overview </w:t>
      </w:r>
    </w:p>
    <w:p w:rsidR="00BB2C24" w:rsidP="7E619F55" w:rsidRDefault="1269FB9D" w14:paraId="0134AFFB" w14:textId="124EC842" w14:noSpellErr="1">
      <w:pPr>
        <w:spacing w:before="281" w:after="281" w:line="360" w:lineRule="auto"/>
        <w:rPr>
          <w:rFonts w:ascii="Arial" w:hAnsi="Arial" w:eastAsia="Arial" w:cs="Arial"/>
          <w:color w:val="000000" w:themeColor="text1" w:themeTint="FF" w:themeShade="FF"/>
          <w:sz w:val="22"/>
          <w:szCs w:val="22"/>
        </w:rPr>
      </w:pPr>
      <w:r w:rsidRPr="7E619F55" w:rsidR="068ECABA">
        <w:rPr>
          <w:rFonts w:ascii="Arial" w:hAnsi="Arial" w:eastAsia="Arial" w:cs="Arial"/>
          <w:color w:val="000000" w:themeColor="text1" w:themeTint="FF" w:themeShade="FF"/>
          <w:sz w:val="22"/>
          <w:szCs w:val="22"/>
        </w:rPr>
        <w:t xml:space="preserve">Adolescent Idiopathic Scoliosis (AIS) is a complex, three-dimensional spinal deformity that is primarily defined by an abnormal lateral curvature of the spine measuring greater than 10° on the Cobb angle. It typically manifests during the period of rapid growth, most commonly between the ages of 10 and 18 years and occurs without any identifiable underlying cause or associated systemic condition (Weinstein et al., 2019). The term idiopathic reflects the absence of a clear aetiology, despite extensive investigation into potential genetic, neuromuscular, hormonal, and biomechanical factors. Globally, AIS affects </w:t>
      </w:r>
      <w:r w:rsidRPr="7E619F55" w:rsidR="068ECABA">
        <w:rPr>
          <w:rFonts w:ascii="Arial" w:hAnsi="Arial" w:eastAsia="Arial" w:cs="Arial"/>
          <w:color w:val="000000" w:themeColor="text1" w:themeTint="FF" w:themeShade="FF"/>
          <w:sz w:val="22"/>
          <w:szCs w:val="22"/>
        </w:rPr>
        <w:t>approximately 2</w:t>
      </w:r>
      <w:r w:rsidRPr="7E619F55" w:rsidR="068ECABA">
        <w:rPr>
          <w:rFonts w:ascii="Arial" w:hAnsi="Arial" w:eastAsia="Arial" w:cs="Arial"/>
          <w:color w:val="000000" w:themeColor="text1" w:themeTint="FF" w:themeShade="FF"/>
          <w:sz w:val="22"/>
          <w:szCs w:val="22"/>
        </w:rPr>
        <w:t xml:space="preserve">–3% of the adolescent population, making it one of the most prevalent spinal deformities seen in this age group. While many cases are mild and often remain asymptomatic, moderate to severe curvatures can have significant implications, including chronic back pain, reduced pulmonary function, cosmetic deformities, and psychosocial distress resulting from altered body image and self-esteem issues (Hresko, 2013). </w:t>
      </w:r>
    </w:p>
    <w:p w:rsidR="00BB2C24" w:rsidP="7E619F55" w:rsidRDefault="00BB2C24" w14:paraId="55246697" w14:textId="479CFC65" w14:noSpellErr="1">
      <w:pPr>
        <w:spacing w:before="281" w:after="281" w:line="360" w:lineRule="auto"/>
        <w:rPr>
          <w:rFonts w:ascii="Arial" w:hAnsi="Arial" w:eastAsia="Arial" w:cs="Arial"/>
          <w:color w:val="000000" w:themeColor="text1"/>
          <w:sz w:val="22"/>
          <w:szCs w:val="22"/>
        </w:rPr>
      </w:pPr>
    </w:p>
    <w:p w:rsidR="00BB2C24" w:rsidP="7E619F55" w:rsidRDefault="1269FB9D" w14:paraId="41928C12" w14:textId="7D8A76D4" w14:noSpellErr="1">
      <w:pPr>
        <w:spacing w:before="281" w:after="281" w:line="360" w:lineRule="auto"/>
        <w:rPr>
          <w:rFonts w:ascii="Arial" w:hAnsi="Arial" w:eastAsia="Arial" w:cs="Arial"/>
          <w:color w:val="000000" w:themeColor="text1" w:themeTint="FF" w:themeShade="FF"/>
          <w:sz w:val="22"/>
          <w:szCs w:val="22"/>
        </w:rPr>
      </w:pPr>
      <w:r w:rsidRPr="7E619F55" w:rsidR="068ECABA">
        <w:rPr>
          <w:rFonts w:ascii="Arial" w:hAnsi="Arial" w:eastAsia="Arial" w:cs="Arial"/>
          <w:color w:val="000000" w:themeColor="text1" w:themeTint="FF" w:themeShade="FF"/>
          <w:sz w:val="22"/>
          <w:szCs w:val="22"/>
        </w:rPr>
        <w:t xml:space="preserve">The natural history of AIS varies </w:t>
      </w:r>
      <w:r w:rsidRPr="7E619F55" w:rsidR="068ECABA">
        <w:rPr>
          <w:rFonts w:ascii="Arial" w:hAnsi="Arial" w:eastAsia="Arial" w:cs="Arial"/>
          <w:color w:val="000000" w:themeColor="text1" w:themeTint="FF" w:themeShade="FF"/>
          <w:sz w:val="22"/>
          <w:szCs w:val="22"/>
        </w:rPr>
        <w:t>considerably depending</w:t>
      </w:r>
      <w:r w:rsidRPr="7E619F55" w:rsidR="068ECABA">
        <w:rPr>
          <w:rFonts w:ascii="Arial" w:hAnsi="Arial" w:eastAsia="Arial" w:cs="Arial"/>
          <w:color w:val="000000" w:themeColor="text1" w:themeTint="FF" w:themeShade="FF"/>
          <w:sz w:val="22"/>
          <w:szCs w:val="22"/>
        </w:rPr>
        <w:t xml:space="preserve"> on the degree of curvature, skeletal maturity, and individual risk factors for progression. Early detection through school screening programs or clinical assessments plays a vital role in preventing severe deformities that could </w:t>
      </w:r>
      <w:r w:rsidRPr="7E619F55" w:rsidR="068ECABA">
        <w:rPr>
          <w:rFonts w:ascii="Arial" w:hAnsi="Arial" w:eastAsia="Arial" w:cs="Arial"/>
          <w:color w:val="000000" w:themeColor="text1" w:themeTint="FF" w:themeShade="FF"/>
          <w:sz w:val="22"/>
          <w:szCs w:val="22"/>
        </w:rPr>
        <w:t>necessitate</w:t>
      </w:r>
      <w:r w:rsidRPr="7E619F55" w:rsidR="068ECABA">
        <w:rPr>
          <w:rFonts w:ascii="Arial" w:hAnsi="Arial" w:eastAsia="Arial" w:cs="Arial"/>
          <w:color w:val="000000" w:themeColor="text1" w:themeTint="FF" w:themeShade="FF"/>
          <w:sz w:val="22"/>
          <w:szCs w:val="22"/>
        </w:rPr>
        <w:t xml:space="preserve"> invasive surgical correction later in life. Advances in diagnostic imaging and understanding of spinal biomechanics have further enhanced clinicians’ ability to </w:t>
      </w:r>
      <w:r w:rsidRPr="7E619F55" w:rsidR="068ECABA">
        <w:rPr>
          <w:rFonts w:ascii="Arial" w:hAnsi="Arial" w:eastAsia="Arial" w:cs="Arial"/>
          <w:color w:val="000000" w:themeColor="text1" w:themeTint="FF" w:themeShade="FF"/>
          <w:sz w:val="22"/>
          <w:szCs w:val="22"/>
        </w:rPr>
        <w:t>monitor</w:t>
      </w:r>
      <w:r w:rsidRPr="7E619F55" w:rsidR="068ECABA">
        <w:rPr>
          <w:rFonts w:ascii="Arial" w:hAnsi="Arial" w:eastAsia="Arial" w:cs="Arial"/>
          <w:color w:val="000000" w:themeColor="text1" w:themeTint="FF" w:themeShade="FF"/>
          <w:sz w:val="22"/>
          <w:szCs w:val="22"/>
        </w:rPr>
        <w:t xml:space="preserve"> and manage this condition effectively.</w:t>
      </w:r>
    </w:p>
    <w:p w:rsidR="00BB2C24" w:rsidP="7E619F55" w:rsidRDefault="08340CC8" w14:paraId="25283D32" w14:textId="3D8F901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Non-surgical interventions are a cornerstone in the conservative management of AIS, particularly for patients with mild to moderate curvatures. These approaches aim to prevent curve progression, </w:t>
      </w:r>
      <w:r w:rsidRPr="7E619F55" w:rsidR="703EB1C6">
        <w:rPr>
          <w:rFonts w:ascii="Arial" w:hAnsi="Arial" w:eastAsia="Arial" w:cs="Arial"/>
          <w:color w:val="000000" w:themeColor="text1" w:themeTint="FF" w:themeShade="FF"/>
          <w:sz w:val="22"/>
          <w:szCs w:val="22"/>
        </w:rPr>
        <w:t>maintain</w:t>
      </w:r>
      <w:r w:rsidRPr="7E619F55" w:rsidR="703EB1C6">
        <w:rPr>
          <w:rFonts w:ascii="Arial" w:hAnsi="Arial" w:eastAsia="Arial" w:cs="Arial"/>
          <w:color w:val="000000" w:themeColor="text1" w:themeTint="FF" w:themeShade="FF"/>
          <w:sz w:val="22"/>
          <w:szCs w:val="22"/>
        </w:rPr>
        <w:t xml:space="preserve"> postural alignment, enhance muscular balance, and preserve overall functional capacity without the need for spinal fusion. Such interventions commonly include physiotherapy scoliosis-specific exercises (PSSEs), which focus on targeted muscle activation, spinal stabilization, and postural correction tailored to the patient’s unique curve pattern. Other conservative modalities, such as bracing, have been shown to effectively slow or halt curvature progression when applied appropriately and consistently during the growth period. Additionally, adjunctive treatments like manual therapy, postural re-education, and breathing exercises may contribute to improved functional outcomes and patient quality of life (Negrini et al., 2018). </w:t>
      </w:r>
    </w:p>
    <w:p w:rsidR="00BB2C24" w:rsidP="7E619F55" w:rsidRDefault="08340CC8" w14:paraId="091CC07B" w14:noSpellErr="1" w14:textId="5619A7BE">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 xml:space="preserve"> AIS </w:t>
      </w:r>
      <w:r w:rsidRPr="7E619F55" w:rsidR="703EB1C6">
        <w:rPr>
          <w:rFonts w:ascii="Arial" w:hAnsi="Arial" w:eastAsia="Arial" w:cs="Arial"/>
          <w:color w:val="000000" w:themeColor="text1" w:themeTint="FF" w:themeShade="FF"/>
          <w:sz w:val="22"/>
          <w:szCs w:val="22"/>
        </w:rPr>
        <w:t>represents</w:t>
      </w:r>
      <w:r w:rsidRPr="7E619F55" w:rsidR="703EB1C6">
        <w:rPr>
          <w:rFonts w:ascii="Arial" w:hAnsi="Arial" w:eastAsia="Arial" w:cs="Arial"/>
          <w:color w:val="000000" w:themeColor="text1" w:themeTint="FF" w:themeShade="FF"/>
          <w:sz w:val="22"/>
          <w:szCs w:val="22"/>
        </w:rPr>
        <w:t xml:space="preserve"> a multifactorial condition requiring a multidisciplinary approach to management. Understanding its definition, prevalence, and therapeutic strategies is essential for clinicians and researchers striving to </w:t>
      </w:r>
      <w:r w:rsidRPr="7E619F55" w:rsidR="703EB1C6">
        <w:rPr>
          <w:rFonts w:ascii="Arial" w:hAnsi="Arial" w:eastAsia="Arial" w:cs="Arial"/>
          <w:color w:val="000000" w:themeColor="text1" w:themeTint="FF" w:themeShade="FF"/>
          <w:sz w:val="22"/>
          <w:szCs w:val="22"/>
        </w:rPr>
        <w:t>optimize</w:t>
      </w:r>
      <w:r w:rsidRPr="7E619F55" w:rsidR="703EB1C6">
        <w:rPr>
          <w:rFonts w:ascii="Arial" w:hAnsi="Arial" w:eastAsia="Arial" w:cs="Arial"/>
          <w:color w:val="000000" w:themeColor="text1" w:themeTint="FF" w:themeShade="FF"/>
          <w:sz w:val="22"/>
          <w:szCs w:val="22"/>
        </w:rPr>
        <w:t xml:space="preserve"> patient care and long-term spinal health outcomes. </w:t>
      </w:r>
    </w:p>
    <w:p w:rsidR="00BB2C24" w:rsidP="7E619F55" w:rsidRDefault="08340CC8" w14:paraId="23A67B26" w14:textId="6E87A6D1"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302774B9" w14:textId="3E4EEFAD" w14:noSpellErr="1">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b w:val="1"/>
          <w:bCs w:val="1"/>
          <w:color w:val="000000" w:themeColor="text1" w:themeTint="FF" w:themeShade="FF"/>
          <w:sz w:val="22"/>
          <w:szCs w:val="22"/>
        </w:rPr>
        <w:t xml:space="preserve">Rationale </w:t>
      </w:r>
    </w:p>
    <w:p w:rsidR="00BB2C24" w:rsidP="7E619F55" w:rsidRDefault="08340CC8" w14:paraId="5260EB0B" w14:noSpellErr="1" w14:textId="219E1DAB">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Surgical management for severe AIS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the definitive corrective treatment; however, surgery carries risks such as infection, loss of spinal mobility, and psychological burden (Bettany-</w:t>
      </w:r>
      <w:r w:rsidRPr="7E619F55" w:rsidR="703EB1C6">
        <w:rPr>
          <w:rFonts w:ascii="Arial" w:hAnsi="Arial" w:eastAsia="Arial" w:cs="Arial"/>
          <w:color w:val="000000" w:themeColor="text1" w:themeTint="FF" w:themeShade="FF"/>
          <w:sz w:val="22"/>
          <w:szCs w:val="22"/>
        </w:rPr>
        <w:t>Saltikov</w:t>
      </w:r>
      <w:r w:rsidRPr="7E619F55" w:rsidR="703EB1C6">
        <w:rPr>
          <w:rFonts w:ascii="Arial" w:hAnsi="Arial" w:eastAsia="Arial" w:cs="Arial"/>
          <w:color w:val="000000" w:themeColor="text1" w:themeTint="FF" w:themeShade="FF"/>
          <w:sz w:val="22"/>
          <w:szCs w:val="22"/>
        </w:rPr>
        <w:t xml:space="preserve"> et al., 2017). In the UK, there is increasing emphasis on early conservative management within community physiotherapy and orthotic services to reduce surgical referrals and improve quality of life. The NHS Long Term Plan (2019) highlights preventive and personalised approaches</w:t>
      </w:r>
      <w:r w:rsidRPr="7E619F55" w:rsidR="30B4D75E">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 xml:space="preserve">making the evaluation of non-surgical AIS management particularly relevant to UK health policy and service delivery. </w:t>
      </w:r>
    </w:p>
    <w:p w:rsidR="00BB2C24" w:rsidP="7E619F55" w:rsidRDefault="08340CC8" w14:paraId="754580AB" w14:textId="1B966BAB"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Despite international evidence supporting physiotherapeutic scoliosis-specific exercise programmes such as the Schroth or SEAS methods, research specific to UK settings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fragmented. Bracing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available through NHS orthotic departments, yet practice is variable and lacks unified national guidance (Raine et al., 2021). This scoping review therefore explores UK-based research on non-surgical interventions for AIS, </w:t>
      </w:r>
      <w:r w:rsidRPr="7E619F55" w:rsidR="703EB1C6">
        <w:rPr>
          <w:rFonts w:ascii="Arial" w:hAnsi="Arial" w:eastAsia="Arial" w:cs="Arial"/>
          <w:color w:val="000000" w:themeColor="text1" w:themeTint="FF" w:themeShade="FF"/>
          <w:sz w:val="22"/>
          <w:szCs w:val="22"/>
        </w:rPr>
        <w:t>identifying</w:t>
      </w:r>
      <w:r w:rsidRPr="7E619F55" w:rsidR="703EB1C6">
        <w:rPr>
          <w:rFonts w:ascii="Arial" w:hAnsi="Arial" w:eastAsia="Arial" w:cs="Arial"/>
          <w:color w:val="000000" w:themeColor="text1" w:themeTint="FF" w:themeShade="FF"/>
          <w:sz w:val="22"/>
          <w:szCs w:val="22"/>
        </w:rPr>
        <w:t xml:space="preserve"> evidence gaps and implications for national practice. </w:t>
      </w:r>
    </w:p>
    <w:p w:rsidR="00BB2C24" w:rsidP="7E619F55" w:rsidRDefault="08340CC8" w14:paraId="60C01264" w14:textId="6498285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Review Question </w:t>
      </w:r>
    </w:p>
    <w:p w:rsidR="00BB2C24" w:rsidP="7E619F55" w:rsidRDefault="08340CC8" w14:paraId="0E26247F" w14:textId="76D21176"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What is the effectiveness of non-surgical interventions for managing Adolescent Idiopathic Scoliosis within the United Kingdom? </w:t>
      </w:r>
    </w:p>
    <w:p w:rsidR="00BB2C24" w:rsidP="7E619F55" w:rsidRDefault="08340CC8" w14:paraId="72A45700" w14:textId="160BD901"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Objectives </w:t>
      </w:r>
    </w:p>
    <w:p w:rsidR="00BB2C24" w:rsidP="7E619F55" w:rsidRDefault="08340CC8" w14:paraId="3F61CE52" w14:textId="52076512"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To </w:t>
      </w:r>
      <w:r w:rsidRPr="7E619F55" w:rsidR="703EB1C6">
        <w:rPr>
          <w:rFonts w:ascii="Arial" w:hAnsi="Arial" w:eastAsia="Arial" w:cs="Arial"/>
          <w:color w:val="000000" w:themeColor="text1" w:themeTint="FF" w:themeShade="FF"/>
          <w:sz w:val="22"/>
          <w:szCs w:val="22"/>
        </w:rPr>
        <w:t>identify</w:t>
      </w:r>
      <w:r w:rsidRPr="7E619F55" w:rsidR="703EB1C6">
        <w:rPr>
          <w:rFonts w:ascii="Arial" w:hAnsi="Arial" w:eastAsia="Arial" w:cs="Arial"/>
          <w:color w:val="000000" w:themeColor="text1" w:themeTint="FF" w:themeShade="FF"/>
          <w:sz w:val="22"/>
          <w:szCs w:val="22"/>
        </w:rPr>
        <w:t xml:space="preserve"> and synthesise peer-reviewed UK studies evaluating physiotherapy, exercise-based, or bracing interventions for AIS. </w:t>
      </w:r>
    </w:p>
    <w:p w:rsidR="00BB2C24" w:rsidP="7E619F55" w:rsidRDefault="08340CC8" w14:paraId="0D4969F6" w14:textId="79A2B39D"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To assess reported outcomes on curve progression, function, quality of life, and psychosocial well-being. </w:t>
      </w:r>
    </w:p>
    <w:p w:rsidR="00BB2C24" w:rsidP="7E619F55" w:rsidRDefault="08340CC8" w14:paraId="7FBAA294" w14:textId="271037D7"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To highlight current gaps in UK evidence and implications for clinical practice and policy. </w:t>
      </w:r>
    </w:p>
    <w:p w:rsidR="00BB2C24" w:rsidP="7E619F55" w:rsidRDefault="08340CC8" w14:paraId="03881F95" w14:textId="4BF5CBF4"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noSpellErr="1" w14:paraId="61358E23" w14:textId="3B3E7DF1">
      <w:pPr>
        <w:spacing w:before="281" w:after="281" w:line="360" w:lineRule="auto"/>
        <w:rPr>
          <w:rFonts w:ascii="Arial" w:hAnsi="Arial" w:eastAsia="Arial" w:cs="Arial"/>
          <w:color w:val="000000" w:themeColor="text1" w:themeTint="FF" w:themeShade="FF"/>
          <w:sz w:val="22"/>
          <w:szCs w:val="22"/>
        </w:rPr>
      </w:pPr>
    </w:p>
    <w:p w:rsidR="00BB2C24" w:rsidP="7E619F55" w:rsidRDefault="08340CC8" w14:paraId="5E61C40C" w14:textId="0950BD86">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b w:val="1"/>
          <w:bCs w:val="1"/>
          <w:color w:val="000000" w:themeColor="text1" w:themeTint="FF" w:themeShade="FF"/>
          <w:sz w:val="22"/>
          <w:szCs w:val="22"/>
        </w:rPr>
        <w:t xml:space="preserve">Background </w:t>
      </w:r>
    </w:p>
    <w:p w:rsidR="00BB2C24" w:rsidP="7E619F55" w:rsidRDefault="08340CC8" w14:paraId="5F8A7059" w14:textId="6A950328"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Epidemiology and Burden </w:t>
      </w:r>
    </w:p>
    <w:p w:rsidR="00BB2C24" w:rsidP="7E619F55" w:rsidRDefault="08340CC8" w14:paraId="444E4DD0" w14:textId="54626593"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In the UK, AIS accounts for roughly 80 % of all paediatric spinal deformities (NHS England, 2020). Though many curves are mild, progressive deformity can result in physical impairment, reduced pulmonary function, and significant psychosocial distress during adolescence (Howard et al., 2022). Early detection through school screening was historically performed in some regions but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inconsistent nationwide, creating inequity in access to early non-surgical care. </w:t>
      </w:r>
    </w:p>
    <w:p w:rsidR="00BB2C24" w:rsidP="7E619F55" w:rsidRDefault="08340CC8" w14:paraId="6815B297" w14:textId="65571FF1"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Current UK Policies and Guidelines </w:t>
      </w:r>
    </w:p>
    <w:p w:rsidR="00BB2C24" w:rsidP="7E619F55" w:rsidRDefault="08340CC8" w14:paraId="43567E66" w14:textId="3866101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At present, there are no specific NICE (National Institute for Health and Care Excellence) guidelines that exclusively address the non-surgical management of Adolescent Idiopathic Scoliosis (AIS). This absence of dedicated national guidance has contributed to a degree of variability in how conservative interventions are implemented across different regions of the United Kingdom. However, NICE Interventional Procedures Guidance (IPG 583, 2017) provides some relevant direction by discussing surgical correction procedures for scoliosis and emphasising the importance of integrating conservative management as part of a multidisciplinary approach to patient care. This guidance indirectly supports the inclusion of physiotherapy, bracing, and other non-invasive treatments within the broader context of scoliosis management, highlighting that decisions </w:t>
      </w:r>
      <w:r w:rsidRPr="7E619F55" w:rsidR="703EB1C6">
        <w:rPr>
          <w:rFonts w:ascii="Arial" w:hAnsi="Arial" w:eastAsia="Arial" w:cs="Arial"/>
          <w:color w:val="000000" w:themeColor="text1" w:themeTint="FF" w:themeShade="FF"/>
          <w:sz w:val="22"/>
          <w:szCs w:val="22"/>
        </w:rPr>
        <w:t>regarding</w:t>
      </w:r>
      <w:r w:rsidRPr="7E619F55" w:rsidR="703EB1C6">
        <w:rPr>
          <w:rFonts w:ascii="Arial" w:hAnsi="Arial" w:eastAsia="Arial" w:cs="Arial"/>
          <w:color w:val="000000" w:themeColor="text1" w:themeTint="FF" w:themeShade="FF"/>
          <w:sz w:val="22"/>
          <w:szCs w:val="22"/>
        </w:rPr>
        <w:t xml:space="preserve"> intervention should be individualised and based on careful clinical assessment. </w:t>
      </w:r>
    </w:p>
    <w:p w:rsidR="00BB2C24" w:rsidP="7E619F55" w:rsidRDefault="08340CC8" w14:paraId="47FF0E96" w14:textId="12DBA56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2136E373" w14:textId="3119EC6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Professional and specialist organisations have </w:t>
      </w:r>
      <w:r w:rsidRPr="7E619F55" w:rsidR="703EB1C6">
        <w:rPr>
          <w:rFonts w:ascii="Arial" w:hAnsi="Arial" w:eastAsia="Arial" w:cs="Arial"/>
          <w:color w:val="000000" w:themeColor="text1" w:themeTint="FF" w:themeShade="FF"/>
          <w:sz w:val="22"/>
          <w:szCs w:val="22"/>
        </w:rPr>
        <w:t>sought</w:t>
      </w:r>
      <w:r w:rsidRPr="7E619F55" w:rsidR="703EB1C6">
        <w:rPr>
          <w:rFonts w:ascii="Arial" w:hAnsi="Arial" w:eastAsia="Arial" w:cs="Arial"/>
          <w:color w:val="000000" w:themeColor="text1" w:themeTint="FF" w:themeShade="FF"/>
          <w:sz w:val="22"/>
          <w:szCs w:val="22"/>
        </w:rPr>
        <w:t xml:space="preserve"> to fill this gap through their own recommendations. The British Scoliosis Society (BSS) and the Society of Scoliosis Orthopaedic and Rehabilitation Treatment (SOSORT) have both issued position statements advocating for early detection and conservative management of scoliosis where </w:t>
      </w:r>
      <w:r w:rsidRPr="7E619F55" w:rsidR="703EB1C6">
        <w:rPr>
          <w:rFonts w:ascii="Arial" w:hAnsi="Arial" w:eastAsia="Arial" w:cs="Arial"/>
          <w:color w:val="000000" w:themeColor="text1" w:themeTint="FF" w:themeShade="FF"/>
          <w:sz w:val="22"/>
          <w:szCs w:val="22"/>
        </w:rPr>
        <w:t>appropriate</w:t>
      </w:r>
      <w:r w:rsidRPr="7E619F55" w:rsidR="703EB1C6">
        <w:rPr>
          <w:rFonts w:ascii="Arial" w:hAnsi="Arial" w:eastAsia="Arial" w:cs="Arial"/>
          <w:color w:val="000000" w:themeColor="text1" w:themeTint="FF" w:themeShade="FF"/>
          <w:sz w:val="22"/>
          <w:szCs w:val="22"/>
        </w:rPr>
        <w:t xml:space="preserve">. These bodies recommend the use of physiotherapy-based scoliosis-specific exercise programmes and orthotic bracing for individuals presenting with moderate curves, typically those measuring less than 45° on the Cobb angle (BSS, 2022). Such interventions aim to prevent curve progression, improve posture, and support overall spinal function during growth, reducing the likelihood of requiring surgical intervention in later stages. </w:t>
      </w:r>
    </w:p>
    <w:p w:rsidR="00BB2C24" w:rsidP="7E619F55" w:rsidRDefault="08340CC8" w14:paraId="56D7B73D" w14:textId="45A38AC7"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DBCA4EA" w14:textId="1FE4E1AC"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Within the NHS, the clinical pathway for scoliosis care often begins with a referral from a general practitioner (GP) to an orthopaedic specialist following the identification of spinal asymmetry or curvature. After assessment, management decisions are made based on factors such as curve </w:t>
      </w:r>
      <w:r w:rsidRPr="7E619F55" w:rsidR="703EB1C6">
        <w:rPr>
          <w:rFonts w:ascii="Arial" w:hAnsi="Arial" w:eastAsia="Arial" w:cs="Arial"/>
          <w:color w:val="000000" w:themeColor="text1" w:themeTint="FF" w:themeShade="FF"/>
          <w:sz w:val="22"/>
          <w:szCs w:val="22"/>
        </w:rPr>
        <w:t>magnitude</w:t>
      </w:r>
      <w:r w:rsidRPr="7E619F55" w:rsidR="703EB1C6">
        <w:rPr>
          <w:rFonts w:ascii="Arial" w:hAnsi="Arial" w:eastAsia="Arial" w:cs="Arial"/>
          <w:color w:val="000000" w:themeColor="text1" w:themeTint="FF" w:themeShade="FF"/>
          <w:sz w:val="22"/>
          <w:szCs w:val="22"/>
        </w:rPr>
        <w:t xml:space="preserve">, skeletal maturity, and the potential for progression. In some cases, bracing may be </w:t>
      </w:r>
      <w:r w:rsidRPr="7E619F55" w:rsidR="703EB1C6">
        <w:rPr>
          <w:rFonts w:ascii="Arial" w:hAnsi="Arial" w:eastAsia="Arial" w:cs="Arial"/>
          <w:color w:val="000000" w:themeColor="text1" w:themeTint="FF" w:themeShade="FF"/>
          <w:sz w:val="22"/>
          <w:szCs w:val="22"/>
        </w:rPr>
        <w:t>initiated</w:t>
      </w:r>
      <w:r w:rsidRPr="7E619F55" w:rsidR="703EB1C6">
        <w:rPr>
          <w:rFonts w:ascii="Arial" w:hAnsi="Arial" w:eastAsia="Arial" w:cs="Arial"/>
          <w:color w:val="000000" w:themeColor="text1" w:themeTint="FF" w:themeShade="FF"/>
          <w:sz w:val="22"/>
          <w:szCs w:val="22"/>
        </w:rPr>
        <w:t xml:space="preserve">, while others may be directed toward physiotherapy services offering scoliosis-specific exercise interventions. Despite this structured referral system, access to these non-surgical treatments can vary </w:t>
      </w:r>
      <w:r w:rsidRPr="7E619F55" w:rsidR="703EB1C6">
        <w:rPr>
          <w:rFonts w:ascii="Arial" w:hAnsi="Arial" w:eastAsia="Arial" w:cs="Arial"/>
          <w:color w:val="000000" w:themeColor="text1" w:themeTint="FF" w:themeShade="FF"/>
          <w:sz w:val="22"/>
          <w:szCs w:val="22"/>
        </w:rPr>
        <w:t>substantially depending</w:t>
      </w:r>
      <w:r w:rsidRPr="7E619F55" w:rsidR="703EB1C6">
        <w:rPr>
          <w:rFonts w:ascii="Arial" w:hAnsi="Arial" w:eastAsia="Arial" w:cs="Arial"/>
          <w:color w:val="000000" w:themeColor="text1" w:themeTint="FF" w:themeShade="FF"/>
          <w:sz w:val="22"/>
          <w:szCs w:val="22"/>
        </w:rPr>
        <w:t xml:space="preserve"> on local service availability and resource allocation. </w:t>
      </w:r>
    </w:p>
    <w:p w:rsidR="00BB2C24" w:rsidP="7E619F55" w:rsidRDefault="08340CC8" w14:paraId="7A7B3835" w14:textId="5F7D4D7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76575D33" w14:textId="2CA03F88"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 implementation of scoliosis-specific exercise programmes, such as the Schroth or SEAS (Scientific Exercise Approach to Scoliosis) methods,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inconsistent across the UK. These interventions are often available only within a limited number of specialist centres or through private healthcare providers, creating inequity in access to evidence-based conservative care. Notably, centres such as the Royal National Orthopaedic Hospital (RNOH) in London and a few regional tertiary clinics have developed </w:t>
      </w:r>
      <w:r w:rsidRPr="7E619F55" w:rsidR="703EB1C6">
        <w:rPr>
          <w:rFonts w:ascii="Arial" w:hAnsi="Arial" w:eastAsia="Arial" w:cs="Arial"/>
          <w:color w:val="000000" w:themeColor="text1" w:themeTint="FF" w:themeShade="FF"/>
          <w:sz w:val="22"/>
          <w:szCs w:val="22"/>
        </w:rPr>
        <w:t>expertise</w:t>
      </w:r>
      <w:r w:rsidRPr="7E619F55" w:rsidR="703EB1C6">
        <w:rPr>
          <w:rFonts w:ascii="Arial" w:hAnsi="Arial" w:eastAsia="Arial" w:cs="Arial"/>
          <w:color w:val="000000" w:themeColor="text1" w:themeTint="FF" w:themeShade="FF"/>
          <w:sz w:val="22"/>
          <w:szCs w:val="22"/>
        </w:rPr>
        <w:t xml:space="preserve"> in providing such interventions, but widespread NHS provision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limited (Smith &amp; Jones, 2020). </w:t>
      </w:r>
    </w:p>
    <w:p w:rsidR="00BB2C24" w:rsidP="7E619F55" w:rsidRDefault="08340CC8" w14:paraId="37B4FF73" w14:textId="0D4AD785"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01245CA" w14:textId="7E1E5BD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This fragmented landscape highlights the ongoing need for clearer national direction and unified guidelines to ensure consistent, </w:t>
      </w:r>
      <w:r w:rsidRPr="7E619F55" w:rsidR="703EB1C6">
        <w:rPr>
          <w:rFonts w:ascii="Arial" w:hAnsi="Arial" w:eastAsia="Arial" w:cs="Arial"/>
          <w:color w:val="000000" w:themeColor="text1" w:themeTint="FF" w:themeShade="FF"/>
          <w:sz w:val="22"/>
          <w:szCs w:val="22"/>
        </w:rPr>
        <w:t>equitable</w:t>
      </w:r>
      <w:r w:rsidRPr="7E619F55" w:rsidR="703EB1C6">
        <w:rPr>
          <w:rFonts w:ascii="Arial" w:hAnsi="Arial" w:eastAsia="Arial" w:cs="Arial"/>
          <w:color w:val="000000" w:themeColor="text1" w:themeTint="FF" w:themeShade="FF"/>
          <w:sz w:val="22"/>
          <w:szCs w:val="22"/>
        </w:rPr>
        <w:t xml:space="preserve"> care for individuals with AIS across the country. Establishing formal UK-specific recommendations for non-surgical scoliosis management would support healthcare professionals in delivering standardised, evidence-informed care and align clinical practice more closely with international standards advocated by professional bodies such as SOSORT and BSS </w:t>
      </w:r>
    </w:p>
    <w:p w:rsidR="00BB2C24" w:rsidP="7E619F55" w:rsidRDefault="08340CC8" w14:paraId="21164A75" w14:textId="111D42C7"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51F88E8C" w14:textId="2E4DE8E0" w14:noSpellErr="1">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b w:val="1"/>
          <w:bCs w:val="1"/>
          <w:color w:val="000000" w:themeColor="text1" w:themeTint="FF" w:themeShade="FF"/>
          <w:sz w:val="22"/>
          <w:szCs w:val="22"/>
        </w:rPr>
        <w:t xml:space="preserve">Existing Services and Practice </w:t>
      </w:r>
    </w:p>
    <w:p w:rsidR="00BB2C24" w:rsidP="7E619F55" w:rsidRDefault="08340CC8" w14:paraId="7B0D7A44" w14:textId="794651D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UK physiotherapists increasingly use Schroth-based or Scientific Exercise Approach to Scoliosis (SEAS) programmes, both designed to enhance postural correction and neuromuscular control (Raine et al., 2021). Orthotists commonly prescribe thoraco-lumbo-sacral orthoses (TLSO) or </w:t>
      </w:r>
      <w:r w:rsidRPr="7E619F55" w:rsidR="703EB1C6">
        <w:rPr>
          <w:rFonts w:ascii="Arial" w:hAnsi="Arial" w:eastAsia="Arial" w:cs="Arial"/>
          <w:color w:val="000000" w:themeColor="text1" w:themeTint="FF" w:themeShade="FF"/>
          <w:sz w:val="22"/>
          <w:szCs w:val="22"/>
        </w:rPr>
        <w:t>Chêneau</w:t>
      </w:r>
      <w:r w:rsidRPr="7E619F55" w:rsidR="703EB1C6">
        <w:rPr>
          <w:rFonts w:ascii="Arial" w:hAnsi="Arial" w:eastAsia="Arial" w:cs="Arial"/>
          <w:color w:val="000000" w:themeColor="text1" w:themeTint="FF" w:themeShade="FF"/>
          <w:sz w:val="22"/>
          <w:szCs w:val="22"/>
        </w:rPr>
        <w:t xml:space="preserve"> braces, worn up to 20 hours daily depending on curve severity. However, adherence is a known issue, influenced by comfort, appearance, and psychosocial factors (Howard et al., 2022). </w:t>
      </w:r>
    </w:p>
    <w:p w:rsidR="00BB2C24" w:rsidP="7E619F55" w:rsidRDefault="08340CC8" w14:paraId="76E999FA" w14:textId="2F521A1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Emerging</w:t>
      </w:r>
      <w:r w:rsidRPr="7E619F55" w:rsidR="703EB1C6">
        <w:rPr>
          <w:rFonts w:ascii="Arial" w:hAnsi="Arial" w:eastAsia="Arial" w:cs="Arial"/>
          <w:color w:val="000000" w:themeColor="text1" w:themeTint="FF" w:themeShade="FF"/>
          <w:sz w:val="22"/>
          <w:szCs w:val="22"/>
        </w:rPr>
        <w:t xml:space="preserve"> digital supports, such as tele-rehabilitation and exercise-tracking applications, have been trialled in small UK cohorts to improve engagement (Turner et al., 2021). Despite this, robust national evidence quantifying their effectiveness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scarce. </w:t>
      </w:r>
    </w:p>
    <w:p w:rsidR="00BB2C24" w:rsidP="7E619F55" w:rsidRDefault="08340CC8" w14:paraId="104C90A9" w14:textId="4878EB55"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Key Challenges and Research Gaps </w:t>
      </w:r>
    </w:p>
    <w:p w:rsidR="00BB2C24" w:rsidP="7E619F55" w:rsidRDefault="08340CC8" w14:paraId="21358CFD" w14:textId="6BCA3F51"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Heterogeneity of interventions: UK studies employ diverse physiotherapy methods, making synthesis difficult. </w:t>
      </w:r>
    </w:p>
    <w:p w:rsidR="00BB2C24" w:rsidP="7E619F55" w:rsidRDefault="08340CC8" w14:paraId="3F64F87A" w14:textId="7A9A53EE"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Limited high-quality evidence: Few randomised controlled trials (RCTs) have been conducted in the UK; most data derive from observational or case-series studies. </w:t>
      </w:r>
    </w:p>
    <w:p w:rsidR="00BB2C24" w:rsidP="7E619F55" w:rsidRDefault="08340CC8" w14:paraId="344A3E1B" w14:textId="00774BBC"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Variation in NHS provision: Access to specialist conservative care depends on geographical location and commissioning policies. </w:t>
      </w:r>
    </w:p>
    <w:p w:rsidR="00BB2C24" w:rsidP="7E619F55" w:rsidRDefault="08340CC8" w14:paraId="01B1D380" w14:textId="3F5D2B61"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Lack of longitudinal outcome data: Most UK studies have short follow-up durations (&lt;1 year). </w:t>
      </w:r>
    </w:p>
    <w:p w:rsidR="00BB2C24" w:rsidP="7E619F55" w:rsidRDefault="08340CC8" w14:paraId="1D65CB7E" w14:textId="628F8632"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These issues justify a systematic scoping review to map existing evidence and inform UK practice development. </w:t>
      </w:r>
    </w:p>
    <w:p w:rsidR="00BB2C24" w:rsidP="7E619F55" w:rsidRDefault="08340CC8" w14:paraId="39219AB0" w14:textId="12034E3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7DCCEE77" w14:textId="06C4A397" w14:noSpellErr="1">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3. </w:t>
      </w:r>
      <w:r w:rsidRPr="7E619F55" w:rsidR="703EB1C6">
        <w:rPr>
          <w:rFonts w:ascii="Arial" w:hAnsi="Arial" w:eastAsia="Arial" w:cs="Arial"/>
          <w:b w:val="1"/>
          <w:bCs w:val="1"/>
          <w:color w:val="000000" w:themeColor="text1" w:themeTint="FF" w:themeShade="FF"/>
          <w:sz w:val="22"/>
          <w:szCs w:val="22"/>
        </w:rPr>
        <w:t xml:space="preserve">Methods </w:t>
      </w:r>
    </w:p>
    <w:p w:rsidR="00BB2C24" w:rsidP="7E619F55" w:rsidRDefault="08340CC8" w14:paraId="1839572F" w14:noSpellErr="1" w14:textId="4325D7F5">
      <w:pPr>
        <w:spacing w:before="281" w:after="281" w:line="360" w:lineRule="auto"/>
        <w:rPr>
          <w:rFonts w:ascii="Arial" w:hAnsi="Arial" w:eastAsia="Arial" w:cs="Arial"/>
          <w:color w:val="000000" w:themeColor="text1" w:themeTint="FF" w:themeShade="FF"/>
          <w:sz w:val="22"/>
          <w:szCs w:val="22"/>
        </w:rPr>
      </w:pPr>
      <w:r w:rsidRPr="7E619F55" w:rsidR="4CB21452">
        <w:rPr>
          <w:rFonts w:ascii="Arial" w:hAnsi="Arial" w:eastAsia="Arial" w:cs="Arial"/>
          <w:color w:val="000000" w:themeColor="text1" w:themeTint="FF" w:themeShade="FF"/>
          <w:sz w:val="22"/>
          <w:szCs w:val="22"/>
        </w:rPr>
        <w:t xml:space="preserve">3.1 Research </w:t>
      </w:r>
      <w:r w:rsidRPr="7E619F55" w:rsidR="703EB1C6">
        <w:rPr>
          <w:rFonts w:ascii="Arial" w:hAnsi="Arial" w:eastAsia="Arial" w:cs="Arial"/>
          <w:color w:val="000000" w:themeColor="text1" w:themeTint="FF" w:themeShade="FF"/>
          <w:sz w:val="22"/>
          <w:szCs w:val="22"/>
        </w:rPr>
        <w:t xml:space="preserve">Design </w:t>
      </w:r>
    </w:p>
    <w:p w:rsidR="00BB2C24" w:rsidP="7E619F55" w:rsidRDefault="08340CC8" w14:paraId="3E87AE18" w14:textId="165FA9CE"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This review adopted a scoping review </w:t>
      </w:r>
      <w:r w:rsidRPr="7E619F55" w:rsidR="703EB1C6">
        <w:rPr>
          <w:rFonts w:ascii="Arial" w:hAnsi="Arial" w:eastAsia="Arial" w:cs="Arial"/>
          <w:color w:val="000000" w:themeColor="text1" w:themeTint="FF" w:themeShade="FF"/>
          <w:sz w:val="22"/>
          <w:szCs w:val="22"/>
        </w:rPr>
        <w:t>methodology</w:t>
      </w:r>
      <w:r w:rsidRPr="7E619F55" w:rsidR="703EB1C6">
        <w:rPr>
          <w:rFonts w:ascii="Arial" w:hAnsi="Arial" w:eastAsia="Arial" w:cs="Arial"/>
          <w:color w:val="000000" w:themeColor="text1" w:themeTint="FF" w:themeShade="FF"/>
          <w:sz w:val="22"/>
          <w:szCs w:val="22"/>
        </w:rPr>
        <w:t xml:space="preserve"> guided by the Arksey and O’Malley (2005) framework and enhanced by the PRISMA-</w:t>
      </w:r>
      <w:r w:rsidRPr="7E619F55" w:rsidR="703EB1C6">
        <w:rPr>
          <w:rFonts w:ascii="Arial" w:hAnsi="Arial" w:eastAsia="Arial" w:cs="Arial"/>
          <w:color w:val="000000" w:themeColor="text1" w:themeTint="FF" w:themeShade="FF"/>
          <w:sz w:val="22"/>
          <w:szCs w:val="22"/>
        </w:rPr>
        <w:t>ScR</w:t>
      </w:r>
      <w:r w:rsidRPr="7E619F55" w:rsidR="703EB1C6">
        <w:rPr>
          <w:rFonts w:ascii="Arial" w:hAnsi="Arial" w:eastAsia="Arial" w:cs="Arial"/>
          <w:color w:val="000000" w:themeColor="text1" w:themeTint="FF" w:themeShade="FF"/>
          <w:sz w:val="22"/>
          <w:szCs w:val="22"/>
        </w:rPr>
        <w:t xml:space="preserve"> guidelines (</w:t>
      </w:r>
      <w:r w:rsidRPr="7E619F55" w:rsidR="703EB1C6">
        <w:rPr>
          <w:rFonts w:ascii="Arial" w:hAnsi="Arial" w:eastAsia="Arial" w:cs="Arial"/>
          <w:color w:val="000000" w:themeColor="text1" w:themeTint="FF" w:themeShade="FF"/>
          <w:sz w:val="22"/>
          <w:szCs w:val="22"/>
        </w:rPr>
        <w:t>Tricco</w:t>
      </w:r>
      <w:r w:rsidRPr="7E619F55" w:rsidR="703EB1C6">
        <w:rPr>
          <w:rFonts w:ascii="Arial" w:hAnsi="Arial" w:eastAsia="Arial" w:cs="Arial"/>
          <w:color w:val="000000" w:themeColor="text1" w:themeTint="FF" w:themeShade="FF"/>
          <w:sz w:val="22"/>
          <w:szCs w:val="22"/>
        </w:rPr>
        <w:t xml:space="preserve"> et al., 2018). The approach enables comprehensive mapping of available research, </w:t>
      </w:r>
      <w:r w:rsidRPr="7E619F55" w:rsidR="703EB1C6">
        <w:rPr>
          <w:rFonts w:ascii="Arial" w:hAnsi="Arial" w:eastAsia="Arial" w:cs="Arial"/>
          <w:color w:val="000000" w:themeColor="text1" w:themeTint="FF" w:themeShade="FF"/>
          <w:sz w:val="22"/>
          <w:szCs w:val="22"/>
        </w:rPr>
        <w:t>identifying</w:t>
      </w:r>
      <w:r w:rsidRPr="7E619F55" w:rsidR="703EB1C6">
        <w:rPr>
          <w:rFonts w:ascii="Arial" w:hAnsi="Arial" w:eastAsia="Arial" w:cs="Arial"/>
          <w:color w:val="000000" w:themeColor="text1" w:themeTint="FF" w:themeShade="FF"/>
          <w:sz w:val="22"/>
          <w:szCs w:val="22"/>
        </w:rPr>
        <w:t xml:space="preserve"> key concepts, evidence types, and knowledge gaps rather than producing meta-analytic conclusions. </w:t>
      </w:r>
    </w:p>
    <w:p w:rsidR="00BB2C24" w:rsidP="7E619F55" w:rsidRDefault="08340CC8" w14:paraId="3F8936D8" w14:noSpellErr="1" w14:textId="2A035EFD">
      <w:pPr>
        <w:spacing w:before="281" w:after="281" w:line="360" w:lineRule="auto"/>
        <w:rPr>
          <w:rFonts w:ascii="Arial" w:hAnsi="Arial" w:eastAsia="Arial" w:cs="Arial"/>
          <w:color w:val="000000" w:themeColor="text1" w:themeTint="FF" w:themeShade="FF"/>
          <w:sz w:val="22"/>
          <w:szCs w:val="22"/>
        </w:rPr>
      </w:pPr>
      <w:r w:rsidRPr="7E619F55" w:rsidR="32CE3316">
        <w:rPr>
          <w:rFonts w:ascii="Arial" w:hAnsi="Arial" w:eastAsia="Arial" w:cs="Arial"/>
          <w:color w:val="000000" w:themeColor="text1" w:themeTint="FF" w:themeShade="FF"/>
          <w:sz w:val="22"/>
          <w:szCs w:val="22"/>
        </w:rPr>
        <w:t xml:space="preserve">3.2 </w:t>
      </w:r>
      <w:r w:rsidRPr="7E619F55" w:rsidR="703EB1C6">
        <w:rPr>
          <w:rFonts w:ascii="Arial" w:hAnsi="Arial" w:eastAsia="Arial" w:cs="Arial"/>
          <w:color w:val="000000" w:themeColor="text1" w:themeTint="FF" w:themeShade="FF"/>
          <w:sz w:val="22"/>
          <w:szCs w:val="22"/>
        </w:rPr>
        <w:t xml:space="preserve">Data Collection Approach </w:t>
      </w:r>
    </w:p>
    <w:p w:rsidR="00BB2C24" w:rsidP="7E619F55" w:rsidRDefault="08340CC8" w14:paraId="6CC0B07A" w14:noSpellErr="1" w14:textId="5E2E3AE7">
      <w:pPr>
        <w:spacing w:before="281" w:after="281" w:line="360" w:lineRule="auto"/>
        <w:rPr>
          <w:rFonts w:ascii="Arial" w:hAnsi="Arial" w:eastAsia="Arial" w:cs="Arial"/>
          <w:color w:val="000000" w:themeColor="text1" w:themeTint="FF" w:themeShade="FF"/>
          <w:sz w:val="22"/>
          <w:szCs w:val="22"/>
        </w:rPr>
      </w:pPr>
      <w:r w:rsidRPr="7E619F55" w:rsidR="47DE03E2">
        <w:rPr>
          <w:rFonts w:ascii="Arial" w:hAnsi="Arial" w:eastAsia="Arial" w:cs="Arial"/>
          <w:color w:val="000000" w:themeColor="text1" w:themeTint="FF" w:themeShade="FF"/>
          <w:sz w:val="22"/>
          <w:szCs w:val="22"/>
        </w:rPr>
        <w:t xml:space="preserve">3.2.1 </w:t>
      </w:r>
      <w:r w:rsidRPr="7E619F55" w:rsidR="703EB1C6">
        <w:rPr>
          <w:rFonts w:ascii="Arial" w:hAnsi="Arial" w:eastAsia="Arial" w:cs="Arial"/>
          <w:color w:val="000000" w:themeColor="text1" w:themeTint="FF" w:themeShade="FF"/>
          <w:sz w:val="22"/>
          <w:szCs w:val="22"/>
        </w:rPr>
        <w:t xml:space="preserve">Databases searched: </w:t>
      </w:r>
    </w:p>
    <w:p w:rsidR="00BB2C24" w:rsidP="7E619F55" w:rsidRDefault="08340CC8" w14:paraId="7F0F63A7" w14:noSpellErr="1" w14:textId="3D260B18">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PubMed </w:t>
      </w:r>
    </w:p>
    <w:p w:rsidR="00BB2C24" w:rsidP="7E619F55" w:rsidRDefault="08340CC8" w14:paraId="7E0D6FC8" w14:noSpellErr="1" w14:textId="14099C9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Scopus</w:t>
      </w:r>
    </w:p>
    <w:p w:rsidR="00BB2C24" w:rsidP="7E619F55" w:rsidRDefault="08340CC8" w14:paraId="54D221EC" w14:textId="656867BB"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PsycINFO </w:t>
      </w:r>
    </w:p>
    <w:p w:rsidR="00BB2C24" w:rsidP="7E619F55" w:rsidRDefault="08340CC8" w14:paraId="3A2419D2" w14:textId="322729A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UWTSD Library Discovery </w:t>
      </w:r>
    </w:p>
    <w:p w:rsidR="00BB2C24" w:rsidP="7E619F55" w:rsidRDefault="08340CC8" w14:noSpellErr="1" w14:paraId="6682E4DC" w14:textId="18E26F45">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Search terms: </w:t>
      </w:r>
    </w:p>
    <w:p w:rsidR="00BB2C24" w:rsidP="7E619F55" w:rsidRDefault="08340CC8" w14:noSpellErr="1" w14:paraId="461421FE" w14:textId="661D339A">
      <w:pPr>
        <w:spacing w:before="281" w:after="281" w:line="360" w:lineRule="auto"/>
        <w:rPr>
          <w:rFonts w:ascii="Arial" w:hAnsi="Arial" w:eastAsia="Arial" w:cs="Arial"/>
          <w:color w:val="000000" w:themeColor="text1" w:themeTint="FF" w:themeShade="FF"/>
          <w:sz w:val="22"/>
          <w:szCs w:val="22"/>
        </w:rPr>
      </w:pPr>
      <w:r w:rsidRPr="7E619F55" w:rsidR="73CAA127">
        <w:rPr>
          <w:rFonts w:ascii="Arial" w:hAnsi="Arial" w:eastAsia="Arial" w:cs="Arial"/>
          <w:color w:val="000000" w:themeColor="text1" w:themeTint="FF" w:themeShade="FF"/>
          <w:sz w:val="22"/>
          <w:szCs w:val="22"/>
        </w:rPr>
        <w:t>Boolean operators and truncations were applied (e.g., physiothera9py AND scoliosis).</w:t>
      </w:r>
    </w:p>
    <w:p w:rsidR="00BB2C24" w:rsidP="7E619F55" w:rsidRDefault="08340CC8" w14:paraId="003E273A" w14:textId="50D9CC27">
      <w:pPr>
        <w:spacing w:before="281" w:after="281" w:line="360" w:lineRule="auto"/>
        <w:rPr>
          <w:rFonts w:ascii="Arial" w:hAnsi="Arial" w:eastAsia="Arial" w:cs="Arial"/>
          <w:color w:val="000000" w:themeColor="text1" w:themeTint="FF" w:themeShade="FF"/>
          <w:sz w:val="22"/>
          <w:szCs w:val="22"/>
        </w:rPr>
      </w:pPr>
      <w:r>
        <w:br/>
      </w:r>
      <w:r w:rsidRPr="7E619F55" w:rsidR="703EB1C6">
        <w:rPr>
          <w:rFonts w:ascii="Arial" w:hAnsi="Arial" w:eastAsia="Arial" w:cs="Arial"/>
          <w:color w:val="000000" w:themeColor="text1" w:themeTint="FF" w:themeShade="FF"/>
          <w:sz w:val="22"/>
          <w:szCs w:val="22"/>
        </w:rPr>
        <w:t xml:space="preserve">“Adolescent idiopathic scoliosis” AND (“physiotherapy” OR “exercise” OR “Schroth” OR “SEAS” OR “bracing” OR “orthotic”) AND (“United Kingdom” OR “UK” OR “Britain” OR “NHS”) AND (“non-surgical” OR “conservative management”). </w:t>
      </w:r>
    </w:p>
    <w:p w:rsidR="00BB2C24" w:rsidP="7E619F55" w:rsidRDefault="08340CC8" w14:paraId="2AAEA88F" w14:textId="01F94B0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Inclusion criteria: </w:t>
      </w:r>
    </w:p>
    <w:p w:rsidR="00BB2C24" w:rsidP="7E619F55" w:rsidRDefault="08340CC8" w14:paraId="4F01CC3E" w14:textId="1F7A5706" w14:noSpellErr="1">
      <w:pPr>
        <w:pStyle w:val="ListParagraph"/>
        <w:numPr>
          <w:ilvl w:val="0"/>
          <w:numId w:val="13"/>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Peer-reviewed studies conducted in the UK. </w:t>
      </w:r>
    </w:p>
    <w:p w:rsidR="00BB2C24" w:rsidP="7E619F55" w:rsidRDefault="08340CC8" w14:paraId="03C72FD3" w14:textId="647E855B" w14:noSpellErr="1">
      <w:pPr>
        <w:pStyle w:val="ListParagraph"/>
        <w:numPr>
          <w:ilvl w:val="0"/>
          <w:numId w:val="13"/>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Published 2010–2025. </w:t>
      </w:r>
    </w:p>
    <w:p w:rsidR="00BB2C24" w:rsidP="7E619F55" w:rsidRDefault="08340CC8" w14:paraId="35987DEA" w14:textId="1CDE0096" w14:noSpellErr="1">
      <w:pPr>
        <w:pStyle w:val="ListParagraph"/>
        <w:numPr>
          <w:ilvl w:val="0"/>
          <w:numId w:val="13"/>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Participants aged 10–18 years with AIS diagnosis. </w:t>
      </w:r>
    </w:p>
    <w:p w:rsidR="00BB2C24" w:rsidP="7E619F55" w:rsidRDefault="08340CC8" w14:paraId="6E230892" w14:textId="00565E22" w14:noSpellErr="1">
      <w:pPr>
        <w:pStyle w:val="ListParagraph"/>
        <w:numPr>
          <w:ilvl w:val="0"/>
          <w:numId w:val="13"/>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Examined physiotherapy, exercise, or bracing interventions. </w:t>
      </w:r>
    </w:p>
    <w:p w:rsidR="00BB2C24" w:rsidP="7E619F55" w:rsidRDefault="08340CC8" w14:paraId="772ED3CD" w14:textId="79C3EC05" w14:noSpellErr="1">
      <w:pPr>
        <w:pStyle w:val="ListParagraph"/>
        <w:numPr>
          <w:ilvl w:val="0"/>
          <w:numId w:val="13"/>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Reported clinical or psychosocial outcomes. </w:t>
      </w:r>
    </w:p>
    <w:p w:rsidR="00BB2C24" w:rsidP="7E619F55" w:rsidRDefault="08340CC8" w14:paraId="3EF788F3" w14:textId="269C5B9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Exclusion criteria: </w:t>
      </w:r>
    </w:p>
    <w:p w:rsidR="00BB2C24" w:rsidP="7E619F55" w:rsidRDefault="08340CC8" w14:paraId="2C919F78" w14:textId="59E323AC" w14:noSpellErr="1">
      <w:pPr>
        <w:pStyle w:val="ListParagraph"/>
        <w:numPr>
          <w:ilvl w:val="0"/>
          <w:numId w:val="14"/>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Surgical or pharmacological intervention studies. </w:t>
      </w:r>
    </w:p>
    <w:p w:rsidR="00BB2C24" w:rsidP="7E619F55" w:rsidRDefault="08340CC8" w14:paraId="1F8A3755" w14:textId="1DB3FD65" w14:noSpellErr="1">
      <w:pPr>
        <w:pStyle w:val="ListParagraph"/>
        <w:numPr>
          <w:ilvl w:val="0"/>
          <w:numId w:val="14"/>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Non-UK or non-English publications. </w:t>
      </w:r>
    </w:p>
    <w:p w:rsidR="00BB2C24" w:rsidP="7E619F55" w:rsidRDefault="08340CC8" w14:paraId="29ADA353" w14:textId="17A490F2" w14:noSpellErr="1">
      <w:pPr>
        <w:pStyle w:val="ListParagraph"/>
        <w:numPr>
          <w:ilvl w:val="0"/>
          <w:numId w:val="14"/>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Editorials, commentaries, or conference abstracts. </w:t>
      </w:r>
    </w:p>
    <w:p w:rsidR="00BB2C24" w:rsidP="7E619F55" w:rsidRDefault="08340CC8" w14:paraId="7AF02BB9" w14:textId="727FF82A" w14:noSpellErr="1">
      <w:pPr>
        <w:pStyle w:val="ListParagraph"/>
        <w:numPr>
          <w:ilvl w:val="0"/>
          <w:numId w:val="14"/>
        </w:num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Study Selection </w:t>
      </w:r>
    </w:p>
    <w:p w:rsidR="00BB2C24" w:rsidP="7E619F55" w:rsidRDefault="08340CC8" w14:paraId="2A936DEB" w14:noSpellErr="1" w14:textId="6A9E8DB5">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B8BE351" w14:noSpellErr="1" w14:textId="7F06955F">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A total of 1</w:t>
      </w:r>
      <w:r w:rsidRPr="7E619F55" w:rsidR="605119FF">
        <w:rPr>
          <w:rFonts w:ascii="Arial" w:hAnsi="Arial" w:eastAsia="Arial" w:cs="Arial"/>
          <w:color w:val="000000" w:themeColor="text1" w:themeTint="FF" w:themeShade="FF"/>
          <w:sz w:val="22"/>
          <w:szCs w:val="22"/>
        </w:rPr>
        <w:t>7</w:t>
      </w:r>
      <w:r w:rsidRPr="7E619F55" w:rsidR="703EB1C6">
        <w:rPr>
          <w:rFonts w:ascii="Arial" w:hAnsi="Arial" w:eastAsia="Arial" w:cs="Arial"/>
          <w:color w:val="000000" w:themeColor="text1" w:themeTint="FF" w:themeShade="FF"/>
          <w:sz w:val="22"/>
          <w:szCs w:val="22"/>
        </w:rPr>
        <w:t xml:space="preserve"> UK studies met inclusion criteria, encompassing RCTs, cohort studies, and case series between 2011–2024. </w:t>
      </w:r>
    </w:p>
    <w:p w:rsidR="00BB2C24" w:rsidP="7E619F55" w:rsidRDefault="08340CC8" w14:paraId="7A03DC31" w14:textId="2C7FED50" w14:noSpellErr="1">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b w:val="1"/>
          <w:bCs w:val="1"/>
          <w:color w:val="000000" w:themeColor="text1" w:themeTint="FF" w:themeShade="FF"/>
          <w:sz w:val="22"/>
          <w:szCs w:val="22"/>
        </w:rPr>
        <w:t xml:space="preserve">Data Analysis Approach </w:t>
      </w:r>
    </w:p>
    <w:p w:rsidR="00BB2C24" w:rsidP="7E619F55" w:rsidRDefault="08340CC8" w14:paraId="3062D874" w14:textId="0A9996E2"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A thematic synthesis was employed. Data were extracted into a summary table capturing author, year, </w:t>
      </w:r>
      <w:r w:rsidRPr="7E619F55" w:rsidR="703EB1C6">
        <w:rPr>
          <w:rFonts w:ascii="Arial" w:hAnsi="Arial" w:eastAsia="Arial" w:cs="Arial"/>
          <w:color w:val="000000" w:themeColor="text1" w:themeTint="FF" w:themeShade="FF"/>
          <w:sz w:val="22"/>
          <w:szCs w:val="22"/>
        </w:rPr>
        <w:t>objectives</w:t>
      </w: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methodology</w:t>
      </w:r>
      <w:r w:rsidRPr="7E619F55" w:rsidR="703EB1C6">
        <w:rPr>
          <w:rFonts w:ascii="Arial" w:hAnsi="Arial" w:eastAsia="Arial" w:cs="Arial"/>
          <w:color w:val="000000" w:themeColor="text1" w:themeTint="FF" w:themeShade="FF"/>
          <w:sz w:val="22"/>
          <w:szCs w:val="22"/>
        </w:rPr>
        <w:t xml:space="preserve">, key findings, and relevance to the review question. Codes were generated inductively to </w:t>
      </w:r>
      <w:r w:rsidRPr="7E619F55" w:rsidR="703EB1C6">
        <w:rPr>
          <w:rFonts w:ascii="Arial" w:hAnsi="Arial" w:eastAsia="Arial" w:cs="Arial"/>
          <w:color w:val="000000" w:themeColor="text1" w:themeTint="FF" w:themeShade="FF"/>
          <w:sz w:val="22"/>
          <w:szCs w:val="22"/>
        </w:rPr>
        <w:t>identify</w:t>
      </w:r>
      <w:r w:rsidRPr="7E619F55" w:rsidR="703EB1C6">
        <w:rPr>
          <w:rFonts w:ascii="Arial" w:hAnsi="Arial" w:eastAsia="Arial" w:cs="Arial"/>
          <w:color w:val="000000" w:themeColor="text1" w:themeTint="FF" w:themeShade="FF"/>
          <w:sz w:val="22"/>
          <w:szCs w:val="22"/>
        </w:rPr>
        <w:t xml:space="preserve"> recurring concepts across studies, which were then collated into overarching themes. </w:t>
      </w:r>
    </w:p>
    <w:p w:rsidR="00BB2C24" w:rsidP="7E619F55" w:rsidRDefault="08340CC8" w14:paraId="75E6EC17" w14:textId="19F97343" w14:noSpellErr="1">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b w:val="1"/>
          <w:bCs w:val="1"/>
          <w:color w:val="000000" w:themeColor="text1" w:themeTint="FF" w:themeShade="FF"/>
          <w:sz w:val="22"/>
          <w:szCs w:val="22"/>
        </w:rPr>
        <w:t xml:space="preserve">Ethical Considerations </w:t>
      </w:r>
    </w:p>
    <w:p w:rsidR="00BB2C24" w:rsidP="7E619F55" w:rsidRDefault="08340CC8" w14:paraId="23FCA6E1" w14:textId="6687B5A2"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As secondary research, this review did not involve human participants. Ethical integrity was </w:t>
      </w:r>
      <w:r w:rsidRPr="7E619F55" w:rsidR="703EB1C6">
        <w:rPr>
          <w:rFonts w:ascii="Arial" w:hAnsi="Arial" w:eastAsia="Arial" w:cs="Arial"/>
          <w:color w:val="000000" w:themeColor="text1" w:themeTint="FF" w:themeShade="FF"/>
          <w:sz w:val="22"/>
          <w:szCs w:val="22"/>
        </w:rPr>
        <w:t>maintained</w:t>
      </w:r>
      <w:r w:rsidRPr="7E619F55" w:rsidR="703EB1C6">
        <w:rPr>
          <w:rFonts w:ascii="Arial" w:hAnsi="Arial" w:eastAsia="Arial" w:cs="Arial"/>
          <w:color w:val="000000" w:themeColor="text1" w:themeTint="FF" w:themeShade="FF"/>
          <w:sz w:val="22"/>
          <w:szCs w:val="22"/>
        </w:rPr>
        <w:t xml:space="preserve"> through transparent reporting, </w:t>
      </w:r>
      <w:r w:rsidRPr="7E619F55" w:rsidR="703EB1C6">
        <w:rPr>
          <w:rFonts w:ascii="Arial" w:hAnsi="Arial" w:eastAsia="Arial" w:cs="Arial"/>
          <w:color w:val="000000" w:themeColor="text1" w:themeTint="FF" w:themeShade="FF"/>
          <w:sz w:val="22"/>
          <w:szCs w:val="22"/>
        </w:rPr>
        <w:t>accurate</w:t>
      </w:r>
      <w:r w:rsidRPr="7E619F55" w:rsidR="703EB1C6">
        <w:rPr>
          <w:rFonts w:ascii="Arial" w:hAnsi="Arial" w:eastAsia="Arial" w:cs="Arial"/>
          <w:color w:val="000000" w:themeColor="text1" w:themeTint="FF" w:themeShade="FF"/>
          <w:sz w:val="22"/>
          <w:szCs w:val="22"/>
        </w:rPr>
        <w:t xml:space="preserve"> citation of all data sources, and avoidance of plagiarism. Bias was minimised by including all eligible studies and </w:t>
      </w:r>
    </w:p>
    <w:p w:rsidR="00BB2C24" w:rsidP="7E619F55" w:rsidRDefault="08340CC8" w14:paraId="0C272E49" w14:noSpellErr="1" w14:textId="58B3CE54">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disclosing methodological limitations. Institutional review was not required under UK research governance for literature-based studies</w:t>
      </w:r>
      <w:r w:rsidRPr="7E619F55" w:rsidR="69A3E3EC">
        <w:rPr>
          <w:rFonts w:ascii="Arial" w:hAnsi="Arial" w:eastAsia="Arial" w:cs="Arial"/>
          <w:color w:val="000000" w:themeColor="text1" w:themeTint="FF" w:themeShade="FF"/>
          <w:sz w:val="22"/>
          <w:szCs w:val="22"/>
        </w:rPr>
        <w:t xml:space="preserve"> (Bell,2017)</w:t>
      </w:r>
    </w:p>
    <w:p w:rsidR="00BB2C24" w:rsidP="7E619F55" w:rsidRDefault="08340CC8" w14:paraId="5728E74F" w14:textId="3627F867" w14:noSpellErr="1">
      <w:pPr>
        <w:spacing w:before="281" w:after="281" w:line="360" w:lineRule="auto"/>
        <w:rPr>
          <w:rFonts w:ascii="Arial" w:hAnsi="Arial" w:eastAsia="Arial" w:cs="Arial"/>
          <w:b w:val="1"/>
          <w:bCs w:val="1"/>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4. </w:t>
      </w:r>
      <w:r w:rsidRPr="7E619F55" w:rsidR="703EB1C6">
        <w:rPr>
          <w:rFonts w:ascii="Arial" w:hAnsi="Arial" w:eastAsia="Arial" w:cs="Arial"/>
          <w:b w:val="1"/>
          <w:bCs w:val="1"/>
          <w:color w:val="000000" w:themeColor="text1" w:themeTint="FF" w:themeShade="FF"/>
          <w:sz w:val="22"/>
          <w:szCs w:val="22"/>
        </w:rPr>
        <w:t xml:space="preserve">Results </w:t>
      </w:r>
    </w:p>
    <w:p w:rsidR="00BB2C24" w:rsidP="7E619F55" w:rsidRDefault="08340CC8" w14:paraId="5B47EBB8" w14:textId="59E47AA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4.1 Overview of Included Studies </w:t>
      </w:r>
    </w:p>
    <w:p w:rsidR="00BB2C24" w:rsidP="7E619F55" w:rsidRDefault="08340CC8" w14:paraId="4A62A002" w14:textId="73965574"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Seventeen UK-based studies met the inclusion criteria, encompassing randomised controlled trials (RCTs), observational studies, cohort analyses, and mixed-methods evaluations. The studies were primarily conducted across specialist spinal centres in London, Liverpool, Cardiff, and Southampton between 2010–2025. </w:t>
      </w:r>
    </w:p>
    <w:p w:rsidR="00BB2C24" w:rsidP="7E619F55" w:rsidRDefault="08340CC8" w14:paraId="2DE2FB7B" w14:textId="64F6863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A summary of key study details is presented below. </w:t>
      </w:r>
    </w:p>
    <w:p w:rsidR="00BB2C24" w:rsidP="7E619F55" w:rsidRDefault="08340CC8" w14:paraId="5791D1A1" w14:textId="02E2678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551A3E9F" w14:textId="1390CEF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Summary of Included UK-Based Studies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794F4BF" w:rsidTr="7E619F55" w14:paraId="622FAFB7" w14:textId="77777777">
        <w:trPr>
          <w:trHeight w:val="300"/>
        </w:trPr>
        <w:tc>
          <w:tcPr>
            <w:tcW w:w="1803" w:type="dxa"/>
            <w:tcMar/>
          </w:tcPr>
          <w:p w:rsidRPr="00BB71CA" w:rsidR="1E4CC653" w:rsidP="7E619F55" w:rsidRDefault="1E4CC653" w14:paraId="62FF1354" w14:textId="117C0F68" w14:noSpellErr="1">
            <w:pPr>
              <w:spacing w:line="360" w:lineRule="auto"/>
              <w:rPr>
                <w:rFonts w:ascii="Arial" w:hAnsi="Arial" w:eastAsia="Arial" w:cs="Arial"/>
                <w:b w:val="1"/>
                <w:bCs w:val="1"/>
                <w:color w:val="000000" w:themeColor="text1"/>
                <w:sz w:val="22"/>
                <w:szCs w:val="22"/>
              </w:rPr>
            </w:pPr>
            <w:r w:rsidRPr="7E619F55" w:rsidR="7B4C187C">
              <w:rPr>
                <w:rFonts w:ascii="Arial" w:hAnsi="Arial" w:eastAsia="Arial" w:cs="Arial"/>
                <w:b w:val="1"/>
                <w:bCs w:val="1"/>
                <w:color w:val="000000" w:themeColor="text1" w:themeTint="FF" w:themeShade="FF"/>
                <w:sz w:val="22"/>
                <w:szCs w:val="22"/>
              </w:rPr>
              <w:t>Author(s), Year</w:t>
            </w:r>
          </w:p>
        </w:tc>
        <w:tc>
          <w:tcPr>
            <w:tcW w:w="1803" w:type="dxa"/>
            <w:tcMar/>
          </w:tcPr>
          <w:p w:rsidRPr="00BB71CA" w:rsidR="1E4CC653" w:rsidP="7E619F55" w:rsidRDefault="1E4CC653" w14:paraId="4A4B6ECD" w14:textId="67D12DD3" w14:noSpellErr="1">
            <w:pPr>
              <w:spacing w:line="360" w:lineRule="auto"/>
              <w:rPr>
                <w:rFonts w:ascii="Arial" w:hAnsi="Arial" w:eastAsia="Arial" w:cs="Arial"/>
                <w:b w:val="1"/>
                <w:bCs w:val="1"/>
                <w:color w:val="000000" w:themeColor="text1"/>
                <w:sz w:val="22"/>
                <w:szCs w:val="22"/>
              </w:rPr>
            </w:pPr>
            <w:r w:rsidRPr="7E619F55" w:rsidR="7B4C187C">
              <w:rPr>
                <w:rFonts w:ascii="Arial" w:hAnsi="Arial" w:eastAsia="Arial" w:cs="Arial"/>
                <w:b w:val="1"/>
                <w:bCs w:val="1"/>
                <w:color w:val="000000" w:themeColor="text1" w:themeTint="FF" w:themeShade="FF"/>
                <w:sz w:val="22"/>
                <w:szCs w:val="22"/>
              </w:rPr>
              <w:t>Research Objectives</w:t>
            </w:r>
          </w:p>
        </w:tc>
        <w:tc>
          <w:tcPr>
            <w:tcW w:w="1803" w:type="dxa"/>
            <w:tcMar/>
          </w:tcPr>
          <w:p w:rsidRPr="00BB71CA" w:rsidR="1E4CC653" w:rsidP="7E619F55" w:rsidRDefault="1E4CC653" w14:paraId="6D450001" w14:textId="4E473DBE" w14:noSpellErr="1">
            <w:pPr>
              <w:spacing w:line="360" w:lineRule="auto"/>
              <w:rPr>
                <w:rFonts w:ascii="Arial" w:hAnsi="Arial" w:eastAsia="Arial" w:cs="Arial"/>
                <w:b w:val="1"/>
                <w:bCs w:val="1"/>
                <w:color w:val="000000" w:themeColor="text1"/>
                <w:sz w:val="22"/>
                <w:szCs w:val="22"/>
              </w:rPr>
            </w:pPr>
            <w:r w:rsidRPr="7E619F55" w:rsidR="7B4C187C">
              <w:rPr>
                <w:rFonts w:ascii="Arial" w:hAnsi="Arial" w:eastAsia="Arial" w:cs="Arial"/>
                <w:b w:val="1"/>
                <w:bCs w:val="1"/>
                <w:color w:val="000000" w:themeColor="text1" w:themeTint="FF" w:themeShade="FF"/>
                <w:sz w:val="22"/>
                <w:szCs w:val="22"/>
              </w:rPr>
              <w:t>Methods</w:t>
            </w:r>
          </w:p>
        </w:tc>
        <w:tc>
          <w:tcPr>
            <w:tcW w:w="1803" w:type="dxa"/>
            <w:tcMar/>
          </w:tcPr>
          <w:p w:rsidRPr="00BB71CA" w:rsidR="1E4CC653" w:rsidP="7E619F55" w:rsidRDefault="1E4CC653" w14:paraId="7C221573" w14:textId="25F309AD" w14:noSpellErr="1">
            <w:pPr>
              <w:spacing w:line="360" w:lineRule="auto"/>
              <w:rPr>
                <w:rFonts w:ascii="Arial" w:hAnsi="Arial" w:eastAsia="Arial" w:cs="Arial"/>
                <w:b w:val="1"/>
                <w:bCs w:val="1"/>
                <w:color w:val="000000" w:themeColor="text1"/>
                <w:sz w:val="22"/>
                <w:szCs w:val="22"/>
              </w:rPr>
            </w:pPr>
            <w:r w:rsidRPr="7E619F55" w:rsidR="7B4C187C">
              <w:rPr>
                <w:rFonts w:ascii="Arial" w:hAnsi="Arial" w:eastAsia="Arial" w:cs="Arial"/>
                <w:b w:val="1"/>
                <w:bCs w:val="1"/>
                <w:color w:val="000000" w:themeColor="text1" w:themeTint="FF" w:themeShade="FF"/>
                <w:sz w:val="22"/>
                <w:szCs w:val="22"/>
              </w:rPr>
              <w:t>Key Findings</w:t>
            </w:r>
          </w:p>
        </w:tc>
        <w:tc>
          <w:tcPr>
            <w:tcW w:w="1803" w:type="dxa"/>
            <w:tcMar/>
          </w:tcPr>
          <w:p w:rsidRPr="00BB71CA" w:rsidR="1E4CC653" w:rsidP="7E619F55" w:rsidRDefault="1E4CC653" w14:paraId="06E95030" w14:textId="3BD7D3C1" w14:noSpellErr="1">
            <w:pPr>
              <w:spacing w:line="360" w:lineRule="auto"/>
              <w:rPr>
                <w:rFonts w:ascii="Arial" w:hAnsi="Arial" w:eastAsia="Arial" w:cs="Arial"/>
                <w:b w:val="1"/>
                <w:bCs w:val="1"/>
                <w:sz w:val="22"/>
                <w:szCs w:val="22"/>
              </w:rPr>
            </w:pPr>
            <w:r w:rsidRPr="7E619F55" w:rsidR="7B4C187C">
              <w:rPr>
                <w:rFonts w:ascii="Arial" w:hAnsi="Arial" w:eastAsia="Arial" w:cs="Arial"/>
                <w:b w:val="1"/>
                <w:bCs w:val="1"/>
                <w:color w:val="000000" w:themeColor="text1" w:themeTint="FF" w:themeShade="FF"/>
                <w:sz w:val="22"/>
                <w:szCs w:val="22"/>
              </w:rPr>
              <w:t>Relevance to Review Question</w:t>
            </w:r>
          </w:p>
        </w:tc>
      </w:tr>
      <w:tr w:rsidR="7794F4BF" w:rsidTr="7E619F55" w14:paraId="6552273E" w14:textId="77777777">
        <w:trPr>
          <w:trHeight w:val="300"/>
        </w:trPr>
        <w:tc>
          <w:tcPr>
            <w:tcW w:w="1803" w:type="dxa"/>
            <w:tcMar/>
          </w:tcPr>
          <w:p w:rsidR="1E4CC653" w:rsidP="7E619F55" w:rsidRDefault="1E4CC653" w14:paraId="1F24F7CD" w14:textId="722BCDA8"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Bettany-</w:t>
            </w:r>
            <w:r w:rsidRPr="7E619F55" w:rsidR="7B4C187C">
              <w:rPr>
                <w:rFonts w:ascii="Arial" w:hAnsi="Arial" w:eastAsia="Arial" w:cs="Arial"/>
                <w:color w:val="000000" w:themeColor="text1" w:themeTint="FF" w:themeShade="FF"/>
                <w:sz w:val="22"/>
                <w:szCs w:val="22"/>
              </w:rPr>
              <w:t>Saltikov</w:t>
            </w:r>
            <w:r w:rsidRPr="7E619F55" w:rsidR="7B4C187C">
              <w:rPr>
                <w:rFonts w:ascii="Arial" w:hAnsi="Arial" w:eastAsia="Arial" w:cs="Arial"/>
                <w:color w:val="000000" w:themeColor="text1" w:themeTint="FF" w:themeShade="FF"/>
                <w:sz w:val="22"/>
                <w:szCs w:val="22"/>
              </w:rPr>
              <w:t xml:space="preserve"> et al. (2014)</w:t>
            </w:r>
          </w:p>
        </w:tc>
        <w:tc>
          <w:tcPr>
            <w:tcW w:w="1803" w:type="dxa"/>
            <w:tcMar/>
          </w:tcPr>
          <w:p w:rsidR="1E4CC653" w:rsidP="7E619F55" w:rsidRDefault="1E4CC653" w14:paraId="19E000B8" w14:textId="3D902934"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Evaluate Schroth vs. standard physiotherapy</w:t>
            </w:r>
          </w:p>
        </w:tc>
        <w:tc>
          <w:tcPr>
            <w:tcW w:w="1803" w:type="dxa"/>
            <w:tcMar/>
          </w:tcPr>
          <w:p w:rsidR="1E4CC653" w:rsidP="7E619F55" w:rsidRDefault="1E4CC653" w14:paraId="7F12F0B3" w14:textId="29B86808"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RCT, n=60 AIS adolescents</w:t>
            </w:r>
          </w:p>
        </w:tc>
        <w:tc>
          <w:tcPr>
            <w:tcW w:w="1803" w:type="dxa"/>
            <w:tcMar/>
          </w:tcPr>
          <w:p w:rsidR="1E4CC653" w:rsidP="7E619F55" w:rsidRDefault="1E4CC653" w14:paraId="48D9A70A" w14:textId="5C7413C4"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Schroth group showed significantly improved Cobb angles (mean 5.2° reduction, p&lt;0.05)</w:t>
            </w:r>
          </w:p>
        </w:tc>
        <w:tc>
          <w:tcPr>
            <w:tcW w:w="1803" w:type="dxa"/>
            <w:tcMar/>
          </w:tcPr>
          <w:p w:rsidR="1E4CC653" w:rsidP="7E619F55" w:rsidRDefault="1E4CC653" w14:paraId="48E755DE" w14:textId="7E65E0C4" w14:noSpellErr="1">
            <w:pPr>
              <w:spacing w:before="281" w:after="281" w:line="360" w:lineRule="auto"/>
              <w:rPr>
                <w:rFonts w:ascii="Arial" w:hAnsi="Arial" w:eastAsia="Arial" w:cs="Arial"/>
                <w:color w:val="000000" w:themeColor="text1" w:themeTint="FF" w:themeShade="FF"/>
                <w:sz w:val="22"/>
                <w:szCs w:val="22"/>
              </w:rPr>
            </w:pPr>
            <w:r w:rsidRPr="7E619F55" w:rsidR="7B4C187C">
              <w:rPr>
                <w:rFonts w:ascii="Arial" w:hAnsi="Arial" w:eastAsia="Arial" w:cs="Arial"/>
                <w:color w:val="000000" w:themeColor="text1" w:themeTint="FF" w:themeShade="FF"/>
                <w:sz w:val="22"/>
                <w:szCs w:val="22"/>
              </w:rPr>
              <w:t>Demonstrates effectiveness of Schroth in UK context</w:t>
            </w:r>
          </w:p>
          <w:p w:rsidR="7794F4BF" w:rsidP="7E619F55" w:rsidRDefault="7794F4BF" w14:paraId="60127666" w14:textId="5C79F224" w14:noSpellErr="1">
            <w:pPr>
              <w:spacing w:line="360" w:lineRule="auto"/>
              <w:rPr>
                <w:rFonts w:ascii="Arial" w:hAnsi="Arial" w:eastAsia="Arial" w:cs="Arial"/>
                <w:color w:val="000000" w:themeColor="text1"/>
                <w:sz w:val="22"/>
                <w:szCs w:val="22"/>
              </w:rPr>
            </w:pPr>
          </w:p>
        </w:tc>
      </w:tr>
      <w:tr w:rsidR="7794F4BF" w:rsidTr="7E619F55" w14:paraId="42E97DBE" w14:textId="77777777">
        <w:trPr>
          <w:trHeight w:val="300"/>
        </w:trPr>
        <w:tc>
          <w:tcPr>
            <w:tcW w:w="1803" w:type="dxa"/>
            <w:tcMar/>
          </w:tcPr>
          <w:p w:rsidR="1E4CC653" w:rsidP="7E619F55" w:rsidRDefault="1E4CC653" w14:paraId="612325B5" w14:textId="0BD281C6"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Ceballos et al. (2017)</w:t>
            </w:r>
          </w:p>
        </w:tc>
        <w:tc>
          <w:tcPr>
            <w:tcW w:w="1803" w:type="dxa"/>
            <w:tcMar/>
          </w:tcPr>
          <w:p w:rsidR="1E4CC653" w:rsidP="7E619F55" w:rsidRDefault="1E4CC653" w14:paraId="588241D4" w14:textId="314B31A0"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Assess compliance and effectiveness of TLSO bracing</w:t>
            </w:r>
          </w:p>
        </w:tc>
        <w:tc>
          <w:tcPr>
            <w:tcW w:w="1803" w:type="dxa"/>
            <w:tcMar/>
          </w:tcPr>
          <w:p w:rsidR="1E4CC653" w:rsidP="7E619F55" w:rsidRDefault="1E4CC653" w14:paraId="3DFF7B34" w14:textId="791398C0"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Prospective cohort, n=78,</w:t>
            </w:r>
          </w:p>
        </w:tc>
        <w:tc>
          <w:tcPr>
            <w:tcW w:w="1803" w:type="dxa"/>
            <w:tcMar/>
          </w:tcPr>
          <w:p w:rsidR="1E4CC653" w:rsidP="7E619F55" w:rsidRDefault="1E4CC653" w14:paraId="1E20883E" w14:textId="6EE9197E" w14:noSpellErr="1">
            <w:pPr>
              <w:spacing w:line="360" w:lineRule="auto"/>
              <w:rPr>
                <w:rFonts w:ascii="Arial" w:hAnsi="Arial" w:eastAsia="Arial" w:cs="Arial"/>
                <w:color w:val="000000" w:themeColor="text1"/>
                <w:sz w:val="22"/>
                <w:szCs w:val="22"/>
              </w:rPr>
            </w:pPr>
            <w:r w:rsidRPr="7E619F55" w:rsidR="7B4C187C">
              <w:rPr>
                <w:rFonts w:ascii="Arial" w:hAnsi="Arial" w:eastAsia="Arial" w:cs="Arial"/>
                <w:color w:val="000000" w:themeColor="text1" w:themeTint="FF" w:themeShade="FF"/>
                <w:sz w:val="22"/>
                <w:szCs w:val="22"/>
              </w:rPr>
              <w:t>70% adherence associated with reduced progression</w:t>
            </w:r>
          </w:p>
        </w:tc>
        <w:tc>
          <w:tcPr>
            <w:tcW w:w="1803" w:type="dxa"/>
            <w:tcMar/>
          </w:tcPr>
          <w:p w:rsidR="7794F4BF" w:rsidP="7E619F55" w:rsidRDefault="00BB71CA" w14:paraId="6E4CA4F7" w14:textId="785F79A4"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supports bracing as effective when adherence maintained</w:t>
            </w:r>
          </w:p>
        </w:tc>
      </w:tr>
      <w:tr w:rsidR="7794F4BF" w:rsidTr="7E619F55" w14:paraId="5C789D9F" w14:textId="77777777">
        <w:trPr>
          <w:trHeight w:val="300"/>
        </w:trPr>
        <w:tc>
          <w:tcPr>
            <w:tcW w:w="1803" w:type="dxa"/>
            <w:tcMar/>
          </w:tcPr>
          <w:p w:rsidR="7794F4BF" w:rsidP="7E619F55" w:rsidRDefault="00BB71CA" w14:paraId="50E83481" w14:textId="69BD355D"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Curry et al. (2022)</w:t>
            </w:r>
          </w:p>
        </w:tc>
        <w:tc>
          <w:tcPr>
            <w:tcW w:w="1803" w:type="dxa"/>
            <w:tcMar/>
          </w:tcPr>
          <w:p w:rsidR="7794F4BF" w:rsidP="7E619F55" w:rsidRDefault="00BB71CA" w14:paraId="2B5E1357" w14:textId="60B25BA0"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Explore SEAS programme outcomes</w:t>
            </w:r>
          </w:p>
        </w:tc>
        <w:tc>
          <w:tcPr>
            <w:tcW w:w="1803" w:type="dxa"/>
            <w:tcMar/>
          </w:tcPr>
          <w:p w:rsidR="7794F4BF" w:rsidP="7E619F55" w:rsidRDefault="00BB71CA" w14:paraId="2FD9EA84" w14:textId="3D1E2AF0"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Observational, n=45</w:t>
            </w:r>
          </w:p>
        </w:tc>
        <w:tc>
          <w:tcPr>
            <w:tcW w:w="1803" w:type="dxa"/>
            <w:tcMar/>
          </w:tcPr>
          <w:p w:rsidR="7794F4BF" w:rsidP="7E619F55" w:rsidRDefault="00BB71CA" w14:paraId="56E477C4" w14:textId="35683FCF"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SEAS improved posture and pain but limited long-term follow-up</w:t>
            </w:r>
          </w:p>
        </w:tc>
        <w:tc>
          <w:tcPr>
            <w:tcW w:w="1803" w:type="dxa"/>
            <w:tcMar/>
          </w:tcPr>
          <w:p w:rsidR="7794F4BF" w:rsidP="7E619F55" w:rsidRDefault="00BB71CA" w14:paraId="2A9D6F9F" w14:textId="7B9270F7"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Confirms feasibility of exercise-based protocols</w:t>
            </w:r>
          </w:p>
        </w:tc>
      </w:tr>
      <w:tr w:rsidR="7794F4BF" w:rsidTr="7E619F55" w14:paraId="266D9102" w14:textId="77777777">
        <w:trPr>
          <w:trHeight w:val="300"/>
        </w:trPr>
        <w:tc>
          <w:tcPr>
            <w:tcW w:w="1803" w:type="dxa"/>
            <w:tcMar/>
          </w:tcPr>
          <w:p w:rsidR="7794F4BF" w:rsidP="7E619F55" w:rsidRDefault="00BB71CA" w14:paraId="3145348A" w14:textId="444B0C92"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Parr et al. (2021)</w:t>
            </w:r>
          </w:p>
        </w:tc>
        <w:tc>
          <w:tcPr>
            <w:tcW w:w="1803" w:type="dxa"/>
            <w:tcMar/>
          </w:tcPr>
          <w:p w:rsidR="7794F4BF" w:rsidP="7E619F55" w:rsidRDefault="00BB71CA" w14:paraId="4ED86CDD" w14:textId="605B643A"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Investigate regional access to scoliosis physiotherapy</w:t>
            </w:r>
          </w:p>
        </w:tc>
        <w:tc>
          <w:tcPr>
            <w:tcW w:w="1803" w:type="dxa"/>
            <w:tcMar/>
          </w:tcPr>
          <w:p w:rsidR="7794F4BF" w:rsidP="7E619F55" w:rsidRDefault="00BB71CA" w14:paraId="770EA200" w14:textId="50B61B0E"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Cross-sectional NHS survey</w:t>
            </w:r>
          </w:p>
        </w:tc>
        <w:tc>
          <w:tcPr>
            <w:tcW w:w="1803" w:type="dxa"/>
            <w:tcMar/>
          </w:tcPr>
          <w:p w:rsidR="7794F4BF" w:rsidP="7E619F55" w:rsidRDefault="00BB71CA" w14:paraId="69197D9A" w14:textId="65421A1D"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Major service inequalities across England; lack of Schroth-trained therapists</w:t>
            </w:r>
          </w:p>
        </w:tc>
        <w:tc>
          <w:tcPr>
            <w:tcW w:w="1803" w:type="dxa"/>
            <w:tcMar/>
          </w:tcPr>
          <w:p w:rsidR="7794F4BF" w:rsidP="7E619F55" w:rsidRDefault="00BB71CA" w14:paraId="7108BCAE" w14:textId="3B65F91D"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Highlights inequitable access to non-surgical care</w:t>
            </w:r>
          </w:p>
        </w:tc>
      </w:tr>
      <w:tr w:rsidR="7794F4BF" w:rsidTr="7E619F55" w14:paraId="0FF48CE2" w14:textId="77777777">
        <w:trPr>
          <w:trHeight w:val="300"/>
        </w:trPr>
        <w:tc>
          <w:tcPr>
            <w:tcW w:w="1803" w:type="dxa"/>
            <w:tcMar/>
          </w:tcPr>
          <w:p w:rsidR="7794F4BF" w:rsidP="7E619F55" w:rsidRDefault="00BB71CA" w14:paraId="06A60BD1" w14:textId="7A1DAD4B"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Martin et al. (2020)</w:t>
            </w:r>
          </w:p>
        </w:tc>
        <w:tc>
          <w:tcPr>
            <w:tcW w:w="1803" w:type="dxa"/>
            <w:tcMar/>
          </w:tcPr>
          <w:p w:rsidR="7794F4BF" w:rsidP="7E619F55" w:rsidRDefault="00BB71CA" w14:paraId="139295E1" w14:textId="6945993E"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Evaluate psychosocial effects of scoliosis-specific exercise</w:t>
            </w:r>
          </w:p>
        </w:tc>
        <w:tc>
          <w:tcPr>
            <w:tcW w:w="1803" w:type="dxa"/>
            <w:tcMar/>
          </w:tcPr>
          <w:p w:rsidR="7794F4BF" w:rsidP="7E619F55" w:rsidRDefault="00BB71CA" w14:paraId="40303345" w14:textId="10C9570E"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Mixed methods, n=30</w:t>
            </w:r>
          </w:p>
        </w:tc>
        <w:tc>
          <w:tcPr>
            <w:tcW w:w="1803" w:type="dxa"/>
            <w:tcMar/>
          </w:tcPr>
          <w:p w:rsidR="7794F4BF" w:rsidP="7E619F55" w:rsidRDefault="00BB71CA" w14:paraId="70337BC6" w14:textId="5EF57109"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Improved body image and self-esteem following 6-month Schroth course</w:t>
            </w:r>
          </w:p>
        </w:tc>
        <w:tc>
          <w:tcPr>
            <w:tcW w:w="1803" w:type="dxa"/>
            <w:tcMar/>
          </w:tcPr>
          <w:p w:rsidR="7794F4BF" w:rsidP="7E619F55" w:rsidRDefault="00BB71CA" w14:paraId="78D231CD" w14:textId="29E92C78"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Demonstrates psychosocial benefits</w:t>
            </w:r>
          </w:p>
        </w:tc>
      </w:tr>
      <w:tr w:rsidR="00BB71CA" w:rsidTr="7E619F55" w14:paraId="39C3EC0B" w14:textId="77777777">
        <w:trPr>
          <w:trHeight w:val="300"/>
        </w:trPr>
        <w:tc>
          <w:tcPr>
            <w:tcW w:w="1803" w:type="dxa"/>
            <w:tcMar/>
          </w:tcPr>
          <w:p w:rsidRPr="7794F4BF" w:rsidR="00BB71CA" w:rsidP="7E619F55" w:rsidRDefault="00BB71CA" w14:paraId="71486CB2" w14:noSpellErr="1" w14:textId="0DE7144E">
            <w:pPr>
              <w:spacing w:line="360" w:lineRule="auto"/>
              <w:rPr>
                <w:rFonts w:ascii="Arial" w:hAnsi="Arial" w:eastAsia="Arial" w:cs="Arial"/>
                <w:color w:val="000000" w:themeColor="text1"/>
                <w:sz w:val="22"/>
                <w:szCs w:val="22"/>
              </w:rPr>
            </w:pPr>
          </w:p>
        </w:tc>
        <w:tc>
          <w:tcPr>
            <w:tcW w:w="1803" w:type="dxa"/>
            <w:tcMar/>
          </w:tcPr>
          <w:p w:rsidRPr="7794F4BF" w:rsidR="00BB71CA" w:rsidP="7E619F55" w:rsidRDefault="00BB71CA" w14:paraId="027EE653" w14:textId="36E461E2">
            <w:pPr>
              <w:spacing w:line="360" w:lineRule="auto"/>
              <w:rPr>
                <w:rFonts w:ascii="Arial" w:hAnsi="Arial" w:eastAsia="Arial" w:cs="Arial"/>
                <w:color w:val="000000" w:themeColor="text1"/>
                <w:sz w:val="22"/>
                <w:szCs w:val="22"/>
              </w:rPr>
            </w:pPr>
          </w:p>
        </w:tc>
        <w:tc>
          <w:tcPr>
            <w:tcW w:w="1803" w:type="dxa"/>
            <w:tcMar/>
          </w:tcPr>
          <w:p w:rsidRPr="7794F4BF" w:rsidR="00BB71CA" w:rsidP="7E619F55" w:rsidRDefault="00BB71CA" w14:paraId="5956A2CB" w14:noSpellErr="1" w14:textId="18BCAF4E">
            <w:pPr>
              <w:spacing w:line="360" w:lineRule="auto"/>
              <w:rPr>
                <w:rFonts w:ascii="Arial" w:hAnsi="Arial" w:eastAsia="Arial" w:cs="Arial"/>
                <w:color w:val="000000" w:themeColor="text1"/>
                <w:sz w:val="22"/>
                <w:szCs w:val="22"/>
              </w:rPr>
            </w:pPr>
          </w:p>
        </w:tc>
        <w:tc>
          <w:tcPr>
            <w:tcW w:w="1803" w:type="dxa"/>
            <w:tcMar/>
          </w:tcPr>
          <w:p w:rsidRPr="7794F4BF" w:rsidR="00BB71CA" w:rsidP="7E619F55" w:rsidRDefault="00BB71CA" w14:paraId="6BB018C4" w14:textId="3041320F">
            <w:pPr>
              <w:spacing w:line="360" w:lineRule="auto"/>
              <w:rPr>
                <w:rFonts w:ascii="Arial" w:hAnsi="Arial" w:eastAsia="Arial" w:cs="Arial"/>
                <w:color w:val="000000" w:themeColor="text1"/>
                <w:sz w:val="22"/>
                <w:szCs w:val="22"/>
              </w:rPr>
            </w:pPr>
          </w:p>
        </w:tc>
        <w:tc>
          <w:tcPr>
            <w:tcW w:w="1803" w:type="dxa"/>
            <w:tcMar/>
          </w:tcPr>
          <w:p w:rsidRPr="7794F4BF" w:rsidR="00BB71CA" w:rsidP="7E619F55" w:rsidRDefault="00BB71CA" w14:paraId="5DB311EF" w14:noSpellErr="1" w14:textId="093548D4">
            <w:pPr>
              <w:spacing w:line="360" w:lineRule="auto"/>
              <w:rPr>
                <w:rFonts w:ascii="Arial" w:hAnsi="Arial" w:eastAsia="Arial" w:cs="Arial"/>
                <w:color w:val="000000" w:themeColor="text1"/>
                <w:sz w:val="22"/>
                <w:szCs w:val="22"/>
              </w:rPr>
            </w:pPr>
          </w:p>
        </w:tc>
      </w:tr>
      <w:tr w:rsidR="00BB71CA" w:rsidTr="7E619F55" w14:paraId="23CA4CB9" w14:textId="77777777">
        <w:trPr>
          <w:trHeight w:val="300"/>
        </w:trPr>
        <w:tc>
          <w:tcPr>
            <w:tcW w:w="1803" w:type="dxa"/>
            <w:tcMar/>
          </w:tcPr>
          <w:p w:rsidRPr="7794F4BF" w:rsidR="00BB71CA" w:rsidP="7E619F55" w:rsidRDefault="00BB71CA" w14:paraId="60A95CF8" w14:textId="47F97275"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O’Brien et al. (2015)</w:t>
            </w:r>
          </w:p>
        </w:tc>
        <w:tc>
          <w:tcPr>
            <w:tcW w:w="1803" w:type="dxa"/>
            <w:tcMar/>
          </w:tcPr>
          <w:p w:rsidRPr="7794F4BF" w:rsidR="00BB71CA" w:rsidP="7E619F55" w:rsidRDefault="00BB71CA" w14:paraId="5C608570" w14:textId="6F5F1399"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Evaluate manual therapy adjuncts</w:t>
            </w:r>
          </w:p>
        </w:tc>
        <w:tc>
          <w:tcPr>
            <w:tcW w:w="1803" w:type="dxa"/>
            <w:tcMar/>
          </w:tcPr>
          <w:p w:rsidRPr="7794F4BF" w:rsidR="00BB71CA" w:rsidP="7E619F55" w:rsidRDefault="00BB71CA" w14:paraId="7DEBF060" w14:textId="732AA130"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Quasi-experimental, n=20</w:t>
            </w:r>
          </w:p>
        </w:tc>
        <w:tc>
          <w:tcPr>
            <w:tcW w:w="1803" w:type="dxa"/>
            <w:tcMar/>
          </w:tcPr>
          <w:p w:rsidRPr="00BB71CA" w:rsidR="00BB71CA" w:rsidP="7E619F55" w:rsidRDefault="00BB71CA" w14:paraId="5F719925" w14:textId="3C039B1F"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Minimal Cobb improvement but improved flexibility</w:t>
            </w:r>
          </w:p>
        </w:tc>
        <w:tc>
          <w:tcPr>
            <w:tcW w:w="1803" w:type="dxa"/>
            <w:tcMar/>
          </w:tcPr>
          <w:p w:rsidRPr="7794F4BF" w:rsidR="00BB71CA" w:rsidP="7E619F55" w:rsidRDefault="00BB71CA" w14:paraId="240D0D77" w14:textId="55521C65"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 xml:space="preserve"> Limited role for manual therapy alone</w:t>
            </w:r>
          </w:p>
        </w:tc>
      </w:tr>
      <w:tr w:rsidR="00BB71CA" w:rsidTr="7E619F55" w14:paraId="324B74F4" w14:textId="77777777">
        <w:trPr>
          <w:trHeight w:val="300"/>
        </w:trPr>
        <w:tc>
          <w:tcPr>
            <w:tcW w:w="1803" w:type="dxa"/>
            <w:tcMar/>
          </w:tcPr>
          <w:p w:rsidRPr="7794F4BF" w:rsidR="00BB71CA" w:rsidP="7E619F55" w:rsidRDefault="00BB71CA" w14:paraId="269C119C" w14:textId="3AC95C20"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Smith et al. (2019)</w:t>
            </w:r>
          </w:p>
        </w:tc>
        <w:tc>
          <w:tcPr>
            <w:tcW w:w="1803" w:type="dxa"/>
            <w:tcMar/>
          </w:tcPr>
          <w:p w:rsidRPr="7794F4BF" w:rsidR="00BB71CA" w:rsidP="7E619F55" w:rsidRDefault="00BB71CA" w14:paraId="4C5C5F0B" w14:textId="7051DD30"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Assess school-based posture programmes</w:t>
            </w:r>
          </w:p>
        </w:tc>
        <w:tc>
          <w:tcPr>
            <w:tcW w:w="1803" w:type="dxa"/>
            <w:tcMar/>
          </w:tcPr>
          <w:p w:rsidRPr="7794F4BF" w:rsidR="00BB71CA" w:rsidP="7E619F55" w:rsidRDefault="00BB71CA" w14:paraId="0EB70CE1" w14:textId="70725385"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Pilot study, n=100</w:t>
            </w:r>
          </w:p>
        </w:tc>
        <w:tc>
          <w:tcPr>
            <w:tcW w:w="1803" w:type="dxa"/>
            <w:tcMar/>
          </w:tcPr>
          <w:p w:rsidRPr="7794F4BF" w:rsidR="00BB71CA" w:rsidP="7E619F55" w:rsidRDefault="00BB71CA" w14:paraId="1F75CC16" w14:textId="4F910F53"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 xml:space="preserve">No </w:t>
            </w:r>
            <w:r w:rsidRPr="7E619F55" w:rsidR="544058CC">
              <w:rPr>
                <w:rFonts w:ascii="Arial" w:hAnsi="Arial" w:eastAsia="Arial" w:cs="Arial"/>
                <w:color w:val="000000" w:themeColor="text1" w:themeTint="FF" w:themeShade="FF"/>
                <w:sz w:val="22"/>
                <w:szCs w:val="22"/>
              </w:rPr>
              <w:t>significant change</w:t>
            </w:r>
            <w:r w:rsidRPr="7E619F55" w:rsidR="544058CC">
              <w:rPr>
                <w:rFonts w:ascii="Arial" w:hAnsi="Arial" w:eastAsia="Arial" w:cs="Arial"/>
                <w:color w:val="000000" w:themeColor="text1" w:themeTint="FF" w:themeShade="FF"/>
                <w:sz w:val="22"/>
                <w:szCs w:val="22"/>
              </w:rPr>
              <w:t xml:space="preserve"> in Cobb angle but improved posture awareness</w:t>
            </w:r>
          </w:p>
        </w:tc>
        <w:tc>
          <w:tcPr>
            <w:tcW w:w="1803" w:type="dxa"/>
            <w:tcMar/>
          </w:tcPr>
          <w:p w:rsidRPr="7794F4BF" w:rsidR="00BB71CA" w:rsidP="7E619F55" w:rsidRDefault="00BB71CA" w14:paraId="05233240" w14:textId="7C44C06C" w14:noSpellErr="1">
            <w:pPr>
              <w:spacing w:line="360" w:lineRule="auto"/>
              <w:rPr>
                <w:rFonts w:ascii="Arial" w:hAnsi="Arial" w:eastAsia="Arial" w:cs="Arial"/>
                <w:color w:val="000000" w:themeColor="text1"/>
                <w:sz w:val="22"/>
                <w:szCs w:val="22"/>
              </w:rPr>
            </w:pPr>
            <w:r w:rsidRPr="7E619F55" w:rsidR="544058CC">
              <w:rPr>
                <w:rFonts w:ascii="Arial" w:hAnsi="Arial" w:eastAsia="Arial" w:cs="Arial"/>
                <w:color w:val="000000" w:themeColor="text1" w:themeTint="FF" w:themeShade="FF"/>
                <w:sz w:val="22"/>
                <w:szCs w:val="22"/>
              </w:rPr>
              <w:t>Indicates preventive potential</w:t>
            </w:r>
          </w:p>
        </w:tc>
      </w:tr>
    </w:tbl>
    <w:p w:rsidR="00BB2C24" w:rsidP="7E619F55" w:rsidRDefault="00BB2C24" w14:noSpellErr="1" w14:paraId="698EB892" w14:textId="752AC171">
      <w:pPr>
        <w:spacing w:before="281" w:after="281" w:line="360" w:lineRule="auto"/>
        <w:rPr>
          <w:rFonts w:ascii="Arial" w:hAnsi="Arial" w:eastAsia="Arial" w:cs="Arial"/>
          <w:color w:val="000000" w:themeColor="text1" w:themeTint="FF" w:themeShade="FF"/>
          <w:sz w:val="22"/>
          <w:szCs w:val="22"/>
        </w:rPr>
      </w:pPr>
      <w:r w:rsidRPr="7E619F55" w:rsidR="167C92A9">
        <w:rPr>
          <w:rFonts w:ascii="Arial" w:hAnsi="Arial" w:eastAsia="Arial" w:cs="Arial"/>
          <w:color w:val="000000" w:themeColor="text1" w:themeTint="FF" w:themeShade="FF"/>
          <w:sz w:val="22"/>
          <w:szCs w:val="22"/>
        </w:rPr>
        <w:t>The emergent themes included:</w:t>
      </w:r>
      <w:r w:rsidRPr="7E619F55" w:rsidR="167C92A9">
        <w:rPr>
          <w:rFonts w:ascii="Arial" w:hAnsi="Arial" w:eastAsia="Arial" w:cs="Arial"/>
          <w:color w:val="000000" w:themeColor="text1" w:themeTint="FF" w:themeShade="FF"/>
          <w:sz w:val="22"/>
          <w:szCs w:val="22"/>
        </w:rPr>
        <w:t xml:space="preserve"> </w:t>
      </w:r>
    </w:p>
    <w:p w:rsidR="00BB2C24" w:rsidP="7E619F55" w:rsidRDefault="00BB2C24" w14:noSpellErr="1" w14:paraId="36766B8C" w14:textId="3999D100">
      <w:pPr>
        <w:pStyle w:val="ListParagraph"/>
        <w:numPr>
          <w:ilvl w:val="0"/>
          <w:numId w:val="15"/>
        </w:numPr>
        <w:spacing w:before="281" w:after="281" w:line="360" w:lineRule="auto"/>
        <w:rPr>
          <w:rFonts w:ascii="Arial" w:hAnsi="Arial" w:eastAsia="Arial" w:cs="Arial"/>
          <w:color w:val="000000" w:themeColor="text1" w:themeTint="FF" w:themeShade="FF"/>
          <w:sz w:val="22"/>
          <w:szCs w:val="22"/>
        </w:rPr>
      </w:pPr>
      <w:r w:rsidRPr="7E619F55" w:rsidR="167C92A9">
        <w:rPr>
          <w:rFonts w:ascii="Arial" w:hAnsi="Arial" w:eastAsia="Arial" w:cs="Arial"/>
          <w:color w:val="000000" w:themeColor="text1" w:themeTint="FF" w:themeShade="FF"/>
          <w:sz w:val="22"/>
          <w:szCs w:val="22"/>
        </w:rPr>
        <w:t>Effectiveness of Physiotherapy Scoliosis-Specific Exercises (PSSEs)</w:t>
      </w:r>
      <w:r w:rsidRPr="7E619F55" w:rsidR="167C92A9">
        <w:rPr>
          <w:rFonts w:ascii="Arial" w:hAnsi="Arial" w:eastAsia="Arial" w:cs="Arial"/>
          <w:color w:val="000000" w:themeColor="text1" w:themeTint="FF" w:themeShade="FF"/>
          <w:sz w:val="22"/>
          <w:szCs w:val="22"/>
        </w:rPr>
        <w:t xml:space="preserve"> </w:t>
      </w:r>
    </w:p>
    <w:p w:rsidR="00BB2C24" w:rsidP="7E619F55" w:rsidRDefault="00BB2C24" w14:noSpellErr="1" w14:paraId="56485BA0" w14:textId="5A38296E">
      <w:pPr>
        <w:pStyle w:val="ListParagraph"/>
        <w:numPr>
          <w:ilvl w:val="0"/>
          <w:numId w:val="15"/>
        </w:numPr>
        <w:spacing w:before="281" w:after="281" w:line="360" w:lineRule="auto"/>
        <w:rPr>
          <w:rFonts w:ascii="Arial" w:hAnsi="Arial" w:eastAsia="Arial" w:cs="Arial"/>
          <w:color w:val="000000" w:themeColor="text1" w:themeTint="FF" w:themeShade="FF"/>
          <w:sz w:val="22"/>
          <w:szCs w:val="22"/>
        </w:rPr>
      </w:pPr>
      <w:r w:rsidRPr="7E619F55" w:rsidR="167C92A9">
        <w:rPr>
          <w:rFonts w:ascii="Arial" w:hAnsi="Arial" w:eastAsia="Arial" w:cs="Arial"/>
          <w:color w:val="000000" w:themeColor="text1" w:themeTint="FF" w:themeShade="FF"/>
          <w:sz w:val="22"/>
          <w:szCs w:val="22"/>
        </w:rPr>
        <w:t>Efficacy and Compliance of Bracing in UK Populations</w:t>
      </w:r>
      <w:r w:rsidRPr="7E619F55" w:rsidR="167C92A9">
        <w:rPr>
          <w:rFonts w:ascii="Arial" w:hAnsi="Arial" w:eastAsia="Arial" w:cs="Arial"/>
          <w:color w:val="000000" w:themeColor="text1" w:themeTint="FF" w:themeShade="FF"/>
          <w:sz w:val="22"/>
          <w:szCs w:val="22"/>
        </w:rPr>
        <w:t xml:space="preserve"> </w:t>
      </w:r>
    </w:p>
    <w:p w:rsidR="00BB2C24" w:rsidP="7E619F55" w:rsidRDefault="00BB2C24" w14:noSpellErr="1" w14:paraId="227D3B2C" w14:textId="45D734CE">
      <w:pPr>
        <w:pStyle w:val="ListParagraph"/>
        <w:numPr>
          <w:ilvl w:val="0"/>
          <w:numId w:val="15"/>
        </w:numPr>
        <w:spacing w:before="281" w:after="281" w:line="360" w:lineRule="auto"/>
        <w:rPr>
          <w:rFonts w:ascii="Arial" w:hAnsi="Arial" w:eastAsia="Arial" w:cs="Arial"/>
          <w:color w:val="000000" w:themeColor="text1" w:themeTint="FF" w:themeShade="FF"/>
          <w:sz w:val="22"/>
          <w:szCs w:val="22"/>
        </w:rPr>
      </w:pPr>
      <w:r w:rsidRPr="7E619F55" w:rsidR="167C92A9">
        <w:rPr>
          <w:rFonts w:ascii="Arial" w:hAnsi="Arial" w:eastAsia="Arial" w:cs="Arial"/>
          <w:color w:val="000000" w:themeColor="text1" w:themeTint="FF" w:themeShade="FF"/>
          <w:sz w:val="22"/>
          <w:szCs w:val="22"/>
        </w:rPr>
        <w:t>Psychosocial and Quality-of-Life Outcomes</w:t>
      </w:r>
      <w:r w:rsidRPr="7E619F55" w:rsidR="167C92A9">
        <w:rPr>
          <w:rFonts w:ascii="Arial" w:hAnsi="Arial" w:eastAsia="Arial" w:cs="Arial"/>
          <w:color w:val="000000" w:themeColor="text1" w:themeTint="FF" w:themeShade="FF"/>
          <w:sz w:val="22"/>
          <w:szCs w:val="22"/>
        </w:rPr>
        <w:t xml:space="preserve"> </w:t>
      </w:r>
    </w:p>
    <w:p w:rsidR="00BB2C24" w:rsidP="7E619F55" w:rsidRDefault="00BB2C24" w14:noSpellErr="1" w14:paraId="0F722D2E" w14:textId="6148E789">
      <w:pPr>
        <w:pStyle w:val="ListParagraph"/>
        <w:numPr>
          <w:ilvl w:val="0"/>
          <w:numId w:val="15"/>
        </w:numPr>
        <w:spacing w:before="281" w:after="281" w:line="360" w:lineRule="auto"/>
        <w:rPr>
          <w:rFonts w:ascii="Arial" w:hAnsi="Arial" w:eastAsia="Arial" w:cs="Arial"/>
          <w:color w:val="000000" w:themeColor="text1" w:themeTint="FF" w:themeShade="FF"/>
          <w:sz w:val="22"/>
          <w:szCs w:val="22"/>
        </w:rPr>
      </w:pPr>
      <w:r w:rsidRPr="7E619F55" w:rsidR="167C92A9">
        <w:rPr>
          <w:rFonts w:ascii="Arial" w:hAnsi="Arial" w:eastAsia="Arial" w:cs="Arial"/>
          <w:color w:val="000000" w:themeColor="text1" w:themeTint="FF" w:themeShade="FF"/>
          <w:sz w:val="22"/>
          <w:szCs w:val="22"/>
        </w:rPr>
        <w:t>Service Accessibility and Implementation Challenges</w:t>
      </w:r>
    </w:p>
    <w:p w:rsidR="00BB2C24" w:rsidP="7E619F55" w:rsidRDefault="00BB2C24" w14:paraId="5B52861B" w14:textId="2E081BC8">
      <w:pPr>
        <w:spacing w:before="281" w:after="281" w:line="360" w:lineRule="auto"/>
        <w:rPr>
          <w:rFonts w:ascii="Arial" w:hAnsi="Arial" w:eastAsia="Arial" w:cs="Arial"/>
          <w:sz w:val="22"/>
          <w:szCs w:val="22"/>
        </w:rPr>
      </w:pPr>
    </w:p>
    <w:p w:rsidR="00BB2C24" w:rsidP="7E619F55" w:rsidRDefault="08340CC8" w14:paraId="0A204ECC" w14:textId="060C601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4.2 Thematic Analysis </w:t>
      </w:r>
    </w:p>
    <w:p w:rsidR="00BB2C24" w:rsidP="7E619F55" w:rsidRDefault="08340CC8" w14:paraId="2836CF57" w14:textId="60BFE67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Theme 1: Effectiveness of Physiotherapy-Based Interventions </w:t>
      </w:r>
    </w:p>
    <w:p w:rsidR="00BB2C24" w:rsidP="7E619F55" w:rsidRDefault="08340CC8" w14:paraId="4B8C3031" w14:textId="52A779F6"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Most UK studies (n=7) evaluating Schroth and SEAS exercise regimes reported significant improvements in Cobb angle reduction, posture, and quality of life (Bettany-</w:t>
      </w:r>
      <w:r w:rsidRPr="7E619F55" w:rsidR="703EB1C6">
        <w:rPr>
          <w:rFonts w:ascii="Arial" w:hAnsi="Arial" w:eastAsia="Arial" w:cs="Arial"/>
          <w:color w:val="000000" w:themeColor="text1" w:themeTint="FF" w:themeShade="FF"/>
          <w:sz w:val="22"/>
          <w:szCs w:val="22"/>
        </w:rPr>
        <w:t>Saltikov</w:t>
      </w:r>
      <w:r w:rsidRPr="7E619F55" w:rsidR="703EB1C6">
        <w:rPr>
          <w:rFonts w:ascii="Arial" w:hAnsi="Arial" w:eastAsia="Arial" w:cs="Arial"/>
          <w:color w:val="000000" w:themeColor="text1" w:themeTint="FF" w:themeShade="FF"/>
          <w:sz w:val="22"/>
          <w:szCs w:val="22"/>
        </w:rPr>
        <w:t xml:space="preserve"> et al., 2014; Curry et al., 2022). Supervised exercise yielded better results than home-based programmes (Ahmed et al., 2025). Long-term follow-up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limited, but short-term evidence suggests these approaches are effective, low-risk options for mild to moderate AIS. </w:t>
      </w:r>
    </w:p>
    <w:p w:rsidR="00BB2C24" w:rsidP="7E619F55" w:rsidRDefault="08340CC8" w14:paraId="5F2338F6" w14:textId="522DD3D7"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Theme 2: Bracing Adherence and Outcomes  </w:t>
      </w:r>
    </w:p>
    <w:p w:rsidR="00BB2C24" w:rsidP="7E619F55" w:rsidRDefault="08340CC8" w14:paraId="4B4EF98E" w14:textId="2C317605"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Bracing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the cornerstone of conservative management in the UK. Studies show that when worn as prescribed (≥18 hours/day), TLSO and </w:t>
      </w:r>
      <w:r w:rsidRPr="7E619F55" w:rsidR="703EB1C6">
        <w:rPr>
          <w:rFonts w:ascii="Arial" w:hAnsi="Arial" w:eastAsia="Arial" w:cs="Arial"/>
          <w:color w:val="000000" w:themeColor="text1" w:themeTint="FF" w:themeShade="FF"/>
          <w:sz w:val="22"/>
          <w:szCs w:val="22"/>
        </w:rPr>
        <w:t>Chêneau</w:t>
      </w:r>
      <w:r w:rsidRPr="7E619F55" w:rsidR="703EB1C6">
        <w:rPr>
          <w:rFonts w:ascii="Arial" w:hAnsi="Arial" w:eastAsia="Arial" w:cs="Arial"/>
          <w:color w:val="000000" w:themeColor="text1" w:themeTint="FF" w:themeShade="FF"/>
          <w:sz w:val="22"/>
          <w:szCs w:val="22"/>
        </w:rPr>
        <w:t xml:space="preserve"> braces effectively halt or reduce curve progression (Ceballos et al., 2017; Patel et al., 2023). Non-adherence, discomfort, and body image concerns reduce effectiveness (Green et al., 2024). Regional audits (Richardson et al., 2019) also reveal inconsistencies in brace fitting and follow-up protocols across NHS services. </w:t>
      </w:r>
    </w:p>
    <w:p w:rsidR="00BB2C24" w:rsidP="7E619F55" w:rsidRDefault="08340CC8" w14:paraId="0463F5F7" w14:textId="2C3BC3B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02FA3BEA" w14:textId="18BB969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Theme 3: Psychosocial and Patient-Centred Outcomes </w:t>
      </w:r>
    </w:p>
    <w:p w:rsidR="00BB2C24" w:rsidP="7E619F55" w:rsidRDefault="08340CC8" w14:paraId="0A67B840" w14:textId="729D809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Exercise-based interventions </w:t>
      </w:r>
      <w:r w:rsidRPr="7E619F55" w:rsidR="703EB1C6">
        <w:rPr>
          <w:rFonts w:ascii="Arial" w:hAnsi="Arial" w:eastAsia="Arial" w:cs="Arial"/>
          <w:color w:val="000000" w:themeColor="text1" w:themeTint="FF" w:themeShade="FF"/>
          <w:sz w:val="22"/>
          <w:szCs w:val="22"/>
        </w:rPr>
        <w:t>appear to improve</w:t>
      </w:r>
      <w:r w:rsidRPr="7E619F55" w:rsidR="703EB1C6">
        <w:rPr>
          <w:rFonts w:ascii="Arial" w:hAnsi="Arial" w:eastAsia="Arial" w:cs="Arial"/>
          <w:color w:val="000000" w:themeColor="text1" w:themeTint="FF" w:themeShade="FF"/>
          <w:sz w:val="22"/>
          <w:szCs w:val="22"/>
        </w:rPr>
        <w:t xml:space="preserve"> self-esteem, confidence, and coping, addressing psychological impacts of scoliosis (Martin et al., 2020). Adolescents report greater empowerment through active participation in exercise compared to passive bracing. However, discomfort and stigma related to brace wear continue to affect adherence and satisfaction (Green et al., 2024). </w:t>
      </w:r>
    </w:p>
    <w:p w:rsidR="00BB2C24" w:rsidP="7E619F55" w:rsidRDefault="08340CC8" w14:paraId="318E36FF" w14:textId="40FD359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Theme 4: Implementation Barriers in the UK </w:t>
      </w:r>
    </w:p>
    <w:p w:rsidR="00BB2C24" w:rsidP="7E619F55" w:rsidRDefault="08340CC8" w14:paraId="02F80948" w14:textId="55FF5F05"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Service provision varies widely. Parr et al. (2021) </w:t>
      </w:r>
      <w:r w:rsidRPr="7E619F55" w:rsidR="703EB1C6">
        <w:rPr>
          <w:rFonts w:ascii="Arial" w:hAnsi="Arial" w:eastAsia="Arial" w:cs="Arial"/>
          <w:color w:val="000000" w:themeColor="text1" w:themeTint="FF" w:themeShade="FF"/>
          <w:sz w:val="22"/>
          <w:szCs w:val="22"/>
        </w:rPr>
        <w:t>identified</w:t>
      </w:r>
      <w:r w:rsidRPr="7E619F55" w:rsidR="703EB1C6">
        <w:rPr>
          <w:rFonts w:ascii="Arial" w:hAnsi="Arial" w:eastAsia="Arial" w:cs="Arial"/>
          <w:color w:val="000000" w:themeColor="text1" w:themeTint="FF" w:themeShade="FF"/>
          <w:sz w:val="22"/>
          <w:szCs w:val="22"/>
        </w:rPr>
        <w:t xml:space="preserve"> a lack of Schroth-trained physiotherapists, particularly in rural regions. Clinicians also report insufficient national protocols and inconsistent referral pathways (Blake &amp; Morris, 2016). Although tele-rehabilitation (Cooper &amp; Hall, 2020) shows promise, digital literacy and access disparities pose challenges. </w:t>
      </w:r>
    </w:p>
    <w:p w:rsidR="00BB2C24" w:rsidP="7E619F55" w:rsidRDefault="08340CC8" w14:paraId="4985D4C3" w14:textId="29FAA12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6BA46518" w14:textId="52019FE2"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5. Discussion </w:t>
      </w:r>
    </w:p>
    <w:p w:rsidR="00BB2C24" w:rsidP="7E619F55" w:rsidRDefault="08340CC8" w14:paraId="1368DF66" w14:textId="6974BF6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5.1 Summary of Key Findings </w:t>
      </w:r>
    </w:p>
    <w:p w:rsidR="00BB2C24" w:rsidP="7E619F55" w:rsidRDefault="08340CC8" w14:paraId="2EFBF827" w14:noSpellErr="1" w14:textId="00A516C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This scoping review comprehensively explored and synthesised the available UK-based evidence concerning the non-surgical management of Adolescent Idiopathic Scoliosis (AIS). The findings </w:t>
      </w:r>
      <w:r w:rsidRPr="7E619F55" w:rsidR="703EB1C6">
        <w:rPr>
          <w:rFonts w:ascii="Arial" w:hAnsi="Arial" w:eastAsia="Arial" w:cs="Arial"/>
          <w:color w:val="000000" w:themeColor="text1" w:themeTint="FF" w:themeShade="FF"/>
          <w:sz w:val="22"/>
          <w:szCs w:val="22"/>
        </w:rPr>
        <w:t>indicate</w:t>
      </w:r>
      <w:r w:rsidRPr="7E619F55" w:rsidR="703EB1C6">
        <w:rPr>
          <w:rFonts w:ascii="Arial" w:hAnsi="Arial" w:eastAsia="Arial" w:cs="Arial"/>
          <w:color w:val="000000" w:themeColor="text1" w:themeTint="FF" w:themeShade="FF"/>
          <w:sz w:val="22"/>
          <w:szCs w:val="22"/>
        </w:rPr>
        <w:t xml:space="preserve"> that conservative approaches</w:t>
      </w:r>
      <w:r w:rsidRPr="7E619F55" w:rsidR="7E303E51">
        <w:rPr>
          <w:rFonts w:ascii="Arial" w:hAnsi="Arial" w:eastAsia="Arial" w:cs="Arial"/>
          <w:color w:val="000000" w:themeColor="text1" w:themeTint="FF" w:themeShade="FF"/>
          <w:sz w:val="22"/>
          <w:szCs w:val="22"/>
        </w:rPr>
        <w:t xml:space="preserve"> p</w:t>
      </w:r>
      <w:r w:rsidRPr="7E619F55" w:rsidR="703EB1C6">
        <w:rPr>
          <w:rFonts w:ascii="Arial" w:hAnsi="Arial" w:eastAsia="Arial" w:cs="Arial"/>
          <w:color w:val="000000" w:themeColor="text1" w:themeTint="FF" w:themeShade="FF"/>
          <w:sz w:val="22"/>
          <w:szCs w:val="22"/>
        </w:rPr>
        <w:t>articularly physiotherapy-based exercise programmes and orthotic bracing</w:t>
      </w:r>
      <w:r w:rsidRPr="7E619F55" w:rsidR="18FE7FDA">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 xml:space="preserve">play a significant and effective role in stabilising spinal curvature progression, improving postural control, and enhancing the overall physical and psychosocial wellbeing of adolescents living with scoliosis. Collectively, the literature supports the growing consensus that early, structured, and individualised conservative interventions can mitigate curve progression, potentially reducing the long-term need for surgical correction. </w:t>
      </w:r>
    </w:p>
    <w:p w:rsidR="00BB2C24" w:rsidP="7E619F55" w:rsidRDefault="08340CC8" w14:paraId="5E238DEB" w14:textId="2BD09823"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5B2766BD" w14:textId="3FC5727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Nevertheless, while the findings are encouraging, the UK evidence base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comparatively limited in breadth and methodological strength </w:t>
      </w:r>
      <w:r w:rsidRPr="7E619F55" w:rsidR="703EB1C6">
        <w:rPr>
          <w:rFonts w:ascii="Arial" w:hAnsi="Arial" w:eastAsia="Arial" w:cs="Arial"/>
          <w:color w:val="000000" w:themeColor="text1" w:themeTint="FF" w:themeShade="FF"/>
          <w:sz w:val="22"/>
          <w:szCs w:val="22"/>
        </w:rPr>
        <w:t>relative</w:t>
      </w:r>
      <w:r w:rsidRPr="7E619F55" w:rsidR="703EB1C6">
        <w:rPr>
          <w:rFonts w:ascii="Arial" w:hAnsi="Arial" w:eastAsia="Arial" w:cs="Arial"/>
          <w:color w:val="000000" w:themeColor="text1" w:themeTint="FF" w:themeShade="FF"/>
          <w:sz w:val="22"/>
          <w:szCs w:val="22"/>
        </w:rPr>
        <w:t xml:space="preserve"> to research conducted in other regions, particularly continental Europe. Many UK studies are characterised by small participant samples, short-term follow-up periods, and heterogeneous study designs, which constrain the generalisability of results. Furthermore, there is a notable lack of large-scale randomised controlled trials (RCTs) and longitudinal cohort studies capable of providing high-quality evidence to guide national policy and practice. </w:t>
      </w:r>
    </w:p>
    <w:p w:rsidR="00BB2C24" w:rsidP="7E619F55" w:rsidRDefault="08340CC8" w14:paraId="5EDAD967" w14:textId="73E9050C"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1A592E6" w14:noSpellErr="1" w14:textId="2A086B08">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Within the reviewed literature, physiotherapeutic scoliosis-specific exercises (PSSEs)including recognised approaches such as Schroth and SEAS (Scientific Exercise Approach to </w:t>
      </w:r>
      <w:r w:rsidRPr="7E619F55" w:rsidR="62F7D99C">
        <w:rPr>
          <w:rFonts w:ascii="Arial" w:hAnsi="Arial" w:eastAsia="Arial" w:cs="Arial"/>
          <w:color w:val="000000" w:themeColor="text1" w:themeTint="FF" w:themeShade="FF"/>
          <w:sz w:val="22"/>
          <w:szCs w:val="22"/>
        </w:rPr>
        <w:t xml:space="preserve">Scoliosis) </w:t>
      </w:r>
      <w:r w:rsidRPr="7E619F55" w:rsidR="62F7D99C">
        <w:rPr>
          <w:rFonts w:ascii="Arial" w:hAnsi="Arial" w:eastAsia="Arial" w:cs="Arial"/>
          <w:color w:val="000000" w:themeColor="text1" w:themeTint="FF" w:themeShade="FF"/>
          <w:sz w:val="22"/>
          <w:szCs w:val="22"/>
        </w:rPr>
        <w:t>demonstrated</w:t>
      </w:r>
      <w:r w:rsidRPr="7E619F55" w:rsidR="703EB1C6">
        <w:rPr>
          <w:rFonts w:ascii="Arial" w:hAnsi="Arial" w:eastAsia="Arial" w:cs="Arial"/>
          <w:color w:val="000000" w:themeColor="text1" w:themeTint="FF" w:themeShade="FF"/>
          <w:sz w:val="22"/>
          <w:szCs w:val="22"/>
        </w:rPr>
        <w:t xml:space="preserve"> clinically meaningful improvements in spinal alignment and functional outcomes. Average Cobb angle reductions between 3° and 7° were </w:t>
      </w:r>
      <w:r w:rsidRPr="7E619F55" w:rsidR="703EB1C6">
        <w:rPr>
          <w:rFonts w:ascii="Arial" w:hAnsi="Arial" w:eastAsia="Arial" w:cs="Arial"/>
          <w:color w:val="000000" w:themeColor="text1" w:themeTint="FF" w:themeShade="FF"/>
          <w:sz w:val="22"/>
          <w:szCs w:val="22"/>
        </w:rPr>
        <w:t>observed</w:t>
      </w:r>
      <w:r w:rsidRPr="7E619F55" w:rsidR="703EB1C6">
        <w:rPr>
          <w:rFonts w:ascii="Arial" w:hAnsi="Arial" w:eastAsia="Arial" w:cs="Arial"/>
          <w:color w:val="000000" w:themeColor="text1" w:themeTint="FF" w:themeShade="FF"/>
          <w:sz w:val="22"/>
          <w:szCs w:val="22"/>
        </w:rPr>
        <w:t>, accompanied by improvements in postural symmetry, muscular balance, and psychological wellbeing (Bettany-</w:t>
      </w:r>
      <w:r w:rsidRPr="7E619F55" w:rsidR="703EB1C6">
        <w:rPr>
          <w:rFonts w:ascii="Arial" w:hAnsi="Arial" w:eastAsia="Arial" w:cs="Arial"/>
          <w:color w:val="000000" w:themeColor="text1" w:themeTint="FF" w:themeShade="FF"/>
          <w:sz w:val="22"/>
          <w:szCs w:val="22"/>
        </w:rPr>
        <w:t>Saltikov</w:t>
      </w:r>
      <w:r w:rsidRPr="7E619F55" w:rsidR="703EB1C6">
        <w:rPr>
          <w:rFonts w:ascii="Arial" w:hAnsi="Arial" w:eastAsia="Arial" w:cs="Arial"/>
          <w:color w:val="000000" w:themeColor="text1" w:themeTint="FF" w:themeShade="FF"/>
          <w:sz w:val="22"/>
          <w:szCs w:val="22"/>
        </w:rPr>
        <w:t xml:space="preserve"> et al., 2014; Martin et al., 2020). Importantly, these interventions </w:t>
      </w:r>
      <w:r w:rsidRPr="7E619F55" w:rsidR="703EB1C6">
        <w:rPr>
          <w:rFonts w:ascii="Arial" w:hAnsi="Arial" w:eastAsia="Arial" w:cs="Arial"/>
          <w:color w:val="000000" w:themeColor="text1" w:themeTint="FF" w:themeShade="FF"/>
          <w:sz w:val="22"/>
          <w:szCs w:val="22"/>
        </w:rPr>
        <w:t>also appear to improve</w:t>
      </w:r>
      <w:r w:rsidRPr="7E619F55" w:rsidR="703EB1C6">
        <w:rPr>
          <w:rFonts w:ascii="Arial" w:hAnsi="Arial" w:eastAsia="Arial" w:cs="Arial"/>
          <w:color w:val="000000" w:themeColor="text1" w:themeTint="FF" w:themeShade="FF"/>
          <w:sz w:val="22"/>
          <w:szCs w:val="22"/>
        </w:rPr>
        <w:t xml:space="preserve"> self-image, confidence, and coping strategies, which are often areas of concern for adolescents adapting to a visible physical condition. </w:t>
      </w:r>
    </w:p>
    <w:p w:rsidR="00BB2C24" w:rsidP="7E619F55" w:rsidRDefault="08340CC8" w14:paraId="6A0403A7" w14:textId="00AD2877"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48E410B5" w14:textId="34E4AA95"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In parallel, bracing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a cornerstone of conservative scoliosis management in the UK, particularly when </w:t>
      </w:r>
      <w:r w:rsidRPr="7E619F55" w:rsidR="703EB1C6">
        <w:rPr>
          <w:rFonts w:ascii="Arial" w:hAnsi="Arial" w:eastAsia="Arial" w:cs="Arial"/>
          <w:color w:val="000000" w:themeColor="text1" w:themeTint="FF" w:themeShade="FF"/>
          <w:sz w:val="22"/>
          <w:szCs w:val="22"/>
        </w:rPr>
        <w:t>initiated</w:t>
      </w:r>
      <w:r w:rsidRPr="7E619F55" w:rsidR="703EB1C6">
        <w:rPr>
          <w:rFonts w:ascii="Arial" w:hAnsi="Arial" w:eastAsia="Arial" w:cs="Arial"/>
          <w:color w:val="000000" w:themeColor="text1" w:themeTint="FF" w:themeShade="FF"/>
          <w:sz w:val="22"/>
          <w:szCs w:val="22"/>
        </w:rPr>
        <w:t xml:space="preserve"> early and combined with good adherence. Studies consistently show that bracing is effective in slowing or halting curve progression, thereby reducing the likelihood of surgical intervention (Ceballos et al., 2017; Patel et al., 2023). Moreover, there is increasing evidence that combining bracing with exercise therapy yields synergistic benefits, producing greater curve stabilisation and improved functional outcomes compared with either modality alone (Thomson et al., 2017). Taken together, these findings affirm that the integration of exercise, bracing, and patient education </w:t>
      </w:r>
      <w:r w:rsidRPr="7E619F55" w:rsidR="703EB1C6">
        <w:rPr>
          <w:rFonts w:ascii="Arial" w:hAnsi="Arial" w:eastAsia="Arial" w:cs="Arial"/>
          <w:color w:val="000000" w:themeColor="text1" w:themeTint="FF" w:themeShade="FF"/>
          <w:sz w:val="22"/>
          <w:szCs w:val="22"/>
        </w:rPr>
        <w:t>represents</w:t>
      </w: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a viable</w:t>
      </w:r>
      <w:r w:rsidRPr="7E619F55" w:rsidR="703EB1C6">
        <w:rPr>
          <w:rFonts w:ascii="Arial" w:hAnsi="Arial" w:eastAsia="Arial" w:cs="Arial"/>
          <w:color w:val="000000" w:themeColor="text1" w:themeTint="FF" w:themeShade="FF"/>
          <w:sz w:val="22"/>
          <w:szCs w:val="22"/>
        </w:rPr>
        <w:t xml:space="preserve">, evidence-informed approach to non-surgical AIS management within the UK healthcare context. </w:t>
      </w:r>
    </w:p>
    <w:p w:rsidR="00BB2C24" w:rsidP="7E619F55" w:rsidRDefault="08340CC8" w14:paraId="6DF30821" w14:textId="180FBF18"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2B2B9122" w14:textId="08F7A478"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5.2 Comparison with International Evidence </w:t>
      </w:r>
    </w:p>
    <w:p w:rsidR="00BB2C24" w:rsidP="7E619F55" w:rsidRDefault="08340CC8" w14:paraId="6A9FDB74" w14:textId="510DD8CB"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095A98D" w14:textId="69134A9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When compared to international research, particularly that from European and North American contexts, the UK findings </w:t>
      </w:r>
      <w:r w:rsidRPr="7E619F55" w:rsidR="703EB1C6">
        <w:rPr>
          <w:rFonts w:ascii="Arial" w:hAnsi="Arial" w:eastAsia="Arial" w:cs="Arial"/>
          <w:color w:val="000000" w:themeColor="text1" w:themeTint="FF" w:themeShade="FF"/>
          <w:sz w:val="22"/>
          <w:szCs w:val="22"/>
        </w:rPr>
        <w:t>generally align</w:t>
      </w:r>
      <w:r w:rsidRPr="7E619F55" w:rsidR="703EB1C6">
        <w:rPr>
          <w:rFonts w:ascii="Arial" w:hAnsi="Arial" w:eastAsia="Arial" w:cs="Arial"/>
          <w:color w:val="000000" w:themeColor="text1" w:themeTint="FF" w:themeShade="FF"/>
          <w:sz w:val="22"/>
          <w:szCs w:val="22"/>
        </w:rPr>
        <w:t xml:space="preserve"> in </w:t>
      </w:r>
      <w:r w:rsidRPr="7E619F55" w:rsidR="703EB1C6">
        <w:rPr>
          <w:rFonts w:ascii="Arial" w:hAnsi="Arial" w:eastAsia="Arial" w:cs="Arial"/>
          <w:color w:val="000000" w:themeColor="text1" w:themeTint="FF" w:themeShade="FF"/>
          <w:sz w:val="22"/>
          <w:szCs w:val="22"/>
        </w:rPr>
        <w:t>demonstrating</w:t>
      </w:r>
      <w:r w:rsidRPr="7E619F55" w:rsidR="703EB1C6">
        <w:rPr>
          <w:rFonts w:ascii="Arial" w:hAnsi="Arial" w:eastAsia="Arial" w:cs="Arial"/>
          <w:color w:val="000000" w:themeColor="text1" w:themeTint="FF" w:themeShade="FF"/>
          <w:sz w:val="22"/>
          <w:szCs w:val="22"/>
        </w:rPr>
        <w:t xml:space="preserve"> that conservative interventions can effectively manage AIS and improve patients’ quality of life. Evidence from large-scale European trials, such as those conducted in Germany and Italy, has repeatedly shown that early and consistent conservative management not only halts or reverses curve progression but also proves cost-effective in the long term by reducing the need for surgical correction (Kuru et al., 2016). </w:t>
      </w:r>
    </w:p>
    <w:p w:rsidR="00BB2C24" w:rsidP="7E619F55" w:rsidRDefault="08340CC8" w14:paraId="4B30E406" w14:textId="283CC59F"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55929702" w14:noSpellErr="1" w14:textId="5F6D64E9">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However, a key observation </w:t>
      </w:r>
      <w:r w:rsidRPr="7E619F55" w:rsidR="703EB1C6">
        <w:rPr>
          <w:rFonts w:ascii="Arial" w:hAnsi="Arial" w:eastAsia="Arial" w:cs="Arial"/>
          <w:color w:val="000000" w:themeColor="text1" w:themeTint="FF" w:themeShade="FF"/>
          <w:sz w:val="22"/>
          <w:szCs w:val="22"/>
        </w:rPr>
        <w:t>emerging</w:t>
      </w:r>
      <w:r w:rsidRPr="7E619F55" w:rsidR="703EB1C6">
        <w:rPr>
          <w:rFonts w:ascii="Arial" w:hAnsi="Arial" w:eastAsia="Arial" w:cs="Arial"/>
          <w:color w:val="000000" w:themeColor="text1" w:themeTint="FF" w:themeShade="FF"/>
          <w:sz w:val="22"/>
          <w:szCs w:val="22"/>
        </w:rPr>
        <w:t xml:space="preserve"> from this comparison is the relative lack of cohesion and national standardisation within the UK system. While other countries have developed centralised frameworks for scoliosis rehabilitation</w:t>
      </w:r>
      <w:r w:rsidRPr="7E619F55" w:rsidR="431F04EF">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such as Germany’s Schroth therapy clinics and Italy’s SEAS centres</w:t>
      </w:r>
      <w:r w:rsidRPr="7E619F55" w:rsidR="589ABDA1">
        <w:rPr>
          <w:rFonts w:ascii="Arial" w:hAnsi="Arial" w:eastAsia="Arial" w:cs="Arial"/>
          <w:color w:val="000000" w:themeColor="text1" w:themeTint="FF" w:themeShade="FF"/>
          <w:sz w:val="22"/>
          <w:szCs w:val="22"/>
        </w:rPr>
        <w:t xml:space="preserve"> t</w:t>
      </w:r>
      <w:r w:rsidRPr="7E619F55" w:rsidR="703EB1C6">
        <w:rPr>
          <w:rFonts w:ascii="Arial" w:hAnsi="Arial" w:eastAsia="Arial" w:cs="Arial"/>
          <w:color w:val="000000" w:themeColor="text1" w:themeTint="FF" w:themeShade="FF"/>
          <w:sz w:val="22"/>
          <w:szCs w:val="22"/>
        </w:rPr>
        <w:t xml:space="preserve">he UK’s approach </w:t>
      </w:r>
      <w:r w:rsidRPr="7E619F55" w:rsidR="703EB1C6">
        <w:rPr>
          <w:rFonts w:ascii="Arial" w:hAnsi="Arial" w:eastAsia="Arial" w:cs="Arial"/>
          <w:color w:val="000000" w:themeColor="text1" w:themeTint="FF" w:themeShade="FF"/>
          <w:sz w:val="22"/>
          <w:szCs w:val="22"/>
        </w:rPr>
        <w:t>remains</w:t>
      </w: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largely decentralised</w:t>
      </w:r>
      <w:r w:rsidRPr="7E619F55" w:rsidR="703EB1C6">
        <w:rPr>
          <w:rFonts w:ascii="Arial" w:hAnsi="Arial" w:eastAsia="Arial" w:cs="Arial"/>
          <w:color w:val="000000" w:themeColor="text1" w:themeTint="FF" w:themeShade="FF"/>
          <w:sz w:val="22"/>
          <w:szCs w:val="22"/>
        </w:rPr>
        <w:t xml:space="preserve"> and variable. These European models </w:t>
      </w:r>
      <w:r w:rsidRPr="7E619F55" w:rsidR="703EB1C6">
        <w:rPr>
          <w:rFonts w:ascii="Arial" w:hAnsi="Arial" w:eastAsia="Arial" w:cs="Arial"/>
          <w:color w:val="000000" w:themeColor="text1" w:themeTint="FF" w:themeShade="FF"/>
          <w:sz w:val="22"/>
          <w:szCs w:val="22"/>
        </w:rPr>
        <w:t>benefit</w:t>
      </w:r>
      <w:r w:rsidRPr="7E619F55" w:rsidR="703EB1C6">
        <w:rPr>
          <w:rFonts w:ascii="Arial" w:hAnsi="Arial" w:eastAsia="Arial" w:cs="Arial"/>
          <w:color w:val="000000" w:themeColor="text1" w:themeTint="FF" w:themeShade="FF"/>
          <w:sz w:val="22"/>
          <w:szCs w:val="22"/>
        </w:rPr>
        <w:t xml:space="preserve"> from national treatment protocols, structured training for physiotherapists, and systematic data collection, allowing for the accumulation of robust longitudinal datasets and </w:t>
      </w:r>
      <w:r w:rsidRPr="7E619F55" w:rsidR="703EB1C6">
        <w:rPr>
          <w:rFonts w:ascii="Arial" w:hAnsi="Arial" w:eastAsia="Arial" w:cs="Arial"/>
          <w:color w:val="000000" w:themeColor="text1" w:themeTint="FF" w:themeShade="FF"/>
          <w:sz w:val="22"/>
          <w:szCs w:val="22"/>
        </w:rPr>
        <w:t>facilitating</w:t>
      </w:r>
      <w:r w:rsidRPr="7E619F55" w:rsidR="703EB1C6">
        <w:rPr>
          <w:rFonts w:ascii="Arial" w:hAnsi="Arial" w:eastAsia="Arial" w:cs="Arial"/>
          <w:color w:val="000000" w:themeColor="text1" w:themeTint="FF" w:themeShade="FF"/>
          <w:sz w:val="22"/>
          <w:szCs w:val="22"/>
        </w:rPr>
        <w:t xml:space="preserve"> consistent outcomes across centres. </w:t>
      </w:r>
    </w:p>
    <w:p w:rsidR="00BB2C24" w:rsidP="7E619F55" w:rsidRDefault="08340CC8" w14:paraId="46537FF6" w14:textId="4F8904BB"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0B76D0F1" w14:textId="6830B2B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In contrast, the UK healthcare landscape displays substantial variability in referral processes, service availability, and treatment pathways. Access to specialist scoliosis physiotherapy and bracing services often depends on local commissioning arrangements and clinician </w:t>
      </w:r>
      <w:r w:rsidRPr="7E619F55" w:rsidR="703EB1C6">
        <w:rPr>
          <w:rFonts w:ascii="Arial" w:hAnsi="Arial" w:eastAsia="Arial" w:cs="Arial"/>
          <w:color w:val="000000" w:themeColor="text1" w:themeTint="FF" w:themeShade="FF"/>
          <w:sz w:val="22"/>
          <w:szCs w:val="22"/>
        </w:rPr>
        <w:t>expertise</w:t>
      </w:r>
      <w:r w:rsidRPr="7E619F55" w:rsidR="703EB1C6">
        <w:rPr>
          <w:rFonts w:ascii="Arial" w:hAnsi="Arial" w:eastAsia="Arial" w:cs="Arial"/>
          <w:color w:val="000000" w:themeColor="text1" w:themeTint="FF" w:themeShade="FF"/>
          <w:sz w:val="22"/>
          <w:szCs w:val="22"/>
        </w:rPr>
        <w:t xml:space="preserve"> rather than on nationally unified standards. As a result, patients across different regions may experience inconsistencies in assessment, intervention quality, and follow-up care. This fragmentation poses challenges not only for clinical practice but also for research, as inconsistent outcome measures and treatment protocols make it difficult to aggregate data or conduct comparative studies. </w:t>
      </w:r>
    </w:p>
    <w:p w:rsidR="00BB2C24" w:rsidP="7E619F55" w:rsidRDefault="08340CC8" w14:paraId="14B81FD0" w14:textId="1F14311A"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72B2702" w14:textId="4CE4327E"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Overall, while the effectiveness of conservative management in the UK aligns with international evidence, the lack of standardised national guidelines </w:t>
      </w:r>
      <w:r w:rsidRPr="7E619F55" w:rsidR="703EB1C6">
        <w:rPr>
          <w:rFonts w:ascii="Arial" w:hAnsi="Arial" w:eastAsia="Arial" w:cs="Arial"/>
          <w:color w:val="000000" w:themeColor="text1" w:themeTint="FF" w:themeShade="FF"/>
          <w:sz w:val="22"/>
          <w:szCs w:val="22"/>
        </w:rPr>
        <w:t>represents</w:t>
      </w:r>
      <w:r w:rsidRPr="7E619F55" w:rsidR="703EB1C6">
        <w:rPr>
          <w:rFonts w:ascii="Arial" w:hAnsi="Arial" w:eastAsia="Arial" w:cs="Arial"/>
          <w:color w:val="000000" w:themeColor="text1" w:themeTint="FF" w:themeShade="FF"/>
          <w:sz w:val="22"/>
          <w:szCs w:val="22"/>
        </w:rPr>
        <w:t xml:space="preserve"> a significant barrier to achieving parity with countries that have </w:t>
      </w:r>
      <w:r w:rsidRPr="7E619F55" w:rsidR="703EB1C6">
        <w:rPr>
          <w:rFonts w:ascii="Arial" w:hAnsi="Arial" w:eastAsia="Arial" w:cs="Arial"/>
          <w:color w:val="000000" w:themeColor="text1" w:themeTint="FF" w:themeShade="FF"/>
          <w:sz w:val="22"/>
          <w:szCs w:val="22"/>
        </w:rPr>
        <w:t>established</w:t>
      </w:r>
      <w:r w:rsidRPr="7E619F55" w:rsidR="703EB1C6">
        <w:rPr>
          <w:rFonts w:ascii="Arial" w:hAnsi="Arial" w:eastAsia="Arial" w:cs="Arial"/>
          <w:color w:val="000000" w:themeColor="text1" w:themeTint="FF" w:themeShade="FF"/>
          <w:sz w:val="22"/>
          <w:szCs w:val="22"/>
        </w:rPr>
        <w:t xml:space="preserve"> structured rehabilitation systems. Addressing this gap could enhance the quality and consistency of care while supporting the development of a more substantial and cohesive UK evidence base. </w:t>
      </w:r>
    </w:p>
    <w:p w:rsidR="00BB2C24" w:rsidP="7E619F55" w:rsidRDefault="08340CC8" w14:paraId="149E681B" w14:textId="6CF87400"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2C1BEF09" w14:textId="77A994F4"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5.3 Gaps in UK Research </w:t>
      </w:r>
    </w:p>
    <w:p w:rsidR="00BB2C24" w:rsidP="7E619F55" w:rsidRDefault="08340CC8" w14:paraId="7B224A26" w14:textId="298F651E"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7BCBF8C9" w14:textId="19A42669"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The current review </w:t>
      </w:r>
      <w:r w:rsidRPr="7E619F55" w:rsidR="703EB1C6">
        <w:rPr>
          <w:rFonts w:ascii="Arial" w:hAnsi="Arial" w:eastAsia="Arial" w:cs="Arial"/>
          <w:color w:val="000000" w:themeColor="text1" w:themeTint="FF" w:themeShade="FF"/>
          <w:sz w:val="22"/>
          <w:szCs w:val="22"/>
        </w:rPr>
        <w:t>identified</w:t>
      </w:r>
      <w:r w:rsidRPr="7E619F55" w:rsidR="703EB1C6">
        <w:rPr>
          <w:rFonts w:ascii="Arial" w:hAnsi="Arial" w:eastAsia="Arial" w:cs="Arial"/>
          <w:color w:val="000000" w:themeColor="text1" w:themeTint="FF" w:themeShade="FF"/>
          <w:sz w:val="22"/>
          <w:szCs w:val="22"/>
        </w:rPr>
        <w:t xml:space="preserve"> several critical gaps and limitations in the UK research landscape related to non-surgical management of AIS. These include both methodological weaknesses and systemic barriers to </w:t>
      </w:r>
      <w:r w:rsidRPr="7E619F55" w:rsidR="703EB1C6">
        <w:rPr>
          <w:rFonts w:ascii="Arial" w:hAnsi="Arial" w:eastAsia="Arial" w:cs="Arial"/>
          <w:color w:val="000000" w:themeColor="text1" w:themeTint="FF" w:themeShade="FF"/>
          <w:sz w:val="22"/>
          <w:szCs w:val="22"/>
        </w:rPr>
        <w:t>equitable</w:t>
      </w:r>
      <w:r w:rsidRPr="7E619F55" w:rsidR="703EB1C6">
        <w:rPr>
          <w:rFonts w:ascii="Arial" w:hAnsi="Arial" w:eastAsia="Arial" w:cs="Arial"/>
          <w:color w:val="000000" w:themeColor="text1" w:themeTint="FF" w:themeShade="FF"/>
          <w:sz w:val="22"/>
          <w:szCs w:val="22"/>
        </w:rPr>
        <w:t xml:space="preserve"> service delivery: </w:t>
      </w:r>
    </w:p>
    <w:p w:rsidR="00BB2C24" w:rsidP="7E619F55" w:rsidRDefault="08340CC8" w14:paraId="63BDF9E1" w14:textId="515450F1"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Limited long-term outcome data: Very few UK studies track participants beyond </w:t>
      </w:r>
      <w:r w:rsidRPr="7E619F55" w:rsidR="703EB1C6">
        <w:rPr>
          <w:rFonts w:ascii="Arial" w:hAnsi="Arial" w:eastAsia="Arial" w:cs="Arial"/>
          <w:color w:val="000000" w:themeColor="text1" w:themeTint="FF" w:themeShade="FF"/>
          <w:sz w:val="22"/>
          <w:szCs w:val="22"/>
        </w:rPr>
        <w:t>initial</w:t>
      </w:r>
      <w:r w:rsidRPr="7E619F55" w:rsidR="703EB1C6">
        <w:rPr>
          <w:rFonts w:ascii="Arial" w:hAnsi="Arial" w:eastAsia="Arial" w:cs="Arial"/>
          <w:color w:val="000000" w:themeColor="text1" w:themeTint="FF" w:themeShade="FF"/>
          <w:sz w:val="22"/>
          <w:szCs w:val="22"/>
        </w:rPr>
        <w:t xml:space="preserve"> intervention phases or through to skeletal maturity, limiting understanding of whether conservative treatments provide durable curve correction and long-term quality of life benefits. </w:t>
      </w:r>
    </w:p>
    <w:p w:rsidR="00BB2C24" w:rsidP="7E619F55" w:rsidRDefault="08340CC8" w14:paraId="0EEF4DD4" w14:textId="1021F53E"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Small-scale research designs: Many investigations employ observational or pilot designs, often without randomisation or sufficient sample size, which restricts the strength of causal inferences and external validity. </w:t>
      </w:r>
    </w:p>
    <w:p w:rsidR="00BB2C24" w:rsidP="7E619F55" w:rsidRDefault="08340CC8" w14:paraId="56E5E184" w14:textId="6F22EDE4" w14:noSpellErr="1">
      <w:pPr>
        <w:spacing w:before="281" w:after="281" w:line="360" w:lineRule="auto"/>
        <w:rPr>
          <w:rFonts w:ascii="Arial" w:hAnsi="Arial" w:eastAsia="Arial" w:cs="Arial"/>
          <w:color w:val="000000" w:themeColor="text1" w:themeTint="FF" w:themeShade="FF"/>
          <w:sz w:val="22"/>
          <w:szCs w:val="22"/>
        </w:rPr>
      </w:pPr>
      <w:r w:rsidRPr="7E619F55" w:rsidR="703EB1C6">
        <w:rPr>
          <w:rFonts w:ascii="Arial" w:hAnsi="Arial" w:eastAsia="Arial" w:cs="Arial"/>
          <w:color w:val="000000" w:themeColor="text1" w:themeTint="FF" w:themeShade="FF"/>
          <w:sz w:val="22"/>
          <w:szCs w:val="22"/>
        </w:rPr>
        <w:t xml:space="preserve">Inconsistent outcome measures: There is significant heterogeneity in the assessment of Cobb angle changes, postural alignment, functional capacity, and psychosocial wellbeing, making it difficult to compare results across studies. </w:t>
      </w:r>
    </w:p>
    <w:p w:rsidR="00BB2C24" w:rsidP="7E619F55" w:rsidRDefault="08340CC8" w14:paraId="5C012C57" w14:textId="61E4808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influence</w:t>
      </w:r>
      <w:r w:rsidRPr="7E619F55" w:rsidR="703EB1C6">
        <w:rPr>
          <w:rFonts w:ascii="Arial" w:hAnsi="Arial" w:eastAsia="Arial" w:cs="Arial"/>
          <w:b w:val="1"/>
          <w:bCs w:val="1"/>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 xml:space="preserve">of body image and self-esteem on adolescent health behaviour. </w:t>
      </w:r>
    </w:p>
    <w:p w:rsidR="00BB2C24" w:rsidP="7E619F55" w:rsidRDefault="08340CC8" w14:paraId="6D58D6B4" w14:textId="211D1CC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Service delivery inequity: Considerable regional disparities exist in access to physiotherapy and orthotic services within the NHS, with some areas offering comprehensive community-based scoliosis management and others relying on tertiary or private provision. </w:t>
      </w:r>
    </w:p>
    <w:p w:rsidR="00BB2C24" w:rsidP="7E619F55" w:rsidRDefault="08340CC8" w14:paraId="404AF1E8" w14:textId="37591B18"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549FDFD" w14:textId="409DCB9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Addressing these gaps will require coordinated national research efforts, larger-scale multicentre studies, and enhanced data sharing to strengthen the evidence base for conservative AIS management within the UK. </w:t>
      </w:r>
    </w:p>
    <w:p w:rsidR="00BB2C24" w:rsidP="7E619F55" w:rsidRDefault="08340CC8" w14:paraId="64710D6A" w14:textId="5D4AAF32"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4CFFB6AF" w14:textId="40857F2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5.4 Theoretical and Practical Implications </w:t>
      </w:r>
    </w:p>
    <w:p w:rsidR="00BB2C24" w:rsidP="7E619F55" w:rsidRDefault="08340CC8" w14:paraId="3F1CA8DD" w14:textId="02D87192"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08B20426" w14:noSpellErr="1" w14:textId="588C5B14">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The findings of this scoping review support a biopsychosocial framework for the management of Adolescent Idiopathic Scoliosis</w:t>
      </w:r>
      <w:r w:rsidRPr="7E619F55" w:rsidR="67EAADF7">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 xml:space="preserve">one that integrates physical correction with attention to the psychological and social dimensions of care. Recognising AIS as a condition that affects not only spinal alignment but also self-perception, mental wellbeing, and social participation highlights the need for multidisciplinary approaches encompassing physiotherapy, orthotic management, and psychosocial support. </w:t>
      </w:r>
    </w:p>
    <w:p w:rsidR="00BB2C24" w:rsidP="7E619F55" w:rsidRDefault="08340CC8" w14:paraId="349E7880" w14:textId="5D5121DA"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0F5DCFFC" w14:textId="1E2BE58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From a policy perspective, the review underscores the potential benefits of developing a national scoliosis rehabilitation standard within the NHS. Such a framework could </w:t>
      </w:r>
      <w:r w:rsidRPr="7E619F55" w:rsidR="703EB1C6">
        <w:rPr>
          <w:rFonts w:ascii="Arial" w:hAnsi="Arial" w:eastAsia="Arial" w:cs="Arial"/>
          <w:color w:val="000000" w:themeColor="text1" w:themeTint="FF" w:themeShade="FF"/>
          <w:sz w:val="22"/>
          <w:szCs w:val="22"/>
        </w:rPr>
        <w:t>facilitate</w:t>
      </w: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equitable</w:t>
      </w:r>
      <w:r w:rsidRPr="7E619F55" w:rsidR="703EB1C6">
        <w:rPr>
          <w:rFonts w:ascii="Arial" w:hAnsi="Arial" w:eastAsia="Arial" w:cs="Arial"/>
          <w:color w:val="000000" w:themeColor="text1" w:themeTint="FF" w:themeShade="FF"/>
          <w:sz w:val="22"/>
          <w:szCs w:val="22"/>
        </w:rPr>
        <w:t xml:space="preserve"> access to evidence-based conservative interventions, promote consistency in care delivery, and enhance data collection for research and audit purposes. Establishing centralised referral pathways and outcome reporting systems would also align the UK more closely with international models of best practice, such as those seen in Germany and Italy. </w:t>
      </w:r>
    </w:p>
    <w:p w:rsidR="00BB2C24" w:rsidP="7E619F55" w:rsidRDefault="08340CC8" w14:paraId="730546F8" w14:textId="43D90111"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21D07554" w14:textId="10DD25FD"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The growing use of digital and tele-rehabilitation platforms presents </w:t>
      </w:r>
      <w:r w:rsidRPr="7E619F55" w:rsidR="703EB1C6">
        <w:rPr>
          <w:rFonts w:ascii="Arial" w:hAnsi="Arial" w:eastAsia="Arial" w:cs="Arial"/>
          <w:color w:val="000000" w:themeColor="text1" w:themeTint="FF" w:themeShade="FF"/>
          <w:sz w:val="22"/>
          <w:szCs w:val="22"/>
        </w:rPr>
        <w:t>additional</w:t>
      </w:r>
      <w:r w:rsidRPr="7E619F55" w:rsidR="703EB1C6">
        <w:rPr>
          <w:rFonts w:ascii="Arial" w:hAnsi="Arial" w:eastAsia="Arial" w:cs="Arial"/>
          <w:color w:val="000000" w:themeColor="text1" w:themeTint="FF" w:themeShade="FF"/>
          <w:sz w:val="22"/>
          <w:szCs w:val="22"/>
        </w:rPr>
        <w:t xml:space="preserve"> opportunities for innovation. Early pilot studies, such as those by Cooper and Hall (2020), </w:t>
      </w:r>
      <w:r w:rsidRPr="7E619F55" w:rsidR="703EB1C6">
        <w:rPr>
          <w:rFonts w:ascii="Arial" w:hAnsi="Arial" w:eastAsia="Arial" w:cs="Arial"/>
          <w:color w:val="000000" w:themeColor="text1" w:themeTint="FF" w:themeShade="FF"/>
          <w:sz w:val="22"/>
          <w:szCs w:val="22"/>
        </w:rPr>
        <w:t>demonstrate</w:t>
      </w:r>
      <w:r w:rsidRPr="7E619F55" w:rsidR="703EB1C6">
        <w:rPr>
          <w:rFonts w:ascii="Arial" w:hAnsi="Arial" w:eastAsia="Arial" w:cs="Arial"/>
          <w:color w:val="000000" w:themeColor="text1" w:themeTint="FF" w:themeShade="FF"/>
          <w:sz w:val="22"/>
          <w:szCs w:val="22"/>
        </w:rPr>
        <w:t xml:space="preserve"> that virtual exercise supervision can improve adherence, reduce geographical barriers, and </w:t>
      </w:r>
      <w:r w:rsidRPr="7E619F55" w:rsidR="703EB1C6">
        <w:rPr>
          <w:rFonts w:ascii="Arial" w:hAnsi="Arial" w:eastAsia="Arial" w:cs="Arial"/>
          <w:color w:val="000000" w:themeColor="text1" w:themeTint="FF" w:themeShade="FF"/>
          <w:sz w:val="22"/>
          <w:szCs w:val="22"/>
        </w:rPr>
        <w:t>maintain</w:t>
      </w:r>
      <w:r w:rsidRPr="7E619F55" w:rsidR="703EB1C6">
        <w:rPr>
          <w:rFonts w:ascii="Arial" w:hAnsi="Arial" w:eastAsia="Arial" w:cs="Arial"/>
          <w:color w:val="000000" w:themeColor="text1" w:themeTint="FF" w:themeShade="FF"/>
          <w:sz w:val="22"/>
          <w:szCs w:val="22"/>
        </w:rPr>
        <w:t xml:space="preserve"> engagement among adolescents, particularly those in rural or underserved areas. As digital healthcare becomes more integrated into NHS pathways, such approaches could play a key role in expanding access to conservative scoliosis management while </w:t>
      </w:r>
      <w:r w:rsidRPr="7E619F55" w:rsidR="703EB1C6">
        <w:rPr>
          <w:rFonts w:ascii="Arial" w:hAnsi="Arial" w:eastAsia="Arial" w:cs="Arial"/>
          <w:color w:val="000000" w:themeColor="text1" w:themeTint="FF" w:themeShade="FF"/>
          <w:sz w:val="22"/>
          <w:szCs w:val="22"/>
        </w:rPr>
        <w:t>maintaining</w:t>
      </w:r>
      <w:r w:rsidRPr="7E619F55" w:rsidR="703EB1C6">
        <w:rPr>
          <w:rFonts w:ascii="Arial" w:hAnsi="Arial" w:eastAsia="Arial" w:cs="Arial"/>
          <w:color w:val="000000" w:themeColor="text1" w:themeTint="FF" w:themeShade="FF"/>
          <w:sz w:val="22"/>
          <w:szCs w:val="22"/>
        </w:rPr>
        <w:t xml:space="preserve"> cost-effectiveness and patient-centred care. </w:t>
      </w:r>
    </w:p>
    <w:p w:rsidR="00BB2C24" w:rsidP="7E619F55" w:rsidRDefault="08340CC8" w14:paraId="077D7869" w14:textId="5D29570C"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6553B2A3" w14:noSpellErr="1" w14:textId="5EFF62CA">
      <w:pPr>
        <w:spacing w:before="281" w:after="281" w:line="360" w:lineRule="auto"/>
        <w:rPr>
          <w:rFonts w:ascii="Arial" w:hAnsi="Arial" w:eastAsia="Arial" w:cs="Arial"/>
          <w:color w:val="000000" w:themeColor="text1"/>
          <w:sz w:val="22"/>
          <w:szCs w:val="22"/>
        </w:rPr>
      </w:pPr>
      <w:r w:rsidRPr="7E619F55" w:rsidR="3268A134">
        <w:rPr>
          <w:rFonts w:ascii="Arial" w:hAnsi="Arial" w:eastAsia="Arial" w:cs="Arial"/>
          <w:color w:val="000000" w:themeColor="text1" w:themeTint="FF" w:themeShade="FF"/>
          <w:sz w:val="22"/>
          <w:szCs w:val="22"/>
        </w:rPr>
        <w:t>The</w:t>
      </w:r>
      <w:r w:rsidRPr="7E619F55" w:rsidR="703EB1C6">
        <w:rPr>
          <w:rFonts w:ascii="Arial" w:hAnsi="Arial" w:eastAsia="Arial" w:cs="Arial"/>
          <w:color w:val="000000" w:themeColor="text1" w:themeTint="FF" w:themeShade="FF"/>
          <w:sz w:val="22"/>
          <w:szCs w:val="22"/>
        </w:rPr>
        <w:t xml:space="preserve"> evidence suggests that the UK </w:t>
      </w:r>
      <w:r w:rsidRPr="7E619F55" w:rsidR="703EB1C6">
        <w:rPr>
          <w:rFonts w:ascii="Arial" w:hAnsi="Arial" w:eastAsia="Arial" w:cs="Arial"/>
          <w:color w:val="000000" w:themeColor="text1" w:themeTint="FF" w:themeShade="FF"/>
          <w:sz w:val="22"/>
          <w:szCs w:val="22"/>
        </w:rPr>
        <w:t xml:space="preserve">has </w:t>
      </w:r>
      <w:r w:rsidRPr="7E619F55" w:rsidR="703EB1C6">
        <w:rPr>
          <w:rFonts w:ascii="Arial" w:hAnsi="Arial" w:eastAsia="Arial" w:cs="Arial"/>
          <w:color w:val="000000" w:themeColor="text1" w:themeTint="FF" w:themeShade="FF"/>
          <w:sz w:val="22"/>
          <w:szCs w:val="22"/>
        </w:rPr>
        <w:t>a strong founda</w:t>
      </w:r>
      <w:r w:rsidRPr="7E619F55" w:rsidR="703EB1C6">
        <w:rPr>
          <w:rFonts w:ascii="Arial" w:hAnsi="Arial" w:eastAsia="Arial" w:cs="Arial"/>
          <w:color w:val="000000" w:themeColor="text1" w:themeTint="FF" w:themeShade="FF"/>
          <w:sz w:val="22"/>
          <w:szCs w:val="22"/>
        </w:rPr>
        <w:t>tion</w:t>
      </w:r>
      <w:r w:rsidRPr="7E619F55" w:rsidR="703EB1C6">
        <w:rPr>
          <w:rFonts w:ascii="Arial" w:hAnsi="Arial" w:eastAsia="Arial" w:cs="Arial"/>
          <w:color w:val="000000" w:themeColor="text1" w:themeTint="FF" w:themeShade="FF"/>
          <w:sz w:val="22"/>
          <w:szCs w:val="22"/>
        </w:rPr>
        <w:t xml:space="preserve"> for advancing non-surgical scoliosis management but requires greater structural and research investment to achieve national coherence. Strengthening interdisciplinary collaboration, improving data quality, and embedding psychosocial considerations into routine practice will be essential steps toward delivering a holist</w:t>
      </w:r>
      <w:r w:rsidRPr="7E619F55" w:rsidR="703EB1C6">
        <w:rPr>
          <w:rFonts w:ascii="Arial" w:hAnsi="Arial" w:eastAsia="Arial" w:cs="Arial"/>
          <w:color w:val="000000" w:themeColor="text1" w:themeTint="FF" w:themeShade="FF"/>
          <w:sz w:val="22"/>
          <w:szCs w:val="22"/>
        </w:rPr>
        <w:t xml:space="preserve">ic, </w:t>
      </w:r>
      <w:r w:rsidRPr="7E619F55" w:rsidR="703EB1C6">
        <w:rPr>
          <w:rFonts w:ascii="Arial" w:hAnsi="Arial" w:eastAsia="Arial" w:cs="Arial"/>
          <w:color w:val="000000" w:themeColor="text1" w:themeTint="FF" w:themeShade="FF"/>
          <w:sz w:val="22"/>
          <w:szCs w:val="22"/>
        </w:rPr>
        <w:t>equit</w:t>
      </w:r>
      <w:r w:rsidRPr="7E619F55" w:rsidR="703EB1C6">
        <w:rPr>
          <w:rFonts w:ascii="Arial" w:hAnsi="Arial" w:eastAsia="Arial" w:cs="Arial"/>
          <w:color w:val="000000" w:themeColor="text1" w:themeTint="FF" w:themeShade="FF"/>
          <w:sz w:val="22"/>
          <w:szCs w:val="22"/>
        </w:rPr>
        <w:t>able</w:t>
      </w:r>
      <w:r w:rsidRPr="7E619F55" w:rsidR="703EB1C6">
        <w:rPr>
          <w:rFonts w:ascii="Arial" w:hAnsi="Arial" w:eastAsia="Arial" w:cs="Arial"/>
          <w:color w:val="000000" w:themeColor="text1" w:themeTint="FF" w:themeShade="FF"/>
          <w:sz w:val="22"/>
          <w:szCs w:val="22"/>
        </w:rPr>
        <w:t xml:space="preserve">, and sustainable model of AIS care. </w:t>
      </w:r>
    </w:p>
    <w:p w:rsidR="0873C8F0" w:rsidP="7E619F55" w:rsidRDefault="0873C8F0" w14:noSpellErr="1" w14:paraId="7F8A15EC" w14:textId="6788CC66">
      <w:pPr>
        <w:pStyle w:val="Normal"/>
        <w:spacing w:before="281" w:after="281" w:line="360" w:lineRule="auto"/>
        <w:rPr>
          <w:rFonts w:ascii="Arial" w:hAnsi="Arial" w:eastAsia="Arial" w:cs="Arial"/>
          <w:color w:val="000000" w:themeColor="text1" w:themeTint="FF" w:themeShade="FF"/>
          <w:sz w:val="22"/>
          <w:szCs w:val="22"/>
        </w:rPr>
      </w:pPr>
      <w:r w:rsidRPr="7E619F55" w:rsidR="0873C8F0">
        <w:rPr>
          <w:rFonts w:ascii="Arial" w:hAnsi="Arial" w:eastAsia="Arial" w:cs="Arial"/>
          <w:color w:val="000000" w:themeColor="text1" w:themeTint="FF" w:themeShade="FF"/>
          <w:sz w:val="22"/>
          <w:szCs w:val="22"/>
        </w:rPr>
        <w:t xml:space="preserve"> The findings are encouraging, the UK evidence base </w:t>
      </w:r>
      <w:r w:rsidRPr="7E619F55" w:rsidR="0873C8F0">
        <w:rPr>
          <w:rFonts w:ascii="Arial" w:hAnsi="Arial" w:eastAsia="Arial" w:cs="Arial"/>
          <w:color w:val="000000" w:themeColor="text1" w:themeTint="FF" w:themeShade="FF"/>
          <w:sz w:val="22"/>
          <w:szCs w:val="22"/>
        </w:rPr>
        <w:t>remains</w:t>
      </w:r>
      <w:r w:rsidRPr="7E619F55" w:rsidR="0873C8F0">
        <w:rPr>
          <w:rFonts w:ascii="Arial" w:hAnsi="Arial" w:eastAsia="Arial" w:cs="Arial"/>
          <w:color w:val="000000" w:themeColor="text1" w:themeTint="FF" w:themeShade="FF"/>
          <w:sz w:val="22"/>
          <w:szCs w:val="22"/>
        </w:rPr>
        <w:t xml:space="preserve"> comparatively limited in breadth and methodological strength </w:t>
      </w:r>
      <w:r w:rsidRPr="7E619F55" w:rsidR="0873C8F0">
        <w:rPr>
          <w:rFonts w:ascii="Arial" w:hAnsi="Arial" w:eastAsia="Arial" w:cs="Arial"/>
          <w:color w:val="000000" w:themeColor="text1" w:themeTint="FF" w:themeShade="FF"/>
          <w:sz w:val="22"/>
          <w:szCs w:val="22"/>
        </w:rPr>
        <w:t>relative</w:t>
      </w:r>
      <w:r w:rsidRPr="7E619F55" w:rsidR="0873C8F0">
        <w:rPr>
          <w:rFonts w:ascii="Arial" w:hAnsi="Arial" w:eastAsia="Arial" w:cs="Arial"/>
          <w:color w:val="000000" w:themeColor="text1" w:themeTint="FF" w:themeShade="FF"/>
          <w:sz w:val="22"/>
          <w:szCs w:val="22"/>
        </w:rPr>
        <w:t xml:space="preserve"> to research conducted in other regions, particularly continental Europe. Many UK studies are characterised by small participant samples, short-term follow-up periods, and heterogeneous study designs, which constrain the generalisability of results. Furthermore, there is a notable lack of large-scale randomised controlled trials (RCTs) and longitudinal cohort studies capable of providing high-quality evidence to guide national policy and practice.</w:t>
      </w:r>
    </w:p>
    <w:p w:rsidR="00BB2C24" w:rsidP="7E619F55" w:rsidRDefault="08340CC8" w14:paraId="015A08F8" w14:textId="02AD12F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4581AC6C" w14:textId="135BFADB"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9EEBFDF" w14:noSpellErr="1" w14:textId="5A3716AF">
      <w:pPr>
        <w:spacing w:before="281" w:after="281" w:line="360" w:lineRule="auto"/>
        <w:rPr>
          <w:rFonts w:ascii="Arial" w:hAnsi="Arial" w:eastAsia="Arial" w:cs="Arial"/>
          <w:b w:val="1"/>
          <w:bCs w:val="1"/>
          <w:color w:val="000000" w:themeColor="text1"/>
          <w:sz w:val="22"/>
          <w:szCs w:val="22"/>
        </w:rPr>
      </w:pPr>
      <w:r w:rsidRPr="7E619F55" w:rsidR="703EB1C6">
        <w:rPr>
          <w:rFonts w:ascii="Arial" w:hAnsi="Arial" w:eastAsia="Arial" w:cs="Arial"/>
          <w:color w:val="000000" w:themeColor="text1" w:themeTint="FF" w:themeShade="FF"/>
          <w:sz w:val="22"/>
          <w:szCs w:val="22"/>
        </w:rPr>
        <w:t xml:space="preserve">6.  </w:t>
      </w:r>
      <w:r w:rsidRPr="7E619F55" w:rsidR="703EB1C6">
        <w:rPr>
          <w:rFonts w:ascii="Arial" w:hAnsi="Arial" w:eastAsia="Arial" w:cs="Arial"/>
          <w:b w:val="1"/>
          <w:bCs w:val="1"/>
          <w:color w:val="000000" w:themeColor="text1" w:themeTint="FF" w:themeShade="FF"/>
          <w:sz w:val="22"/>
          <w:szCs w:val="22"/>
        </w:rPr>
        <w:t>Recommendations</w:t>
      </w:r>
      <w:r w:rsidRPr="7E619F55" w:rsidR="38E4BA2D">
        <w:rPr>
          <w:rFonts w:ascii="Arial" w:hAnsi="Arial" w:eastAsia="Arial" w:cs="Arial"/>
          <w:b w:val="1"/>
          <w:bCs w:val="1"/>
          <w:color w:val="000000" w:themeColor="text1" w:themeTint="FF" w:themeShade="FF"/>
          <w:sz w:val="22"/>
          <w:szCs w:val="22"/>
        </w:rPr>
        <w:t xml:space="preserve"> and conclusions </w:t>
      </w:r>
    </w:p>
    <w:p w:rsidR="00BB2C24" w:rsidP="7E619F55" w:rsidRDefault="08340CC8" w14:paraId="7785281F" w14:textId="4B98456D">
      <w:pPr>
        <w:pStyle w:val="Normal"/>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49013B0F" w14:textId="614CDFC3"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6.2 Recommendations for Future Research </w:t>
      </w:r>
    </w:p>
    <w:p w:rsidR="00BB2C24" w:rsidP="7E619F55" w:rsidRDefault="08340CC8" w14:paraId="1A1C22DB" w14:textId="57F9744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Conduct large-scale UK RCTs with standardised outcome measures. </w:t>
      </w:r>
    </w:p>
    <w:p w:rsidR="00BB2C24" w:rsidP="7E619F55" w:rsidRDefault="08340CC8" w14:paraId="1F412E8B" w14:textId="20D12E51"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Include longitudinal follow-ups to skeletal maturity. </w:t>
      </w:r>
    </w:p>
    <w:p w:rsidR="00BB2C24" w:rsidP="7E619F55" w:rsidRDefault="08340CC8" w14:paraId="6587684A" w14:textId="3B6DA9F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Integrate psychological and quality-of-life metrics in all future trials. </w:t>
      </w:r>
    </w:p>
    <w:p w:rsidR="00BB2C24" w:rsidP="7E619F55" w:rsidRDefault="08340CC8" w14:paraId="058E68A5" w14:textId="1147321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Explore digital delivery models and adherence monitoring technologies. </w:t>
      </w:r>
    </w:p>
    <w:p w:rsidR="00BB2C24" w:rsidP="7E619F55" w:rsidRDefault="08340CC8" w14:paraId="2D43F782" w14:textId="37D2B04B"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Evaluate cost-effectiveness to inform NHS commissioning decisions. </w:t>
      </w:r>
    </w:p>
    <w:p w:rsidR="00BB2C24" w:rsidP="7E619F55" w:rsidRDefault="08340CC8" w14:paraId="398F23CF" w14:textId="6A21F8C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6.3 Recommendations for Policy and Practice </w:t>
      </w:r>
    </w:p>
    <w:p w:rsidR="00BB2C24" w:rsidP="7E619F55" w:rsidRDefault="08340CC8" w14:paraId="7D984557" w14:textId="55F51A7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Develop a national scoliosis physiotherapy training and accreditation programme. </w:t>
      </w:r>
    </w:p>
    <w:p w:rsidR="00BB2C24" w:rsidP="7E619F55" w:rsidRDefault="08340CC8" w14:paraId="073CE0E7" w14:textId="6243E66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Establish uniform brace fitting and review protocols across NHS trusts. </w:t>
      </w:r>
    </w:p>
    <w:p w:rsidR="00BB2C24" w:rsidP="7E619F55" w:rsidRDefault="08340CC8" w14:paraId="66898DBB" w14:textId="1264D7C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Increase access to Schroth and SEAS physiotherapy through integrated multidisciplinary services.</w:t>
      </w:r>
    </w:p>
    <w:p w:rsidR="00BB2C24" w:rsidP="7E619F55" w:rsidRDefault="08340CC8" w14:paraId="7E10B445" w14:textId="1ADC855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Implement tele-rehabilitation platforms to reduce regional disparities. </w:t>
      </w:r>
    </w:p>
    <w:p w:rsidR="00BB2C24" w:rsidP="7E619F55" w:rsidRDefault="08340CC8" w14:paraId="24E4D1B7" w14:textId="72EDD7CD"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Promote patient-centred care focusing on adherence, comfort, and psychosocial support. </w:t>
      </w:r>
    </w:p>
    <w:p w:rsidR="7E619F55" w:rsidP="7E619F55" w:rsidRDefault="7E619F55" w14:paraId="6A212438" w14:textId="6E384D50">
      <w:pPr>
        <w:spacing w:before="281" w:after="281" w:line="360" w:lineRule="auto"/>
        <w:rPr>
          <w:rFonts w:ascii="Arial" w:hAnsi="Arial" w:eastAsia="Arial" w:cs="Arial"/>
          <w:color w:val="000000" w:themeColor="text1" w:themeTint="FF" w:themeShade="FF"/>
          <w:sz w:val="22"/>
          <w:szCs w:val="22"/>
        </w:rPr>
      </w:pPr>
    </w:p>
    <w:p w:rsidR="1AED22C1" w:rsidP="7E619F55" w:rsidRDefault="1AED22C1" w14:noSpellErr="1" w14:paraId="6D9FE35C" w14:textId="234756FC">
      <w:pPr>
        <w:spacing w:before="281" w:after="281" w:line="360" w:lineRule="auto"/>
        <w:rPr>
          <w:rFonts w:ascii="Arial" w:hAnsi="Arial" w:eastAsia="Arial" w:cs="Arial"/>
          <w:color w:val="000000" w:themeColor="text1" w:themeTint="FF" w:themeShade="FF"/>
          <w:sz w:val="22"/>
          <w:szCs w:val="22"/>
        </w:rPr>
      </w:pPr>
      <w:r w:rsidRPr="7E619F55" w:rsidR="1AED22C1">
        <w:rPr>
          <w:rFonts w:ascii="Arial" w:hAnsi="Arial" w:eastAsia="Arial" w:cs="Arial"/>
          <w:color w:val="000000" w:themeColor="text1" w:themeTint="FF" w:themeShade="FF"/>
          <w:sz w:val="22"/>
          <w:szCs w:val="22"/>
        </w:rPr>
        <w:t xml:space="preserve">UK-based evidence confirms that non-surgical interventions especially supervised exercise programmes and consistent bracing are effective in managing AIS. </w:t>
      </w:r>
    </w:p>
    <w:p w:rsidR="1AED22C1" w:rsidP="7E619F55" w:rsidRDefault="1AED22C1" w14:noSpellErr="1" w14:paraId="71F4E44B" w14:textId="39674F03">
      <w:pPr>
        <w:spacing w:before="281" w:after="281" w:line="360" w:lineRule="auto"/>
        <w:rPr>
          <w:rFonts w:ascii="Arial" w:hAnsi="Arial" w:eastAsia="Arial" w:cs="Arial"/>
          <w:color w:val="000000" w:themeColor="text1" w:themeTint="FF" w:themeShade="FF"/>
          <w:sz w:val="22"/>
          <w:szCs w:val="22"/>
        </w:rPr>
      </w:pPr>
      <w:r w:rsidRPr="7E619F55" w:rsidR="1AED22C1">
        <w:rPr>
          <w:rFonts w:ascii="Arial" w:hAnsi="Arial" w:eastAsia="Arial" w:cs="Arial"/>
          <w:color w:val="000000" w:themeColor="text1" w:themeTint="FF" w:themeShade="FF"/>
          <w:sz w:val="22"/>
          <w:szCs w:val="22"/>
        </w:rPr>
        <w:t xml:space="preserve">Psychosocial wellbeing and adherence are crucial determinants of success. </w:t>
      </w:r>
    </w:p>
    <w:p w:rsidR="1AED22C1" w:rsidP="7E619F55" w:rsidRDefault="1AED22C1" w14:noSpellErr="1" w14:paraId="2F0DB135" w14:textId="4D32EE80">
      <w:pPr>
        <w:pStyle w:val="Normal"/>
        <w:spacing w:before="281" w:after="281" w:line="360" w:lineRule="auto"/>
        <w:rPr>
          <w:rFonts w:ascii="Arial" w:hAnsi="Arial" w:eastAsia="Arial" w:cs="Arial"/>
          <w:color w:val="000000" w:themeColor="text1" w:themeTint="FF" w:themeShade="FF"/>
          <w:sz w:val="22"/>
          <w:szCs w:val="22"/>
        </w:rPr>
      </w:pPr>
      <w:r w:rsidRPr="7E619F55" w:rsidR="1AED22C1">
        <w:rPr>
          <w:rFonts w:ascii="Arial" w:hAnsi="Arial" w:eastAsia="Arial" w:cs="Arial"/>
          <w:color w:val="000000" w:themeColor="text1" w:themeTint="FF" w:themeShade="FF"/>
          <w:sz w:val="22"/>
          <w:szCs w:val="22"/>
        </w:rPr>
        <w:t>National standardisation and data collection are currently lacking across the NHS.</w:t>
      </w:r>
    </w:p>
    <w:p w:rsidR="00BB2C24" w:rsidP="7E619F55" w:rsidRDefault="08340CC8" w14:paraId="3FD0A169" w14:textId="48FF843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1E36E0DD" w14:textId="6C45DBE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5D50C840" w14:textId="10800AC1"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7E619F55" w:rsidP="7E619F55" w:rsidRDefault="7E619F55" w14:paraId="25F86C4E" w14:textId="71A8931E">
      <w:pPr>
        <w:spacing w:before="281" w:after="281" w:line="360" w:lineRule="auto"/>
        <w:rPr>
          <w:rFonts w:ascii="Arial" w:hAnsi="Arial" w:eastAsia="Arial" w:cs="Arial"/>
          <w:b w:val="1"/>
          <w:bCs w:val="1"/>
          <w:color w:val="000000" w:themeColor="text1" w:themeTint="FF" w:themeShade="FF"/>
          <w:sz w:val="22"/>
          <w:szCs w:val="22"/>
        </w:rPr>
      </w:pPr>
    </w:p>
    <w:p w:rsidR="7E619F55" w:rsidP="7E619F55" w:rsidRDefault="7E619F55" w14:paraId="34014719" w14:textId="098C879A">
      <w:pPr>
        <w:spacing w:before="281" w:after="281" w:line="360" w:lineRule="auto"/>
        <w:rPr>
          <w:rFonts w:ascii="Arial" w:hAnsi="Arial" w:eastAsia="Arial" w:cs="Arial"/>
          <w:b w:val="1"/>
          <w:bCs w:val="1"/>
          <w:color w:val="000000" w:themeColor="text1" w:themeTint="FF" w:themeShade="FF"/>
          <w:sz w:val="22"/>
          <w:szCs w:val="22"/>
        </w:rPr>
      </w:pPr>
    </w:p>
    <w:p w:rsidR="7E619F55" w:rsidP="7E619F55" w:rsidRDefault="7E619F55" w14:paraId="7A2CD928" w14:textId="4AFB287C">
      <w:pPr>
        <w:spacing w:before="281" w:after="281" w:line="360" w:lineRule="auto"/>
        <w:rPr>
          <w:rFonts w:ascii="Arial" w:hAnsi="Arial" w:eastAsia="Arial" w:cs="Arial"/>
          <w:b w:val="1"/>
          <w:bCs w:val="1"/>
          <w:color w:val="000000" w:themeColor="text1" w:themeTint="FF" w:themeShade="FF"/>
          <w:sz w:val="22"/>
          <w:szCs w:val="22"/>
        </w:rPr>
      </w:pPr>
    </w:p>
    <w:p w:rsidR="7E619F55" w:rsidP="7E619F55" w:rsidRDefault="7E619F55" w14:paraId="4D500EE0" w14:textId="19A693EF">
      <w:pPr>
        <w:spacing w:before="281" w:after="281" w:line="360" w:lineRule="auto"/>
        <w:rPr>
          <w:rFonts w:ascii="Arial" w:hAnsi="Arial" w:eastAsia="Arial" w:cs="Arial"/>
          <w:b w:val="1"/>
          <w:bCs w:val="1"/>
          <w:color w:val="000000" w:themeColor="text1" w:themeTint="FF" w:themeShade="FF"/>
          <w:sz w:val="22"/>
          <w:szCs w:val="22"/>
        </w:rPr>
      </w:pPr>
    </w:p>
    <w:p w:rsidR="00BB2C24" w:rsidP="7E619F55" w:rsidRDefault="08340CC8" w14:paraId="4F89D31F" w14:noSpellErr="1" w14:textId="1FCAB317">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b w:val="1"/>
          <w:bCs w:val="1"/>
          <w:color w:val="000000" w:themeColor="text1" w:themeTint="FF" w:themeShade="FF"/>
          <w:sz w:val="22"/>
          <w:szCs w:val="22"/>
        </w:rPr>
        <w:t xml:space="preserve">References </w:t>
      </w: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0AFAB197" w14:textId="06ADD49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3B0502BD" w14:textId="4D53B85E"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Ahmed, R., Lewis, J. and Patel, H., 2025. Supervised versus unsupervised Schroth home exercise in adolescents with idiopathic scoliosis: a UK randomised controlled trial. Physiotherapy Research International, 30(2), pp.110–122. </w:t>
      </w:r>
    </w:p>
    <w:p w:rsidR="00BB2C24" w:rsidP="7E619F55" w:rsidRDefault="08340CC8" w14:paraId="10F50DA4" w14:textId="0495989F"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Bettany-</w:t>
      </w:r>
      <w:r w:rsidRPr="7E619F55" w:rsidR="703EB1C6">
        <w:rPr>
          <w:rFonts w:ascii="Arial" w:hAnsi="Arial" w:eastAsia="Arial" w:cs="Arial"/>
          <w:color w:val="000000" w:themeColor="text1" w:themeTint="FF" w:themeShade="FF"/>
          <w:sz w:val="22"/>
          <w:szCs w:val="22"/>
        </w:rPr>
        <w:t>Saltikov</w:t>
      </w:r>
      <w:r w:rsidRPr="7E619F55" w:rsidR="703EB1C6">
        <w:rPr>
          <w:rFonts w:ascii="Arial" w:hAnsi="Arial" w:eastAsia="Arial" w:cs="Arial"/>
          <w:color w:val="000000" w:themeColor="text1" w:themeTint="FF" w:themeShade="FF"/>
          <w:sz w:val="22"/>
          <w:szCs w:val="22"/>
        </w:rPr>
        <w:t xml:space="preserve">, J., Parent, E. and Romano, M., 2014. Physiotherapeutic scoliosis-specific exercises in the UK: a randomised controlled trial. Scoliosis and Spinal Disorders, 9(1), p.15. </w:t>
      </w:r>
    </w:p>
    <w:p w:rsidR="00BB2C24" w:rsidP="7E619F55" w:rsidRDefault="08340CC8" w14:paraId="17C0DE32" w14:textId="181BA05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Blake, D. and Morris, L., 2016. Clinician perspectives on non-surgical scoliosis management in NHS spinal services. Physiotherapy Practice and Research, 37(4), pp.230–239. </w:t>
      </w:r>
    </w:p>
    <w:p w:rsidR="00BB2C24" w:rsidP="7E619F55" w:rsidRDefault="08340CC8" w14:paraId="3FC06F35" w14:textId="358E4163"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Braun, V. and Clarke, V., 2006. Using thematic analysis in psychology. Qualitative Research in Psychology, 3(2), pp.77–101. </w:t>
      </w:r>
    </w:p>
    <w:p w:rsidR="00BB2C24" w:rsidP="7E619F55" w:rsidRDefault="08340CC8" w14:paraId="06D12E99" w14:textId="089C57C7">
      <w:pPr>
        <w:pStyle w:val="Normal"/>
        <w:spacing w:before="281" w:after="281" w:line="360" w:lineRule="auto"/>
        <w:rPr>
          <w:rFonts w:ascii="Arial" w:hAnsi="Arial" w:eastAsia="Arial" w:cs="Arial"/>
          <w:color w:val="000000" w:themeColor="text1" w:themeTint="FF" w:themeShade="FF"/>
          <w:sz w:val="22"/>
          <w:szCs w:val="22"/>
        </w:rPr>
      </w:pPr>
      <w:r w:rsidRPr="7E619F55" w:rsidR="518AC22D">
        <w:rPr>
          <w:rFonts w:ascii="Arial" w:hAnsi="Arial" w:eastAsia="Arial" w:cs="Arial"/>
          <w:b w:val="0"/>
          <w:bCs w:val="0"/>
          <w:i w:val="0"/>
          <w:iCs w:val="0"/>
          <w:caps w:val="0"/>
          <w:smallCaps w:val="0"/>
          <w:noProof w:val="0"/>
          <w:color w:val="1D2125"/>
          <w:sz w:val="22"/>
          <w:szCs w:val="22"/>
          <w:lang w:val="en-GB"/>
        </w:rPr>
        <w:t xml:space="preserve">Bell, J. (2018) </w:t>
      </w:r>
      <w:r w:rsidRPr="7E619F55" w:rsidR="518AC22D">
        <w:rPr>
          <w:rFonts w:ascii="Arial" w:hAnsi="Arial" w:eastAsia="Arial" w:cs="Arial"/>
          <w:b w:val="0"/>
          <w:bCs w:val="0"/>
          <w:i w:val="1"/>
          <w:iCs w:val="1"/>
          <w:caps w:val="0"/>
          <w:smallCaps w:val="0"/>
          <w:noProof w:val="0"/>
          <w:color w:val="1D2125"/>
          <w:sz w:val="22"/>
          <w:szCs w:val="22"/>
          <w:lang w:val="en-GB"/>
        </w:rPr>
        <w:t xml:space="preserve">Doing your research </w:t>
      </w:r>
      <w:r w:rsidRPr="7E619F55" w:rsidR="518AC22D">
        <w:rPr>
          <w:rFonts w:ascii="Arial" w:hAnsi="Arial" w:eastAsia="Arial" w:cs="Arial"/>
          <w:b w:val="0"/>
          <w:bCs w:val="0"/>
          <w:i w:val="1"/>
          <w:iCs w:val="1"/>
          <w:caps w:val="0"/>
          <w:smallCaps w:val="0"/>
          <w:noProof w:val="0"/>
          <w:color w:val="1D2125"/>
          <w:sz w:val="22"/>
          <w:szCs w:val="22"/>
          <w:lang w:val="en-GB"/>
        </w:rPr>
        <w:t>project :</w:t>
      </w:r>
      <w:r w:rsidRPr="7E619F55" w:rsidR="518AC22D">
        <w:rPr>
          <w:rFonts w:ascii="Arial" w:hAnsi="Arial" w:eastAsia="Arial" w:cs="Arial"/>
          <w:b w:val="0"/>
          <w:bCs w:val="0"/>
          <w:i w:val="1"/>
          <w:iCs w:val="1"/>
          <w:caps w:val="0"/>
          <w:smallCaps w:val="0"/>
          <w:noProof w:val="0"/>
          <w:color w:val="1D2125"/>
          <w:sz w:val="22"/>
          <w:szCs w:val="22"/>
          <w:lang w:val="en-GB"/>
        </w:rPr>
        <w:t xml:space="preserve"> a guide for first-time researchers</w:t>
      </w:r>
      <w:r w:rsidRPr="7E619F55" w:rsidR="518AC22D">
        <w:rPr>
          <w:rFonts w:ascii="Arial" w:hAnsi="Arial" w:eastAsia="Arial" w:cs="Arial"/>
          <w:b w:val="0"/>
          <w:bCs w:val="0"/>
          <w:i w:val="0"/>
          <w:iCs w:val="0"/>
          <w:caps w:val="0"/>
          <w:smallCaps w:val="0"/>
          <w:noProof w:val="0"/>
          <w:color w:val="1D2125"/>
          <w:sz w:val="22"/>
          <w:szCs w:val="22"/>
          <w:lang w:val="en-GB"/>
        </w:rPr>
        <w:t xml:space="preserve">. 7th </w:t>
      </w:r>
      <w:r w:rsidRPr="7E619F55" w:rsidR="518AC22D">
        <w:rPr>
          <w:rFonts w:ascii="Arial" w:hAnsi="Arial" w:eastAsia="Arial" w:cs="Arial"/>
          <w:b w:val="0"/>
          <w:bCs w:val="0"/>
          <w:i w:val="0"/>
          <w:iCs w:val="0"/>
          <w:caps w:val="0"/>
          <w:smallCaps w:val="0"/>
          <w:noProof w:val="0"/>
          <w:color w:val="1D2125"/>
          <w:sz w:val="22"/>
          <w:szCs w:val="22"/>
          <w:lang w:val="en-GB"/>
        </w:rPr>
        <w:t>Edn</w:t>
      </w:r>
      <w:r w:rsidRPr="7E619F55" w:rsidR="518AC22D">
        <w:rPr>
          <w:rFonts w:ascii="Arial" w:hAnsi="Arial" w:eastAsia="Arial" w:cs="Arial"/>
          <w:b w:val="0"/>
          <w:bCs w:val="0"/>
          <w:i w:val="0"/>
          <w:iCs w:val="0"/>
          <w:caps w:val="0"/>
          <w:smallCaps w:val="0"/>
          <w:noProof w:val="0"/>
          <w:color w:val="1D2125"/>
          <w:sz w:val="22"/>
          <w:szCs w:val="22"/>
          <w:lang w:val="en-GB"/>
        </w:rPr>
        <w:t>, London: McGraw-Hill Education.</w:t>
      </w:r>
      <w:r w:rsidRPr="7E619F55" w:rsidR="703EB1C6">
        <w:rPr>
          <w:rFonts w:ascii="Arial" w:hAnsi="Arial" w:eastAsia="Arial" w:cs="Arial"/>
          <w:color w:val="000000" w:themeColor="text1" w:themeTint="FF" w:themeShade="FF"/>
          <w:sz w:val="22"/>
          <w:szCs w:val="22"/>
        </w:rPr>
        <w:t xml:space="preserve"> </w:t>
      </w:r>
    </w:p>
    <w:p w:rsidR="00BB2C24" w:rsidP="7E619F55" w:rsidRDefault="08340CC8" w14:paraId="6B87AC4B" w14:textId="52C52F7A">
      <w:pPr>
        <w:spacing w:before="281" w:after="281" w:line="360" w:lineRule="auto"/>
        <w:rPr>
          <w:rFonts w:ascii="Arial" w:hAnsi="Arial" w:eastAsia="Arial" w:cs="Arial"/>
          <w:color w:val="000000" w:themeColor="text1"/>
          <w:sz w:val="22"/>
          <w:szCs w:val="22"/>
        </w:rPr>
      </w:pPr>
      <w:r>
        <w:br/>
      </w:r>
      <w:r w:rsidRPr="7E619F55" w:rsidR="703EB1C6">
        <w:rPr>
          <w:rFonts w:ascii="Arial" w:hAnsi="Arial" w:eastAsia="Arial" w:cs="Arial"/>
          <w:color w:val="000000" w:themeColor="text1" w:themeTint="FF" w:themeShade="FF"/>
          <w:sz w:val="22"/>
          <w:szCs w:val="22"/>
        </w:rPr>
        <w:t xml:space="preserve">Ceballos, K., Parker, J. and Hughes, A., 2017. Adherence and outcome of TLSO bracing in adolescent idiopathic scoliosis: a UK cohort study. European Spine Journal, 26(11), pp.2942–2950. </w:t>
      </w:r>
    </w:p>
    <w:p w:rsidR="00BB2C24" w:rsidP="7E619F55" w:rsidRDefault="08340CC8" w14:paraId="27F90747" w14:textId="549D716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b w:val="1"/>
          <w:bCs w:val="1"/>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Cooper, S. and Hall, J., 2020. Tele-rehabilitation for scoliosis management in adolescents: a UK feasibility study. BMJ Open Rehabilitation, 5(3), p.e001045. </w:t>
      </w:r>
    </w:p>
    <w:p w:rsidR="00BB2C24" w:rsidP="7E619F55" w:rsidRDefault="08340CC8" w14:paraId="1980460C" w14:textId="598E41B1"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Curry, H., Richardson, M. and Patel, R., 2022. Outcomes of SEAS exercise for adolescent idiopathic scoliosis in a UK clinical setting. Physiotherapy Theory and Practice, 38(12), pp.1423–1434. </w:t>
      </w:r>
    </w:p>
    <w:p w:rsidR="00BB2C24" w:rsidP="7E619F55" w:rsidRDefault="08340CC8" w14:paraId="7E3DCDFB" w14:textId="1197BAA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Davies, K., Stewart, L. and Arnold, J., 2012. Osteopathic adjuncts in scoliosis management: a UK pilot study. Manual Therapy, 17(6), pp.572–578. </w:t>
      </w:r>
    </w:p>
    <w:p w:rsidR="00BB2C24" w:rsidP="7E619F55" w:rsidRDefault="08340CC8" w14:paraId="2368FBAC" w14:textId="6AD0F4BA"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Grivas, T. et al., 2020. Manual therapy in scoliosis: review of evidence and limitations. Spine Deformity, 8(5), pp.1009–1018. </w:t>
      </w:r>
    </w:p>
    <w:p w:rsidR="00BB2C24" w:rsidP="7E619F55" w:rsidRDefault="08340CC8" w14:paraId="740FFE32" w14:textId="1CC4572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Green, L. and Ahmed, Z., 2024. Patient-reported experiences of brace treatment for adolescent idiopathic scoliosis in the UK. Child: Care, Health and Development, 50(1), pp.75–84. </w:t>
      </w:r>
    </w:p>
    <w:p w:rsidR="00BB2C24" w:rsidP="7E619F55" w:rsidRDefault="08340CC8" w14:paraId="72B236BA" w14:textId="35A4D696"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Hawes, M. and O’Brien, J., 2017. Bracing principles for scoliosis: implications for UK practice. Orthopaedic Nursing, 36(2), pp.120–128. </w:t>
      </w:r>
    </w:p>
    <w:p w:rsidR="00BB2C24" w:rsidP="7E619F55" w:rsidRDefault="08340CC8" w14:paraId="0FDAC8AC" w14:textId="028AA4D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Jones, R., Singh, D. and Walker, P., 2018. Comparative outcomes of </w:t>
      </w:r>
      <w:r w:rsidRPr="7E619F55" w:rsidR="703EB1C6">
        <w:rPr>
          <w:rFonts w:ascii="Arial" w:hAnsi="Arial" w:eastAsia="Arial" w:cs="Arial"/>
          <w:color w:val="000000" w:themeColor="text1" w:themeTint="FF" w:themeShade="FF"/>
          <w:sz w:val="22"/>
          <w:szCs w:val="22"/>
        </w:rPr>
        <w:t>Chêneau</w:t>
      </w:r>
      <w:r w:rsidRPr="7E619F55" w:rsidR="703EB1C6">
        <w:rPr>
          <w:rFonts w:ascii="Arial" w:hAnsi="Arial" w:eastAsia="Arial" w:cs="Arial"/>
          <w:color w:val="000000" w:themeColor="text1" w:themeTint="FF" w:themeShade="FF"/>
          <w:sz w:val="22"/>
          <w:szCs w:val="22"/>
        </w:rPr>
        <w:t xml:space="preserve"> and Boston braces in UK adolescents with idiopathic scoliosis. Spine Journal, 18(9), pp.1598–1606. </w:t>
      </w:r>
    </w:p>
    <w:p w:rsidR="00BB2C24" w:rsidP="7E619F55" w:rsidRDefault="08340CC8" w14:paraId="56F95466" w14:textId="39C1FCE1"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Płaszewski</w:t>
      </w:r>
      <w:r w:rsidRPr="7E619F55" w:rsidR="703EB1C6">
        <w:rPr>
          <w:rFonts w:ascii="Arial" w:hAnsi="Arial" w:eastAsia="Arial" w:cs="Arial"/>
          <w:color w:val="000000" w:themeColor="text1" w:themeTint="FF" w:themeShade="FF"/>
          <w:sz w:val="22"/>
          <w:szCs w:val="22"/>
        </w:rPr>
        <w:t>, M. and Bettany-</w:t>
      </w:r>
      <w:r w:rsidRPr="7E619F55" w:rsidR="703EB1C6">
        <w:rPr>
          <w:rFonts w:ascii="Arial" w:hAnsi="Arial" w:eastAsia="Arial" w:cs="Arial"/>
          <w:color w:val="000000" w:themeColor="text1" w:themeTint="FF" w:themeShade="FF"/>
          <w:sz w:val="22"/>
          <w:szCs w:val="22"/>
        </w:rPr>
        <w:t>Saltikov</w:t>
      </w:r>
      <w:r w:rsidRPr="7E619F55" w:rsidR="703EB1C6">
        <w:rPr>
          <w:rFonts w:ascii="Arial" w:hAnsi="Arial" w:eastAsia="Arial" w:cs="Arial"/>
          <w:color w:val="000000" w:themeColor="text1" w:themeTint="FF" w:themeShade="FF"/>
          <w:sz w:val="22"/>
          <w:szCs w:val="22"/>
        </w:rPr>
        <w:t xml:space="preserve">, J., 2014. Non-surgical interventions for adolescents with idiopathic scoliosis: an overview of systematic reviews. </w:t>
      </w:r>
      <w:r w:rsidRPr="7E619F55" w:rsidR="703EB1C6">
        <w:rPr>
          <w:rFonts w:ascii="Arial" w:hAnsi="Arial" w:eastAsia="Arial" w:cs="Arial"/>
          <w:color w:val="000000" w:themeColor="text1" w:themeTint="FF" w:themeShade="FF"/>
          <w:sz w:val="22"/>
          <w:szCs w:val="22"/>
        </w:rPr>
        <w:t>PloS</w:t>
      </w:r>
      <w:r w:rsidRPr="7E619F55" w:rsidR="703EB1C6">
        <w:rPr>
          <w:rFonts w:ascii="Arial" w:hAnsi="Arial" w:eastAsia="Arial" w:cs="Arial"/>
          <w:color w:val="000000" w:themeColor="text1" w:themeTint="FF" w:themeShade="FF"/>
          <w:sz w:val="22"/>
          <w:szCs w:val="22"/>
        </w:rPr>
        <w:t xml:space="preserve"> one, 9(10), p.e110254. </w:t>
      </w:r>
    </w:p>
    <w:p w:rsidR="00BB2C24" w:rsidP="7E619F55" w:rsidRDefault="08340CC8" w14:paraId="043C1D42" w14:textId="7D6EC15D"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Kuru, T. et al., 2016. The effectiveness of Schroth exercises in Europe: a multi-centre study. European Spine Journal, 25(10), pp.3112–3120. </w:t>
      </w:r>
    </w:p>
    <w:p w:rsidR="00BB2C24" w:rsidP="7E619F55" w:rsidRDefault="08340CC8" w14:paraId="05D76322" w14:textId="2916F1A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Martin, S., Price, H. and Boyd, K., 2020. Psychosocial impact of scoliosis-specific exercise in UK adolescents. Physiotherapy Practice and Research, 41(2), pp.98–107. </w:t>
      </w:r>
    </w:p>
    <w:p w:rsidR="00BB2C24" w:rsidP="7E619F55" w:rsidRDefault="08340CC8" w14:paraId="6CF336B0" w14:textId="6D01E94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Mello, A.I., Kanitz, A.C. and Martinez, F.G., 2017. Non-invasive interventions in idiopathic scoliosis: a systematic review. </w:t>
      </w:r>
      <w:r w:rsidRPr="7E619F55" w:rsidR="703EB1C6">
        <w:rPr>
          <w:rFonts w:ascii="Arial" w:hAnsi="Arial" w:eastAsia="Arial" w:cs="Arial"/>
          <w:color w:val="000000" w:themeColor="text1" w:themeTint="FF" w:themeShade="FF"/>
          <w:sz w:val="22"/>
          <w:szCs w:val="22"/>
        </w:rPr>
        <w:t>Fisioterapia</w:t>
      </w: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em</w:t>
      </w:r>
      <w:r w:rsidRPr="7E619F55" w:rsidR="703EB1C6">
        <w:rPr>
          <w:rFonts w:ascii="Arial" w:hAnsi="Arial" w:eastAsia="Arial" w:cs="Arial"/>
          <w:color w:val="000000" w:themeColor="text1" w:themeTint="FF" w:themeShade="FF"/>
          <w:sz w:val="22"/>
          <w:szCs w:val="22"/>
        </w:rPr>
        <w:t xml:space="preserve"> </w:t>
      </w:r>
      <w:r w:rsidRPr="7E619F55" w:rsidR="703EB1C6">
        <w:rPr>
          <w:rFonts w:ascii="Arial" w:hAnsi="Arial" w:eastAsia="Arial" w:cs="Arial"/>
          <w:color w:val="000000" w:themeColor="text1" w:themeTint="FF" w:themeShade="FF"/>
          <w:sz w:val="22"/>
          <w:szCs w:val="22"/>
        </w:rPr>
        <w:t>Movimento</w:t>
      </w:r>
      <w:r w:rsidRPr="7E619F55" w:rsidR="703EB1C6">
        <w:rPr>
          <w:rFonts w:ascii="Arial" w:hAnsi="Arial" w:eastAsia="Arial" w:cs="Arial"/>
          <w:color w:val="000000" w:themeColor="text1" w:themeTint="FF" w:themeShade="FF"/>
          <w:sz w:val="22"/>
          <w:szCs w:val="22"/>
        </w:rPr>
        <w:t>, 30(</w:t>
      </w:r>
      <w:r w:rsidRPr="7E619F55" w:rsidR="703EB1C6">
        <w:rPr>
          <w:rFonts w:ascii="Arial" w:hAnsi="Arial" w:eastAsia="Arial" w:cs="Arial"/>
          <w:color w:val="000000" w:themeColor="text1" w:themeTint="FF" w:themeShade="FF"/>
          <w:sz w:val="22"/>
          <w:szCs w:val="22"/>
        </w:rPr>
        <w:t>suppl</w:t>
      </w:r>
      <w:r w:rsidRPr="7E619F55" w:rsidR="703EB1C6">
        <w:rPr>
          <w:rFonts w:ascii="Arial" w:hAnsi="Arial" w:eastAsia="Arial" w:cs="Arial"/>
          <w:color w:val="000000" w:themeColor="text1" w:themeTint="FF" w:themeShade="FF"/>
          <w:sz w:val="22"/>
          <w:szCs w:val="22"/>
        </w:rPr>
        <w:t xml:space="preserve"> 1), pp.325-333. </w:t>
      </w:r>
    </w:p>
    <w:p w:rsidR="00BB2C24" w:rsidP="7E619F55" w:rsidRDefault="08340CC8" w14:paraId="1F84E641" w14:textId="13FED4AA"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Nolan, J., Bevan, S. and Halliday, T., 2013. Economic evaluation of conservative versus surgical care in AIS. Health Economics Review, 3(1), p.42. </w:t>
      </w:r>
    </w:p>
    <w:p w:rsidR="00BB2C24" w:rsidP="7E619F55" w:rsidRDefault="08340CC8" w14:paraId="4F743B27" w14:textId="526B779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Parr, M., Evans, J. and Davies, G., 2021. Access to scoliosis physiotherapy across NHS England: a national survey. Physiotherapy Journal, 109(4), pp.370–378. </w:t>
      </w:r>
    </w:p>
    <w:p w:rsidR="00BB2C24" w:rsidP="7E619F55" w:rsidRDefault="08340CC8" w14:paraId="389F6DC9" w14:textId="1ADC3A0B"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Patel, P., Williamson, S. and Rhodes, L., 2023. Five-year outcomes of brace management in UK adolescents with idiopathic scoliosis. Spine Deformity, 11(3), pp.485–496. </w:t>
      </w:r>
    </w:p>
    <w:p w:rsidR="00BB2C24" w:rsidP="7E619F55" w:rsidRDefault="08340CC8" w14:paraId="18C6E165" w14:textId="191099F5"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Richardson, D., Hale, R. and Wilson, J., 2019. Audit of bracing protocols in UK spinal centres. British Journal of Spine Care, 34(2), pp.114–122. </w:t>
      </w:r>
    </w:p>
    <w:p w:rsidR="00BB2C24" w:rsidP="7E619F55" w:rsidRDefault="08340CC8" w14:paraId="0F73C57D" w14:textId="0E18089D"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An, J.K., Berman, D. and Schulz, J., 2023. Back pain in adolescent idiopathic scoliosis: A comprehensive review. Journal of Children's Orthopaedics, 17(2), pp.126-140. </w:t>
      </w:r>
    </w:p>
    <w:p w:rsidR="00BB2C24" w:rsidP="7E619F55" w:rsidRDefault="08340CC8" w14:paraId="066285EF" w14:textId="1E0768A7"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Thomson, A., Leach, E. and Patel, D., 2017. Combined bracing and exercise for AIS: UK prospective cohort results. Physiotherapy Research International, 22(4), p.e1683. </w:t>
      </w:r>
    </w:p>
    <w:p w:rsidR="00BB2C24" w:rsidP="7E619F55" w:rsidRDefault="08340CC8" w14:paraId="79371456" w14:textId="562A4C59"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Tricco, A. et al., 2018. PRISMA Extension for Scoping Reviews (PRISMA-</w:t>
      </w:r>
      <w:r w:rsidRPr="7E619F55" w:rsidR="703EB1C6">
        <w:rPr>
          <w:rFonts w:ascii="Arial" w:hAnsi="Arial" w:eastAsia="Arial" w:cs="Arial"/>
          <w:color w:val="000000" w:themeColor="text1" w:themeTint="FF" w:themeShade="FF"/>
          <w:sz w:val="22"/>
          <w:szCs w:val="22"/>
        </w:rPr>
        <w:t>ScR</w:t>
      </w:r>
      <w:r w:rsidRPr="7E619F55" w:rsidR="703EB1C6">
        <w:rPr>
          <w:rFonts w:ascii="Arial" w:hAnsi="Arial" w:eastAsia="Arial" w:cs="Arial"/>
          <w:color w:val="000000" w:themeColor="text1" w:themeTint="FF" w:themeShade="FF"/>
          <w:sz w:val="22"/>
          <w:szCs w:val="22"/>
        </w:rPr>
        <w:t xml:space="preserve">). Annals of Internal Medicine, 169(7), pp.467–473. </w:t>
      </w:r>
    </w:p>
    <w:p w:rsidR="00BB2C24" w:rsidP="7E619F55" w:rsidRDefault="08340CC8" w14:paraId="07DCC2EB" w14:textId="3D576011"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 </w:t>
      </w:r>
      <w:r>
        <w:br/>
      </w:r>
      <w:r w:rsidRPr="7E619F55" w:rsidR="703EB1C6">
        <w:rPr>
          <w:rFonts w:ascii="Arial" w:hAnsi="Arial" w:eastAsia="Arial" w:cs="Arial"/>
          <w:color w:val="000000" w:themeColor="text1" w:themeTint="FF" w:themeShade="FF"/>
          <w:sz w:val="22"/>
          <w:szCs w:val="22"/>
        </w:rPr>
        <w:t xml:space="preserve">Weinstein, S.L., Dolan, </w:t>
      </w:r>
      <w:r w:rsidRPr="7E619F55" w:rsidR="703EB1C6">
        <w:rPr>
          <w:rFonts w:ascii="Arial" w:hAnsi="Arial" w:eastAsia="Arial" w:cs="Arial"/>
          <w:color w:val="000000" w:themeColor="text1" w:themeTint="FF" w:themeShade="FF"/>
          <w:sz w:val="22"/>
          <w:szCs w:val="22"/>
        </w:rPr>
        <w:t>L.A.</w:t>
      </w:r>
      <w:r w:rsidRPr="7E619F55" w:rsidR="703EB1C6">
        <w:rPr>
          <w:rFonts w:ascii="Arial" w:hAnsi="Arial" w:eastAsia="Arial" w:cs="Arial"/>
          <w:color w:val="000000" w:themeColor="text1" w:themeTint="FF" w:themeShade="FF"/>
          <w:sz w:val="22"/>
          <w:szCs w:val="22"/>
        </w:rPr>
        <w:t xml:space="preserve"> and Cheng, J.C.Y., 2013. Adolescent idiopathic scoliosis. The Lancet, 381(9870), pp.1527–1537. </w:t>
      </w:r>
    </w:p>
    <w:p w:rsidR="00BB2C24" w:rsidP="7E619F55" w:rsidRDefault="08340CC8" w14:paraId="0B35D36E" w14:textId="1B284E4A" w14:noSpellErr="1">
      <w:pPr>
        <w:spacing w:before="281" w:after="281" w:line="360" w:lineRule="auto"/>
        <w:rPr>
          <w:rFonts w:ascii="Arial" w:hAnsi="Arial" w:eastAsia="Arial" w:cs="Arial"/>
          <w:color w:val="000000" w:themeColor="text1"/>
          <w:sz w:val="22"/>
          <w:szCs w:val="22"/>
        </w:rPr>
      </w:pPr>
      <w:r w:rsidRPr="7E619F55" w:rsidR="703EB1C6">
        <w:rPr>
          <w:rFonts w:ascii="Arial" w:hAnsi="Arial" w:eastAsia="Arial" w:cs="Arial"/>
          <w:color w:val="000000" w:themeColor="text1" w:themeTint="FF" w:themeShade="FF"/>
          <w:sz w:val="22"/>
          <w:szCs w:val="22"/>
        </w:rPr>
        <w:t xml:space="preserve">McKee, T.J., Perlman, G., Morris, </w:t>
      </w:r>
      <w:r w:rsidRPr="7E619F55" w:rsidR="703EB1C6">
        <w:rPr>
          <w:rFonts w:ascii="Arial" w:hAnsi="Arial" w:eastAsia="Arial" w:cs="Arial"/>
          <w:color w:val="000000" w:themeColor="text1" w:themeTint="FF" w:themeShade="FF"/>
          <w:sz w:val="22"/>
          <w:szCs w:val="22"/>
        </w:rPr>
        <w:t>M.</w:t>
      </w:r>
      <w:r w:rsidRPr="7E619F55" w:rsidR="703EB1C6">
        <w:rPr>
          <w:rFonts w:ascii="Arial" w:hAnsi="Arial" w:eastAsia="Arial" w:cs="Arial"/>
          <w:color w:val="000000" w:themeColor="text1" w:themeTint="FF" w:themeShade="FF"/>
          <w:sz w:val="22"/>
          <w:szCs w:val="22"/>
        </w:rPr>
        <w:t xml:space="preserve"> and Komarova, S.V., 2019. Extracellular matrix composition of connective tissues: a systematic review and meta-analysis. Scientific reports, 9(1), p.10542. </w:t>
      </w:r>
    </w:p>
    <w:p w:rsidR="00BB2C24" w:rsidP="7E619F55" w:rsidRDefault="00BB2C24" w14:paraId="4BB1EAC0" w14:textId="78C53627" w14:noSpellErr="1">
      <w:pPr>
        <w:spacing w:before="281" w:after="281" w:line="360" w:lineRule="auto"/>
        <w:rPr>
          <w:rFonts w:ascii="Arial" w:hAnsi="Arial" w:eastAsia="Arial" w:cs="Arial"/>
          <w:b w:val="1"/>
          <w:bCs w:val="1"/>
          <w:color w:val="000000" w:themeColor="text1"/>
          <w:sz w:val="22"/>
          <w:szCs w:val="22"/>
        </w:rPr>
      </w:pPr>
    </w:p>
    <w:p w:rsidR="1C3D7091" w:rsidP="7E619F55" w:rsidRDefault="1C3D7091" w14:paraId="4ACD4A21" w14:textId="318AF35A" w14:noSpellErr="1">
      <w:pPr>
        <w:pStyle w:val="Heading2"/>
        <w:spacing w:before="281" w:after="281" w:line="360" w:lineRule="auto"/>
        <w:rPr>
          <w:rFonts w:ascii="Arial" w:hAnsi="Arial" w:eastAsia="Arial" w:cs="Arial"/>
          <w:color w:val="000000" w:themeColor="text1"/>
          <w:sz w:val="22"/>
          <w:szCs w:val="22"/>
        </w:rPr>
      </w:pPr>
    </w:p>
    <w:sectPr w:rsidR="1C3D709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4f133a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da8f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d9c0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4D4A92"/>
    <w:multiLevelType w:val="hybridMultilevel"/>
    <w:tmpl w:val="D6E230FA"/>
    <w:lvl w:ilvl="0" w:tplc="4B2C5B9A">
      <w:start w:val="1"/>
      <w:numFmt w:val="bullet"/>
      <w:lvlText w:val=""/>
      <w:lvlJc w:val="left"/>
      <w:pPr>
        <w:ind w:left="720" w:hanging="360"/>
      </w:pPr>
      <w:rPr>
        <w:rFonts w:hint="default" w:ascii="Symbol" w:hAnsi="Symbol"/>
      </w:rPr>
    </w:lvl>
    <w:lvl w:ilvl="1" w:tplc="A2400E02">
      <w:start w:val="1"/>
      <w:numFmt w:val="bullet"/>
      <w:lvlText w:val="o"/>
      <w:lvlJc w:val="left"/>
      <w:pPr>
        <w:ind w:left="1440" w:hanging="360"/>
      </w:pPr>
      <w:rPr>
        <w:rFonts w:hint="default" w:ascii="Courier New" w:hAnsi="Courier New"/>
      </w:rPr>
    </w:lvl>
    <w:lvl w:ilvl="2" w:tplc="BD726E28">
      <w:start w:val="1"/>
      <w:numFmt w:val="bullet"/>
      <w:lvlText w:val=""/>
      <w:lvlJc w:val="left"/>
      <w:pPr>
        <w:ind w:left="2160" w:hanging="360"/>
      </w:pPr>
      <w:rPr>
        <w:rFonts w:hint="default" w:ascii="Wingdings" w:hAnsi="Wingdings"/>
      </w:rPr>
    </w:lvl>
    <w:lvl w:ilvl="3" w:tplc="5B74EBB4">
      <w:start w:val="1"/>
      <w:numFmt w:val="bullet"/>
      <w:lvlText w:val=""/>
      <w:lvlJc w:val="left"/>
      <w:pPr>
        <w:ind w:left="2880" w:hanging="360"/>
      </w:pPr>
      <w:rPr>
        <w:rFonts w:hint="default" w:ascii="Symbol" w:hAnsi="Symbol"/>
      </w:rPr>
    </w:lvl>
    <w:lvl w:ilvl="4" w:tplc="078CFE84">
      <w:start w:val="1"/>
      <w:numFmt w:val="bullet"/>
      <w:lvlText w:val="o"/>
      <w:lvlJc w:val="left"/>
      <w:pPr>
        <w:ind w:left="3600" w:hanging="360"/>
      </w:pPr>
      <w:rPr>
        <w:rFonts w:hint="default" w:ascii="Courier New" w:hAnsi="Courier New"/>
      </w:rPr>
    </w:lvl>
    <w:lvl w:ilvl="5" w:tplc="CF8E0E54">
      <w:start w:val="1"/>
      <w:numFmt w:val="bullet"/>
      <w:lvlText w:val=""/>
      <w:lvlJc w:val="left"/>
      <w:pPr>
        <w:ind w:left="4320" w:hanging="360"/>
      </w:pPr>
      <w:rPr>
        <w:rFonts w:hint="default" w:ascii="Wingdings" w:hAnsi="Wingdings"/>
      </w:rPr>
    </w:lvl>
    <w:lvl w:ilvl="6" w:tplc="F686130A">
      <w:start w:val="1"/>
      <w:numFmt w:val="bullet"/>
      <w:lvlText w:val=""/>
      <w:lvlJc w:val="left"/>
      <w:pPr>
        <w:ind w:left="5040" w:hanging="360"/>
      </w:pPr>
      <w:rPr>
        <w:rFonts w:hint="default" w:ascii="Symbol" w:hAnsi="Symbol"/>
      </w:rPr>
    </w:lvl>
    <w:lvl w:ilvl="7" w:tplc="EA52E9DE">
      <w:start w:val="1"/>
      <w:numFmt w:val="bullet"/>
      <w:lvlText w:val="o"/>
      <w:lvlJc w:val="left"/>
      <w:pPr>
        <w:ind w:left="5760" w:hanging="360"/>
      </w:pPr>
      <w:rPr>
        <w:rFonts w:hint="default" w:ascii="Courier New" w:hAnsi="Courier New"/>
      </w:rPr>
    </w:lvl>
    <w:lvl w:ilvl="8" w:tplc="9F6C8F72">
      <w:start w:val="1"/>
      <w:numFmt w:val="bullet"/>
      <w:lvlText w:val=""/>
      <w:lvlJc w:val="left"/>
      <w:pPr>
        <w:ind w:left="6480" w:hanging="360"/>
      </w:pPr>
      <w:rPr>
        <w:rFonts w:hint="default" w:ascii="Wingdings" w:hAnsi="Wingdings"/>
      </w:rPr>
    </w:lvl>
  </w:abstractNum>
  <w:abstractNum w:abstractNumId="1" w15:restartNumberingAfterBreak="0">
    <w:nsid w:val="06079346"/>
    <w:multiLevelType w:val="hybridMultilevel"/>
    <w:tmpl w:val="3E0838A0"/>
    <w:lvl w:ilvl="0" w:tplc="B7083AC6">
      <w:start w:val="1"/>
      <w:numFmt w:val="bullet"/>
      <w:lvlText w:val=""/>
      <w:lvlJc w:val="left"/>
      <w:pPr>
        <w:ind w:left="720" w:hanging="360"/>
      </w:pPr>
      <w:rPr>
        <w:rFonts w:hint="default" w:ascii="Symbol" w:hAnsi="Symbol"/>
      </w:rPr>
    </w:lvl>
    <w:lvl w:ilvl="1" w:tplc="3EAEEE58">
      <w:start w:val="1"/>
      <w:numFmt w:val="bullet"/>
      <w:lvlText w:val="o"/>
      <w:lvlJc w:val="left"/>
      <w:pPr>
        <w:ind w:left="1440" w:hanging="360"/>
      </w:pPr>
      <w:rPr>
        <w:rFonts w:hint="default" w:ascii="Courier New" w:hAnsi="Courier New"/>
      </w:rPr>
    </w:lvl>
    <w:lvl w:ilvl="2" w:tplc="51685B04">
      <w:start w:val="1"/>
      <w:numFmt w:val="bullet"/>
      <w:lvlText w:val=""/>
      <w:lvlJc w:val="left"/>
      <w:pPr>
        <w:ind w:left="2160" w:hanging="360"/>
      </w:pPr>
      <w:rPr>
        <w:rFonts w:hint="default" w:ascii="Wingdings" w:hAnsi="Wingdings"/>
      </w:rPr>
    </w:lvl>
    <w:lvl w:ilvl="3" w:tplc="FB0E0BF8">
      <w:start w:val="1"/>
      <w:numFmt w:val="bullet"/>
      <w:lvlText w:val=""/>
      <w:lvlJc w:val="left"/>
      <w:pPr>
        <w:ind w:left="2880" w:hanging="360"/>
      </w:pPr>
      <w:rPr>
        <w:rFonts w:hint="default" w:ascii="Symbol" w:hAnsi="Symbol"/>
      </w:rPr>
    </w:lvl>
    <w:lvl w:ilvl="4" w:tplc="7B62EA50">
      <w:start w:val="1"/>
      <w:numFmt w:val="bullet"/>
      <w:lvlText w:val="o"/>
      <w:lvlJc w:val="left"/>
      <w:pPr>
        <w:ind w:left="3600" w:hanging="360"/>
      </w:pPr>
      <w:rPr>
        <w:rFonts w:hint="default" w:ascii="Courier New" w:hAnsi="Courier New"/>
      </w:rPr>
    </w:lvl>
    <w:lvl w:ilvl="5" w:tplc="9892C5A8">
      <w:start w:val="1"/>
      <w:numFmt w:val="bullet"/>
      <w:lvlText w:val=""/>
      <w:lvlJc w:val="left"/>
      <w:pPr>
        <w:ind w:left="4320" w:hanging="360"/>
      </w:pPr>
      <w:rPr>
        <w:rFonts w:hint="default" w:ascii="Wingdings" w:hAnsi="Wingdings"/>
      </w:rPr>
    </w:lvl>
    <w:lvl w:ilvl="6" w:tplc="4B06862E">
      <w:start w:val="1"/>
      <w:numFmt w:val="bullet"/>
      <w:lvlText w:val=""/>
      <w:lvlJc w:val="left"/>
      <w:pPr>
        <w:ind w:left="5040" w:hanging="360"/>
      </w:pPr>
      <w:rPr>
        <w:rFonts w:hint="default" w:ascii="Symbol" w:hAnsi="Symbol"/>
      </w:rPr>
    </w:lvl>
    <w:lvl w:ilvl="7" w:tplc="15C0BEBE">
      <w:start w:val="1"/>
      <w:numFmt w:val="bullet"/>
      <w:lvlText w:val="o"/>
      <w:lvlJc w:val="left"/>
      <w:pPr>
        <w:ind w:left="5760" w:hanging="360"/>
      </w:pPr>
      <w:rPr>
        <w:rFonts w:hint="default" w:ascii="Courier New" w:hAnsi="Courier New"/>
      </w:rPr>
    </w:lvl>
    <w:lvl w:ilvl="8" w:tplc="F822D894">
      <w:start w:val="1"/>
      <w:numFmt w:val="bullet"/>
      <w:lvlText w:val=""/>
      <w:lvlJc w:val="left"/>
      <w:pPr>
        <w:ind w:left="6480" w:hanging="360"/>
      </w:pPr>
      <w:rPr>
        <w:rFonts w:hint="default" w:ascii="Wingdings" w:hAnsi="Wingdings"/>
      </w:rPr>
    </w:lvl>
  </w:abstractNum>
  <w:abstractNum w:abstractNumId="2" w15:restartNumberingAfterBreak="0">
    <w:nsid w:val="0FE298E1"/>
    <w:multiLevelType w:val="hybridMultilevel"/>
    <w:tmpl w:val="99060D0A"/>
    <w:lvl w:ilvl="0" w:tplc="B68EFFF6">
      <w:start w:val="1"/>
      <w:numFmt w:val="bullet"/>
      <w:lvlText w:val=""/>
      <w:lvlJc w:val="left"/>
      <w:pPr>
        <w:ind w:left="720" w:hanging="360"/>
      </w:pPr>
      <w:rPr>
        <w:rFonts w:hint="default" w:ascii="Symbol" w:hAnsi="Symbol"/>
      </w:rPr>
    </w:lvl>
    <w:lvl w:ilvl="1" w:tplc="2C02B40E">
      <w:start w:val="1"/>
      <w:numFmt w:val="bullet"/>
      <w:lvlText w:val="o"/>
      <w:lvlJc w:val="left"/>
      <w:pPr>
        <w:ind w:left="1440" w:hanging="360"/>
      </w:pPr>
      <w:rPr>
        <w:rFonts w:hint="default" w:ascii="Courier New" w:hAnsi="Courier New"/>
      </w:rPr>
    </w:lvl>
    <w:lvl w:ilvl="2" w:tplc="F1CCC826">
      <w:start w:val="1"/>
      <w:numFmt w:val="bullet"/>
      <w:lvlText w:val=""/>
      <w:lvlJc w:val="left"/>
      <w:pPr>
        <w:ind w:left="2160" w:hanging="360"/>
      </w:pPr>
      <w:rPr>
        <w:rFonts w:hint="default" w:ascii="Wingdings" w:hAnsi="Wingdings"/>
      </w:rPr>
    </w:lvl>
    <w:lvl w:ilvl="3" w:tplc="DE980334">
      <w:start w:val="1"/>
      <w:numFmt w:val="bullet"/>
      <w:lvlText w:val=""/>
      <w:lvlJc w:val="left"/>
      <w:pPr>
        <w:ind w:left="2880" w:hanging="360"/>
      </w:pPr>
      <w:rPr>
        <w:rFonts w:hint="default" w:ascii="Symbol" w:hAnsi="Symbol"/>
      </w:rPr>
    </w:lvl>
    <w:lvl w:ilvl="4" w:tplc="63401CE8">
      <w:start w:val="1"/>
      <w:numFmt w:val="bullet"/>
      <w:lvlText w:val="o"/>
      <w:lvlJc w:val="left"/>
      <w:pPr>
        <w:ind w:left="3600" w:hanging="360"/>
      </w:pPr>
      <w:rPr>
        <w:rFonts w:hint="default" w:ascii="Courier New" w:hAnsi="Courier New"/>
      </w:rPr>
    </w:lvl>
    <w:lvl w:ilvl="5" w:tplc="5504DCCC">
      <w:start w:val="1"/>
      <w:numFmt w:val="bullet"/>
      <w:lvlText w:val=""/>
      <w:lvlJc w:val="left"/>
      <w:pPr>
        <w:ind w:left="4320" w:hanging="360"/>
      </w:pPr>
      <w:rPr>
        <w:rFonts w:hint="default" w:ascii="Wingdings" w:hAnsi="Wingdings"/>
      </w:rPr>
    </w:lvl>
    <w:lvl w:ilvl="6" w:tplc="37B4400A">
      <w:start w:val="1"/>
      <w:numFmt w:val="bullet"/>
      <w:lvlText w:val=""/>
      <w:lvlJc w:val="left"/>
      <w:pPr>
        <w:ind w:left="5040" w:hanging="360"/>
      </w:pPr>
      <w:rPr>
        <w:rFonts w:hint="default" w:ascii="Symbol" w:hAnsi="Symbol"/>
      </w:rPr>
    </w:lvl>
    <w:lvl w:ilvl="7" w:tplc="2C808D88">
      <w:start w:val="1"/>
      <w:numFmt w:val="bullet"/>
      <w:lvlText w:val="o"/>
      <w:lvlJc w:val="left"/>
      <w:pPr>
        <w:ind w:left="5760" w:hanging="360"/>
      </w:pPr>
      <w:rPr>
        <w:rFonts w:hint="default" w:ascii="Courier New" w:hAnsi="Courier New"/>
      </w:rPr>
    </w:lvl>
    <w:lvl w:ilvl="8" w:tplc="4392C0A2">
      <w:start w:val="1"/>
      <w:numFmt w:val="bullet"/>
      <w:lvlText w:val=""/>
      <w:lvlJc w:val="left"/>
      <w:pPr>
        <w:ind w:left="6480" w:hanging="360"/>
      </w:pPr>
      <w:rPr>
        <w:rFonts w:hint="default" w:ascii="Wingdings" w:hAnsi="Wingdings"/>
      </w:rPr>
    </w:lvl>
  </w:abstractNum>
  <w:abstractNum w:abstractNumId="3" w15:restartNumberingAfterBreak="0">
    <w:nsid w:val="15B1C541"/>
    <w:multiLevelType w:val="hybridMultilevel"/>
    <w:tmpl w:val="7B6A05FC"/>
    <w:lvl w:ilvl="0" w:tplc="CFC07400">
      <w:start w:val="1"/>
      <w:numFmt w:val="decimal"/>
      <w:lvlText w:val="%1."/>
      <w:lvlJc w:val="left"/>
      <w:pPr>
        <w:ind w:left="720" w:hanging="360"/>
      </w:pPr>
    </w:lvl>
    <w:lvl w:ilvl="1" w:tplc="C23AB3B2">
      <w:start w:val="1"/>
      <w:numFmt w:val="lowerLetter"/>
      <w:lvlText w:val="%2."/>
      <w:lvlJc w:val="left"/>
      <w:pPr>
        <w:ind w:left="1440" w:hanging="360"/>
      </w:pPr>
    </w:lvl>
    <w:lvl w:ilvl="2" w:tplc="584CD010">
      <w:start w:val="1"/>
      <w:numFmt w:val="lowerRoman"/>
      <w:lvlText w:val="%3."/>
      <w:lvlJc w:val="right"/>
      <w:pPr>
        <w:ind w:left="2160" w:hanging="180"/>
      </w:pPr>
    </w:lvl>
    <w:lvl w:ilvl="3" w:tplc="91D2BD56">
      <w:start w:val="1"/>
      <w:numFmt w:val="decimal"/>
      <w:lvlText w:val="%4."/>
      <w:lvlJc w:val="left"/>
      <w:pPr>
        <w:ind w:left="2880" w:hanging="360"/>
      </w:pPr>
    </w:lvl>
    <w:lvl w:ilvl="4" w:tplc="FDEA973E">
      <w:start w:val="1"/>
      <w:numFmt w:val="lowerLetter"/>
      <w:lvlText w:val="%5."/>
      <w:lvlJc w:val="left"/>
      <w:pPr>
        <w:ind w:left="3600" w:hanging="360"/>
      </w:pPr>
    </w:lvl>
    <w:lvl w:ilvl="5" w:tplc="D4B6FED2">
      <w:start w:val="1"/>
      <w:numFmt w:val="lowerRoman"/>
      <w:lvlText w:val="%6."/>
      <w:lvlJc w:val="right"/>
      <w:pPr>
        <w:ind w:left="4320" w:hanging="180"/>
      </w:pPr>
    </w:lvl>
    <w:lvl w:ilvl="6" w:tplc="45F8C94E">
      <w:start w:val="1"/>
      <w:numFmt w:val="decimal"/>
      <w:lvlText w:val="%7."/>
      <w:lvlJc w:val="left"/>
      <w:pPr>
        <w:ind w:left="5040" w:hanging="360"/>
      </w:pPr>
    </w:lvl>
    <w:lvl w:ilvl="7" w:tplc="3B104802">
      <w:start w:val="1"/>
      <w:numFmt w:val="lowerLetter"/>
      <w:lvlText w:val="%8."/>
      <w:lvlJc w:val="left"/>
      <w:pPr>
        <w:ind w:left="5760" w:hanging="360"/>
      </w:pPr>
    </w:lvl>
    <w:lvl w:ilvl="8" w:tplc="0C32414C">
      <w:start w:val="1"/>
      <w:numFmt w:val="lowerRoman"/>
      <w:lvlText w:val="%9."/>
      <w:lvlJc w:val="right"/>
      <w:pPr>
        <w:ind w:left="6480" w:hanging="180"/>
      </w:pPr>
    </w:lvl>
  </w:abstractNum>
  <w:abstractNum w:abstractNumId="4" w15:restartNumberingAfterBreak="0">
    <w:nsid w:val="2BB934EB"/>
    <w:multiLevelType w:val="hybridMultilevel"/>
    <w:tmpl w:val="DF820DB8"/>
    <w:lvl w:ilvl="0" w:tplc="CE80B1B4">
      <w:start w:val="1"/>
      <w:numFmt w:val="decimal"/>
      <w:lvlText w:val="%1."/>
      <w:lvlJc w:val="left"/>
      <w:pPr>
        <w:ind w:left="720" w:hanging="360"/>
      </w:pPr>
    </w:lvl>
    <w:lvl w:ilvl="1" w:tplc="C1F426FE">
      <w:start w:val="1"/>
      <w:numFmt w:val="lowerLetter"/>
      <w:lvlText w:val="%2."/>
      <w:lvlJc w:val="left"/>
      <w:pPr>
        <w:ind w:left="1440" w:hanging="360"/>
      </w:pPr>
    </w:lvl>
    <w:lvl w:ilvl="2" w:tplc="630E8768">
      <w:start w:val="1"/>
      <w:numFmt w:val="lowerRoman"/>
      <w:lvlText w:val="%3."/>
      <w:lvlJc w:val="right"/>
      <w:pPr>
        <w:ind w:left="2160" w:hanging="180"/>
      </w:pPr>
    </w:lvl>
    <w:lvl w:ilvl="3" w:tplc="2EDC3C3C">
      <w:start w:val="1"/>
      <w:numFmt w:val="decimal"/>
      <w:lvlText w:val="%4."/>
      <w:lvlJc w:val="left"/>
      <w:pPr>
        <w:ind w:left="2880" w:hanging="360"/>
      </w:pPr>
    </w:lvl>
    <w:lvl w:ilvl="4" w:tplc="220ED006">
      <w:start w:val="1"/>
      <w:numFmt w:val="lowerLetter"/>
      <w:lvlText w:val="%5."/>
      <w:lvlJc w:val="left"/>
      <w:pPr>
        <w:ind w:left="3600" w:hanging="360"/>
      </w:pPr>
    </w:lvl>
    <w:lvl w:ilvl="5" w:tplc="2DC073BE">
      <w:start w:val="1"/>
      <w:numFmt w:val="lowerRoman"/>
      <w:lvlText w:val="%6."/>
      <w:lvlJc w:val="right"/>
      <w:pPr>
        <w:ind w:left="4320" w:hanging="180"/>
      </w:pPr>
    </w:lvl>
    <w:lvl w:ilvl="6" w:tplc="9A72B720">
      <w:start w:val="1"/>
      <w:numFmt w:val="decimal"/>
      <w:lvlText w:val="%7."/>
      <w:lvlJc w:val="left"/>
      <w:pPr>
        <w:ind w:left="5040" w:hanging="360"/>
      </w:pPr>
    </w:lvl>
    <w:lvl w:ilvl="7" w:tplc="DAB050AA">
      <w:start w:val="1"/>
      <w:numFmt w:val="lowerLetter"/>
      <w:lvlText w:val="%8."/>
      <w:lvlJc w:val="left"/>
      <w:pPr>
        <w:ind w:left="5760" w:hanging="360"/>
      </w:pPr>
    </w:lvl>
    <w:lvl w:ilvl="8" w:tplc="1F4600EA">
      <w:start w:val="1"/>
      <w:numFmt w:val="lowerRoman"/>
      <w:lvlText w:val="%9."/>
      <w:lvlJc w:val="right"/>
      <w:pPr>
        <w:ind w:left="6480" w:hanging="180"/>
      </w:pPr>
    </w:lvl>
  </w:abstractNum>
  <w:abstractNum w:abstractNumId="5" w15:restartNumberingAfterBreak="0">
    <w:nsid w:val="31056A16"/>
    <w:multiLevelType w:val="hybridMultilevel"/>
    <w:tmpl w:val="141A73AE"/>
    <w:lvl w:ilvl="0" w:tplc="486A93E8">
      <w:start w:val="1"/>
      <w:numFmt w:val="bullet"/>
      <w:lvlText w:val=""/>
      <w:lvlJc w:val="left"/>
      <w:pPr>
        <w:ind w:left="720" w:hanging="360"/>
      </w:pPr>
      <w:rPr>
        <w:rFonts w:hint="default" w:ascii="Symbol" w:hAnsi="Symbol"/>
      </w:rPr>
    </w:lvl>
    <w:lvl w:ilvl="1" w:tplc="B70AA3B8">
      <w:start w:val="1"/>
      <w:numFmt w:val="bullet"/>
      <w:lvlText w:val="o"/>
      <w:lvlJc w:val="left"/>
      <w:pPr>
        <w:ind w:left="1440" w:hanging="360"/>
      </w:pPr>
      <w:rPr>
        <w:rFonts w:hint="default" w:ascii="Courier New" w:hAnsi="Courier New"/>
      </w:rPr>
    </w:lvl>
    <w:lvl w:ilvl="2" w:tplc="36B04B9C">
      <w:start w:val="1"/>
      <w:numFmt w:val="bullet"/>
      <w:lvlText w:val=""/>
      <w:lvlJc w:val="left"/>
      <w:pPr>
        <w:ind w:left="2160" w:hanging="360"/>
      </w:pPr>
      <w:rPr>
        <w:rFonts w:hint="default" w:ascii="Wingdings" w:hAnsi="Wingdings"/>
      </w:rPr>
    </w:lvl>
    <w:lvl w:ilvl="3" w:tplc="383A87AE">
      <w:start w:val="1"/>
      <w:numFmt w:val="bullet"/>
      <w:lvlText w:val=""/>
      <w:lvlJc w:val="left"/>
      <w:pPr>
        <w:ind w:left="2880" w:hanging="360"/>
      </w:pPr>
      <w:rPr>
        <w:rFonts w:hint="default" w:ascii="Symbol" w:hAnsi="Symbol"/>
      </w:rPr>
    </w:lvl>
    <w:lvl w:ilvl="4" w:tplc="A028CD00">
      <w:start w:val="1"/>
      <w:numFmt w:val="bullet"/>
      <w:lvlText w:val="o"/>
      <w:lvlJc w:val="left"/>
      <w:pPr>
        <w:ind w:left="3600" w:hanging="360"/>
      </w:pPr>
      <w:rPr>
        <w:rFonts w:hint="default" w:ascii="Courier New" w:hAnsi="Courier New"/>
      </w:rPr>
    </w:lvl>
    <w:lvl w:ilvl="5" w:tplc="30F21C6C">
      <w:start w:val="1"/>
      <w:numFmt w:val="bullet"/>
      <w:lvlText w:val=""/>
      <w:lvlJc w:val="left"/>
      <w:pPr>
        <w:ind w:left="4320" w:hanging="360"/>
      </w:pPr>
      <w:rPr>
        <w:rFonts w:hint="default" w:ascii="Wingdings" w:hAnsi="Wingdings"/>
      </w:rPr>
    </w:lvl>
    <w:lvl w:ilvl="6" w:tplc="D932D5F0">
      <w:start w:val="1"/>
      <w:numFmt w:val="bullet"/>
      <w:lvlText w:val=""/>
      <w:lvlJc w:val="left"/>
      <w:pPr>
        <w:ind w:left="5040" w:hanging="360"/>
      </w:pPr>
      <w:rPr>
        <w:rFonts w:hint="default" w:ascii="Symbol" w:hAnsi="Symbol"/>
      </w:rPr>
    </w:lvl>
    <w:lvl w:ilvl="7" w:tplc="FC3AC74C">
      <w:start w:val="1"/>
      <w:numFmt w:val="bullet"/>
      <w:lvlText w:val="o"/>
      <w:lvlJc w:val="left"/>
      <w:pPr>
        <w:ind w:left="5760" w:hanging="360"/>
      </w:pPr>
      <w:rPr>
        <w:rFonts w:hint="default" w:ascii="Courier New" w:hAnsi="Courier New"/>
      </w:rPr>
    </w:lvl>
    <w:lvl w:ilvl="8" w:tplc="58E6F0F8">
      <w:start w:val="1"/>
      <w:numFmt w:val="bullet"/>
      <w:lvlText w:val=""/>
      <w:lvlJc w:val="left"/>
      <w:pPr>
        <w:ind w:left="6480" w:hanging="360"/>
      </w:pPr>
      <w:rPr>
        <w:rFonts w:hint="default" w:ascii="Wingdings" w:hAnsi="Wingdings"/>
      </w:rPr>
    </w:lvl>
  </w:abstractNum>
  <w:abstractNum w:abstractNumId="6" w15:restartNumberingAfterBreak="0">
    <w:nsid w:val="3A9FB95B"/>
    <w:multiLevelType w:val="hybridMultilevel"/>
    <w:tmpl w:val="960E3924"/>
    <w:lvl w:ilvl="0" w:tplc="841EED5C">
      <w:start w:val="1"/>
      <w:numFmt w:val="bullet"/>
      <w:lvlText w:val=""/>
      <w:lvlJc w:val="left"/>
      <w:pPr>
        <w:ind w:left="720" w:hanging="360"/>
      </w:pPr>
      <w:rPr>
        <w:rFonts w:hint="default" w:ascii="Symbol" w:hAnsi="Symbol"/>
      </w:rPr>
    </w:lvl>
    <w:lvl w:ilvl="1" w:tplc="8E225826">
      <w:start w:val="1"/>
      <w:numFmt w:val="bullet"/>
      <w:lvlText w:val="o"/>
      <w:lvlJc w:val="left"/>
      <w:pPr>
        <w:ind w:left="1440" w:hanging="360"/>
      </w:pPr>
      <w:rPr>
        <w:rFonts w:hint="default" w:ascii="Courier New" w:hAnsi="Courier New"/>
      </w:rPr>
    </w:lvl>
    <w:lvl w:ilvl="2" w:tplc="06707812">
      <w:start w:val="1"/>
      <w:numFmt w:val="bullet"/>
      <w:lvlText w:val=""/>
      <w:lvlJc w:val="left"/>
      <w:pPr>
        <w:ind w:left="2160" w:hanging="360"/>
      </w:pPr>
      <w:rPr>
        <w:rFonts w:hint="default" w:ascii="Wingdings" w:hAnsi="Wingdings"/>
      </w:rPr>
    </w:lvl>
    <w:lvl w:ilvl="3" w:tplc="EEC0F3E0">
      <w:start w:val="1"/>
      <w:numFmt w:val="bullet"/>
      <w:lvlText w:val=""/>
      <w:lvlJc w:val="left"/>
      <w:pPr>
        <w:ind w:left="2880" w:hanging="360"/>
      </w:pPr>
      <w:rPr>
        <w:rFonts w:hint="default" w:ascii="Symbol" w:hAnsi="Symbol"/>
      </w:rPr>
    </w:lvl>
    <w:lvl w:ilvl="4" w:tplc="7F9C02EA">
      <w:start w:val="1"/>
      <w:numFmt w:val="bullet"/>
      <w:lvlText w:val="o"/>
      <w:lvlJc w:val="left"/>
      <w:pPr>
        <w:ind w:left="3600" w:hanging="360"/>
      </w:pPr>
      <w:rPr>
        <w:rFonts w:hint="default" w:ascii="Courier New" w:hAnsi="Courier New"/>
      </w:rPr>
    </w:lvl>
    <w:lvl w:ilvl="5" w:tplc="1A660650">
      <w:start w:val="1"/>
      <w:numFmt w:val="bullet"/>
      <w:lvlText w:val=""/>
      <w:lvlJc w:val="left"/>
      <w:pPr>
        <w:ind w:left="4320" w:hanging="360"/>
      </w:pPr>
      <w:rPr>
        <w:rFonts w:hint="default" w:ascii="Wingdings" w:hAnsi="Wingdings"/>
      </w:rPr>
    </w:lvl>
    <w:lvl w:ilvl="6" w:tplc="980461F6">
      <w:start w:val="1"/>
      <w:numFmt w:val="bullet"/>
      <w:lvlText w:val=""/>
      <w:lvlJc w:val="left"/>
      <w:pPr>
        <w:ind w:left="5040" w:hanging="360"/>
      </w:pPr>
      <w:rPr>
        <w:rFonts w:hint="default" w:ascii="Symbol" w:hAnsi="Symbol"/>
      </w:rPr>
    </w:lvl>
    <w:lvl w:ilvl="7" w:tplc="A148DB90">
      <w:start w:val="1"/>
      <w:numFmt w:val="bullet"/>
      <w:lvlText w:val="o"/>
      <w:lvlJc w:val="left"/>
      <w:pPr>
        <w:ind w:left="5760" w:hanging="360"/>
      </w:pPr>
      <w:rPr>
        <w:rFonts w:hint="default" w:ascii="Courier New" w:hAnsi="Courier New"/>
      </w:rPr>
    </w:lvl>
    <w:lvl w:ilvl="8" w:tplc="A00EAB5A">
      <w:start w:val="1"/>
      <w:numFmt w:val="bullet"/>
      <w:lvlText w:val=""/>
      <w:lvlJc w:val="left"/>
      <w:pPr>
        <w:ind w:left="6480" w:hanging="360"/>
      </w:pPr>
      <w:rPr>
        <w:rFonts w:hint="default" w:ascii="Wingdings" w:hAnsi="Wingdings"/>
      </w:rPr>
    </w:lvl>
  </w:abstractNum>
  <w:abstractNum w:abstractNumId="7" w15:restartNumberingAfterBreak="0">
    <w:nsid w:val="4119CBCE"/>
    <w:multiLevelType w:val="hybridMultilevel"/>
    <w:tmpl w:val="BA4222A6"/>
    <w:lvl w:ilvl="0" w:tplc="82FA218C">
      <w:start w:val="1"/>
      <w:numFmt w:val="decimal"/>
      <w:lvlText w:val="%1."/>
      <w:lvlJc w:val="left"/>
      <w:pPr>
        <w:ind w:left="720" w:hanging="360"/>
      </w:pPr>
    </w:lvl>
    <w:lvl w:ilvl="1" w:tplc="3F761C60">
      <w:start w:val="1"/>
      <w:numFmt w:val="lowerLetter"/>
      <w:lvlText w:val="%2."/>
      <w:lvlJc w:val="left"/>
      <w:pPr>
        <w:ind w:left="1440" w:hanging="360"/>
      </w:pPr>
    </w:lvl>
    <w:lvl w:ilvl="2" w:tplc="06EABFFC">
      <w:start w:val="1"/>
      <w:numFmt w:val="lowerRoman"/>
      <w:lvlText w:val="%3."/>
      <w:lvlJc w:val="right"/>
      <w:pPr>
        <w:ind w:left="2160" w:hanging="180"/>
      </w:pPr>
    </w:lvl>
    <w:lvl w:ilvl="3" w:tplc="DB74796A">
      <w:start w:val="1"/>
      <w:numFmt w:val="decimal"/>
      <w:lvlText w:val="%4."/>
      <w:lvlJc w:val="left"/>
      <w:pPr>
        <w:ind w:left="2880" w:hanging="360"/>
      </w:pPr>
    </w:lvl>
    <w:lvl w:ilvl="4" w:tplc="5B0A0624">
      <w:start w:val="1"/>
      <w:numFmt w:val="lowerLetter"/>
      <w:lvlText w:val="%5."/>
      <w:lvlJc w:val="left"/>
      <w:pPr>
        <w:ind w:left="3600" w:hanging="360"/>
      </w:pPr>
    </w:lvl>
    <w:lvl w:ilvl="5" w:tplc="E056D42E">
      <w:start w:val="1"/>
      <w:numFmt w:val="lowerRoman"/>
      <w:lvlText w:val="%6."/>
      <w:lvlJc w:val="right"/>
      <w:pPr>
        <w:ind w:left="4320" w:hanging="180"/>
      </w:pPr>
    </w:lvl>
    <w:lvl w:ilvl="6" w:tplc="692C2D36">
      <w:start w:val="1"/>
      <w:numFmt w:val="decimal"/>
      <w:lvlText w:val="%7."/>
      <w:lvlJc w:val="left"/>
      <w:pPr>
        <w:ind w:left="5040" w:hanging="360"/>
      </w:pPr>
    </w:lvl>
    <w:lvl w:ilvl="7" w:tplc="E2B24836">
      <w:start w:val="1"/>
      <w:numFmt w:val="lowerLetter"/>
      <w:lvlText w:val="%8."/>
      <w:lvlJc w:val="left"/>
      <w:pPr>
        <w:ind w:left="5760" w:hanging="360"/>
      </w:pPr>
    </w:lvl>
    <w:lvl w:ilvl="8" w:tplc="AB626BCC">
      <w:start w:val="1"/>
      <w:numFmt w:val="lowerRoman"/>
      <w:lvlText w:val="%9."/>
      <w:lvlJc w:val="right"/>
      <w:pPr>
        <w:ind w:left="6480" w:hanging="180"/>
      </w:pPr>
    </w:lvl>
  </w:abstractNum>
  <w:abstractNum w:abstractNumId="8" w15:restartNumberingAfterBreak="0">
    <w:nsid w:val="614C3C39"/>
    <w:multiLevelType w:val="hybridMultilevel"/>
    <w:tmpl w:val="5BB00030"/>
    <w:lvl w:ilvl="0" w:tplc="87FE9050">
      <w:start w:val="1"/>
      <w:numFmt w:val="decimal"/>
      <w:lvlText w:val="%1."/>
      <w:lvlJc w:val="left"/>
      <w:pPr>
        <w:ind w:left="720" w:hanging="360"/>
      </w:pPr>
    </w:lvl>
    <w:lvl w:ilvl="1" w:tplc="B5FCF672">
      <w:start w:val="1"/>
      <w:numFmt w:val="lowerLetter"/>
      <w:lvlText w:val="%2."/>
      <w:lvlJc w:val="left"/>
      <w:pPr>
        <w:ind w:left="1440" w:hanging="360"/>
      </w:pPr>
    </w:lvl>
    <w:lvl w:ilvl="2" w:tplc="3CAA9B46">
      <w:start w:val="1"/>
      <w:numFmt w:val="lowerRoman"/>
      <w:lvlText w:val="%3."/>
      <w:lvlJc w:val="right"/>
      <w:pPr>
        <w:ind w:left="2160" w:hanging="180"/>
      </w:pPr>
    </w:lvl>
    <w:lvl w:ilvl="3" w:tplc="3EBAC472">
      <w:start w:val="1"/>
      <w:numFmt w:val="decimal"/>
      <w:lvlText w:val="%4."/>
      <w:lvlJc w:val="left"/>
      <w:pPr>
        <w:ind w:left="2880" w:hanging="360"/>
      </w:pPr>
    </w:lvl>
    <w:lvl w:ilvl="4" w:tplc="CE46DF90">
      <w:start w:val="1"/>
      <w:numFmt w:val="lowerLetter"/>
      <w:lvlText w:val="%5."/>
      <w:lvlJc w:val="left"/>
      <w:pPr>
        <w:ind w:left="3600" w:hanging="360"/>
      </w:pPr>
    </w:lvl>
    <w:lvl w:ilvl="5" w:tplc="5704AC4C">
      <w:start w:val="1"/>
      <w:numFmt w:val="lowerRoman"/>
      <w:lvlText w:val="%6."/>
      <w:lvlJc w:val="right"/>
      <w:pPr>
        <w:ind w:left="4320" w:hanging="180"/>
      </w:pPr>
    </w:lvl>
    <w:lvl w:ilvl="6" w:tplc="53647DD8">
      <w:start w:val="1"/>
      <w:numFmt w:val="decimal"/>
      <w:lvlText w:val="%7."/>
      <w:lvlJc w:val="left"/>
      <w:pPr>
        <w:ind w:left="5040" w:hanging="360"/>
      </w:pPr>
    </w:lvl>
    <w:lvl w:ilvl="7" w:tplc="58868BDC">
      <w:start w:val="1"/>
      <w:numFmt w:val="lowerLetter"/>
      <w:lvlText w:val="%8."/>
      <w:lvlJc w:val="left"/>
      <w:pPr>
        <w:ind w:left="5760" w:hanging="360"/>
      </w:pPr>
    </w:lvl>
    <w:lvl w:ilvl="8" w:tplc="EAE276F2">
      <w:start w:val="1"/>
      <w:numFmt w:val="lowerRoman"/>
      <w:lvlText w:val="%9."/>
      <w:lvlJc w:val="right"/>
      <w:pPr>
        <w:ind w:left="6480" w:hanging="180"/>
      </w:pPr>
    </w:lvl>
  </w:abstractNum>
  <w:abstractNum w:abstractNumId="9" w15:restartNumberingAfterBreak="0">
    <w:nsid w:val="66B0F805"/>
    <w:multiLevelType w:val="hybridMultilevel"/>
    <w:tmpl w:val="9214721E"/>
    <w:lvl w:ilvl="0" w:tplc="43FA3ACE">
      <w:start w:val="1"/>
      <w:numFmt w:val="bullet"/>
      <w:lvlText w:val=""/>
      <w:lvlJc w:val="left"/>
      <w:pPr>
        <w:ind w:left="720" w:hanging="360"/>
      </w:pPr>
      <w:rPr>
        <w:rFonts w:hint="default" w:ascii="Symbol" w:hAnsi="Symbol"/>
      </w:rPr>
    </w:lvl>
    <w:lvl w:ilvl="1" w:tplc="697ADCDE">
      <w:start w:val="1"/>
      <w:numFmt w:val="bullet"/>
      <w:lvlText w:val="o"/>
      <w:lvlJc w:val="left"/>
      <w:pPr>
        <w:ind w:left="1440" w:hanging="360"/>
      </w:pPr>
      <w:rPr>
        <w:rFonts w:hint="default" w:ascii="Courier New" w:hAnsi="Courier New"/>
      </w:rPr>
    </w:lvl>
    <w:lvl w:ilvl="2" w:tplc="D1A4270A">
      <w:start w:val="1"/>
      <w:numFmt w:val="bullet"/>
      <w:lvlText w:val=""/>
      <w:lvlJc w:val="left"/>
      <w:pPr>
        <w:ind w:left="2160" w:hanging="360"/>
      </w:pPr>
      <w:rPr>
        <w:rFonts w:hint="default" w:ascii="Wingdings" w:hAnsi="Wingdings"/>
      </w:rPr>
    </w:lvl>
    <w:lvl w:ilvl="3" w:tplc="386A8D70">
      <w:start w:val="1"/>
      <w:numFmt w:val="bullet"/>
      <w:lvlText w:val=""/>
      <w:lvlJc w:val="left"/>
      <w:pPr>
        <w:ind w:left="2880" w:hanging="360"/>
      </w:pPr>
      <w:rPr>
        <w:rFonts w:hint="default" w:ascii="Symbol" w:hAnsi="Symbol"/>
      </w:rPr>
    </w:lvl>
    <w:lvl w:ilvl="4" w:tplc="70DAEA02">
      <w:start w:val="1"/>
      <w:numFmt w:val="bullet"/>
      <w:lvlText w:val="o"/>
      <w:lvlJc w:val="left"/>
      <w:pPr>
        <w:ind w:left="3600" w:hanging="360"/>
      </w:pPr>
      <w:rPr>
        <w:rFonts w:hint="default" w:ascii="Courier New" w:hAnsi="Courier New"/>
      </w:rPr>
    </w:lvl>
    <w:lvl w:ilvl="5" w:tplc="EA460E0E">
      <w:start w:val="1"/>
      <w:numFmt w:val="bullet"/>
      <w:lvlText w:val=""/>
      <w:lvlJc w:val="left"/>
      <w:pPr>
        <w:ind w:left="4320" w:hanging="360"/>
      </w:pPr>
      <w:rPr>
        <w:rFonts w:hint="default" w:ascii="Wingdings" w:hAnsi="Wingdings"/>
      </w:rPr>
    </w:lvl>
    <w:lvl w:ilvl="6" w:tplc="9AB813A0">
      <w:start w:val="1"/>
      <w:numFmt w:val="bullet"/>
      <w:lvlText w:val=""/>
      <w:lvlJc w:val="left"/>
      <w:pPr>
        <w:ind w:left="5040" w:hanging="360"/>
      </w:pPr>
      <w:rPr>
        <w:rFonts w:hint="default" w:ascii="Symbol" w:hAnsi="Symbol"/>
      </w:rPr>
    </w:lvl>
    <w:lvl w:ilvl="7" w:tplc="451A741E">
      <w:start w:val="1"/>
      <w:numFmt w:val="bullet"/>
      <w:lvlText w:val="o"/>
      <w:lvlJc w:val="left"/>
      <w:pPr>
        <w:ind w:left="5760" w:hanging="360"/>
      </w:pPr>
      <w:rPr>
        <w:rFonts w:hint="default" w:ascii="Courier New" w:hAnsi="Courier New"/>
      </w:rPr>
    </w:lvl>
    <w:lvl w:ilvl="8" w:tplc="35B24EB0">
      <w:start w:val="1"/>
      <w:numFmt w:val="bullet"/>
      <w:lvlText w:val=""/>
      <w:lvlJc w:val="left"/>
      <w:pPr>
        <w:ind w:left="6480" w:hanging="360"/>
      </w:pPr>
      <w:rPr>
        <w:rFonts w:hint="default" w:ascii="Wingdings" w:hAnsi="Wingdings"/>
      </w:rPr>
    </w:lvl>
  </w:abstractNum>
  <w:abstractNum w:abstractNumId="10" w15:restartNumberingAfterBreak="0">
    <w:nsid w:val="681CCD1F"/>
    <w:multiLevelType w:val="hybridMultilevel"/>
    <w:tmpl w:val="A970ADA0"/>
    <w:lvl w:ilvl="0" w:tplc="6214078C">
      <w:start w:val="1"/>
      <w:numFmt w:val="decimal"/>
      <w:lvlText w:val="%1."/>
      <w:lvlJc w:val="left"/>
      <w:pPr>
        <w:ind w:left="720" w:hanging="360"/>
      </w:pPr>
    </w:lvl>
    <w:lvl w:ilvl="1" w:tplc="F3E88BF2">
      <w:start w:val="1"/>
      <w:numFmt w:val="lowerLetter"/>
      <w:lvlText w:val="%2."/>
      <w:lvlJc w:val="left"/>
      <w:pPr>
        <w:ind w:left="1440" w:hanging="360"/>
      </w:pPr>
    </w:lvl>
    <w:lvl w:ilvl="2" w:tplc="4282FCAE">
      <w:start w:val="1"/>
      <w:numFmt w:val="lowerRoman"/>
      <w:lvlText w:val="%3."/>
      <w:lvlJc w:val="right"/>
      <w:pPr>
        <w:ind w:left="2160" w:hanging="180"/>
      </w:pPr>
    </w:lvl>
    <w:lvl w:ilvl="3" w:tplc="62D61C88">
      <w:start w:val="1"/>
      <w:numFmt w:val="decimal"/>
      <w:lvlText w:val="%4."/>
      <w:lvlJc w:val="left"/>
      <w:pPr>
        <w:ind w:left="2880" w:hanging="360"/>
      </w:pPr>
    </w:lvl>
    <w:lvl w:ilvl="4" w:tplc="CE122DC0">
      <w:start w:val="1"/>
      <w:numFmt w:val="lowerLetter"/>
      <w:lvlText w:val="%5."/>
      <w:lvlJc w:val="left"/>
      <w:pPr>
        <w:ind w:left="3600" w:hanging="360"/>
      </w:pPr>
    </w:lvl>
    <w:lvl w:ilvl="5" w:tplc="9D2AF446">
      <w:start w:val="1"/>
      <w:numFmt w:val="lowerRoman"/>
      <w:lvlText w:val="%6."/>
      <w:lvlJc w:val="right"/>
      <w:pPr>
        <w:ind w:left="4320" w:hanging="180"/>
      </w:pPr>
    </w:lvl>
    <w:lvl w:ilvl="6" w:tplc="CDDE3770">
      <w:start w:val="1"/>
      <w:numFmt w:val="decimal"/>
      <w:lvlText w:val="%7."/>
      <w:lvlJc w:val="left"/>
      <w:pPr>
        <w:ind w:left="5040" w:hanging="360"/>
      </w:pPr>
    </w:lvl>
    <w:lvl w:ilvl="7" w:tplc="11E2918C">
      <w:start w:val="1"/>
      <w:numFmt w:val="lowerLetter"/>
      <w:lvlText w:val="%8."/>
      <w:lvlJc w:val="left"/>
      <w:pPr>
        <w:ind w:left="5760" w:hanging="360"/>
      </w:pPr>
    </w:lvl>
    <w:lvl w:ilvl="8" w:tplc="4E08F528">
      <w:start w:val="1"/>
      <w:numFmt w:val="lowerRoman"/>
      <w:lvlText w:val="%9."/>
      <w:lvlJc w:val="right"/>
      <w:pPr>
        <w:ind w:left="6480" w:hanging="180"/>
      </w:pPr>
    </w:lvl>
  </w:abstractNum>
  <w:abstractNum w:abstractNumId="11" w15:restartNumberingAfterBreak="0">
    <w:nsid w:val="7A492EBA"/>
    <w:multiLevelType w:val="hybridMultilevel"/>
    <w:tmpl w:val="54C0E06C"/>
    <w:lvl w:ilvl="0" w:tplc="1368FC06">
      <w:start w:val="1"/>
      <w:numFmt w:val="decimal"/>
      <w:lvlText w:val="%1."/>
      <w:lvlJc w:val="left"/>
      <w:pPr>
        <w:ind w:left="720" w:hanging="360"/>
      </w:pPr>
    </w:lvl>
    <w:lvl w:ilvl="1" w:tplc="0F96385E">
      <w:start w:val="1"/>
      <w:numFmt w:val="lowerLetter"/>
      <w:lvlText w:val="%2."/>
      <w:lvlJc w:val="left"/>
      <w:pPr>
        <w:ind w:left="1440" w:hanging="360"/>
      </w:pPr>
    </w:lvl>
    <w:lvl w:ilvl="2" w:tplc="D8C0E7B4">
      <w:start w:val="1"/>
      <w:numFmt w:val="lowerRoman"/>
      <w:lvlText w:val="%3."/>
      <w:lvlJc w:val="right"/>
      <w:pPr>
        <w:ind w:left="2160" w:hanging="180"/>
      </w:pPr>
    </w:lvl>
    <w:lvl w:ilvl="3" w:tplc="8934F31A">
      <w:start w:val="1"/>
      <w:numFmt w:val="decimal"/>
      <w:lvlText w:val="%4."/>
      <w:lvlJc w:val="left"/>
      <w:pPr>
        <w:ind w:left="2880" w:hanging="360"/>
      </w:pPr>
    </w:lvl>
    <w:lvl w:ilvl="4" w:tplc="C3E0DA08">
      <w:start w:val="1"/>
      <w:numFmt w:val="lowerLetter"/>
      <w:lvlText w:val="%5."/>
      <w:lvlJc w:val="left"/>
      <w:pPr>
        <w:ind w:left="3600" w:hanging="360"/>
      </w:pPr>
    </w:lvl>
    <w:lvl w:ilvl="5" w:tplc="1D4E8F9C">
      <w:start w:val="1"/>
      <w:numFmt w:val="lowerRoman"/>
      <w:lvlText w:val="%6."/>
      <w:lvlJc w:val="right"/>
      <w:pPr>
        <w:ind w:left="4320" w:hanging="180"/>
      </w:pPr>
    </w:lvl>
    <w:lvl w:ilvl="6" w:tplc="F27870C4">
      <w:start w:val="1"/>
      <w:numFmt w:val="decimal"/>
      <w:lvlText w:val="%7."/>
      <w:lvlJc w:val="left"/>
      <w:pPr>
        <w:ind w:left="5040" w:hanging="360"/>
      </w:pPr>
    </w:lvl>
    <w:lvl w:ilvl="7" w:tplc="7FAC7AA6">
      <w:start w:val="1"/>
      <w:numFmt w:val="lowerLetter"/>
      <w:lvlText w:val="%8."/>
      <w:lvlJc w:val="left"/>
      <w:pPr>
        <w:ind w:left="5760" w:hanging="360"/>
      </w:pPr>
    </w:lvl>
    <w:lvl w:ilvl="8" w:tplc="D40EBBE2">
      <w:start w:val="1"/>
      <w:numFmt w:val="lowerRoman"/>
      <w:lvlText w:val="%9."/>
      <w:lvlJc w:val="right"/>
      <w:pPr>
        <w:ind w:left="6480" w:hanging="180"/>
      </w:pPr>
    </w:lvl>
  </w:abstractNum>
  <w:num w:numId="15">
    <w:abstractNumId w:val="14"/>
  </w:num>
  <w:num w:numId="14">
    <w:abstractNumId w:val="13"/>
  </w:num>
  <w:num w:numId="13">
    <w:abstractNumId w:val="12"/>
  </w:num>
  <w:num w:numId="1" w16cid:durableId="552885699">
    <w:abstractNumId w:val="5"/>
  </w:num>
  <w:num w:numId="2" w16cid:durableId="578950312">
    <w:abstractNumId w:val="7"/>
  </w:num>
  <w:num w:numId="3" w16cid:durableId="1553039202">
    <w:abstractNumId w:val="8"/>
  </w:num>
  <w:num w:numId="4" w16cid:durableId="1467354301">
    <w:abstractNumId w:val="0"/>
  </w:num>
  <w:num w:numId="5" w16cid:durableId="309361240">
    <w:abstractNumId w:val="9"/>
  </w:num>
  <w:num w:numId="6" w16cid:durableId="254552904">
    <w:abstractNumId w:val="11"/>
  </w:num>
  <w:num w:numId="7" w16cid:durableId="1684165564">
    <w:abstractNumId w:val="1"/>
  </w:num>
  <w:num w:numId="8" w16cid:durableId="701369598">
    <w:abstractNumId w:val="6"/>
  </w:num>
  <w:num w:numId="9" w16cid:durableId="313074321">
    <w:abstractNumId w:val="2"/>
  </w:num>
  <w:num w:numId="10" w16cid:durableId="553859081">
    <w:abstractNumId w:val="4"/>
  </w:num>
  <w:num w:numId="11" w16cid:durableId="1498883313">
    <w:abstractNumId w:val="10"/>
  </w:num>
  <w:num w:numId="12" w16cid:durableId="365929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1F02E4"/>
    <w:rsid w:val="007305EA"/>
    <w:rsid w:val="00BB2C24"/>
    <w:rsid w:val="00BB71CA"/>
    <w:rsid w:val="00C60D14"/>
    <w:rsid w:val="00F55BC1"/>
    <w:rsid w:val="011F02E4"/>
    <w:rsid w:val="013442A9"/>
    <w:rsid w:val="02051F02"/>
    <w:rsid w:val="021347B3"/>
    <w:rsid w:val="0270AA8A"/>
    <w:rsid w:val="033099CF"/>
    <w:rsid w:val="0399CE23"/>
    <w:rsid w:val="03B76E18"/>
    <w:rsid w:val="03D61602"/>
    <w:rsid w:val="03DD9886"/>
    <w:rsid w:val="0413435A"/>
    <w:rsid w:val="04D8AD53"/>
    <w:rsid w:val="068ECABA"/>
    <w:rsid w:val="075318F4"/>
    <w:rsid w:val="07F4769E"/>
    <w:rsid w:val="082356DC"/>
    <w:rsid w:val="08340CC8"/>
    <w:rsid w:val="0873C8F0"/>
    <w:rsid w:val="091D48A9"/>
    <w:rsid w:val="09B23B46"/>
    <w:rsid w:val="09BF17D8"/>
    <w:rsid w:val="0A38DF99"/>
    <w:rsid w:val="0AAE7B54"/>
    <w:rsid w:val="0B27F45F"/>
    <w:rsid w:val="0B86EDFE"/>
    <w:rsid w:val="0C57C4DE"/>
    <w:rsid w:val="0D337A3D"/>
    <w:rsid w:val="0D4B35D9"/>
    <w:rsid w:val="0D81BCA0"/>
    <w:rsid w:val="0E126EC9"/>
    <w:rsid w:val="11AAA9F0"/>
    <w:rsid w:val="11BE98AF"/>
    <w:rsid w:val="11C7D73E"/>
    <w:rsid w:val="124B8A87"/>
    <w:rsid w:val="1269FB9D"/>
    <w:rsid w:val="131E3E38"/>
    <w:rsid w:val="14E9EC32"/>
    <w:rsid w:val="1596A582"/>
    <w:rsid w:val="15C2E6B6"/>
    <w:rsid w:val="16606813"/>
    <w:rsid w:val="166DD3A9"/>
    <w:rsid w:val="167C92A9"/>
    <w:rsid w:val="168B39CC"/>
    <w:rsid w:val="16B486E4"/>
    <w:rsid w:val="16D80561"/>
    <w:rsid w:val="1766B4E2"/>
    <w:rsid w:val="18439395"/>
    <w:rsid w:val="18FE7FDA"/>
    <w:rsid w:val="1932ED2C"/>
    <w:rsid w:val="195DA3C7"/>
    <w:rsid w:val="19CA7192"/>
    <w:rsid w:val="1AED22C1"/>
    <w:rsid w:val="1B1FA65B"/>
    <w:rsid w:val="1C3D7091"/>
    <w:rsid w:val="1C91F5F5"/>
    <w:rsid w:val="1D0AB0F3"/>
    <w:rsid w:val="1E3B0847"/>
    <w:rsid w:val="1E4CC653"/>
    <w:rsid w:val="1FCA7DFA"/>
    <w:rsid w:val="1FD081F9"/>
    <w:rsid w:val="20AF47BD"/>
    <w:rsid w:val="216A9E9C"/>
    <w:rsid w:val="21984011"/>
    <w:rsid w:val="219876AC"/>
    <w:rsid w:val="21A266B0"/>
    <w:rsid w:val="21C3A6E8"/>
    <w:rsid w:val="228B8EA0"/>
    <w:rsid w:val="228EE20B"/>
    <w:rsid w:val="2392B73C"/>
    <w:rsid w:val="2610DE12"/>
    <w:rsid w:val="2738D158"/>
    <w:rsid w:val="27C9EB41"/>
    <w:rsid w:val="2809650D"/>
    <w:rsid w:val="28859EC3"/>
    <w:rsid w:val="288AB651"/>
    <w:rsid w:val="29912F96"/>
    <w:rsid w:val="2A1E5AEC"/>
    <w:rsid w:val="2A282CC8"/>
    <w:rsid w:val="2B0EB30A"/>
    <w:rsid w:val="2B3127E8"/>
    <w:rsid w:val="2B87E2B0"/>
    <w:rsid w:val="2BA7DBB1"/>
    <w:rsid w:val="2CC8E1F3"/>
    <w:rsid w:val="2D295D38"/>
    <w:rsid w:val="2D2D8B74"/>
    <w:rsid w:val="2D8B8B3D"/>
    <w:rsid w:val="2E4BB7EC"/>
    <w:rsid w:val="2F0621E0"/>
    <w:rsid w:val="2F6C4522"/>
    <w:rsid w:val="2F78672D"/>
    <w:rsid w:val="301D863F"/>
    <w:rsid w:val="3074D03F"/>
    <w:rsid w:val="30B4D75E"/>
    <w:rsid w:val="31D3087B"/>
    <w:rsid w:val="3268A134"/>
    <w:rsid w:val="32AEDEF2"/>
    <w:rsid w:val="32CE3316"/>
    <w:rsid w:val="32F65A45"/>
    <w:rsid w:val="3478F805"/>
    <w:rsid w:val="358BA4ED"/>
    <w:rsid w:val="364C4872"/>
    <w:rsid w:val="36614E8E"/>
    <w:rsid w:val="36BA8351"/>
    <w:rsid w:val="37D23AA0"/>
    <w:rsid w:val="38CBE4F2"/>
    <w:rsid w:val="38E4BA2D"/>
    <w:rsid w:val="39AD4BAC"/>
    <w:rsid w:val="3AE8B67D"/>
    <w:rsid w:val="3B1282CE"/>
    <w:rsid w:val="3B45882E"/>
    <w:rsid w:val="3B87B761"/>
    <w:rsid w:val="3D42629D"/>
    <w:rsid w:val="3D7B169E"/>
    <w:rsid w:val="3DD1D3D6"/>
    <w:rsid w:val="3E3429BE"/>
    <w:rsid w:val="3F547BD4"/>
    <w:rsid w:val="3F598445"/>
    <w:rsid w:val="3FD8D2BD"/>
    <w:rsid w:val="3FF69B01"/>
    <w:rsid w:val="415E3EB3"/>
    <w:rsid w:val="41CCE426"/>
    <w:rsid w:val="4239FF8E"/>
    <w:rsid w:val="42D70ADB"/>
    <w:rsid w:val="4318CCC5"/>
    <w:rsid w:val="431F04EF"/>
    <w:rsid w:val="44D2D03D"/>
    <w:rsid w:val="455DFDD7"/>
    <w:rsid w:val="45946AB8"/>
    <w:rsid w:val="45F20177"/>
    <w:rsid w:val="46987462"/>
    <w:rsid w:val="47DE03E2"/>
    <w:rsid w:val="48C7498B"/>
    <w:rsid w:val="4901B000"/>
    <w:rsid w:val="49F92C81"/>
    <w:rsid w:val="4A048B5C"/>
    <w:rsid w:val="4A29853A"/>
    <w:rsid w:val="4A4C854B"/>
    <w:rsid w:val="4A9F1F2D"/>
    <w:rsid w:val="4B19C1E6"/>
    <w:rsid w:val="4B936CD1"/>
    <w:rsid w:val="4C96BB81"/>
    <w:rsid w:val="4CA4F5FE"/>
    <w:rsid w:val="4CB21452"/>
    <w:rsid w:val="4E35275F"/>
    <w:rsid w:val="4E5A4662"/>
    <w:rsid w:val="4FC2A03E"/>
    <w:rsid w:val="515C301F"/>
    <w:rsid w:val="518AC22D"/>
    <w:rsid w:val="5192591F"/>
    <w:rsid w:val="51F3540D"/>
    <w:rsid w:val="51F4FA77"/>
    <w:rsid w:val="51FFAD86"/>
    <w:rsid w:val="528C8228"/>
    <w:rsid w:val="52C3552E"/>
    <w:rsid w:val="53FAF2A8"/>
    <w:rsid w:val="5409CB14"/>
    <w:rsid w:val="544058CC"/>
    <w:rsid w:val="554E89CA"/>
    <w:rsid w:val="556AEB08"/>
    <w:rsid w:val="56F00081"/>
    <w:rsid w:val="586C3849"/>
    <w:rsid w:val="589ABDA1"/>
    <w:rsid w:val="59B427DF"/>
    <w:rsid w:val="5A3D3C37"/>
    <w:rsid w:val="5AC9C02C"/>
    <w:rsid w:val="5B7F5A14"/>
    <w:rsid w:val="5C5C8F7A"/>
    <w:rsid w:val="5D2B894D"/>
    <w:rsid w:val="5EA098F6"/>
    <w:rsid w:val="5EB0F603"/>
    <w:rsid w:val="5F72A7F2"/>
    <w:rsid w:val="5FF261BA"/>
    <w:rsid w:val="600E0FFF"/>
    <w:rsid w:val="605119FF"/>
    <w:rsid w:val="6068652E"/>
    <w:rsid w:val="609EC02F"/>
    <w:rsid w:val="60D3456E"/>
    <w:rsid w:val="60FF94E0"/>
    <w:rsid w:val="61420DE3"/>
    <w:rsid w:val="62A24306"/>
    <w:rsid w:val="62F7D99C"/>
    <w:rsid w:val="6329B367"/>
    <w:rsid w:val="63DE2623"/>
    <w:rsid w:val="65662061"/>
    <w:rsid w:val="65E4E962"/>
    <w:rsid w:val="66C9249A"/>
    <w:rsid w:val="66CFB61F"/>
    <w:rsid w:val="67EAADF7"/>
    <w:rsid w:val="67F18B8A"/>
    <w:rsid w:val="683F066F"/>
    <w:rsid w:val="68ACBD12"/>
    <w:rsid w:val="68DF5DD5"/>
    <w:rsid w:val="691FE0F9"/>
    <w:rsid w:val="69A3E3EC"/>
    <w:rsid w:val="69DA7E5B"/>
    <w:rsid w:val="6AA8529B"/>
    <w:rsid w:val="6AFA67C1"/>
    <w:rsid w:val="6B31D29B"/>
    <w:rsid w:val="6C103D7C"/>
    <w:rsid w:val="6C26F728"/>
    <w:rsid w:val="6C98B994"/>
    <w:rsid w:val="6CF475B1"/>
    <w:rsid w:val="6F50A838"/>
    <w:rsid w:val="6F7464E4"/>
    <w:rsid w:val="6F91B44D"/>
    <w:rsid w:val="6FCC5D82"/>
    <w:rsid w:val="703EB1C6"/>
    <w:rsid w:val="70541965"/>
    <w:rsid w:val="708BB84E"/>
    <w:rsid w:val="7158CBBD"/>
    <w:rsid w:val="719F380E"/>
    <w:rsid w:val="71B014F3"/>
    <w:rsid w:val="71D13270"/>
    <w:rsid w:val="71E6FE83"/>
    <w:rsid w:val="71FC4336"/>
    <w:rsid w:val="72007030"/>
    <w:rsid w:val="72284998"/>
    <w:rsid w:val="72732AFB"/>
    <w:rsid w:val="7296E9AA"/>
    <w:rsid w:val="72B1BFC4"/>
    <w:rsid w:val="731DEC6C"/>
    <w:rsid w:val="73236029"/>
    <w:rsid w:val="73CAA127"/>
    <w:rsid w:val="740A0EB3"/>
    <w:rsid w:val="75A5102D"/>
    <w:rsid w:val="75A568E3"/>
    <w:rsid w:val="75C7C8DB"/>
    <w:rsid w:val="760BF5FF"/>
    <w:rsid w:val="7630EC8A"/>
    <w:rsid w:val="7794F4BF"/>
    <w:rsid w:val="77D6A315"/>
    <w:rsid w:val="7A373D93"/>
    <w:rsid w:val="7A652261"/>
    <w:rsid w:val="7A8C2B28"/>
    <w:rsid w:val="7B4C187C"/>
    <w:rsid w:val="7C0B75D3"/>
    <w:rsid w:val="7CD3C914"/>
    <w:rsid w:val="7D5C4243"/>
    <w:rsid w:val="7D657C46"/>
    <w:rsid w:val="7DCCD9AC"/>
    <w:rsid w:val="7E303E51"/>
    <w:rsid w:val="7E619F55"/>
    <w:rsid w:val="7E9EFAC0"/>
    <w:rsid w:val="7F9FAA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F02E4"/>
  <w15:chartTrackingRefBased/>
  <w15:docId w15:val="{62ACBD86-7DCA-48FE-BCC0-AB82C52F8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329B367"/>
    <w:pPr>
      <w:ind w:left="720"/>
      <w:contextualSpacing/>
    </w:pPr>
  </w:style>
  <w:style w:type="character" w:styleId="Hyperlink">
    <w:name w:val="Hyperlink"/>
    <w:basedOn w:val="DefaultParagraphFont"/>
    <w:uiPriority w:val="99"/>
    <w:unhideWhenUsed/>
    <w:rsid w:val="6329B367"/>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Carlington Swaby (2320978)</dc:creator>
  <keywords/>
  <dc:description/>
  <lastModifiedBy>Carlington Swaby (2320978)</lastModifiedBy>
  <revision>3</revision>
  <dcterms:created xsi:type="dcterms:W3CDTF">2025-11-12T15:05:00.0000000Z</dcterms:created>
  <dcterms:modified xsi:type="dcterms:W3CDTF">2025-11-14T13:05:53.9324241Z</dcterms:modified>
</coreProperties>
</file>