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197F5" w14:textId="3691DA72" w:rsidR="00E40AA9" w:rsidRPr="00001570" w:rsidRDefault="00E40AA9" w:rsidP="00001570">
      <w:pPr>
        <w:pStyle w:val="NormalWeb"/>
        <w:jc w:val="both"/>
        <w:rPr>
          <w:rFonts w:asciiTheme="majorBidi" w:hAnsiTheme="majorBidi" w:cstheme="majorBidi"/>
          <w:b/>
          <w:bCs/>
        </w:rPr>
      </w:pPr>
      <w:r w:rsidRPr="00001570">
        <w:rPr>
          <w:rFonts w:asciiTheme="majorBidi" w:hAnsiTheme="majorBidi" w:cstheme="majorBidi"/>
          <w:b/>
          <w:bCs/>
        </w:rPr>
        <w:t xml:space="preserve">Q1- Explain the differences between preference shares and ordinary shares </w:t>
      </w:r>
    </w:p>
    <w:p w14:paraId="30C7B201" w14:textId="147610FF" w:rsidR="0027210D" w:rsidRPr="00001570" w:rsidRDefault="00E40AA9" w:rsidP="00001570">
      <w:pPr>
        <w:jc w:val="both"/>
        <w:rPr>
          <w:rFonts w:asciiTheme="majorBidi" w:hAnsiTheme="majorBidi" w:cstheme="majorBidi"/>
        </w:rPr>
      </w:pPr>
      <w:r w:rsidRPr="00001570">
        <w:rPr>
          <w:rFonts w:asciiTheme="majorBidi" w:hAnsiTheme="majorBidi" w:cstheme="majorBidi"/>
        </w:rPr>
        <w:t xml:space="preserve">The dividend on ordinary shares is uncertain and variable (high when the company does well, </w:t>
      </w:r>
      <w:proofErr w:type="gramStart"/>
      <w:r w:rsidRPr="00001570">
        <w:rPr>
          <w:rFonts w:asciiTheme="majorBidi" w:hAnsiTheme="majorBidi" w:cstheme="majorBidi"/>
        </w:rPr>
        <w:t>poor</w:t>
      </w:r>
      <w:proofErr w:type="gramEnd"/>
      <w:r w:rsidRPr="00001570">
        <w:rPr>
          <w:rFonts w:asciiTheme="majorBidi" w:hAnsiTheme="majorBidi" w:cstheme="majorBidi"/>
        </w:rPr>
        <w:t xml:space="preserve"> or non-existent when it does badly). Preference shareholders get a fixed dividend which, if not paid, usually accrues until it can be paid.</w:t>
      </w:r>
    </w:p>
    <w:p w14:paraId="1076C85A" w14:textId="37F0E3A3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3626E67C" w14:textId="77777777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>Each ordinary share usually carries a vote. Preference shares do not usually carry a vote unless dividends fall into arrears.</w:t>
      </w:r>
    </w:p>
    <w:p w14:paraId="2F59ADDF" w14:textId="0D65032F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78E360C1" w14:textId="77777777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>In the event of a winding up, preference shares are usually repayable at nominal value, and rank above the claims of ordinary shareholders</w:t>
      </w:r>
    </w:p>
    <w:p w14:paraId="7737D745" w14:textId="4603BE87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5F5B5CF9" w14:textId="77777777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>Preference shares may be issued with the right of conversion into ordinary shares, these are called convertibles</w:t>
      </w:r>
    </w:p>
    <w:p w14:paraId="18B128F9" w14:textId="4F0A95B2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6F1F69BF" w14:textId="40C19F48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 xml:space="preserve">Most types of preference shares are </w:t>
      </w:r>
      <w:r w:rsidRPr="00001570">
        <w:rPr>
          <w:rFonts w:asciiTheme="majorBidi" w:eastAsia="Times New Roman" w:hAnsiTheme="majorBidi" w:cstheme="majorBidi"/>
          <w:color w:val="000000"/>
          <w:lang w:eastAsia="en-GB"/>
        </w:rPr>
        <w:t>liabilities</w:t>
      </w:r>
      <w:r w:rsidRPr="00E40AA9">
        <w:rPr>
          <w:rFonts w:asciiTheme="majorBidi" w:eastAsia="Times New Roman" w:hAnsiTheme="majorBidi" w:cstheme="majorBidi"/>
          <w:color w:val="000000"/>
          <w:lang w:eastAsia="en-GB"/>
        </w:rPr>
        <w:t xml:space="preserve"> of the company, rather than part of equity</w:t>
      </w:r>
    </w:p>
    <w:p w14:paraId="641DB450" w14:textId="2328B9CD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6C6CB939" w14:textId="220AB20D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6F354FA8" w14:textId="77777777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>This is because the company has an obligation to pay the dividend and may eventually have an obligation to redeem the shares</w:t>
      </w:r>
    </w:p>
    <w:p w14:paraId="0F5D5765" w14:textId="6B3DD8F7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056A8AF8" w14:textId="31EB7197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  <w:r w:rsidRPr="00E40AA9">
        <w:rPr>
          <w:rFonts w:asciiTheme="majorBidi" w:eastAsia="Times New Roman" w:hAnsiTheme="majorBidi" w:cstheme="majorBidi"/>
          <w:color w:val="000000"/>
          <w:lang w:eastAsia="en-GB"/>
        </w:rPr>
        <w:t xml:space="preserve">If this is the case, the preference shares are not included in share capital, but presented as </w:t>
      </w:r>
      <w:r w:rsidRPr="00001570">
        <w:rPr>
          <w:rFonts w:asciiTheme="majorBidi" w:eastAsia="Times New Roman" w:hAnsiTheme="majorBidi" w:cstheme="majorBidi"/>
          <w:color w:val="000000"/>
          <w:lang w:eastAsia="en-GB"/>
        </w:rPr>
        <w:t>non-current</w:t>
      </w:r>
      <w:r w:rsidRPr="00E40AA9">
        <w:rPr>
          <w:rFonts w:asciiTheme="majorBidi" w:eastAsia="Times New Roman" w:hAnsiTheme="majorBidi" w:cstheme="majorBidi"/>
          <w:color w:val="000000"/>
          <w:lang w:eastAsia="en-GB"/>
        </w:rPr>
        <w:t xml:space="preserve"> liabilities in the statement of financial position</w:t>
      </w:r>
    </w:p>
    <w:p w14:paraId="30717018" w14:textId="0AE61214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</w:p>
    <w:p w14:paraId="37503613" w14:textId="1B374235" w:rsidR="00E40AA9" w:rsidRPr="00001570" w:rsidRDefault="00E40AA9" w:rsidP="00001570">
      <w:pPr>
        <w:jc w:val="both"/>
        <w:rPr>
          <w:rFonts w:asciiTheme="majorBidi" w:eastAsia="Times New Roman" w:hAnsiTheme="majorBidi" w:cstheme="majorBidi"/>
          <w:color w:val="000000"/>
          <w:lang w:eastAsia="en-GB"/>
        </w:rPr>
      </w:pPr>
    </w:p>
    <w:p w14:paraId="4FC373EE" w14:textId="77777777" w:rsidR="00E40AA9" w:rsidRPr="00001570" w:rsidRDefault="00E40AA9" w:rsidP="00001570">
      <w:pPr>
        <w:pStyle w:val="NormalWeb"/>
        <w:jc w:val="both"/>
        <w:rPr>
          <w:rFonts w:asciiTheme="majorBidi" w:hAnsiTheme="majorBidi" w:cstheme="majorBidi"/>
          <w:b/>
          <w:bCs/>
        </w:rPr>
      </w:pPr>
      <w:r w:rsidRPr="00001570">
        <w:rPr>
          <w:rFonts w:asciiTheme="majorBidi" w:hAnsiTheme="majorBidi" w:cstheme="majorBidi"/>
          <w:b/>
          <w:bCs/>
          <w:color w:val="000000"/>
        </w:rPr>
        <w:t xml:space="preserve">Q2- </w:t>
      </w:r>
      <w:r w:rsidRPr="00001570">
        <w:rPr>
          <w:rFonts w:asciiTheme="majorBidi" w:hAnsiTheme="majorBidi" w:cstheme="majorBidi"/>
          <w:b/>
          <w:bCs/>
        </w:rPr>
        <w:t xml:space="preserve">How is basic EPS calculated? </w:t>
      </w:r>
    </w:p>
    <w:tbl>
      <w:tblPr>
        <w:tblW w:w="14640" w:type="dxa"/>
        <w:tblLook w:val="04A0" w:firstRow="1" w:lastRow="0" w:firstColumn="1" w:lastColumn="0" w:noHBand="0" w:noVBand="1"/>
      </w:tblPr>
      <w:tblGrid>
        <w:gridCol w:w="1120"/>
        <w:gridCol w:w="4040"/>
        <w:gridCol w:w="1860"/>
        <w:gridCol w:w="1480"/>
        <w:gridCol w:w="1140"/>
        <w:gridCol w:w="5000"/>
      </w:tblGrid>
      <w:tr w:rsidR="00E40AA9" w:rsidRPr="00E40AA9" w14:paraId="2E433071" w14:textId="77777777" w:rsidTr="00E40AA9">
        <w:trPr>
          <w:trHeight w:val="340"/>
        </w:trPr>
        <w:tc>
          <w:tcPr>
            <w:tcW w:w="14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A6A0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u w:val="single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color w:val="000000"/>
                <w:u w:val="single"/>
                <w:lang w:eastAsia="en-GB"/>
              </w:rPr>
              <w:t>Profit attributable to ordinary shareholders</w:t>
            </w:r>
          </w:p>
        </w:tc>
      </w:tr>
      <w:tr w:rsidR="00E40AA9" w:rsidRPr="00E40AA9" w14:paraId="1C8E23C3" w14:textId="77777777" w:rsidTr="00E40AA9">
        <w:trPr>
          <w:trHeight w:val="340"/>
        </w:trPr>
        <w:tc>
          <w:tcPr>
            <w:tcW w:w="14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D255D4" w14:textId="4E85315C" w:rsidR="00E40AA9" w:rsidRPr="00001570" w:rsidRDefault="00E40AA9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color w:val="000000"/>
                <w:lang w:eastAsia="en-GB"/>
              </w:rPr>
              <w:t>Weighted average number of ordinary shares</w:t>
            </w:r>
            <w:r w:rsidRPr="00001570">
              <w:rPr>
                <w:rFonts w:asciiTheme="majorBidi" w:eastAsia="Times New Roman" w:hAnsiTheme="majorBidi" w:cstheme="majorBidi"/>
                <w:color w:val="000000"/>
                <w:lang w:eastAsia="en-GB"/>
              </w:rPr>
              <w:t xml:space="preserve"> </w:t>
            </w:r>
            <w:r w:rsidRPr="00E40AA9">
              <w:rPr>
                <w:rFonts w:asciiTheme="majorBidi" w:eastAsia="Times New Roman" w:hAnsiTheme="majorBidi" w:cstheme="majorBidi"/>
                <w:color w:val="000000"/>
                <w:lang w:eastAsia="en-GB"/>
              </w:rPr>
              <w:t>Outstanding during the period</w:t>
            </w:r>
            <w:r w:rsidRPr="00001570">
              <w:rPr>
                <w:rFonts w:asciiTheme="majorBidi" w:eastAsia="Times New Roman" w:hAnsiTheme="majorBidi" w:cstheme="majorBidi"/>
                <w:color w:val="000000"/>
                <w:lang w:eastAsia="en-GB"/>
              </w:rPr>
              <w:t>.</w:t>
            </w:r>
          </w:p>
          <w:p w14:paraId="66C3714F" w14:textId="72DECA33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283205C6" w14:textId="40B5CC33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 xml:space="preserve">Q3- 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69"/>
              <w:gridCol w:w="990"/>
              <w:gridCol w:w="883"/>
            </w:tblGrid>
            <w:tr w:rsidR="00001570" w:rsidRPr="00001570" w14:paraId="47229FF5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22144ED4" w14:textId="77777777" w:rsidR="00001570" w:rsidRPr="00001570" w:rsidRDefault="00001570" w:rsidP="00001570">
                  <w:pPr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0020E2F3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2017 </w:t>
                  </w:r>
                </w:p>
              </w:tc>
              <w:tc>
                <w:tcPr>
                  <w:tcW w:w="8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08AF4625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2016 </w:t>
                  </w:r>
                </w:p>
              </w:tc>
            </w:tr>
            <w:tr w:rsidR="00001570" w:rsidRPr="00001570" w14:paraId="46DCB1EA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165F49CC" w14:textId="138FBB49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Profit attributable to shareholders for the year ending 31 December 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609ECC75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400,000 </w:t>
                  </w:r>
                </w:p>
              </w:tc>
              <w:tc>
                <w:tcPr>
                  <w:tcW w:w="8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47168AEE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230,000 </w:t>
                  </w:r>
                </w:p>
              </w:tc>
            </w:tr>
            <w:tr w:rsidR="00001570" w:rsidRPr="00001570" w14:paraId="6CE374C1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1BA2359A" w14:textId="7262B820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No of ordinary shares in issue on 31 December 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38EF1562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1,500,000 </w:t>
                  </w:r>
                </w:p>
              </w:tc>
              <w:tc>
                <w:tcPr>
                  <w:tcW w:w="8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47143288" w14:textId="7777777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 xml:space="preserve">600,000 </w:t>
                  </w:r>
                </w:p>
              </w:tc>
            </w:tr>
          </w:tbl>
          <w:p w14:paraId="6D02F8C9" w14:textId="77777777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 xml:space="preserve">Required </w:t>
            </w:r>
          </w:p>
          <w:p w14:paraId="260F2DC8" w14:textId="77777777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 xml:space="preserve">Calculate the EPS for both years </w:t>
            </w:r>
          </w:p>
          <w:p w14:paraId="6BDC9852" w14:textId="692B8D96" w:rsidR="00C1618B" w:rsidRDefault="00C1618B" w:rsidP="00C1618B">
            <w:pPr>
              <w:pStyle w:val="NormalWeb"/>
              <w:jc w:val="both"/>
              <w:rPr>
                <w:rFonts w:asciiTheme="majorBidi" w:hAnsiTheme="majorBidi" w:cstheme="majorBidi"/>
              </w:rPr>
            </w:pPr>
            <w:r w:rsidRPr="00001570">
              <w:rPr>
                <w:rFonts w:asciiTheme="majorBidi" w:hAnsiTheme="majorBidi" w:cstheme="majorBidi"/>
              </w:rPr>
              <w:t>2017: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001570" w:rsidRPr="00001570">
              <w:rPr>
                <w:rFonts w:asciiTheme="majorBidi" w:hAnsiTheme="majorBidi" w:cstheme="majorBidi"/>
              </w:rPr>
              <w:t>400,000/1,500,000</w:t>
            </w:r>
            <w:r>
              <w:rPr>
                <w:rFonts w:asciiTheme="majorBidi" w:hAnsiTheme="majorBidi" w:cstheme="majorBidi"/>
              </w:rPr>
              <w:t xml:space="preserve"> = </w:t>
            </w:r>
            <w:r w:rsidRPr="00001570">
              <w:rPr>
                <w:rFonts w:asciiTheme="majorBidi" w:hAnsiTheme="majorBidi" w:cstheme="majorBidi"/>
              </w:rPr>
              <w:t>0.267</w:t>
            </w:r>
          </w:p>
          <w:p w14:paraId="7D6DBF45" w14:textId="257AA77B" w:rsidR="00001570" w:rsidRPr="00001570" w:rsidRDefault="00001570" w:rsidP="00C1618B">
            <w:pPr>
              <w:pStyle w:val="NormalWeb"/>
              <w:jc w:val="both"/>
              <w:rPr>
                <w:rFonts w:asciiTheme="majorBidi" w:hAnsiTheme="majorBidi" w:cstheme="majorBidi"/>
              </w:rPr>
            </w:pPr>
            <w:r w:rsidRPr="00001570">
              <w:rPr>
                <w:rFonts w:asciiTheme="majorBidi" w:hAnsiTheme="majorBidi" w:cstheme="majorBidi"/>
              </w:rPr>
              <w:t xml:space="preserve"> </w:t>
            </w:r>
            <w:r w:rsidR="00C1618B" w:rsidRPr="00001570">
              <w:rPr>
                <w:rFonts w:asciiTheme="majorBidi" w:hAnsiTheme="majorBidi" w:cstheme="majorBidi"/>
              </w:rPr>
              <w:t>2016:</w:t>
            </w:r>
            <w:r w:rsidR="00C1618B">
              <w:rPr>
                <w:rFonts w:asciiTheme="majorBidi" w:hAnsiTheme="majorBidi" w:cstheme="majorBidi"/>
              </w:rPr>
              <w:t xml:space="preserve"> </w:t>
            </w:r>
            <w:r w:rsidRPr="00001570">
              <w:rPr>
                <w:rFonts w:asciiTheme="majorBidi" w:hAnsiTheme="majorBidi" w:cstheme="majorBidi"/>
              </w:rPr>
              <w:t xml:space="preserve">230,000/600,000 </w:t>
            </w:r>
            <w:r w:rsidR="00C1618B">
              <w:rPr>
                <w:rFonts w:asciiTheme="majorBidi" w:hAnsiTheme="majorBidi" w:cstheme="majorBidi"/>
              </w:rPr>
              <w:t xml:space="preserve">= </w:t>
            </w:r>
            <w:r w:rsidRPr="00001570">
              <w:rPr>
                <w:rFonts w:asciiTheme="majorBidi" w:hAnsiTheme="majorBidi" w:cstheme="majorBidi"/>
              </w:rPr>
              <w:t xml:space="preserve">0.383 </w:t>
            </w:r>
          </w:p>
          <w:p w14:paraId="67FFF2F2" w14:textId="611827D2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76BC916E" w14:textId="3B24299D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30343640" w14:textId="507DB3D2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lastRenderedPageBreak/>
              <w:t xml:space="preserve">Q4- </w:t>
            </w:r>
          </w:p>
          <w:p w14:paraId="3463D4D7" w14:textId="00E36F5F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>A company issued 200,000 shares at full market price (£2.00) on 1 April 2017.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69"/>
              <w:gridCol w:w="990"/>
              <w:gridCol w:w="810"/>
            </w:tblGrid>
            <w:tr w:rsidR="00001570" w:rsidRPr="00001570" w14:paraId="21CBD92E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74E91006" w14:textId="77777777" w:rsidR="00001570" w:rsidRPr="00001570" w:rsidRDefault="00001570" w:rsidP="00001570">
                  <w:pPr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2C18A0CE" w14:textId="2E20CF76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2017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47DDC498" w14:textId="3BC39EEF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2016</w:t>
                  </w:r>
                </w:p>
              </w:tc>
            </w:tr>
            <w:tr w:rsidR="00001570" w:rsidRPr="00001570" w14:paraId="38648E3D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24578B03" w14:textId="1CAB8797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Profit attributable to shareholders for the year ending 31 December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4D7CA8A3" w14:textId="6F83B8F8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400,000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425E580C" w14:textId="2B5C0046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230,000</w:t>
                  </w:r>
                </w:p>
              </w:tc>
            </w:tr>
            <w:tr w:rsidR="00001570" w:rsidRPr="00001570" w14:paraId="4A2CC9BD" w14:textId="77777777" w:rsidTr="00001570"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04B197C0" w14:textId="18652784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No of ordinary shares in issue on 31 December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2C174F35" w14:textId="600B4B7F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1,000,000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  <w:hideMark/>
                </w:tcPr>
                <w:p w14:paraId="15466F69" w14:textId="2C5C319D" w:rsidR="00001570" w:rsidRPr="00001570" w:rsidRDefault="00001570" w:rsidP="00001570">
                  <w:pPr>
                    <w:pStyle w:val="NormalWeb"/>
                    <w:jc w:val="both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001570">
                    <w:rPr>
                      <w:rFonts w:asciiTheme="majorBidi" w:hAnsiTheme="majorBidi" w:cstheme="majorBidi"/>
                      <w:b/>
                      <w:bCs/>
                    </w:rPr>
                    <w:t>800,000</w:t>
                  </w:r>
                </w:p>
              </w:tc>
            </w:tr>
          </w:tbl>
          <w:p w14:paraId="33443326" w14:textId="67E80BC8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>Required</w:t>
            </w:r>
          </w:p>
          <w:p w14:paraId="5A6B0A53" w14:textId="4C18D6E4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01570">
              <w:rPr>
                <w:rFonts w:asciiTheme="majorBidi" w:hAnsiTheme="majorBidi" w:cstheme="majorBidi"/>
                <w:b/>
                <w:bCs/>
              </w:rPr>
              <w:t>Calculate the EPS for both years</w:t>
            </w:r>
          </w:p>
          <w:p w14:paraId="577803F8" w14:textId="156CD2F1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</w:rPr>
            </w:pPr>
            <w:r w:rsidRPr="00001570">
              <w:rPr>
                <w:rFonts w:asciiTheme="majorBidi" w:hAnsiTheme="majorBidi" w:cstheme="majorBidi"/>
              </w:rPr>
              <w:t>2016</w:t>
            </w:r>
            <w:r w:rsidRPr="00001570">
              <w:rPr>
                <w:rFonts w:asciiTheme="majorBidi" w:hAnsiTheme="majorBidi" w:cstheme="majorBidi"/>
              </w:rPr>
              <w:br/>
              <w:t>230,000/800,000                           0.288</w:t>
            </w:r>
          </w:p>
          <w:p w14:paraId="07206022" w14:textId="723E7774" w:rsidR="00001570" w:rsidRPr="00001570" w:rsidRDefault="00001570" w:rsidP="00001570">
            <w:pPr>
              <w:pStyle w:val="NormalWeb"/>
              <w:jc w:val="both"/>
              <w:rPr>
                <w:rFonts w:asciiTheme="majorBidi" w:hAnsiTheme="majorBidi" w:cstheme="majorBidi"/>
              </w:rPr>
            </w:pPr>
            <w:r w:rsidRPr="00001570">
              <w:rPr>
                <w:rFonts w:asciiTheme="majorBidi" w:hAnsiTheme="majorBidi" w:cstheme="majorBidi"/>
              </w:rPr>
              <w:t>2017</w:t>
            </w:r>
            <w:r w:rsidRPr="00001570">
              <w:rPr>
                <w:rFonts w:asciiTheme="majorBidi" w:hAnsiTheme="majorBidi" w:cstheme="majorBidi"/>
              </w:rPr>
              <w:br/>
              <w:t>Need to calculate the weighted average number of shares</w:t>
            </w:r>
          </w:p>
          <w:p w14:paraId="34613211" w14:textId="1E659994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  <w:r w:rsidRPr="00001570">
              <w:rPr>
                <w:rFonts w:asciiTheme="majorBidi" w:eastAsia="Times New Roman" w:hAnsiTheme="majorBidi" w:cstheme="majorBidi"/>
                <w:noProof/>
                <w:color w:val="000000"/>
                <w:lang w:eastAsia="en-GB"/>
              </w:rPr>
              <w:drawing>
                <wp:inline distT="0" distB="0" distL="0" distR="0" wp14:anchorId="3AC186A7" wp14:editId="594B03F9">
                  <wp:extent cx="5261027" cy="3459600"/>
                  <wp:effectExtent l="0" t="0" r="0" b="0"/>
                  <wp:docPr id="5" name="Picture 5" descr="Tabl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Table&#10;&#10;Description automatically generated with medium confidenc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027" cy="345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E70A0E" w14:textId="02799993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0E0551C1" w14:textId="7D1E192D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06B8CFCF" w14:textId="7B08E06F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1E96F0EC" w14:textId="1FA5451C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2258FF91" w14:textId="61799E9D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11C6E872" w14:textId="16D0171D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481361C4" w14:textId="2A9A78D1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0319B0E3" w14:textId="0BA3A878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2082B952" w14:textId="520C5253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3DBF190D" w14:textId="6730D040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56B220DC" w14:textId="0AA36A32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025BFC34" w14:textId="5AA7C3C1" w:rsid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710D99CD" w14:textId="31D253BF" w:rsid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6CE38D0B" w14:textId="70A6C3D9" w:rsid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48B4488E" w14:textId="475038A4" w:rsid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6B99C93C" w14:textId="77777777" w:rsidR="00001570" w:rsidRPr="00001570" w:rsidRDefault="00001570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7CCAA30D" w14:textId="0E4314CB" w:rsidR="00E40AA9" w:rsidRPr="00001570" w:rsidRDefault="00E40AA9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3E81610D" w14:textId="28C4762C" w:rsidR="00E40AA9" w:rsidRPr="00001570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</w:pPr>
            <w:r w:rsidRPr="00001570"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  <w:t>Q</w:t>
            </w:r>
            <w:r w:rsidR="00001570" w:rsidRPr="00001570"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  <w:t>5</w:t>
            </w:r>
            <w:r w:rsidRPr="00001570"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  <w:t xml:space="preserve">- </w:t>
            </w:r>
          </w:p>
          <w:p w14:paraId="58A80A1B" w14:textId="77777777" w:rsidR="00E40AA9" w:rsidRPr="00001570" w:rsidRDefault="00E40AA9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  <w:p w14:paraId="62A6300C" w14:textId="20F37ECB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</w:pPr>
            <w:r w:rsidRPr="00001570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 wp14:anchorId="3853E659" wp14:editId="75D188E6">
                  <wp:extent cx="5748868" cy="1573200"/>
                  <wp:effectExtent l="0" t="0" r="4445" b="1905"/>
                  <wp:docPr id="1" name="Picture 1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able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868" cy="15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AA9" w:rsidRPr="00E40AA9" w14:paraId="2E9D8021" w14:textId="77777777" w:rsidTr="00E40AA9">
        <w:trPr>
          <w:trHeight w:val="340"/>
        </w:trPr>
        <w:tc>
          <w:tcPr>
            <w:tcW w:w="14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FEBCCB" w14:textId="72DB391F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color w:val="000000"/>
                <w:lang w:eastAsia="en-GB"/>
              </w:rPr>
            </w:pPr>
          </w:p>
        </w:tc>
      </w:tr>
      <w:tr w:rsidR="00E40AA9" w:rsidRPr="00E40AA9" w14:paraId="24E203C3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B67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bookmarkStart w:id="0" w:name="RANGE!A2:E18"/>
            <w:bookmarkEnd w:id="0"/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C32DB" w14:textId="77777777" w:rsidR="00E40AA9" w:rsidRPr="00001570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</w:pPr>
          </w:p>
          <w:p w14:paraId="740EE706" w14:textId="6664DCBE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1B68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5CA5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017E8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46EB2235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7199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C5B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8CE0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3A06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776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7157D849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1908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103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2017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CC5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E446C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3CCE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010FE786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4EB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EPS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5DFC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500,000/900,000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D311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0.556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190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0F6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28432586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1BD3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05E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2381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C2C4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2AF1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29EA7563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3534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FB81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2018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5512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F025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AC2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1DFEBF21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130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7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5F3D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Need to calculate the weighted average number of shares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BE06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3BBC60AD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70B6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CA9DC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D2F0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295D4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AE83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00F1153D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91A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0C3F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21C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Actual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EF41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 xml:space="preserve">Fraction 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CDB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03177EAB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86408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25A75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Date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4E764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no of shares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D933D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of year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64F9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 xml:space="preserve">Total </w:t>
            </w:r>
          </w:p>
        </w:tc>
      </w:tr>
      <w:tr w:rsidR="00E40AA9" w:rsidRPr="00E40AA9" w14:paraId="793B4DF4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30571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4970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1 Jan 2018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6D6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900,000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9756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8/12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A51A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600,000</w:t>
            </w:r>
          </w:p>
        </w:tc>
      </w:tr>
      <w:tr w:rsidR="00E40AA9" w:rsidRPr="00E40AA9" w14:paraId="73EA0B11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851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1DD4A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1 September 2018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3306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1,080,000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5CFEA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4/12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29A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360,000</w:t>
            </w:r>
          </w:p>
        </w:tc>
      </w:tr>
      <w:tr w:rsidR="00E40AA9" w:rsidRPr="00E40AA9" w14:paraId="5FB078B4" w14:textId="77777777" w:rsidTr="00E40AA9">
        <w:trPr>
          <w:gridAfter w:val="1"/>
          <w:wAfter w:w="5000" w:type="dxa"/>
          <w:trHeight w:val="34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78BFA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1D8F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No of shares for EPS calculation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CC81B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587E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7A94F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960,000</w:t>
            </w:r>
          </w:p>
        </w:tc>
      </w:tr>
      <w:tr w:rsidR="00E40AA9" w:rsidRPr="00E40AA9" w14:paraId="41296B6A" w14:textId="77777777" w:rsidTr="00E40AA9">
        <w:trPr>
          <w:gridAfter w:val="1"/>
          <w:wAfter w:w="5000" w:type="dxa"/>
          <w:trHeight w:val="34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3701A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05FB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4301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5C8E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45ED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037B36D5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A4EF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6667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2CE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8A60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67460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123793C7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467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EPS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25EAE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550,000/960,000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6F5D3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lang w:eastAsia="en-GB"/>
              </w:rPr>
              <w:t>0.573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19DD5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0C9B9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  <w:tr w:rsidR="00E40AA9" w:rsidRPr="00E40AA9" w14:paraId="4567D89D" w14:textId="77777777" w:rsidTr="00E40AA9">
        <w:trPr>
          <w:gridAfter w:val="1"/>
          <w:wAfter w:w="5000" w:type="dxa"/>
          <w:trHeight w:val="3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CFD66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E40AA9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2018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2368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2B84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45077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FA272" w14:textId="77777777" w:rsidR="00E40AA9" w:rsidRPr="00E40AA9" w:rsidRDefault="00E40AA9" w:rsidP="00001570">
            <w:pPr>
              <w:jc w:val="both"/>
              <w:rPr>
                <w:rFonts w:asciiTheme="majorBidi" w:eastAsia="Times New Roman" w:hAnsiTheme="majorBidi" w:cstheme="majorBidi"/>
                <w:lang w:eastAsia="en-GB"/>
              </w:rPr>
            </w:pPr>
          </w:p>
        </w:tc>
      </w:tr>
    </w:tbl>
    <w:p w14:paraId="3EB95C2A" w14:textId="7EA30C4C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501BCBF3" w14:textId="556C0B5C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2CFC9959" w14:textId="7193A566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p w14:paraId="483D317D" w14:textId="77777777" w:rsidR="00E40AA9" w:rsidRPr="00001570" w:rsidRDefault="00E40AA9" w:rsidP="00001570">
      <w:pPr>
        <w:jc w:val="both"/>
        <w:rPr>
          <w:rFonts w:asciiTheme="majorBidi" w:hAnsiTheme="majorBidi" w:cstheme="majorBidi"/>
        </w:rPr>
      </w:pPr>
    </w:p>
    <w:sectPr w:rsidR="00E40AA9" w:rsidRPr="00001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021C8" w14:textId="77777777" w:rsidR="00B5473C" w:rsidRDefault="00B5473C" w:rsidP="00E40AA9">
      <w:r>
        <w:separator/>
      </w:r>
    </w:p>
  </w:endnote>
  <w:endnote w:type="continuationSeparator" w:id="0">
    <w:p w14:paraId="544E13E2" w14:textId="77777777" w:rsidR="00B5473C" w:rsidRDefault="00B5473C" w:rsidP="00E40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614F9" w14:textId="77777777" w:rsidR="00B5473C" w:rsidRDefault="00B5473C" w:rsidP="00E40AA9">
      <w:r>
        <w:separator/>
      </w:r>
    </w:p>
  </w:footnote>
  <w:footnote w:type="continuationSeparator" w:id="0">
    <w:p w14:paraId="57B67F24" w14:textId="77777777" w:rsidR="00B5473C" w:rsidRDefault="00B5473C" w:rsidP="00E40A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A9"/>
    <w:rsid w:val="00001570"/>
    <w:rsid w:val="000111E6"/>
    <w:rsid w:val="0027210D"/>
    <w:rsid w:val="00295A6E"/>
    <w:rsid w:val="004939E9"/>
    <w:rsid w:val="007417B6"/>
    <w:rsid w:val="00B5473C"/>
    <w:rsid w:val="00C1618B"/>
    <w:rsid w:val="00D2033C"/>
    <w:rsid w:val="00D9192F"/>
    <w:rsid w:val="00E4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815B66"/>
  <w15:chartTrackingRefBased/>
  <w15:docId w15:val="{BCA6B713-450A-5444-A1B8-F29975CE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0AA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40A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AA9"/>
  </w:style>
  <w:style w:type="paragraph" w:styleId="Footer">
    <w:name w:val="footer"/>
    <w:basedOn w:val="Normal"/>
    <w:link w:val="FooterChar"/>
    <w:uiPriority w:val="99"/>
    <w:unhideWhenUsed/>
    <w:rsid w:val="00E40A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1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5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8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9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4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8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9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9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69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8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9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6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27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7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0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1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9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3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7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5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1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6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6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4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0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1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0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0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69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6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0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7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5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45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34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7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5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3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9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Badir Miftah</dc:creator>
  <cp:keywords/>
  <dc:description/>
  <cp:lastModifiedBy>Badir Miftah</cp:lastModifiedBy>
  <cp:revision>2</cp:revision>
  <dcterms:created xsi:type="dcterms:W3CDTF">2022-11-08T18:32:00Z</dcterms:created>
  <dcterms:modified xsi:type="dcterms:W3CDTF">2022-11-08T19:29:00Z</dcterms:modified>
</cp:coreProperties>
</file>