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Finding your way around this module</w:t>
      </w:r>
    </w:p>
    <w:p>
      <w:r>
        <w:t>This page has three kinds of tile. The tiles at the top hold everything about the module and the programme, including your assignment specification and the submission points. The 12 weekly tiles follow the teaching weeks, so open the tile for the week you are in. Inside each week you will usually find the presentation first, then activities and then reading. The Supplementary tiles hold extra depth that you can return to at any time, especially when you reach the methodology, data collection and analysis parts of your proposal.</w:t>
      </w:r>
    </w:p>
    <w:p>
      <w:r>
        <w:t>Start with Table 1 if you know what you want to do. Use Tables 2 and 3 to see everything that each tile holds.</w:t>
      </w:r>
    </w:p>
    <w:p>
      <w:pPr>
        <w:pStyle w:val="Heading1"/>
      </w:pPr>
      <w:r>
        <w:t>Where to go for what you need</w:t>
      </w:r>
    </w:p>
    <w:p>
      <w:pPr>
        <w:keepNext/>
      </w:pPr>
      <w:r>
        <w:t>Table 1. Where to go for what you need</w:t>
      </w:r>
    </w:p>
    <w:tbl>
      <w:tblPr>
        <w:tblW w:type="auto" w:w="0"/>
        <w:tblLayout w:type="fixed"/>
        <w:tblLook w:firstColumn="1" w:firstRow="1" w:lastColumn="0" w:lastRow="0" w:noHBand="0" w:noVBand="1" w:val="04A0"/>
        <w:tblBorders>
          <w:top w:val="single" w:sz="4" w:color="000000"/>
          <w:left w:val="single" w:sz="4" w:color="000000"/>
          <w:bottom w:val="single" w:sz="4" w:color="000000"/>
          <w:right w:val="single" w:sz="4" w:color="000000"/>
          <w:insideH w:val="single" w:sz="4" w:color="000000"/>
          <w:insideV w:val="single" w:sz="4" w:color="000000"/>
        </w:tblBorders>
      </w:tblPr>
      <w:tblGrid>
        <w:gridCol w:w="4819"/>
        <w:gridCol w:w="4252"/>
      </w:tblGrid>
      <w:tr>
        <w:trPr>
          <w:tblHeader w:val="true"/>
        </w:trPr>
        <w:tc>
          <w:tcPr>
            <w:tcW w:type="dxa" w:w="4819"/>
          </w:tcPr>
          <w:p>
            <w:r>
              <w:rPr>
                <w:b/>
              </w:rPr>
              <w:t>If you want to</w:t>
            </w:r>
          </w:p>
        </w:tc>
        <w:tc>
          <w:tcPr>
            <w:tcW w:type="dxa" w:w="4252"/>
          </w:tcPr>
          <w:p>
            <w:r>
              <w:rPr>
                <w:b/>
              </w:rPr>
              <w:t>Go to</w:t>
            </w:r>
          </w:p>
        </w:tc>
      </w:tr>
      <w:tr>
        <w:tc>
          <w:tcPr>
            <w:tcW w:type="dxa" w:w="4819"/>
          </w:tcPr>
          <w:p>
            <w:pPr>
              <w:spacing w:after="40"/>
            </w:pPr>
            <w:r>
              <w:t>Find your assignment specification, the submission points or the timetable</w:t>
            </w:r>
          </w:p>
        </w:tc>
        <w:tc>
          <w:tcPr>
            <w:tcW w:type="dxa" w:w="4252"/>
          </w:tcPr>
          <w:p>
            <w:pPr>
              <w:spacing w:after="40"/>
            </w:pPr>
            <w:r>
              <w:t>General</w:t>
            </w:r>
          </w:p>
        </w:tc>
      </w:tr>
      <w:tr>
        <w:tc>
          <w:tcPr>
            <w:tcW w:type="dxa" w:w="4819"/>
          </w:tcPr>
          <w:p>
            <w:pPr>
              <w:spacing w:after="40"/>
            </w:pPr>
            <w:r>
              <w:t>Check the rules on using generative AI</w:t>
            </w:r>
          </w:p>
        </w:tc>
        <w:tc>
          <w:tcPr>
            <w:tcW w:type="dxa" w:w="4252"/>
          </w:tcPr>
          <w:p>
            <w:pPr>
              <w:spacing w:after="40"/>
            </w:pPr>
            <w:r>
              <w:t>General</w:t>
            </w:r>
          </w:p>
        </w:tc>
      </w:tr>
      <w:tr>
        <w:tc>
          <w:tcPr>
            <w:tcW w:type="dxa" w:w="4819"/>
          </w:tcPr>
          <w:p>
            <w:pPr>
              <w:spacing w:after="40"/>
            </w:pPr>
            <w:r>
              <w:t>Find programme regulations or information about other DBA modules</w:t>
            </w:r>
          </w:p>
        </w:tc>
        <w:tc>
          <w:tcPr>
            <w:tcW w:type="dxa" w:w="4252"/>
          </w:tcPr>
          <w:p>
            <w:pPr>
              <w:spacing w:after="40"/>
            </w:pPr>
            <w:r>
              <w:t>DBA Programme Handbooks</w:t>
            </w:r>
          </w:p>
        </w:tc>
      </w:tr>
      <w:tr>
        <w:tc>
          <w:tcPr>
            <w:tcW w:type="dxa" w:w="4819"/>
          </w:tcPr>
          <w:p>
            <w:pPr>
              <w:spacing w:after="40"/>
            </w:pPr>
            <w:r>
              <w:t>Check how to reference or how journals are ranked</w:t>
            </w:r>
          </w:p>
        </w:tc>
        <w:tc>
          <w:tcPr>
            <w:tcW w:type="dxa" w:w="4252"/>
          </w:tcPr>
          <w:p>
            <w:pPr>
              <w:spacing w:after="40"/>
            </w:pPr>
            <w:r>
              <w:t>Induction - Essential Information</w:t>
            </w:r>
          </w:p>
        </w:tc>
      </w:tr>
      <w:tr>
        <w:tc>
          <w:tcPr>
            <w:tcW w:type="dxa" w:w="4819"/>
          </w:tcPr>
          <w:p>
            <w:pPr>
              <w:spacing w:after="40"/>
            </w:pPr>
            <w:r>
              <w:t>Choose and sharpen your research topic and research questions</w:t>
            </w:r>
          </w:p>
        </w:tc>
        <w:tc>
          <w:tcPr>
            <w:tcW w:type="dxa" w:w="4252"/>
          </w:tcPr>
          <w:p>
            <w:pPr>
              <w:spacing w:after="40"/>
            </w:pPr>
            <w:r>
              <w:t>Week 2; Supplementary: Applying the Paradigms to 10 Business Problems</w:t>
            </w:r>
          </w:p>
        </w:tc>
      </w:tr>
      <w:tr>
        <w:tc>
          <w:tcPr>
            <w:tcW w:type="dxa" w:w="4819"/>
          </w:tcPr>
          <w:p>
            <w:pPr>
              <w:spacing w:after="40"/>
            </w:pPr>
            <w:r>
              <w:t>Understand ontology, epistemology, axiology and methodology</w:t>
            </w:r>
          </w:p>
        </w:tc>
        <w:tc>
          <w:tcPr>
            <w:tcW w:type="dxa" w:w="4252"/>
          </w:tcPr>
          <w:p>
            <w:pPr>
              <w:spacing w:after="40"/>
            </w:pPr>
            <w:r>
              <w:t>Weeks 3 and 10; Supplementary: The Ologies and Research Topics</w:t>
            </w:r>
          </w:p>
        </w:tc>
      </w:tr>
      <w:tr>
        <w:tc>
          <w:tcPr>
            <w:tcW w:type="dxa" w:w="4819"/>
          </w:tcPr>
          <w:p>
            <w:pPr>
              <w:spacing w:after="40"/>
            </w:pPr>
            <w:r>
              <w:t>Choose your paradigm from the Seven Aliens and justify it</w:t>
            </w:r>
          </w:p>
        </w:tc>
        <w:tc>
          <w:tcPr>
            <w:tcW w:type="dxa" w:w="4252"/>
          </w:tcPr>
          <w:p>
            <w:pPr>
              <w:spacing w:after="40"/>
            </w:pPr>
            <w:r>
              <w:t>Weeks 4 and 10; Supplementary: Applying the Paradigms to 10 Business Problems</w:t>
            </w:r>
          </w:p>
        </w:tc>
      </w:tr>
      <w:tr>
        <w:tc>
          <w:tcPr>
            <w:tcW w:type="dxa" w:w="4819"/>
          </w:tcPr>
          <w:p>
            <w:pPr>
              <w:spacing w:after="40"/>
            </w:pPr>
            <w:r>
              <w:t>Choose your qualitative approach (methodology)</w:t>
            </w:r>
          </w:p>
        </w:tc>
        <w:tc>
          <w:tcPr>
            <w:tcW w:type="dxa" w:w="4252"/>
          </w:tcPr>
          <w:p>
            <w:pPr>
              <w:spacing w:after="40"/>
            </w:pPr>
            <w:r>
              <w:t>Week 5; Supplementary: Research Approaches with Published Examples</w:t>
            </w:r>
          </w:p>
        </w:tc>
      </w:tr>
      <w:tr>
        <w:tc>
          <w:tcPr>
            <w:tcW w:type="dxa" w:w="4819"/>
          </w:tcPr>
          <w:p>
            <w:pPr>
              <w:spacing w:after="40"/>
            </w:pPr>
            <w:r>
              <w:t>See a published study that uses your chosen approach</w:t>
            </w:r>
          </w:p>
        </w:tc>
        <w:tc>
          <w:tcPr>
            <w:tcW w:type="dxa" w:w="4252"/>
          </w:tcPr>
          <w:p>
            <w:pPr>
              <w:spacing w:after="40"/>
            </w:pPr>
            <w:r>
              <w:t>Supplementary: Research Approaches with Published Examples; Supplementary: Research Journeys and Example Studies</w:t>
            </w:r>
          </w:p>
        </w:tc>
      </w:tr>
      <w:tr>
        <w:tc>
          <w:tcPr>
            <w:tcW w:type="dxa" w:w="4819"/>
          </w:tcPr>
          <w:p>
            <w:pPr>
              <w:spacing w:after="40"/>
            </w:pPr>
            <w:r>
              <w:t>Build your theoretical or conceptual framework</w:t>
            </w:r>
          </w:p>
        </w:tc>
        <w:tc>
          <w:tcPr>
            <w:tcW w:type="dxa" w:w="4252"/>
          </w:tcPr>
          <w:p>
            <w:pPr>
              <w:spacing w:after="40"/>
            </w:pPr>
            <w:r>
              <w:t>Week 6; Supplementary: Theory in Your Research</w:t>
            </w:r>
          </w:p>
        </w:tc>
      </w:tr>
      <w:tr>
        <w:tc>
          <w:tcPr>
            <w:tcW w:type="dxa" w:w="4819"/>
          </w:tcPr>
          <w:p>
            <w:pPr>
              <w:spacing w:after="40"/>
            </w:pPr>
            <w:r>
              <w:t>Write your literature review</w:t>
            </w:r>
          </w:p>
        </w:tc>
        <w:tc>
          <w:tcPr>
            <w:tcW w:type="dxa" w:w="4252"/>
          </w:tcPr>
          <w:p>
            <w:pPr>
              <w:spacing w:after="40"/>
            </w:pPr>
            <w:r>
              <w:t>Week 7; the Literature Review Matrix Table in General</w:t>
            </w:r>
          </w:p>
        </w:tc>
      </w:tr>
      <w:tr>
        <w:tc>
          <w:tcPr>
            <w:tcW w:type="dxa" w:w="4819"/>
          </w:tcPr>
          <w:p>
            <w:pPr>
              <w:spacing w:after="40"/>
            </w:pPr>
            <w:r>
              <w:t>Explain how your study will be trustworthy</w:t>
            </w:r>
          </w:p>
        </w:tc>
        <w:tc>
          <w:tcPr>
            <w:tcW w:type="dxa" w:w="4252"/>
          </w:tcPr>
          <w:p>
            <w:pPr>
              <w:spacing w:after="40"/>
            </w:pPr>
            <w:r>
              <w:t>Week 8</w:t>
            </w:r>
          </w:p>
        </w:tc>
      </w:tr>
      <w:tr>
        <w:tc>
          <w:tcPr>
            <w:tcW w:type="dxa" w:w="4819"/>
          </w:tcPr>
          <w:p>
            <w:pPr>
              <w:spacing w:after="40"/>
            </w:pPr>
            <w:r>
              <w:t>Write your ethics section and your positionality</w:t>
            </w:r>
          </w:p>
        </w:tc>
        <w:tc>
          <w:tcPr>
            <w:tcW w:type="dxa" w:w="4252"/>
          </w:tcPr>
          <w:p>
            <w:pPr>
              <w:spacing w:after="40"/>
            </w:pPr>
            <w:r>
              <w:t>Week 9; Supplementary: Positionality and Reflexivity</w:t>
            </w:r>
          </w:p>
        </w:tc>
      </w:tr>
      <w:tr>
        <w:tc>
          <w:tcPr>
            <w:tcW w:type="dxa" w:w="4819"/>
          </w:tcPr>
          <w:p>
            <w:pPr>
              <w:spacing w:after="40"/>
            </w:pPr>
            <w:r>
              <w:t>Explain how you would collect and analyse your data</w:t>
            </w:r>
          </w:p>
        </w:tc>
        <w:tc>
          <w:tcPr>
            <w:tcW w:type="dxa" w:w="4252"/>
          </w:tcPr>
          <w:p>
            <w:pPr>
              <w:spacing w:after="40"/>
            </w:pPr>
            <w:r>
              <w:t>Supplementary: Collecting and Analysing Qualitative Data</w:t>
            </w:r>
          </w:p>
        </w:tc>
      </w:tr>
      <w:tr>
        <w:tc>
          <w:tcPr>
            <w:tcW w:type="dxa" w:w="4819"/>
          </w:tcPr>
          <w:p>
            <w:pPr>
              <w:spacing w:after="40"/>
            </w:pPr>
            <w:r>
              <w:t>Write your limitations</w:t>
            </w:r>
          </w:p>
        </w:tc>
        <w:tc>
          <w:tcPr>
            <w:tcW w:type="dxa" w:w="4252"/>
          </w:tcPr>
          <w:p>
            <w:pPr>
              <w:spacing w:after="40"/>
            </w:pPr>
            <w:r>
              <w:t>Week 11</w:t>
            </w:r>
          </w:p>
        </w:tc>
      </w:tr>
      <w:tr>
        <w:tc>
          <w:tcPr>
            <w:tcW w:type="dxa" w:w="4819"/>
          </w:tcPr>
          <w:p>
            <w:pPr>
              <w:spacing w:after="40"/>
            </w:pPr>
            <w:r>
              <w:t>See what a finished proposal looks like</w:t>
            </w:r>
          </w:p>
        </w:tc>
        <w:tc>
          <w:tcPr>
            <w:tcW w:type="dxa" w:w="4252"/>
          </w:tcPr>
          <w:p>
            <w:pPr>
              <w:spacing w:after="40"/>
            </w:pPr>
            <w:r>
              <w:t>Week 12; Supplementary: Writing Your Research Proposal</w:t>
            </w:r>
          </w:p>
        </w:tc>
      </w:tr>
      <w:tr>
        <w:tc>
          <w:tcPr>
            <w:tcW w:type="dxa" w:w="4819"/>
          </w:tcPr>
          <w:p>
            <w:pPr>
              <w:spacing w:after="40"/>
            </w:pPr>
            <w:r>
              <w:t>Find a textbook explanation or a key source to cite</w:t>
            </w:r>
          </w:p>
        </w:tc>
        <w:tc>
          <w:tcPr>
            <w:tcW w:type="dxa" w:w="4252"/>
          </w:tcPr>
          <w:p>
            <w:pPr>
              <w:spacing w:after="40"/>
            </w:pPr>
            <w:r>
              <w:t>Supplementary: Reading Library for the DBA; Supplementary: Wider Reading; the Online Reading List in General</w:t>
            </w:r>
          </w:p>
        </w:tc>
      </w:tr>
    </w:tbl>
    <w:p>
      <w:pPr>
        <w:pStyle w:val="Heading1"/>
      </w:pPr>
      <w:r>
        <w:t>The top tiles and the 12 weekly tiles</w:t>
      </w:r>
    </w:p>
    <w:p>
      <w:pPr>
        <w:keepNext/>
      </w:pPr>
      <w:r>
        <w:t>Table 2. What you will find in the top tiles and the weekly tiles</w:t>
      </w:r>
    </w:p>
    <w:tbl>
      <w:tblPr>
        <w:tblW w:type="auto" w:w="0"/>
        <w:tblLayout w:type="fixed"/>
        <w:tblLook w:firstColumn="1" w:firstRow="1" w:lastColumn="0" w:lastRow="0" w:noHBand="0" w:noVBand="1" w:val="04A0"/>
        <w:tblBorders>
          <w:top w:val="single" w:sz="4" w:color="000000"/>
          <w:left w:val="single" w:sz="4" w:color="000000"/>
          <w:bottom w:val="single" w:sz="4" w:color="000000"/>
          <w:right w:val="single" w:sz="4" w:color="000000"/>
          <w:insideH w:val="single" w:sz="4" w:color="000000"/>
          <w:insideV w:val="single" w:sz="4" w:color="000000"/>
        </w:tblBorders>
      </w:tblPr>
      <w:tblGrid>
        <w:gridCol w:w="2835"/>
        <w:gridCol w:w="6236"/>
      </w:tblGrid>
      <w:tr>
        <w:trPr>
          <w:tblHeader w:val="true"/>
        </w:trPr>
        <w:tc>
          <w:tcPr>
            <w:tcW w:type="dxa" w:w="2835"/>
          </w:tcPr>
          <w:p>
            <w:r>
              <w:rPr>
                <w:b/>
              </w:rPr>
              <w:t>Tile</w:t>
            </w:r>
          </w:p>
        </w:tc>
        <w:tc>
          <w:tcPr>
            <w:tcW w:type="dxa" w:w="6236"/>
          </w:tcPr>
          <w:p>
            <w:r>
              <w:rPr>
                <w:b/>
              </w:rPr>
              <w:t>What you will find there</w:t>
            </w:r>
          </w:p>
        </w:tc>
      </w:tr>
      <w:tr>
        <w:tc>
          <w:tcPr>
            <w:tcW w:type="dxa" w:w="2835"/>
          </w:tcPr>
          <w:p>
            <w:pPr>
              <w:spacing w:after="40"/>
            </w:pPr>
            <w:r>
              <w:t>General</w:t>
            </w:r>
          </w:p>
        </w:tc>
        <w:tc>
          <w:tcPr>
            <w:tcW w:type="dxa" w:w="6236"/>
          </w:tcPr>
          <w:p>
            <w:pPr>
              <w:spacing w:after="40"/>
            </w:pPr>
            <w:r>
              <w:t>The module welcome, announcements, the DBA timetable, the Academic Quality Handbook, your assignment specification, the three assignment submission points, the online reading list, the Literature Review Matrix Table, guidance on using generative AI, the QAA doctoral degree characteristics statement, the DBA thesis database and a link to the Doctoral College</w:t>
            </w:r>
          </w:p>
        </w:tc>
      </w:tr>
      <w:tr>
        <w:tc>
          <w:tcPr>
            <w:tcW w:type="dxa" w:w="2835"/>
          </w:tcPr>
          <w:p>
            <w:pPr>
              <w:spacing w:after="40"/>
            </w:pPr>
            <w:r>
              <w:t>DBA Programme Handbooks</w:t>
            </w:r>
          </w:p>
        </w:tc>
        <w:tc>
          <w:tcPr>
            <w:tcW w:type="dxa" w:w="6236"/>
          </w:tcPr>
          <w:p>
            <w:pPr>
              <w:spacing w:after="40"/>
            </w:pPr>
            <w:r>
              <w:t>The DBA Programme of Study Handbook and the DBA Module Directory</w:t>
            </w:r>
          </w:p>
        </w:tc>
      </w:tr>
      <w:tr>
        <w:tc>
          <w:tcPr>
            <w:tcW w:type="dxa" w:w="2835"/>
          </w:tcPr>
          <w:p>
            <w:pPr>
              <w:spacing w:after="40"/>
            </w:pPr>
            <w:r>
              <w:t>Induction - Essential Information</w:t>
            </w:r>
          </w:p>
        </w:tc>
        <w:tc>
          <w:tcPr>
            <w:tcW w:type="dxa" w:w="6236"/>
          </w:tcPr>
          <w:p>
            <w:pPr>
              <w:spacing w:after="40"/>
            </w:pPr>
            <w:r>
              <w:t>Induction materials, the importance of referencing and journal rankings</w:t>
            </w:r>
          </w:p>
        </w:tc>
      </w:tr>
      <w:tr>
        <w:tc>
          <w:tcPr>
            <w:tcW w:type="dxa" w:w="2835"/>
          </w:tcPr>
          <w:p>
            <w:pPr>
              <w:spacing w:after="40"/>
            </w:pPr>
            <w:r>
              <w:t>Week 1 Orientation to Business and Management Research</w:t>
            </w:r>
          </w:p>
        </w:tc>
        <w:tc>
          <w:tcPr>
            <w:tcW w:type="dxa" w:w="6236"/>
          </w:tcPr>
          <w:p>
            <w:pPr>
              <w:spacing w:after="40"/>
            </w:pPr>
            <w:r>
              <w:t>The presentation on why research philosophy matters, your research canvas, Handout 1 and a reading on qualitative field research in management accounting</w:t>
            </w:r>
          </w:p>
        </w:tc>
      </w:tr>
      <w:tr>
        <w:tc>
          <w:tcPr>
            <w:tcW w:type="dxa" w:w="2835"/>
          </w:tcPr>
          <w:p>
            <w:pPr>
              <w:spacing w:after="40"/>
            </w:pPr>
            <w:r>
              <w:t>Week 2 Orientation to Doctoral Research: Your Research Topic</w:t>
            </w:r>
          </w:p>
        </w:tc>
        <w:tc>
          <w:tcPr>
            <w:tcW w:type="dxa" w:w="6236"/>
          </w:tcPr>
          <w:p>
            <w:pPr>
              <w:spacing w:after="40"/>
            </w:pPr>
            <w:r>
              <w:t>The research topic presentation, a reading on understanding and applying research paradigms, Alvesson and Sandberg (2011) on generating research questions, early-stage research activities, topic outlines from earlier cohorts and the research topic activity</w:t>
            </w:r>
          </w:p>
        </w:tc>
      </w:tr>
      <w:tr>
        <w:tc>
          <w:tcPr>
            <w:tcW w:type="dxa" w:w="2835"/>
          </w:tcPr>
          <w:p>
            <w:pPr>
              <w:spacing w:after="40"/>
            </w:pPr>
            <w:r>
              <w:t>Week 3 Research Philosophy: Ontology, Epistemology and Axiology</w:t>
            </w:r>
          </w:p>
        </w:tc>
        <w:tc>
          <w:tcPr>
            <w:tcW w:type="dxa" w:w="6236"/>
          </w:tcPr>
          <w:p>
            <w:pPr>
              <w:spacing w:after="40"/>
            </w:pPr>
            <w:r>
              <w:t>The introduction to paradigms presentation, a quick tour of Thomas Kuhn, readings on ontology and epistemology, Morgan (2007) on pragmatism, Guba and Lincoln (2005), reinforcement activities and the detectives and paradigms activity</w:t>
            </w:r>
          </w:p>
        </w:tc>
      </w:tr>
      <w:tr>
        <w:tc>
          <w:tcPr>
            <w:tcW w:type="dxa" w:w="2835"/>
          </w:tcPr>
          <w:p>
            <w:pPr>
              <w:spacing w:after="40"/>
            </w:pPr>
            <w:r>
              <w:t>Week 4 The Paradigms with Guba and Lincoln</w:t>
            </w:r>
          </w:p>
        </w:tc>
        <w:tc>
          <w:tcPr>
            <w:tcW w:type="dxa" w:w="6236"/>
          </w:tcPr>
          <w:p>
            <w:pPr>
              <w:spacing w:after="40"/>
            </w:pPr>
            <w:r>
              <w:t>The seven paradigms presentation, Guba's The Paradigm Dialog, Guba and Lincoln (1994), Lincoln, Lynham and Guba (2018), a reading that demystifies research paradigms, and activities on interpretivism, developing your research foundations and the Employment Rights Act</w:t>
            </w:r>
          </w:p>
        </w:tc>
      </w:tr>
      <w:tr>
        <w:tc>
          <w:tcPr>
            <w:tcW w:type="dxa" w:w="2835"/>
          </w:tcPr>
          <w:p>
            <w:pPr>
              <w:spacing w:after="40"/>
            </w:pPr>
            <w:r>
              <w:t>Week 5 Qualitative Research Approaches</w:t>
            </w:r>
          </w:p>
        </w:tc>
        <w:tc>
          <w:tcPr>
            <w:tcW w:type="dxa" w:w="6236"/>
          </w:tcPr>
          <w:p>
            <w:pPr>
              <w:spacing w:after="40"/>
            </w:pPr>
            <w:r>
              <w:t>The interpretivism presentation, the presentation on the five qualitative approaches, Creswell's five qualitative approaches with examples, and readings by Antwi and Hamza, Creswell, Crotty and Reiners, with an example case study</w:t>
            </w:r>
          </w:p>
        </w:tc>
      </w:tr>
      <w:tr>
        <w:tc>
          <w:tcPr>
            <w:tcW w:type="dxa" w:w="2835"/>
          </w:tcPr>
          <w:p>
            <w:pPr>
              <w:spacing w:after="40"/>
            </w:pPr>
            <w:r>
              <w:t>Week 6 Theory, Theoretical Framework and Conceptual Framework</w:t>
            </w:r>
          </w:p>
        </w:tc>
        <w:tc>
          <w:tcPr>
            <w:tcW w:type="dxa" w:w="6236"/>
          </w:tcPr>
          <w:p>
            <w:pPr>
              <w:spacing w:after="40"/>
            </w:pPr>
            <w:r>
              <w:t>The presentation on theory and frameworks, a practical session on conceptual clarification, and readings by Rocco and Plakhotnik, Grant and Osanloo, Carter and Little, Bordage, and Anfara and Mertz</w:t>
            </w:r>
          </w:p>
        </w:tc>
      </w:tr>
      <w:tr>
        <w:tc>
          <w:tcPr>
            <w:tcW w:type="dxa" w:w="2835"/>
          </w:tcPr>
          <w:p>
            <w:pPr>
              <w:spacing w:after="40"/>
            </w:pPr>
            <w:r>
              <w:t>Week 7 Literature Review</w:t>
            </w:r>
          </w:p>
        </w:tc>
        <w:tc>
          <w:tcPr>
            <w:tcW w:type="dxa" w:w="6236"/>
          </w:tcPr>
          <w:p>
            <w:pPr>
              <w:spacing w:after="40"/>
            </w:pPr>
            <w:r>
              <w:t>The literature review workshop presentation and resource, an Excel literature review table, literature review tasks, a 500-word literature review activity and literature foundation activities</w:t>
            </w:r>
          </w:p>
        </w:tc>
      </w:tr>
      <w:tr>
        <w:tc>
          <w:tcPr>
            <w:tcW w:type="dxa" w:w="2835"/>
          </w:tcPr>
          <w:p>
            <w:pPr>
              <w:spacing w:after="40"/>
            </w:pPr>
            <w:r>
              <w:t>Week 8 Quality in Qualitative Research</w:t>
            </w:r>
          </w:p>
        </w:tc>
        <w:tc>
          <w:tcPr>
            <w:tcW w:type="dxa" w:w="6236"/>
          </w:tcPr>
          <w:p>
            <w:pPr>
              <w:spacing w:after="40"/>
            </w:pPr>
            <w:r>
              <w:t>The quality presentation, guidance on trustworthiness, a quality strategy worksheet, articles and strategies on quality, and readings by Patton, Golafshani, Bapir, Drost and Lincoln, Lynham and Guba</w:t>
            </w:r>
          </w:p>
        </w:tc>
      </w:tr>
      <w:tr>
        <w:tc>
          <w:tcPr>
            <w:tcW w:type="dxa" w:w="2835"/>
          </w:tcPr>
          <w:p>
            <w:pPr>
              <w:spacing w:after="40"/>
            </w:pPr>
            <w:r>
              <w:t>Week 9 Research Ethics and Positionality</w:t>
            </w:r>
          </w:p>
        </w:tc>
        <w:tc>
          <w:tcPr>
            <w:tcW w:type="dxa" w:w="6236"/>
          </w:tcPr>
          <w:p>
            <w:pPr>
              <w:spacing w:after="40"/>
            </w:pPr>
            <w:r>
              <w:t>The research ethics and positionality presentations, the research ethics workbook, the UWTSD ethics code and web pages, the ethics grid and script, the Flinders ethical grid with guidance, an ethics form exemplar, the social identity map and readings on ethics, vulnerability and positionality</w:t>
            </w:r>
          </w:p>
        </w:tc>
      </w:tr>
      <w:tr>
        <w:tc>
          <w:tcPr>
            <w:tcW w:type="dxa" w:w="2835"/>
          </w:tcPr>
          <w:p>
            <w:pPr>
              <w:spacing w:after="40"/>
            </w:pPr>
            <w:r>
              <w:t>Week 10 Revisiting Paradigms</w:t>
            </w:r>
          </w:p>
        </w:tc>
        <w:tc>
          <w:tcPr>
            <w:tcW w:type="dxa" w:w="6236"/>
          </w:tcPr>
          <w:p>
            <w:pPr>
              <w:spacing w:after="40"/>
            </w:pPr>
            <w:r>
              <w:t>The Alien visual guide, short presentations on what a paradigm is, when and why it matters, the ontology spectrum and epistemology, and Vogt (2008) on choosing research methods</w:t>
            </w:r>
          </w:p>
        </w:tc>
      </w:tr>
      <w:tr>
        <w:tc>
          <w:tcPr>
            <w:tcW w:type="dxa" w:w="2835"/>
          </w:tcPr>
          <w:p>
            <w:pPr>
              <w:spacing w:after="40"/>
            </w:pPr>
            <w:r>
              <w:t>Week 11 Research Limitations</w:t>
            </w:r>
          </w:p>
        </w:tc>
        <w:tc>
          <w:tcPr>
            <w:tcW w:type="dxa" w:w="6236"/>
          </w:tcPr>
          <w:p>
            <w:pPr>
              <w:spacing w:after="40"/>
            </w:pPr>
            <w:r>
              <w:t>The research limitations presentation, limitations activities, a qualitative limitations table, a discussion of Eisenhardt (1989), a worked example on sample size, a summary of key points and readings by Gephart and Tracy</w:t>
            </w:r>
          </w:p>
        </w:tc>
      </w:tr>
      <w:tr>
        <w:tc>
          <w:tcPr>
            <w:tcW w:type="dxa" w:w="2835"/>
          </w:tcPr>
          <w:p>
            <w:pPr>
              <w:spacing w:after="40"/>
            </w:pPr>
            <w:r>
              <w:t>Week 12 Assignment Workshop</w:t>
            </w:r>
          </w:p>
        </w:tc>
        <w:tc>
          <w:tcPr>
            <w:tcW w:type="dxa" w:w="6236"/>
          </w:tcPr>
          <w:p>
            <w:pPr>
              <w:spacing w:after="40"/>
            </w:pPr>
            <w:r>
              <w:t>A workshop guide to writing a doctoral-level research proposal and a worked example of an interpretivist phenomenological study</w:t>
            </w:r>
          </w:p>
        </w:tc>
      </w:tr>
    </w:tbl>
    <w:p>
      <w:pPr>
        <w:pStyle w:val="Heading1"/>
      </w:pPr>
      <w:r>
        <w:t>The Supplementary tiles</w:t>
      </w:r>
    </w:p>
    <w:p>
      <w:pPr>
        <w:keepNext/>
      </w:pPr>
      <w:r>
        <w:t>Table 3. What you will find in the Supplementary tiles</w:t>
      </w:r>
    </w:p>
    <w:tbl>
      <w:tblPr>
        <w:tblW w:type="auto" w:w="0"/>
        <w:tblLayout w:type="fixed"/>
        <w:tblLook w:firstColumn="1" w:firstRow="1" w:lastColumn="0" w:lastRow="0" w:noHBand="0" w:noVBand="1" w:val="04A0"/>
        <w:tblBorders>
          <w:top w:val="single" w:sz="4" w:color="000000"/>
          <w:left w:val="single" w:sz="4" w:color="000000"/>
          <w:bottom w:val="single" w:sz="4" w:color="000000"/>
          <w:right w:val="single" w:sz="4" w:color="000000"/>
          <w:insideH w:val="single" w:sz="4" w:color="000000"/>
          <w:insideV w:val="single" w:sz="4" w:color="000000"/>
        </w:tblBorders>
      </w:tblPr>
      <w:tblGrid>
        <w:gridCol w:w="2835"/>
        <w:gridCol w:w="6236"/>
      </w:tblGrid>
      <w:tr>
        <w:trPr>
          <w:tblHeader w:val="true"/>
        </w:trPr>
        <w:tc>
          <w:tcPr>
            <w:tcW w:type="dxa" w:w="2835"/>
          </w:tcPr>
          <w:p>
            <w:r>
              <w:rPr>
                <w:b/>
              </w:rPr>
              <w:t>Tile</w:t>
            </w:r>
          </w:p>
        </w:tc>
        <w:tc>
          <w:tcPr>
            <w:tcW w:type="dxa" w:w="6236"/>
          </w:tcPr>
          <w:p>
            <w:r>
              <w:rPr>
                <w:b/>
              </w:rPr>
              <w:t>What you will find there</w:t>
            </w:r>
          </w:p>
        </w:tc>
      </w:tr>
      <w:tr>
        <w:tc>
          <w:tcPr>
            <w:tcW w:type="dxa" w:w="2835"/>
          </w:tcPr>
          <w:p>
            <w:pPr>
              <w:spacing w:after="40"/>
            </w:pPr>
            <w:r>
              <w:t>Supplementary: Reading Library for the DBA</w:t>
            </w:r>
          </w:p>
        </w:tc>
        <w:tc>
          <w:tcPr>
            <w:tcW w:type="dxa" w:w="6236"/>
          </w:tcPr>
          <w:p>
            <w:pPr>
              <w:spacing w:after="40"/>
            </w:pPr>
            <w:r>
              <w:t>Core texts for the DBA, including Kuhn, Crotty, Creswell, Maxwell, Denscombe, Bell and Bryman, Denzin and Lincoln, Saldaña, and Miles and Huberman, readings on conceptual frameworks and triangulation, and Heron and Reason (1997), the paper that added axiology to the paradigms</w:t>
            </w:r>
          </w:p>
        </w:tc>
      </w:tr>
      <w:tr>
        <w:tc>
          <w:tcPr>
            <w:tcW w:type="dxa" w:w="2835"/>
          </w:tcPr>
          <w:p>
            <w:pPr>
              <w:spacing w:after="40"/>
            </w:pPr>
            <w:r>
              <w:t>Supplementary: The Ologies and Research Topics</w:t>
            </w:r>
          </w:p>
        </w:tc>
        <w:tc>
          <w:tcPr>
            <w:tcW w:type="dxa" w:w="6236"/>
          </w:tcPr>
          <w:p>
            <w:pPr>
              <w:spacing w:after="40"/>
            </w:pPr>
            <w:r>
              <w:t>Further readings on ontology, epistemology and axiology, including examples from human resource management, an introduction to constructionism in business and management, and a research question activity</w:t>
            </w:r>
          </w:p>
        </w:tc>
      </w:tr>
      <w:tr>
        <w:tc>
          <w:tcPr>
            <w:tcW w:type="dxa" w:w="2835"/>
          </w:tcPr>
          <w:p>
            <w:pPr>
              <w:spacing w:after="40"/>
            </w:pPr>
            <w:r>
              <w:t>Supplementary: Research Approaches with Published Examples</w:t>
            </w:r>
          </w:p>
        </w:tc>
        <w:tc>
          <w:tcPr>
            <w:tcW w:type="dxa" w:w="6236"/>
          </w:tcPr>
          <w:p>
            <w:pPr>
              <w:spacing w:after="40"/>
            </w:pPr>
            <w:r>
              <w:t>Creswell's five qualitative approaches, readings on the philosophy behind each approach, readings on mixed methods, and published studies that use grounded theory, narrative inquiry, phenomenology, ethnography, case study, discourse analysis, content analysis, hermeneutics and heuristics</w:t>
            </w:r>
          </w:p>
        </w:tc>
      </w:tr>
      <w:tr>
        <w:tc>
          <w:tcPr>
            <w:tcW w:type="dxa" w:w="2835"/>
          </w:tcPr>
          <w:p>
            <w:pPr>
              <w:spacing w:after="40"/>
            </w:pPr>
            <w:r>
              <w:t>Supplementary: Applying the Paradigms to 10 Business Problems</w:t>
            </w:r>
          </w:p>
        </w:tc>
        <w:tc>
          <w:tcPr>
            <w:tcW w:type="dxa" w:w="6236"/>
          </w:tcPr>
          <w:p>
            <w:pPr>
              <w:spacing w:after="40"/>
            </w:pPr>
            <w:r>
              <w:t>A simple paradigm table, ten business topics, examples of aims, objectives and research questions, worked paradigm justifications and a presentation on qualitative and quantitative research and the paradigms</w:t>
            </w:r>
          </w:p>
        </w:tc>
      </w:tr>
      <w:tr>
        <w:tc>
          <w:tcPr>
            <w:tcW w:type="dxa" w:w="2835"/>
          </w:tcPr>
          <w:p>
            <w:pPr>
              <w:spacing w:after="40"/>
            </w:pPr>
            <w:r>
              <w:t>Supplementary: Theory in Your Research</w:t>
            </w:r>
          </w:p>
        </w:tc>
        <w:tc>
          <w:tcPr>
            <w:tcW w:type="dxa" w:w="6236"/>
          </w:tcPr>
          <w:p>
            <w:pPr>
              <w:spacing w:after="40"/>
            </w:pPr>
            <w:r>
              <w:t>Readings on the central role of theory in qualitative research, example theoretical frameworks and the Revisiting Theory presentation</w:t>
            </w:r>
          </w:p>
        </w:tc>
      </w:tr>
      <w:tr>
        <w:tc>
          <w:tcPr>
            <w:tcW w:type="dxa" w:w="2835"/>
          </w:tcPr>
          <w:p>
            <w:pPr>
              <w:spacing w:after="40"/>
            </w:pPr>
            <w:r>
              <w:t>Supplementary: Collecting and Analysing Qualitative Data</w:t>
            </w:r>
          </w:p>
        </w:tc>
        <w:tc>
          <w:tcPr>
            <w:tcW w:type="dxa" w:w="6236"/>
          </w:tcPr>
          <w:p>
            <w:pPr>
              <w:spacing w:after="40"/>
            </w:pPr>
            <w:r>
              <w:t>Readings on focus groups, including online focus groups, guidance on generating, transcribing and analysing textual data, thematic analysis guidance with a checklist, a reading list and answers to frequently asked questions, guides to NVivo and other qualitative software, a presentation on analysis and grounded theory, a worked interview, the detecting your research strategy activity and further readings on qualitative research</w:t>
            </w:r>
          </w:p>
        </w:tc>
      </w:tr>
      <w:tr>
        <w:tc>
          <w:tcPr>
            <w:tcW w:type="dxa" w:w="2835"/>
          </w:tcPr>
          <w:p>
            <w:pPr>
              <w:spacing w:after="40"/>
            </w:pPr>
            <w:r>
              <w:t>Supplementary: Positionality and Reflexivity</w:t>
            </w:r>
          </w:p>
        </w:tc>
        <w:tc>
          <w:tcPr>
            <w:tcW w:type="dxa" w:w="6236"/>
          </w:tcPr>
          <w:p>
            <w:pPr>
              <w:spacing w:after="40"/>
            </w:pPr>
            <w:r>
              <w:t>Readings on positionality and reflexivity, guidance on positionality statements, a worldview test, field notes and reflection, and the Easterby-Smith tree metaphor with its presentation</w:t>
            </w:r>
          </w:p>
        </w:tc>
      </w:tr>
      <w:tr>
        <w:tc>
          <w:tcPr>
            <w:tcW w:type="dxa" w:w="2835"/>
          </w:tcPr>
          <w:p>
            <w:pPr>
              <w:spacing w:after="40"/>
            </w:pPr>
            <w:r>
              <w:t>Supplementary: Writing Your Research Proposal</w:t>
            </w:r>
          </w:p>
        </w:tc>
        <w:tc>
          <w:tcPr>
            <w:tcW w:type="dxa" w:w="6236"/>
          </w:tcPr>
          <w:p>
            <w:pPr>
              <w:spacing w:after="40"/>
            </w:pPr>
            <w:r>
              <w:t>Readings on writing for different audiences and representing findings, Penrod (2003) on writing a successful qualitative proposal, and two example research proposals</w:t>
            </w:r>
          </w:p>
        </w:tc>
      </w:tr>
      <w:tr>
        <w:tc>
          <w:tcPr>
            <w:tcW w:type="dxa" w:w="2835"/>
          </w:tcPr>
          <w:p>
            <w:pPr>
              <w:spacing w:after="40"/>
            </w:pPr>
            <w:r>
              <w:t>Supplementary: Research Journeys and Example Studies</w:t>
            </w:r>
          </w:p>
        </w:tc>
        <w:tc>
          <w:tcPr>
            <w:tcW w:type="dxa" w:w="6236"/>
          </w:tcPr>
          <w:p>
            <w:pPr>
              <w:spacing w:after="40"/>
            </w:pPr>
            <w:r>
              <w:t>Accounts of the doctoral journey, example studies for each qualitative approach, a quantitative research proposal, and a worked thematic analysis with an interview transcript and a presentation</w:t>
            </w:r>
          </w:p>
        </w:tc>
      </w:tr>
      <w:tr>
        <w:tc>
          <w:tcPr>
            <w:tcW w:type="dxa" w:w="2835"/>
          </w:tcPr>
          <w:p>
            <w:pPr>
              <w:spacing w:after="40"/>
            </w:pPr>
            <w:r>
              <w:t>Supplementary: Case Study Research</w:t>
            </w:r>
          </w:p>
        </w:tc>
        <w:tc>
          <w:tcPr>
            <w:tcW w:type="dxa" w:w="6236"/>
          </w:tcPr>
          <w:p>
            <w:pPr>
              <w:spacing w:after="40"/>
            </w:pPr>
            <w:r>
              <w:t>Guidance on case study research and mixed methods for DBA researchers</w:t>
            </w:r>
          </w:p>
        </w:tc>
      </w:tr>
      <w:tr>
        <w:tc>
          <w:tcPr>
            <w:tcW w:type="dxa" w:w="2835"/>
          </w:tcPr>
          <w:p>
            <w:pPr>
              <w:spacing w:after="40"/>
            </w:pPr>
            <w:r>
              <w:t>Supplementary: Wider Reading</w:t>
            </w:r>
          </w:p>
        </w:tc>
        <w:tc>
          <w:tcPr>
            <w:tcW w:type="dxa" w:w="6236"/>
          </w:tcPr>
          <w:p>
            <w:pPr>
              <w:spacing w:after="40"/>
            </w:pPr>
            <w:r>
              <w:t>Further research methods books</w:t>
            </w:r>
          </w:p>
        </w:tc>
      </w:tr>
    </w:tbl>
    <w:sectPr w:rsidR="00FC693F" w:rsidRPr="0006063C" w:rsidSect="000346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pPr>
    <w:rPr>
      <w:rFonts w:ascii="Times New Roman" w:hAnsi="Times New Roman" w:eastAsia="Times New Roman" w:cs="Times New Roman"/>
      <w:color w:val="000000"/>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40" w:after="0"/>
      <w:outlineLvl w:val="0"/>
    </w:pPr>
    <w:rPr>
      <w:rFonts w:ascii="Times New Roman" w:hAnsi="Times New Roman" w:eastAsia="Times New Roman" w:cs="Times New Roman"/>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before="240"/>
      <w:contextualSpacing/>
    </w:pPr>
    <w:rPr>
      <w:rFonts w:ascii="Times New Roman" w:hAnsi="Times New Roman" w:eastAsia="Times New Roman" w:cs="Times New Roman"/>
      <w:b/>
      <w:color w:val="000000"/>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