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5301E" w14:textId="77777777" w:rsidR="004B5EF5" w:rsidRPr="007D5B68" w:rsidRDefault="004B5EF5" w:rsidP="004B5EF5">
      <w:pPr>
        <w:rPr>
          <w:b/>
          <w:bCs/>
        </w:rPr>
      </w:pPr>
      <w:r w:rsidRPr="007D5B68">
        <w:rPr>
          <w:rFonts w:eastAsia="Aptos"/>
          <w:noProof/>
          <w:sz w:val="22"/>
          <w:lang w:val="en-US"/>
        </w:rPr>
        <w:drawing>
          <wp:inline distT="0" distB="0" distL="0" distR="0" wp14:anchorId="7B9C54F7" wp14:editId="3774853C">
            <wp:extent cx="2485390"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537772" cy="954997"/>
                    </a:xfrm>
                    <a:prstGeom prst="rect">
                      <a:avLst/>
                    </a:prstGeom>
                    <a:noFill/>
                    <a:ln>
                      <a:noFill/>
                    </a:ln>
                  </pic:spPr>
                </pic:pic>
              </a:graphicData>
            </a:graphic>
          </wp:inline>
        </w:drawing>
      </w:r>
    </w:p>
    <w:p w14:paraId="7F43E74E" w14:textId="77777777" w:rsidR="004B5EF5" w:rsidRPr="007D5B68" w:rsidRDefault="004B5EF5" w:rsidP="004B5EF5">
      <w:pPr>
        <w:rPr>
          <w:b/>
          <w:bCs/>
        </w:rPr>
      </w:pPr>
    </w:p>
    <w:p w14:paraId="50235038" w14:textId="77777777" w:rsidR="004B5EF5" w:rsidRDefault="004B5EF5" w:rsidP="004B5EF5">
      <w:pPr>
        <w:jc w:val="center"/>
        <w:rPr>
          <w:b/>
          <w:color w:val="000000" w:themeColor="text1"/>
          <w:sz w:val="44"/>
          <w:szCs w:val="44"/>
        </w:rPr>
      </w:pPr>
      <w:r w:rsidRPr="004B5EF5">
        <w:rPr>
          <w:b/>
          <w:color w:val="000000" w:themeColor="text1"/>
          <w:sz w:val="44"/>
          <w:szCs w:val="44"/>
        </w:rPr>
        <w:t>Global Business Challenges</w:t>
      </w:r>
    </w:p>
    <w:p w14:paraId="58C061D6" w14:textId="0A4A608F" w:rsidR="004B5EF5" w:rsidRDefault="004B5EF5" w:rsidP="004B5EF5">
      <w:pPr>
        <w:jc w:val="center"/>
        <w:rPr>
          <w:b/>
          <w:color w:val="000000" w:themeColor="text1"/>
          <w:sz w:val="44"/>
          <w:szCs w:val="44"/>
        </w:rPr>
      </w:pPr>
      <w:r w:rsidRPr="004B5EF5">
        <w:rPr>
          <w:b/>
          <w:color w:val="000000" w:themeColor="text1"/>
          <w:sz w:val="44"/>
          <w:szCs w:val="44"/>
        </w:rPr>
        <w:t>BMMB7006</w:t>
      </w:r>
    </w:p>
    <w:p w14:paraId="25525CE6" w14:textId="77777777" w:rsidR="004B5EF5" w:rsidRDefault="004B5EF5" w:rsidP="004B5EF5">
      <w:pPr>
        <w:jc w:val="center"/>
        <w:rPr>
          <w:b/>
          <w:color w:val="000000" w:themeColor="text1"/>
          <w:sz w:val="44"/>
          <w:szCs w:val="44"/>
        </w:rPr>
      </w:pPr>
    </w:p>
    <w:p w14:paraId="3BD7441A" w14:textId="40E67AFB" w:rsidR="004B5EF5" w:rsidRPr="007D5B68" w:rsidRDefault="004B5EF5" w:rsidP="004B5EF5">
      <w:pPr>
        <w:jc w:val="center"/>
        <w:rPr>
          <w:b/>
          <w:color w:val="000000" w:themeColor="text1"/>
          <w:sz w:val="32"/>
          <w:szCs w:val="32"/>
        </w:rPr>
      </w:pPr>
      <w:r w:rsidRPr="004B5EF5">
        <w:rPr>
          <w:b/>
          <w:color w:val="000000" w:themeColor="text1"/>
          <w:sz w:val="32"/>
          <w:szCs w:val="32"/>
        </w:rPr>
        <w:t>Advising AstraZeneca on Artificial Intelligence</w:t>
      </w:r>
      <w:r>
        <w:rPr>
          <w:b/>
          <w:color w:val="000000" w:themeColor="text1"/>
          <w:sz w:val="32"/>
          <w:szCs w:val="32"/>
        </w:rPr>
        <w:t xml:space="preserve"> </w:t>
      </w:r>
      <w:r w:rsidRPr="004B5EF5">
        <w:rPr>
          <w:b/>
          <w:color w:val="000000" w:themeColor="text1"/>
          <w:sz w:val="32"/>
          <w:szCs w:val="32"/>
        </w:rPr>
        <w:t>Growth and Risk Management</w:t>
      </w:r>
    </w:p>
    <w:p w14:paraId="4C5C70A9" w14:textId="77777777" w:rsidR="004B5EF5" w:rsidRPr="007D5B68" w:rsidRDefault="004B5EF5" w:rsidP="004B5EF5">
      <w:pPr>
        <w:spacing w:line="259" w:lineRule="auto"/>
        <w:jc w:val="left"/>
        <w:rPr>
          <w:b/>
          <w:sz w:val="32"/>
          <w:szCs w:val="32"/>
          <w14:glow w14:rad="63500">
            <w14:schemeClr w14:val="accent5">
              <w14:alpha w14:val="60000"/>
              <w14:satMod w14:val="175000"/>
            </w14:schemeClr>
          </w14:glow>
        </w:rPr>
      </w:pPr>
    </w:p>
    <w:p w14:paraId="115AEDB9" w14:textId="77777777" w:rsidR="004B5EF5" w:rsidRPr="007D5B68" w:rsidRDefault="004B5EF5" w:rsidP="004B5EF5"/>
    <w:p w14:paraId="685E7C04" w14:textId="77777777" w:rsidR="004B5EF5" w:rsidRPr="007D5B68" w:rsidRDefault="004B5EF5" w:rsidP="004B5EF5"/>
    <w:p w14:paraId="0BC88CEF" w14:textId="77777777" w:rsidR="004B5EF5" w:rsidRPr="007D5B68" w:rsidRDefault="004B5EF5" w:rsidP="004B5EF5"/>
    <w:p w14:paraId="27D35A62" w14:textId="77777777" w:rsidR="004B5EF5" w:rsidRPr="00064E09" w:rsidRDefault="004B5EF5" w:rsidP="004B5EF5">
      <w:pPr>
        <w:jc w:val="center"/>
        <w:rPr>
          <w:b/>
          <w:bCs/>
          <w:color w:val="000000" w:themeColor="text1"/>
          <w:lang w:val="en-US"/>
        </w:rPr>
      </w:pPr>
      <w:r>
        <w:rPr>
          <w:b/>
          <w:bCs/>
          <w:color w:val="000000" w:themeColor="text1"/>
          <w:lang w:val="en-US"/>
        </w:rPr>
        <w:t>Student Name: MD MUZAHID KHAN</w:t>
      </w:r>
    </w:p>
    <w:p w14:paraId="723F25DC" w14:textId="77777777" w:rsidR="004B5EF5" w:rsidRPr="007D5B68" w:rsidRDefault="004B5EF5" w:rsidP="004B5EF5">
      <w:pPr>
        <w:jc w:val="center"/>
      </w:pPr>
      <w:r w:rsidRPr="00064E09">
        <w:rPr>
          <w:b/>
          <w:bCs/>
          <w:color w:val="000000" w:themeColor="text1"/>
          <w:lang w:val="en-US"/>
        </w:rPr>
        <w:t>Student ID: 2434352</w:t>
      </w:r>
    </w:p>
    <w:p w14:paraId="6BE4FE7E" w14:textId="77777777" w:rsidR="001478CE" w:rsidRPr="00F807D1" w:rsidRDefault="001478CE" w:rsidP="004B5EF5"/>
    <w:p w14:paraId="74D2A95D" w14:textId="77777777" w:rsidR="001478CE" w:rsidRPr="00F807D1" w:rsidRDefault="001478CE" w:rsidP="001478CE">
      <w:pPr>
        <w:rPr>
          <w:b/>
          <w:bCs/>
          <w:sz w:val="32"/>
          <w:szCs w:val="32"/>
        </w:rPr>
      </w:pPr>
    </w:p>
    <w:p w14:paraId="6A8B917F" w14:textId="77777777" w:rsidR="000C4B1A" w:rsidRPr="00F807D1" w:rsidRDefault="000C4B1A" w:rsidP="004D45A7">
      <w:pPr>
        <w:rPr>
          <w:b/>
          <w:bCs/>
        </w:rPr>
      </w:pPr>
    </w:p>
    <w:p w14:paraId="403ED6E4" w14:textId="77777777" w:rsidR="004254B7" w:rsidRPr="00F807D1" w:rsidRDefault="004254B7">
      <w:pPr>
        <w:spacing w:before="0" w:after="160" w:line="259" w:lineRule="auto"/>
        <w:jc w:val="left"/>
        <w:rPr>
          <w:b/>
          <w:bCs/>
        </w:rPr>
      </w:pPr>
      <w:r w:rsidRPr="00F807D1">
        <w:rPr>
          <w:b/>
          <w:bCs/>
        </w:rPr>
        <w:br w:type="page"/>
      </w:r>
    </w:p>
    <w:p w14:paraId="45C6B089" w14:textId="77777777" w:rsidR="004254B7" w:rsidRPr="00F807D1" w:rsidRDefault="004254B7" w:rsidP="00F514B9">
      <w:pPr>
        <w:pStyle w:val="Heading1"/>
        <w:rPr>
          <w:color w:val="auto"/>
          <w:lang w:val="en-US"/>
        </w:rPr>
      </w:pPr>
      <w:bookmarkStart w:id="0" w:name="_Toc228150014"/>
      <w:r w:rsidRPr="00F807D1">
        <w:rPr>
          <w:color w:val="auto"/>
          <w:lang w:val="en-US"/>
        </w:rPr>
        <w:lastRenderedPageBreak/>
        <w:t>Executive Summary</w:t>
      </w:r>
      <w:bookmarkEnd w:id="0"/>
    </w:p>
    <w:p w14:paraId="747D859A" w14:textId="6C89DD7E" w:rsidR="00930B48" w:rsidRPr="00F807D1" w:rsidRDefault="00930B48" w:rsidP="00930B48">
      <w:pPr>
        <w:rPr>
          <w:lang w:val="en-US"/>
        </w:rPr>
      </w:pPr>
      <w:r w:rsidRPr="00F807D1">
        <w:rPr>
          <w:lang w:val="en-US"/>
        </w:rPr>
        <w:t xml:space="preserve">This report explores the risks associated with the rapid advancement of artificial intelligence on AstraZeneca from the perspective of data governance, responsible AI, regulatory and customer trust. AstraZeneca is an appropriate firm for this advisory report as it is a UK multinational pharmaceutical firm operating in a highly regulated sector that is increasingly using AI for drug development, clinical trials, research productivity, safety monitoring and decision support. AstraZeneca has significant opportunities to gain </w:t>
      </w:r>
      <w:r w:rsidR="001D18FE" w:rsidRPr="00F807D1">
        <w:rPr>
          <w:lang w:val="en-US"/>
        </w:rPr>
        <w:t xml:space="preserve">a </w:t>
      </w:r>
      <w:r w:rsidRPr="00F807D1">
        <w:rPr>
          <w:lang w:val="en-US"/>
        </w:rPr>
        <w:t xml:space="preserve">competitive advantage from AI by accelerating discovery, improving research productivity and moving towards </w:t>
      </w:r>
      <w:proofErr w:type="spellStart"/>
      <w:r w:rsidRPr="00F807D1">
        <w:rPr>
          <w:lang w:val="en-US"/>
        </w:rPr>
        <w:t>personalised</w:t>
      </w:r>
      <w:proofErr w:type="spellEnd"/>
      <w:r w:rsidRPr="00F807D1">
        <w:rPr>
          <w:lang w:val="en-US"/>
        </w:rPr>
        <w:t xml:space="preserve"> medicine. However, this comes with risks related to patient data, algorithmic bias, model explainability, regulation, data exports, cybersecurity, reputation and litigation.</w:t>
      </w:r>
    </w:p>
    <w:p w14:paraId="0E7B4F0C" w14:textId="11E2A99C" w:rsidR="00930B48" w:rsidRPr="00F807D1" w:rsidRDefault="00930B48" w:rsidP="00930B48">
      <w:pPr>
        <w:rPr>
          <w:lang w:val="en-US"/>
        </w:rPr>
      </w:pPr>
      <w:r w:rsidRPr="00F807D1">
        <w:rPr>
          <w:lang w:val="en-US"/>
        </w:rPr>
        <w:t>The report suggests AstraZeneca needs to think of governance as a strategic rather than a compliance problem. The UK has a light-touch approach to regulation that promotes innovation</w:t>
      </w:r>
      <w:r w:rsidR="001D18FE" w:rsidRPr="00F807D1">
        <w:rPr>
          <w:lang w:val="en-US"/>
        </w:rPr>
        <w:t>,</w:t>
      </w:r>
      <w:r w:rsidRPr="00F807D1">
        <w:rPr>
          <w:lang w:val="en-US"/>
        </w:rPr>
        <w:t xml:space="preserve"> but the European Union has adopted a more prescriptive risk-based approach to AI governance with the EU Artificial Intelligence Act. This is a challenge and opportunity for AstraZeneca. The strategy should be to embrace international high-level AI governance standards from the EU and use the more flexible UK approach as a test bed. The report calls for a governance framework for AI at </w:t>
      </w:r>
      <w:r w:rsidR="001D18FE" w:rsidRPr="00F807D1">
        <w:rPr>
          <w:lang w:val="en-US"/>
        </w:rPr>
        <w:t xml:space="preserve">the </w:t>
      </w:r>
      <w:r w:rsidRPr="00F807D1">
        <w:rPr>
          <w:lang w:val="en-US"/>
        </w:rPr>
        <w:t>board level, an enterprise-wide AI inventory, AI impact assessments, better data lineage management, model validation, model explainability, staff training, patient engagement and independent assurance.</w:t>
      </w:r>
    </w:p>
    <w:p w14:paraId="2B943AA1" w14:textId="3F917747" w:rsidR="00930B48" w:rsidRPr="00F807D1" w:rsidRDefault="00930B48" w:rsidP="00930B48">
      <w:pPr>
        <w:rPr>
          <w:lang w:val="en-US"/>
        </w:rPr>
      </w:pPr>
      <w:r w:rsidRPr="00F807D1">
        <w:rPr>
          <w:lang w:val="en-US"/>
        </w:rPr>
        <w:t>The implementation plan sets out a 24-month program. Governance, AI inventory and risk assessment should take place in months 1-6. Months 7-18 should be focused on technical controls, training, validation and regulatory compliance. Between months 19-24</w:t>
      </w:r>
      <w:r w:rsidR="001D18FE" w:rsidRPr="00F807D1">
        <w:rPr>
          <w:lang w:val="en-US"/>
        </w:rPr>
        <w:t>,</w:t>
      </w:r>
      <w:r w:rsidRPr="00F807D1">
        <w:rPr>
          <w:lang w:val="en-US"/>
        </w:rPr>
        <w:t xml:space="preserve"> the emphasis should be on external assurance, disclosure and trust. The main message is that AstraZeneca can only create long-term competitive advantage from AI by embedding responsible AI into governance, risk and trust.</w:t>
      </w:r>
    </w:p>
    <w:p w14:paraId="5ED687DE" w14:textId="77C44959" w:rsidR="00B52205" w:rsidRPr="00F807D1" w:rsidRDefault="00B52205">
      <w:pPr>
        <w:spacing w:before="0" w:after="160" w:line="259" w:lineRule="auto"/>
        <w:jc w:val="left"/>
        <w:rPr>
          <w:b/>
          <w:bCs/>
        </w:rPr>
      </w:pPr>
      <w:r w:rsidRPr="00F807D1">
        <w:rPr>
          <w:b/>
          <w:bCs/>
        </w:rPr>
        <w:br w:type="page"/>
      </w:r>
    </w:p>
    <w:sdt>
      <w:sdtPr>
        <w:id w:val="-1451705475"/>
        <w:docPartObj>
          <w:docPartGallery w:val="Table of Contents"/>
          <w:docPartUnique/>
        </w:docPartObj>
      </w:sdtPr>
      <w:sdtEndPr>
        <w:rPr>
          <w:b/>
          <w:bCs/>
          <w:noProof/>
        </w:rPr>
      </w:sdtEndPr>
      <w:sdtContent>
        <w:p w14:paraId="2376A400" w14:textId="52850924" w:rsidR="008E36B5" w:rsidRPr="00F807D1" w:rsidRDefault="008E36B5" w:rsidP="002B1FC2">
          <w:pPr>
            <w:jc w:val="center"/>
            <w:rPr>
              <w:b/>
              <w:bCs/>
              <w:sz w:val="32"/>
              <w:szCs w:val="28"/>
            </w:rPr>
          </w:pPr>
          <w:r w:rsidRPr="00F807D1">
            <w:rPr>
              <w:b/>
              <w:bCs/>
              <w:sz w:val="32"/>
              <w:szCs w:val="28"/>
            </w:rPr>
            <w:t>Table of Contents</w:t>
          </w:r>
        </w:p>
        <w:p w14:paraId="6840FBB4" w14:textId="7FB5A38D" w:rsidR="002B1FC2" w:rsidRPr="00F807D1" w:rsidRDefault="008E36B5">
          <w:pPr>
            <w:pStyle w:val="TOC1"/>
            <w:tabs>
              <w:tab w:val="left" w:pos="480"/>
            </w:tabs>
            <w:rPr>
              <w:rFonts w:asciiTheme="minorHAnsi" w:eastAsiaTheme="minorEastAsia" w:hAnsiTheme="minorHAnsi" w:cstheme="minorBidi"/>
              <w:b w:val="0"/>
              <w:bCs w:val="0"/>
              <w:szCs w:val="24"/>
              <w:lang w:val="en-US" w:eastAsia="en-US"/>
            </w:rPr>
          </w:pPr>
          <w:r w:rsidRPr="00F807D1">
            <w:rPr>
              <w:noProof w:val="0"/>
            </w:rPr>
            <w:fldChar w:fldCharType="begin"/>
          </w:r>
          <w:r w:rsidRPr="00F807D1">
            <w:instrText xml:space="preserve"> TOC \o "1-3" \h \z \u </w:instrText>
          </w:r>
          <w:r w:rsidRPr="00F807D1">
            <w:rPr>
              <w:noProof w:val="0"/>
            </w:rPr>
            <w:fldChar w:fldCharType="separate"/>
          </w:r>
          <w:hyperlink w:anchor="_Toc228150014" w:history="1">
            <w:r w:rsidR="002B1FC2" w:rsidRPr="00F807D1">
              <w:rPr>
                <w:rStyle w:val="Hyperlink"/>
                <w:color w:val="auto"/>
                <w:lang w:val="en-US"/>
              </w:rPr>
              <w:t>1.</w:t>
            </w:r>
            <w:r w:rsidR="002B1FC2" w:rsidRPr="00F807D1">
              <w:rPr>
                <w:rFonts w:asciiTheme="minorHAnsi" w:eastAsiaTheme="minorEastAsia" w:hAnsiTheme="minorHAnsi" w:cstheme="minorBidi"/>
                <w:b w:val="0"/>
                <w:bCs w:val="0"/>
                <w:szCs w:val="24"/>
                <w:lang w:val="en-US" w:eastAsia="en-US"/>
              </w:rPr>
              <w:tab/>
            </w:r>
            <w:r w:rsidR="002B1FC2" w:rsidRPr="00F807D1">
              <w:rPr>
                <w:rStyle w:val="Hyperlink"/>
                <w:color w:val="auto"/>
                <w:lang w:val="en-US"/>
              </w:rPr>
              <w:t>Executive Summary</w:t>
            </w:r>
            <w:r w:rsidR="002B1FC2" w:rsidRPr="00F807D1">
              <w:rPr>
                <w:webHidden/>
              </w:rPr>
              <w:tab/>
            </w:r>
            <w:r w:rsidR="002B1FC2" w:rsidRPr="00F807D1">
              <w:rPr>
                <w:webHidden/>
              </w:rPr>
              <w:fldChar w:fldCharType="begin"/>
            </w:r>
            <w:r w:rsidR="002B1FC2" w:rsidRPr="00F807D1">
              <w:rPr>
                <w:webHidden/>
              </w:rPr>
              <w:instrText xml:space="preserve"> PAGEREF _Toc228150014 \h </w:instrText>
            </w:r>
            <w:r w:rsidR="002B1FC2" w:rsidRPr="00F807D1">
              <w:rPr>
                <w:webHidden/>
              </w:rPr>
            </w:r>
            <w:r w:rsidR="002B1FC2" w:rsidRPr="00F807D1">
              <w:rPr>
                <w:webHidden/>
              </w:rPr>
              <w:fldChar w:fldCharType="separate"/>
            </w:r>
            <w:r w:rsidR="002B1FC2" w:rsidRPr="00F807D1">
              <w:rPr>
                <w:webHidden/>
              </w:rPr>
              <w:t>2</w:t>
            </w:r>
            <w:r w:rsidR="002B1FC2" w:rsidRPr="00F807D1">
              <w:rPr>
                <w:webHidden/>
              </w:rPr>
              <w:fldChar w:fldCharType="end"/>
            </w:r>
          </w:hyperlink>
        </w:p>
        <w:p w14:paraId="20051351" w14:textId="0406B7CB" w:rsidR="002B1FC2" w:rsidRPr="00F807D1" w:rsidRDefault="002B1FC2">
          <w:pPr>
            <w:pStyle w:val="TOC1"/>
            <w:tabs>
              <w:tab w:val="left" w:pos="480"/>
            </w:tabs>
            <w:rPr>
              <w:rFonts w:asciiTheme="minorHAnsi" w:eastAsiaTheme="minorEastAsia" w:hAnsiTheme="minorHAnsi" w:cstheme="minorBidi"/>
              <w:b w:val="0"/>
              <w:bCs w:val="0"/>
              <w:szCs w:val="24"/>
              <w:lang w:val="en-US" w:eastAsia="en-US"/>
            </w:rPr>
          </w:pPr>
          <w:hyperlink w:anchor="_Toc228150015" w:history="1">
            <w:r w:rsidRPr="00F807D1">
              <w:rPr>
                <w:rStyle w:val="Hyperlink"/>
                <w:color w:val="auto"/>
                <w:lang w:val="en-US"/>
              </w:rPr>
              <w:t>2.</w:t>
            </w:r>
            <w:r w:rsidRPr="00F807D1">
              <w:rPr>
                <w:rFonts w:asciiTheme="minorHAnsi" w:eastAsiaTheme="minorEastAsia" w:hAnsiTheme="minorHAnsi" w:cstheme="minorBidi"/>
                <w:b w:val="0"/>
                <w:bCs w:val="0"/>
                <w:szCs w:val="24"/>
                <w:lang w:val="en-US" w:eastAsia="en-US"/>
              </w:rPr>
              <w:tab/>
            </w:r>
            <w:r w:rsidRPr="00F807D1">
              <w:rPr>
                <w:rStyle w:val="Hyperlink"/>
                <w:color w:val="auto"/>
                <w:lang w:val="en-US"/>
              </w:rPr>
              <w:t>Introduction</w:t>
            </w:r>
            <w:r w:rsidRPr="00F807D1">
              <w:rPr>
                <w:webHidden/>
              </w:rPr>
              <w:tab/>
            </w:r>
            <w:r w:rsidRPr="00F807D1">
              <w:rPr>
                <w:webHidden/>
              </w:rPr>
              <w:fldChar w:fldCharType="begin"/>
            </w:r>
            <w:r w:rsidRPr="00F807D1">
              <w:rPr>
                <w:webHidden/>
              </w:rPr>
              <w:instrText xml:space="preserve"> PAGEREF _Toc228150015 \h </w:instrText>
            </w:r>
            <w:r w:rsidRPr="00F807D1">
              <w:rPr>
                <w:webHidden/>
              </w:rPr>
            </w:r>
            <w:r w:rsidRPr="00F807D1">
              <w:rPr>
                <w:webHidden/>
              </w:rPr>
              <w:fldChar w:fldCharType="separate"/>
            </w:r>
            <w:r w:rsidRPr="00F807D1">
              <w:rPr>
                <w:webHidden/>
              </w:rPr>
              <w:t>5</w:t>
            </w:r>
            <w:r w:rsidRPr="00F807D1">
              <w:rPr>
                <w:webHidden/>
              </w:rPr>
              <w:fldChar w:fldCharType="end"/>
            </w:r>
          </w:hyperlink>
        </w:p>
        <w:p w14:paraId="7DC2C59E" w14:textId="07D14D59" w:rsidR="002B1FC2" w:rsidRPr="00F807D1" w:rsidRDefault="002B1FC2">
          <w:pPr>
            <w:pStyle w:val="TOC1"/>
            <w:tabs>
              <w:tab w:val="left" w:pos="480"/>
            </w:tabs>
            <w:rPr>
              <w:rFonts w:asciiTheme="minorHAnsi" w:eastAsiaTheme="minorEastAsia" w:hAnsiTheme="minorHAnsi" w:cstheme="minorBidi"/>
              <w:b w:val="0"/>
              <w:bCs w:val="0"/>
              <w:szCs w:val="24"/>
              <w:lang w:val="en-US" w:eastAsia="en-US"/>
            </w:rPr>
          </w:pPr>
          <w:hyperlink w:anchor="_Toc228150016" w:history="1">
            <w:r w:rsidRPr="00F807D1">
              <w:rPr>
                <w:rStyle w:val="Hyperlink"/>
                <w:color w:val="auto"/>
                <w:lang w:val="en-US"/>
              </w:rPr>
              <w:t>3.</w:t>
            </w:r>
            <w:r w:rsidRPr="00F807D1">
              <w:rPr>
                <w:rFonts w:asciiTheme="minorHAnsi" w:eastAsiaTheme="minorEastAsia" w:hAnsiTheme="minorHAnsi" w:cstheme="minorBidi"/>
                <w:b w:val="0"/>
                <w:bCs w:val="0"/>
                <w:szCs w:val="24"/>
                <w:lang w:val="en-US" w:eastAsia="en-US"/>
              </w:rPr>
              <w:tab/>
            </w:r>
            <w:r w:rsidRPr="00F807D1">
              <w:rPr>
                <w:rStyle w:val="Hyperlink"/>
                <w:color w:val="auto"/>
                <w:lang w:val="en-US"/>
              </w:rPr>
              <w:t>Main Findings</w:t>
            </w:r>
            <w:r w:rsidRPr="00F807D1">
              <w:rPr>
                <w:webHidden/>
              </w:rPr>
              <w:tab/>
            </w:r>
            <w:r w:rsidRPr="00F807D1">
              <w:rPr>
                <w:webHidden/>
              </w:rPr>
              <w:fldChar w:fldCharType="begin"/>
            </w:r>
            <w:r w:rsidRPr="00F807D1">
              <w:rPr>
                <w:webHidden/>
              </w:rPr>
              <w:instrText xml:space="preserve"> PAGEREF _Toc228150016 \h </w:instrText>
            </w:r>
            <w:r w:rsidRPr="00F807D1">
              <w:rPr>
                <w:webHidden/>
              </w:rPr>
            </w:r>
            <w:r w:rsidRPr="00F807D1">
              <w:rPr>
                <w:webHidden/>
              </w:rPr>
              <w:fldChar w:fldCharType="separate"/>
            </w:r>
            <w:r w:rsidRPr="00F807D1">
              <w:rPr>
                <w:webHidden/>
              </w:rPr>
              <w:t>7</w:t>
            </w:r>
            <w:r w:rsidRPr="00F807D1">
              <w:rPr>
                <w:webHidden/>
              </w:rPr>
              <w:fldChar w:fldCharType="end"/>
            </w:r>
          </w:hyperlink>
        </w:p>
        <w:p w14:paraId="34242B45" w14:textId="6DE34855" w:rsidR="002B1FC2" w:rsidRPr="00F807D1" w:rsidRDefault="002B1FC2">
          <w:pPr>
            <w:pStyle w:val="TOC2"/>
            <w:tabs>
              <w:tab w:val="left" w:pos="960"/>
              <w:tab w:val="right" w:leader="dot" w:pos="9016"/>
            </w:tabs>
            <w:rPr>
              <w:rFonts w:asciiTheme="minorHAnsi" w:eastAsiaTheme="minorEastAsia" w:hAnsiTheme="minorHAnsi" w:cstheme="minorBidi"/>
              <w:noProof/>
              <w:szCs w:val="24"/>
              <w:lang w:val="en-US" w:eastAsia="en-US"/>
            </w:rPr>
          </w:pPr>
          <w:hyperlink w:anchor="_Toc228150017" w:history="1">
            <w:r w:rsidRPr="00F807D1">
              <w:rPr>
                <w:rStyle w:val="Hyperlink"/>
                <w:noProof/>
                <w:color w:val="auto"/>
              </w:rPr>
              <w:t>3.1</w:t>
            </w:r>
            <w:r w:rsidRPr="00F807D1">
              <w:rPr>
                <w:rFonts w:asciiTheme="minorHAnsi" w:eastAsiaTheme="minorEastAsia" w:hAnsiTheme="minorHAnsi" w:cstheme="minorBidi"/>
                <w:noProof/>
                <w:szCs w:val="24"/>
                <w:lang w:val="en-US" w:eastAsia="en-US"/>
              </w:rPr>
              <w:tab/>
            </w:r>
            <w:r w:rsidRPr="00F807D1">
              <w:rPr>
                <w:rStyle w:val="Hyperlink"/>
                <w:noProof/>
                <w:color w:val="auto"/>
              </w:rPr>
              <w:t>AstraZeneca and the Strategic Context of AI</w:t>
            </w:r>
            <w:r w:rsidRPr="00F807D1">
              <w:rPr>
                <w:noProof/>
                <w:webHidden/>
              </w:rPr>
              <w:tab/>
            </w:r>
            <w:r w:rsidRPr="00F807D1">
              <w:rPr>
                <w:noProof/>
                <w:webHidden/>
              </w:rPr>
              <w:fldChar w:fldCharType="begin"/>
            </w:r>
            <w:r w:rsidRPr="00F807D1">
              <w:rPr>
                <w:noProof/>
                <w:webHidden/>
              </w:rPr>
              <w:instrText xml:space="preserve"> PAGEREF _Toc228150017 \h </w:instrText>
            </w:r>
            <w:r w:rsidRPr="00F807D1">
              <w:rPr>
                <w:noProof/>
                <w:webHidden/>
              </w:rPr>
            </w:r>
            <w:r w:rsidRPr="00F807D1">
              <w:rPr>
                <w:noProof/>
                <w:webHidden/>
              </w:rPr>
              <w:fldChar w:fldCharType="separate"/>
            </w:r>
            <w:r w:rsidRPr="00F807D1">
              <w:rPr>
                <w:noProof/>
                <w:webHidden/>
              </w:rPr>
              <w:t>7</w:t>
            </w:r>
            <w:r w:rsidRPr="00F807D1">
              <w:rPr>
                <w:noProof/>
                <w:webHidden/>
              </w:rPr>
              <w:fldChar w:fldCharType="end"/>
            </w:r>
          </w:hyperlink>
        </w:p>
        <w:p w14:paraId="6A9CCD0E" w14:textId="107DAF1B"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18" w:history="1">
            <w:r w:rsidRPr="00F807D1">
              <w:rPr>
                <w:rStyle w:val="Hyperlink"/>
                <w:noProof/>
                <w:color w:val="auto"/>
              </w:rPr>
              <w:t>3.1.1</w:t>
            </w:r>
            <w:r w:rsidRPr="00F807D1">
              <w:rPr>
                <w:rFonts w:asciiTheme="minorHAnsi" w:eastAsiaTheme="minorEastAsia" w:hAnsiTheme="minorHAnsi" w:cstheme="minorBidi"/>
                <w:noProof/>
                <w:szCs w:val="24"/>
                <w:lang w:val="en-US" w:eastAsia="en-US"/>
              </w:rPr>
              <w:tab/>
            </w:r>
            <w:r w:rsidRPr="00F807D1">
              <w:rPr>
                <w:rStyle w:val="Hyperlink"/>
                <w:noProof/>
                <w:color w:val="auto"/>
              </w:rPr>
              <w:t>AstraZeneca as a high-relevance AI case</w:t>
            </w:r>
            <w:r w:rsidRPr="00F807D1">
              <w:rPr>
                <w:noProof/>
                <w:webHidden/>
              </w:rPr>
              <w:tab/>
            </w:r>
            <w:r w:rsidRPr="00F807D1">
              <w:rPr>
                <w:noProof/>
                <w:webHidden/>
              </w:rPr>
              <w:fldChar w:fldCharType="begin"/>
            </w:r>
            <w:r w:rsidRPr="00F807D1">
              <w:rPr>
                <w:noProof/>
                <w:webHidden/>
              </w:rPr>
              <w:instrText xml:space="preserve"> PAGEREF _Toc228150018 \h </w:instrText>
            </w:r>
            <w:r w:rsidRPr="00F807D1">
              <w:rPr>
                <w:noProof/>
                <w:webHidden/>
              </w:rPr>
            </w:r>
            <w:r w:rsidRPr="00F807D1">
              <w:rPr>
                <w:noProof/>
                <w:webHidden/>
              </w:rPr>
              <w:fldChar w:fldCharType="separate"/>
            </w:r>
            <w:r w:rsidRPr="00F807D1">
              <w:rPr>
                <w:noProof/>
                <w:webHidden/>
              </w:rPr>
              <w:t>7</w:t>
            </w:r>
            <w:r w:rsidRPr="00F807D1">
              <w:rPr>
                <w:noProof/>
                <w:webHidden/>
              </w:rPr>
              <w:fldChar w:fldCharType="end"/>
            </w:r>
          </w:hyperlink>
        </w:p>
        <w:p w14:paraId="1C738DDF" w14:textId="39013C5C"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19" w:history="1">
            <w:r w:rsidRPr="00F807D1">
              <w:rPr>
                <w:rStyle w:val="Hyperlink"/>
                <w:noProof/>
                <w:color w:val="auto"/>
              </w:rPr>
              <w:t>3.1.2</w:t>
            </w:r>
            <w:r w:rsidRPr="00F807D1">
              <w:rPr>
                <w:rFonts w:asciiTheme="minorHAnsi" w:eastAsiaTheme="minorEastAsia" w:hAnsiTheme="minorHAnsi" w:cstheme="minorBidi"/>
                <w:noProof/>
                <w:szCs w:val="24"/>
                <w:lang w:val="en-US" w:eastAsia="en-US"/>
              </w:rPr>
              <w:tab/>
            </w:r>
            <w:r w:rsidRPr="00F807D1">
              <w:rPr>
                <w:rStyle w:val="Hyperlink"/>
                <w:noProof/>
                <w:color w:val="auto"/>
              </w:rPr>
              <w:t>AI as competitive advantage and strategic risk</w:t>
            </w:r>
            <w:r w:rsidRPr="00F807D1">
              <w:rPr>
                <w:noProof/>
                <w:webHidden/>
              </w:rPr>
              <w:tab/>
            </w:r>
            <w:r w:rsidRPr="00F807D1">
              <w:rPr>
                <w:noProof/>
                <w:webHidden/>
              </w:rPr>
              <w:fldChar w:fldCharType="begin"/>
            </w:r>
            <w:r w:rsidRPr="00F807D1">
              <w:rPr>
                <w:noProof/>
                <w:webHidden/>
              </w:rPr>
              <w:instrText xml:space="preserve"> PAGEREF _Toc228150019 \h </w:instrText>
            </w:r>
            <w:r w:rsidRPr="00F807D1">
              <w:rPr>
                <w:noProof/>
                <w:webHidden/>
              </w:rPr>
            </w:r>
            <w:r w:rsidRPr="00F807D1">
              <w:rPr>
                <w:noProof/>
                <w:webHidden/>
              </w:rPr>
              <w:fldChar w:fldCharType="separate"/>
            </w:r>
            <w:r w:rsidRPr="00F807D1">
              <w:rPr>
                <w:noProof/>
                <w:webHidden/>
              </w:rPr>
              <w:t>7</w:t>
            </w:r>
            <w:r w:rsidRPr="00F807D1">
              <w:rPr>
                <w:noProof/>
                <w:webHidden/>
              </w:rPr>
              <w:fldChar w:fldCharType="end"/>
            </w:r>
          </w:hyperlink>
        </w:p>
        <w:p w14:paraId="18165A30" w14:textId="53DEB5AE" w:rsidR="002B1FC2" w:rsidRPr="00F807D1" w:rsidRDefault="002B1FC2">
          <w:pPr>
            <w:pStyle w:val="TOC2"/>
            <w:tabs>
              <w:tab w:val="left" w:pos="960"/>
              <w:tab w:val="right" w:leader="dot" w:pos="9016"/>
            </w:tabs>
            <w:rPr>
              <w:rFonts w:asciiTheme="minorHAnsi" w:eastAsiaTheme="minorEastAsia" w:hAnsiTheme="minorHAnsi" w:cstheme="minorBidi"/>
              <w:noProof/>
              <w:szCs w:val="24"/>
              <w:lang w:val="en-US" w:eastAsia="en-US"/>
            </w:rPr>
          </w:pPr>
          <w:hyperlink w:anchor="_Toc228150020" w:history="1">
            <w:r w:rsidRPr="00F807D1">
              <w:rPr>
                <w:rStyle w:val="Hyperlink"/>
                <w:noProof/>
                <w:color w:val="auto"/>
              </w:rPr>
              <w:t>3.2</w:t>
            </w:r>
            <w:r w:rsidRPr="00F807D1">
              <w:rPr>
                <w:rFonts w:asciiTheme="minorHAnsi" w:eastAsiaTheme="minorEastAsia" w:hAnsiTheme="minorHAnsi" w:cstheme="minorBidi"/>
                <w:noProof/>
                <w:szCs w:val="24"/>
                <w:lang w:val="en-US" w:eastAsia="en-US"/>
              </w:rPr>
              <w:tab/>
            </w:r>
            <w:r w:rsidRPr="00F807D1">
              <w:rPr>
                <w:rStyle w:val="Hyperlink"/>
                <w:noProof/>
                <w:color w:val="auto"/>
              </w:rPr>
              <w:t>AI Opportunity and Business Risk in Pharmaceuticals</w:t>
            </w:r>
            <w:r w:rsidRPr="00F807D1">
              <w:rPr>
                <w:noProof/>
                <w:webHidden/>
              </w:rPr>
              <w:tab/>
            </w:r>
            <w:r w:rsidRPr="00F807D1">
              <w:rPr>
                <w:noProof/>
                <w:webHidden/>
              </w:rPr>
              <w:fldChar w:fldCharType="begin"/>
            </w:r>
            <w:r w:rsidRPr="00F807D1">
              <w:rPr>
                <w:noProof/>
                <w:webHidden/>
              </w:rPr>
              <w:instrText xml:space="preserve"> PAGEREF _Toc228150020 \h </w:instrText>
            </w:r>
            <w:r w:rsidRPr="00F807D1">
              <w:rPr>
                <w:noProof/>
                <w:webHidden/>
              </w:rPr>
            </w:r>
            <w:r w:rsidRPr="00F807D1">
              <w:rPr>
                <w:noProof/>
                <w:webHidden/>
              </w:rPr>
              <w:fldChar w:fldCharType="separate"/>
            </w:r>
            <w:r w:rsidRPr="00F807D1">
              <w:rPr>
                <w:noProof/>
                <w:webHidden/>
              </w:rPr>
              <w:t>8</w:t>
            </w:r>
            <w:r w:rsidRPr="00F807D1">
              <w:rPr>
                <w:noProof/>
                <w:webHidden/>
              </w:rPr>
              <w:fldChar w:fldCharType="end"/>
            </w:r>
          </w:hyperlink>
        </w:p>
        <w:p w14:paraId="2C8EA36E" w14:textId="107EF328"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21" w:history="1">
            <w:r w:rsidRPr="00F807D1">
              <w:rPr>
                <w:rStyle w:val="Hyperlink"/>
                <w:noProof/>
                <w:color w:val="auto"/>
              </w:rPr>
              <w:t>3.2.1</w:t>
            </w:r>
            <w:r w:rsidRPr="00F807D1">
              <w:rPr>
                <w:rFonts w:asciiTheme="minorHAnsi" w:eastAsiaTheme="minorEastAsia" w:hAnsiTheme="minorHAnsi" w:cstheme="minorBidi"/>
                <w:noProof/>
                <w:szCs w:val="24"/>
                <w:lang w:val="en-US" w:eastAsia="en-US"/>
              </w:rPr>
              <w:tab/>
            </w:r>
            <w:r w:rsidRPr="00F807D1">
              <w:rPr>
                <w:rStyle w:val="Hyperlink"/>
                <w:noProof/>
                <w:color w:val="auto"/>
              </w:rPr>
              <w:t>Drug discovery and clinical development opportunities</w:t>
            </w:r>
            <w:r w:rsidRPr="00F807D1">
              <w:rPr>
                <w:noProof/>
                <w:webHidden/>
              </w:rPr>
              <w:tab/>
            </w:r>
            <w:r w:rsidRPr="00F807D1">
              <w:rPr>
                <w:noProof/>
                <w:webHidden/>
              </w:rPr>
              <w:fldChar w:fldCharType="begin"/>
            </w:r>
            <w:r w:rsidRPr="00F807D1">
              <w:rPr>
                <w:noProof/>
                <w:webHidden/>
              </w:rPr>
              <w:instrText xml:space="preserve"> PAGEREF _Toc228150021 \h </w:instrText>
            </w:r>
            <w:r w:rsidRPr="00F807D1">
              <w:rPr>
                <w:noProof/>
                <w:webHidden/>
              </w:rPr>
            </w:r>
            <w:r w:rsidRPr="00F807D1">
              <w:rPr>
                <w:noProof/>
                <w:webHidden/>
              </w:rPr>
              <w:fldChar w:fldCharType="separate"/>
            </w:r>
            <w:r w:rsidRPr="00F807D1">
              <w:rPr>
                <w:noProof/>
                <w:webHidden/>
              </w:rPr>
              <w:t>8</w:t>
            </w:r>
            <w:r w:rsidRPr="00F807D1">
              <w:rPr>
                <w:noProof/>
                <w:webHidden/>
              </w:rPr>
              <w:fldChar w:fldCharType="end"/>
            </w:r>
          </w:hyperlink>
        </w:p>
        <w:p w14:paraId="77206B14" w14:textId="312F5536"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22" w:history="1">
            <w:r w:rsidRPr="00F807D1">
              <w:rPr>
                <w:rStyle w:val="Hyperlink"/>
                <w:noProof/>
                <w:color w:val="auto"/>
              </w:rPr>
              <w:t>3.2.2</w:t>
            </w:r>
            <w:r w:rsidRPr="00F807D1">
              <w:rPr>
                <w:rFonts w:asciiTheme="minorHAnsi" w:eastAsiaTheme="minorEastAsia" w:hAnsiTheme="minorHAnsi" w:cstheme="minorBidi"/>
                <w:noProof/>
                <w:szCs w:val="24"/>
                <w:lang w:val="en-US" w:eastAsia="en-US"/>
              </w:rPr>
              <w:tab/>
            </w:r>
            <w:r w:rsidRPr="00F807D1">
              <w:rPr>
                <w:rStyle w:val="Hyperlink"/>
                <w:noProof/>
                <w:color w:val="auto"/>
              </w:rPr>
              <w:t>Generative AI and productivity risks</w:t>
            </w:r>
            <w:r w:rsidRPr="00F807D1">
              <w:rPr>
                <w:noProof/>
                <w:webHidden/>
              </w:rPr>
              <w:tab/>
            </w:r>
            <w:r w:rsidRPr="00F807D1">
              <w:rPr>
                <w:noProof/>
                <w:webHidden/>
              </w:rPr>
              <w:fldChar w:fldCharType="begin"/>
            </w:r>
            <w:r w:rsidRPr="00F807D1">
              <w:rPr>
                <w:noProof/>
                <w:webHidden/>
              </w:rPr>
              <w:instrText xml:space="preserve"> PAGEREF _Toc228150022 \h </w:instrText>
            </w:r>
            <w:r w:rsidRPr="00F807D1">
              <w:rPr>
                <w:noProof/>
                <w:webHidden/>
              </w:rPr>
            </w:r>
            <w:r w:rsidRPr="00F807D1">
              <w:rPr>
                <w:noProof/>
                <w:webHidden/>
              </w:rPr>
              <w:fldChar w:fldCharType="separate"/>
            </w:r>
            <w:r w:rsidRPr="00F807D1">
              <w:rPr>
                <w:noProof/>
                <w:webHidden/>
              </w:rPr>
              <w:t>9</w:t>
            </w:r>
            <w:r w:rsidRPr="00F807D1">
              <w:rPr>
                <w:noProof/>
                <w:webHidden/>
              </w:rPr>
              <w:fldChar w:fldCharType="end"/>
            </w:r>
          </w:hyperlink>
        </w:p>
        <w:p w14:paraId="31B8E058" w14:textId="057F45CE" w:rsidR="002B1FC2" w:rsidRPr="00F807D1" w:rsidRDefault="002B1FC2">
          <w:pPr>
            <w:pStyle w:val="TOC2"/>
            <w:tabs>
              <w:tab w:val="left" w:pos="960"/>
              <w:tab w:val="right" w:leader="dot" w:pos="9016"/>
            </w:tabs>
            <w:rPr>
              <w:rFonts w:asciiTheme="minorHAnsi" w:eastAsiaTheme="minorEastAsia" w:hAnsiTheme="minorHAnsi" w:cstheme="minorBidi"/>
              <w:noProof/>
              <w:szCs w:val="24"/>
              <w:lang w:val="en-US" w:eastAsia="en-US"/>
            </w:rPr>
          </w:pPr>
          <w:hyperlink w:anchor="_Toc228150023" w:history="1">
            <w:r w:rsidRPr="00F807D1">
              <w:rPr>
                <w:rStyle w:val="Hyperlink"/>
                <w:noProof/>
                <w:color w:val="auto"/>
              </w:rPr>
              <w:t>3.3</w:t>
            </w:r>
            <w:r w:rsidRPr="00F807D1">
              <w:rPr>
                <w:rFonts w:asciiTheme="minorHAnsi" w:eastAsiaTheme="minorEastAsia" w:hAnsiTheme="minorHAnsi" w:cstheme="minorBidi"/>
                <w:noProof/>
                <w:szCs w:val="24"/>
                <w:lang w:val="en-US" w:eastAsia="en-US"/>
              </w:rPr>
              <w:tab/>
            </w:r>
            <w:r w:rsidRPr="00F807D1">
              <w:rPr>
                <w:rStyle w:val="Hyperlink"/>
                <w:noProof/>
                <w:color w:val="auto"/>
              </w:rPr>
              <w:t>Managing Political, Technological and Regulatory Change</w:t>
            </w:r>
            <w:r w:rsidRPr="00F807D1">
              <w:rPr>
                <w:noProof/>
                <w:webHidden/>
              </w:rPr>
              <w:tab/>
            </w:r>
            <w:r w:rsidRPr="00F807D1">
              <w:rPr>
                <w:noProof/>
                <w:webHidden/>
              </w:rPr>
              <w:fldChar w:fldCharType="begin"/>
            </w:r>
            <w:r w:rsidRPr="00F807D1">
              <w:rPr>
                <w:noProof/>
                <w:webHidden/>
              </w:rPr>
              <w:instrText xml:space="preserve"> PAGEREF _Toc228150023 \h </w:instrText>
            </w:r>
            <w:r w:rsidRPr="00F807D1">
              <w:rPr>
                <w:noProof/>
                <w:webHidden/>
              </w:rPr>
            </w:r>
            <w:r w:rsidRPr="00F807D1">
              <w:rPr>
                <w:noProof/>
                <w:webHidden/>
              </w:rPr>
              <w:fldChar w:fldCharType="separate"/>
            </w:r>
            <w:r w:rsidRPr="00F807D1">
              <w:rPr>
                <w:noProof/>
                <w:webHidden/>
              </w:rPr>
              <w:t>10</w:t>
            </w:r>
            <w:r w:rsidRPr="00F807D1">
              <w:rPr>
                <w:noProof/>
                <w:webHidden/>
              </w:rPr>
              <w:fldChar w:fldCharType="end"/>
            </w:r>
          </w:hyperlink>
        </w:p>
        <w:p w14:paraId="1C835009" w14:textId="33040AE9"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24" w:history="1">
            <w:r w:rsidRPr="00F807D1">
              <w:rPr>
                <w:rStyle w:val="Hyperlink"/>
                <w:noProof/>
                <w:color w:val="auto"/>
              </w:rPr>
              <w:t>3.3.1</w:t>
            </w:r>
            <w:r w:rsidRPr="00F807D1">
              <w:rPr>
                <w:rFonts w:asciiTheme="minorHAnsi" w:eastAsiaTheme="minorEastAsia" w:hAnsiTheme="minorHAnsi" w:cstheme="minorBidi"/>
                <w:noProof/>
                <w:szCs w:val="24"/>
                <w:lang w:val="en-US" w:eastAsia="en-US"/>
              </w:rPr>
              <w:tab/>
            </w:r>
            <w:r w:rsidRPr="00F807D1">
              <w:rPr>
                <w:rStyle w:val="Hyperlink"/>
                <w:noProof/>
                <w:color w:val="auto"/>
              </w:rPr>
              <w:t>Managing Political Change</w:t>
            </w:r>
            <w:r w:rsidRPr="00F807D1">
              <w:rPr>
                <w:noProof/>
                <w:webHidden/>
              </w:rPr>
              <w:tab/>
            </w:r>
            <w:r w:rsidRPr="00F807D1">
              <w:rPr>
                <w:noProof/>
                <w:webHidden/>
              </w:rPr>
              <w:fldChar w:fldCharType="begin"/>
            </w:r>
            <w:r w:rsidRPr="00F807D1">
              <w:rPr>
                <w:noProof/>
                <w:webHidden/>
              </w:rPr>
              <w:instrText xml:space="preserve"> PAGEREF _Toc228150024 \h </w:instrText>
            </w:r>
            <w:r w:rsidRPr="00F807D1">
              <w:rPr>
                <w:noProof/>
                <w:webHidden/>
              </w:rPr>
            </w:r>
            <w:r w:rsidRPr="00F807D1">
              <w:rPr>
                <w:noProof/>
                <w:webHidden/>
              </w:rPr>
              <w:fldChar w:fldCharType="separate"/>
            </w:r>
            <w:r w:rsidRPr="00F807D1">
              <w:rPr>
                <w:noProof/>
                <w:webHidden/>
              </w:rPr>
              <w:t>10</w:t>
            </w:r>
            <w:r w:rsidRPr="00F807D1">
              <w:rPr>
                <w:noProof/>
                <w:webHidden/>
              </w:rPr>
              <w:fldChar w:fldCharType="end"/>
            </w:r>
          </w:hyperlink>
        </w:p>
        <w:p w14:paraId="74A2285B" w14:textId="0E0923CC"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25" w:history="1">
            <w:r w:rsidRPr="00F807D1">
              <w:rPr>
                <w:rStyle w:val="Hyperlink"/>
                <w:noProof/>
                <w:color w:val="auto"/>
              </w:rPr>
              <w:t>3.3.2</w:t>
            </w:r>
            <w:r w:rsidRPr="00F807D1">
              <w:rPr>
                <w:rFonts w:asciiTheme="minorHAnsi" w:eastAsiaTheme="minorEastAsia" w:hAnsiTheme="minorHAnsi" w:cstheme="minorBidi"/>
                <w:noProof/>
                <w:szCs w:val="24"/>
                <w:lang w:val="en-US" w:eastAsia="en-US"/>
              </w:rPr>
              <w:tab/>
            </w:r>
            <w:r w:rsidRPr="00F807D1">
              <w:rPr>
                <w:rStyle w:val="Hyperlink"/>
                <w:noProof/>
                <w:color w:val="auto"/>
              </w:rPr>
              <w:t>Managing Technological Change</w:t>
            </w:r>
            <w:r w:rsidRPr="00F807D1">
              <w:rPr>
                <w:noProof/>
                <w:webHidden/>
              </w:rPr>
              <w:tab/>
            </w:r>
            <w:r w:rsidRPr="00F807D1">
              <w:rPr>
                <w:noProof/>
                <w:webHidden/>
              </w:rPr>
              <w:fldChar w:fldCharType="begin"/>
            </w:r>
            <w:r w:rsidRPr="00F807D1">
              <w:rPr>
                <w:noProof/>
                <w:webHidden/>
              </w:rPr>
              <w:instrText xml:space="preserve"> PAGEREF _Toc228150025 \h </w:instrText>
            </w:r>
            <w:r w:rsidRPr="00F807D1">
              <w:rPr>
                <w:noProof/>
                <w:webHidden/>
              </w:rPr>
            </w:r>
            <w:r w:rsidRPr="00F807D1">
              <w:rPr>
                <w:noProof/>
                <w:webHidden/>
              </w:rPr>
              <w:fldChar w:fldCharType="separate"/>
            </w:r>
            <w:r w:rsidRPr="00F807D1">
              <w:rPr>
                <w:noProof/>
                <w:webHidden/>
              </w:rPr>
              <w:t>10</w:t>
            </w:r>
            <w:r w:rsidRPr="00F807D1">
              <w:rPr>
                <w:noProof/>
                <w:webHidden/>
              </w:rPr>
              <w:fldChar w:fldCharType="end"/>
            </w:r>
          </w:hyperlink>
        </w:p>
        <w:p w14:paraId="0BF32904" w14:textId="47A11237"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26" w:history="1">
            <w:r w:rsidRPr="00F807D1">
              <w:rPr>
                <w:rStyle w:val="Hyperlink"/>
                <w:noProof/>
                <w:color w:val="auto"/>
              </w:rPr>
              <w:t>3.3.3</w:t>
            </w:r>
            <w:r w:rsidRPr="00F807D1">
              <w:rPr>
                <w:rFonts w:asciiTheme="minorHAnsi" w:eastAsiaTheme="minorEastAsia" w:hAnsiTheme="minorHAnsi" w:cstheme="minorBidi"/>
                <w:noProof/>
                <w:szCs w:val="24"/>
                <w:lang w:val="en-US" w:eastAsia="en-US"/>
              </w:rPr>
              <w:tab/>
            </w:r>
            <w:r w:rsidRPr="00F807D1">
              <w:rPr>
                <w:rStyle w:val="Hyperlink"/>
                <w:noProof/>
                <w:color w:val="auto"/>
              </w:rPr>
              <w:t>Managing Regulatory Change</w:t>
            </w:r>
            <w:r w:rsidRPr="00F807D1">
              <w:rPr>
                <w:noProof/>
                <w:webHidden/>
              </w:rPr>
              <w:tab/>
            </w:r>
            <w:r w:rsidRPr="00F807D1">
              <w:rPr>
                <w:noProof/>
                <w:webHidden/>
              </w:rPr>
              <w:fldChar w:fldCharType="begin"/>
            </w:r>
            <w:r w:rsidRPr="00F807D1">
              <w:rPr>
                <w:noProof/>
                <w:webHidden/>
              </w:rPr>
              <w:instrText xml:space="preserve"> PAGEREF _Toc228150026 \h </w:instrText>
            </w:r>
            <w:r w:rsidRPr="00F807D1">
              <w:rPr>
                <w:noProof/>
                <w:webHidden/>
              </w:rPr>
            </w:r>
            <w:r w:rsidRPr="00F807D1">
              <w:rPr>
                <w:noProof/>
                <w:webHidden/>
              </w:rPr>
              <w:fldChar w:fldCharType="separate"/>
            </w:r>
            <w:r w:rsidRPr="00F807D1">
              <w:rPr>
                <w:noProof/>
                <w:webHidden/>
              </w:rPr>
              <w:t>11</w:t>
            </w:r>
            <w:r w:rsidRPr="00F807D1">
              <w:rPr>
                <w:noProof/>
                <w:webHidden/>
              </w:rPr>
              <w:fldChar w:fldCharType="end"/>
            </w:r>
          </w:hyperlink>
        </w:p>
        <w:p w14:paraId="0A793EF8" w14:textId="2945C3DC" w:rsidR="002B1FC2" w:rsidRPr="00F807D1" w:rsidRDefault="002B1FC2">
          <w:pPr>
            <w:pStyle w:val="TOC2"/>
            <w:tabs>
              <w:tab w:val="left" w:pos="960"/>
              <w:tab w:val="right" w:leader="dot" w:pos="9016"/>
            </w:tabs>
            <w:rPr>
              <w:rFonts w:asciiTheme="minorHAnsi" w:eastAsiaTheme="minorEastAsia" w:hAnsiTheme="minorHAnsi" w:cstheme="minorBidi"/>
              <w:noProof/>
              <w:szCs w:val="24"/>
              <w:lang w:val="en-US" w:eastAsia="en-US"/>
            </w:rPr>
          </w:pPr>
          <w:hyperlink w:anchor="_Toc228150027" w:history="1">
            <w:r w:rsidRPr="00F807D1">
              <w:rPr>
                <w:rStyle w:val="Hyperlink"/>
                <w:noProof/>
                <w:color w:val="auto"/>
              </w:rPr>
              <w:t>3.4</w:t>
            </w:r>
            <w:r w:rsidRPr="00F807D1">
              <w:rPr>
                <w:rFonts w:asciiTheme="minorHAnsi" w:eastAsiaTheme="minorEastAsia" w:hAnsiTheme="minorHAnsi" w:cstheme="minorBidi"/>
                <w:noProof/>
                <w:szCs w:val="24"/>
                <w:lang w:val="en-US" w:eastAsia="en-US"/>
              </w:rPr>
              <w:tab/>
            </w:r>
            <w:r w:rsidRPr="00F807D1">
              <w:rPr>
                <w:rStyle w:val="Hyperlink"/>
                <w:noProof/>
                <w:color w:val="auto"/>
              </w:rPr>
              <w:t>UK and EU Regulatory Pressures</w:t>
            </w:r>
            <w:r w:rsidRPr="00F807D1">
              <w:rPr>
                <w:noProof/>
                <w:webHidden/>
              </w:rPr>
              <w:tab/>
            </w:r>
            <w:r w:rsidRPr="00F807D1">
              <w:rPr>
                <w:noProof/>
                <w:webHidden/>
              </w:rPr>
              <w:fldChar w:fldCharType="begin"/>
            </w:r>
            <w:r w:rsidRPr="00F807D1">
              <w:rPr>
                <w:noProof/>
                <w:webHidden/>
              </w:rPr>
              <w:instrText xml:space="preserve"> PAGEREF _Toc228150027 \h </w:instrText>
            </w:r>
            <w:r w:rsidRPr="00F807D1">
              <w:rPr>
                <w:noProof/>
                <w:webHidden/>
              </w:rPr>
            </w:r>
            <w:r w:rsidRPr="00F807D1">
              <w:rPr>
                <w:noProof/>
                <w:webHidden/>
              </w:rPr>
              <w:fldChar w:fldCharType="separate"/>
            </w:r>
            <w:r w:rsidRPr="00F807D1">
              <w:rPr>
                <w:noProof/>
                <w:webHidden/>
              </w:rPr>
              <w:t>12</w:t>
            </w:r>
            <w:r w:rsidRPr="00F807D1">
              <w:rPr>
                <w:noProof/>
                <w:webHidden/>
              </w:rPr>
              <w:fldChar w:fldCharType="end"/>
            </w:r>
          </w:hyperlink>
        </w:p>
        <w:p w14:paraId="687172A1" w14:textId="2A2DF992"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28" w:history="1">
            <w:r w:rsidRPr="00F807D1">
              <w:rPr>
                <w:rStyle w:val="Hyperlink"/>
                <w:noProof/>
                <w:color w:val="auto"/>
              </w:rPr>
              <w:t>3.4.1</w:t>
            </w:r>
            <w:r w:rsidRPr="00F807D1">
              <w:rPr>
                <w:rFonts w:asciiTheme="minorHAnsi" w:eastAsiaTheme="minorEastAsia" w:hAnsiTheme="minorHAnsi" w:cstheme="minorBidi"/>
                <w:noProof/>
                <w:szCs w:val="24"/>
                <w:lang w:val="en-US" w:eastAsia="en-US"/>
              </w:rPr>
              <w:tab/>
            </w:r>
            <w:r w:rsidRPr="00F807D1">
              <w:rPr>
                <w:rStyle w:val="Hyperlink"/>
                <w:noProof/>
                <w:color w:val="auto"/>
              </w:rPr>
              <w:t>UK regulatory approach</w:t>
            </w:r>
            <w:r w:rsidRPr="00F807D1">
              <w:rPr>
                <w:noProof/>
                <w:webHidden/>
              </w:rPr>
              <w:tab/>
            </w:r>
            <w:r w:rsidRPr="00F807D1">
              <w:rPr>
                <w:noProof/>
                <w:webHidden/>
              </w:rPr>
              <w:fldChar w:fldCharType="begin"/>
            </w:r>
            <w:r w:rsidRPr="00F807D1">
              <w:rPr>
                <w:noProof/>
                <w:webHidden/>
              </w:rPr>
              <w:instrText xml:space="preserve"> PAGEREF _Toc228150028 \h </w:instrText>
            </w:r>
            <w:r w:rsidRPr="00F807D1">
              <w:rPr>
                <w:noProof/>
                <w:webHidden/>
              </w:rPr>
            </w:r>
            <w:r w:rsidRPr="00F807D1">
              <w:rPr>
                <w:noProof/>
                <w:webHidden/>
              </w:rPr>
              <w:fldChar w:fldCharType="separate"/>
            </w:r>
            <w:r w:rsidRPr="00F807D1">
              <w:rPr>
                <w:noProof/>
                <w:webHidden/>
              </w:rPr>
              <w:t>12</w:t>
            </w:r>
            <w:r w:rsidRPr="00F807D1">
              <w:rPr>
                <w:noProof/>
                <w:webHidden/>
              </w:rPr>
              <w:fldChar w:fldCharType="end"/>
            </w:r>
          </w:hyperlink>
        </w:p>
        <w:p w14:paraId="63476FB7" w14:textId="710E422C"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29" w:history="1">
            <w:r w:rsidRPr="00F807D1">
              <w:rPr>
                <w:rStyle w:val="Hyperlink"/>
                <w:noProof/>
                <w:color w:val="auto"/>
              </w:rPr>
              <w:t>3.4.2</w:t>
            </w:r>
            <w:r w:rsidRPr="00F807D1">
              <w:rPr>
                <w:rFonts w:asciiTheme="minorHAnsi" w:eastAsiaTheme="minorEastAsia" w:hAnsiTheme="minorHAnsi" w:cstheme="minorBidi"/>
                <w:noProof/>
                <w:szCs w:val="24"/>
                <w:lang w:val="en-US" w:eastAsia="en-US"/>
              </w:rPr>
              <w:tab/>
            </w:r>
            <w:r w:rsidRPr="00F807D1">
              <w:rPr>
                <w:rStyle w:val="Hyperlink"/>
                <w:noProof/>
                <w:color w:val="auto"/>
              </w:rPr>
              <w:t>EU regulatory approach</w:t>
            </w:r>
            <w:r w:rsidRPr="00F807D1">
              <w:rPr>
                <w:noProof/>
                <w:webHidden/>
              </w:rPr>
              <w:tab/>
            </w:r>
            <w:r w:rsidRPr="00F807D1">
              <w:rPr>
                <w:noProof/>
                <w:webHidden/>
              </w:rPr>
              <w:fldChar w:fldCharType="begin"/>
            </w:r>
            <w:r w:rsidRPr="00F807D1">
              <w:rPr>
                <w:noProof/>
                <w:webHidden/>
              </w:rPr>
              <w:instrText xml:space="preserve"> PAGEREF _Toc228150029 \h </w:instrText>
            </w:r>
            <w:r w:rsidRPr="00F807D1">
              <w:rPr>
                <w:noProof/>
                <w:webHidden/>
              </w:rPr>
            </w:r>
            <w:r w:rsidRPr="00F807D1">
              <w:rPr>
                <w:noProof/>
                <w:webHidden/>
              </w:rPr>
              <w:fldChar w:fldCharType="separate"/>
            </w:r>
            <w:r w:rsidRPr="00F807D1">
              <w:rPr>
                <w:noProof/>
                <w:webHidden/>
              </w:rPr>
              <w:t>13</w:t>
            </w:r>
            <w:r w:rsidRPr="00F807D1">
              <w:rPr>
                <w:noProof/>
                <w:webHidden/>
              </w:rPr>
              <w:fldChar w:fldCharType="end"/>
            </w:r>
          </w:hyperlink>
        </w:p>
        <w:p w14:paraId="4695A888" w14:textId="5EF977DC"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30" w:history="1">
            <w:r w:rsidRPr="00F807D1">
              <w:rPr>
                <w:rStyle w:val="Hyperlink"/>
                <w:noProof/>
                <w:color w:val="auto"/>
              </w:rPr>
              <w:t>3.4.3</w:t>
            </w:r>
            <w:r w:rsidRPr="00F807D1">
              <w:rPr>
                <w:rFonts w:asciiTheme="minorHAnsi" w:eastAsiaTheme="minorEastAsia" w:hAnsiTheme="minorHAnsi" w:cstheme="minorBidi"/>
                <w:noProof/>
                <w:szCs w:val="24"/>
                <w:lang w:val="en-US" w:eastAsia="en-US"/>
              </w:rPr>
              <w:tab/>
            </w:r>
            <w:r w:rsidRPr="00F807D1">
              <w:rPr>
                <w:rStyle w:val="Hyperlink"/>
                <w:noProof/>
                <w:color w:val="auto"/>
              </w:rPr>
              <w:t>Automated decision-making and explainability</w:t>
            </w:r>
            <w:r w:rsidRPr="00F807D1">
              <w:rPr>
                <w:noProof/>
                <w:webHidden/>
              </w:rPr>
              <w:tab/>
            </w:r>
            <w:r w:rsidRPr="00F807D1">
              <w:rPr>
                <w:noProof/>
                <w:webHidden/>
              </w:rPr>
              <w:fldChar w:fldCharType="begin"/>
            </w:r>
            <w:r w:rsidRPr="00F807D1">
              <w:rPr>
                <w:noProof/>
                <w:webHidden/>
              </w:rPr>
              <w:instrText xml:space="preserve"> PAGEREF _Toc228150030 \h </w:instrText>
            </w:r>
            <w:r w:rsidRPr="00F807D1">
              <w:rPr>
                <w:noProof/>
                <w:webHidden/>
              </w:rPr>
            </w:r>
            <w:r w:rsidRPr="00F807D1">
              <w:rPr>
                <w:noProof/>
                <w:webHidden/>
              </w:rPr>
              <w:fldChar w:fldCharType="separate"/>
            </w:r>
            <w:r w:rsidRPr="00F807D1">
              <w:rPr>
                <w:noProof/>
                <w:webHidden/>
              </w:rPr>
              <w:t>14</w:t>
            </w:r>
            <w:r w:rsidRPr="00F807D1">
              <w:rPr>
                <w:noProof/>
                <w:webHidden/>
              </w:rPr>
              <w:fldChar w:fldCharType="end"/>
            </w:r>
          </w:hyperlink>
        </w:p>
        <w:p w14:paraId="766F3634" w14:textId="531D9D84" w:rsidR="002B1FC2" w:rsidRPr="00F807D1" w:rsidRDefault="002B1FC2">
          <w:pPr>
            <w:pStyle w:val="TOC2"/>
            <w:tabs>
              <w:tab w:val="left" w:pos="960"/>
              <w:tab w:val="right" w:leader="dot" w:pos="9016"/>
            </w:tabs>
            <w:rPr>
              <w:rFonts w:asciiTheme="minorHAnsi" w:eastAsiaTheme="minorEastAsia" w:hAnsiTheme="minorHAnsi" w:cstheme="minorBidi"/>
              <w:noProof/>
              <w:szCs w:val="24"/>
              <w:lang w:val="en-US" w:eastAsia="en-US"/>
            </w:rPr>
          </w:pPr>
          <w:hyperlink w:anchor="_Toc228150031" w:history="1">
            <w:r w:rsidRPr="00F807D1">
              <w:rPr>
                <w:rStyle w:val="Hyperlink"/>
                <w:noProof/>
                <w:color w:val="auto"/>
              </w:rPr>
              <w:t>3.5</w:t>
            </w:r>
            <w:r w:rsidRPr="00F807D1">
              <w:rPr>
                <w:rFonts w:asciiTheme="minorHAnsi" w:eastAsiaTheme="minorEastAsia" w:hAnsiTheme="minorHAnsi" w:cstheme="minorBidi"/>
                <w:noProof/>
                <w:szCs w:val="24"/>
                <w:lang w:val="en-US" w:eastAsia="en-US"/>
              </w:rPr>
              <w:tab/>
            </w:r>
            <w:r w:rsidRPr="00F807D1">
              <w:rPr>
                <w:rStyle w:val="Hyperlink"/>
                <w:noProof/>
                <w:color w:val="auto"/>
              </w:rPr>
              <w:t>Data Governance and Cross-Border Risk</w:t>
            </w:r>
            <w:r w:rsidRPr="00F807D1">
              <w:rPr>
                <w:noProof/>
                <w:webHidden/>
              </w:rPr>
              <w:tab/>
            </w:r>
            <w:r w:rsidRPr="00F807D1">
              <w:rPr>
                <w:noProof/>
                <w:webHidden/>
              </w:rPr>
              <w:fldChar w:fldCharType="begin"/>
            </w:r>
            <w:r w:rsidRPr="00F807D1">
              <w:rPr>
                <w:noProof/>
                <w:webHidden/>
              </w:rPr>
              <w:instrText xml:space="preserve"> PAGEREF _Toc228150031 \h </w:instrText>
            </w:r>
            <w:r w:rsidRPr="00F807D1">
              <w:rPr>
                <w:noProof/>
                <w:webHidden/>
              </w:rPr>
            </w:r>
            <w:r w:rsidRPr="00F807D1">
              <w:rPr>
                <w:noProof/>
                <w:webHidden/>
              </w:rPr>
              <w:fldChar w:fldCharType="separate"/>
            </w:r>
            <w:r w:rsidRPr="00F807D1">
              <w:rPr>
                <w:noProof/>
                <w:webHidden/>
              </w:rPr>
              <w:t>14</w:t>
            </w:r>
            <w:r w:rsidRPr="00F807D1">
              <w:rPr>
                <w:noProof/>
                <w:webHidden/>
              </w:rPr>
              <w:fldChar w:fldCharType="end"/>
            </w:r>
          </w:hyperlink>
        </w:p>
        <w:p w14:paraId="237F7010" w14:textId="0FB623B0"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32" w:history="1">
            <w:r w:rsidRPr="00F807D1">
              <w:rPr>
                <w:rStyle w:val="Hyperlink"/>
                <w:noProof/>
                <w:color w:val="auto"/>
              </w:rPr>
              <w:t>3.5.1</w:t>
            </w:r>
            <w:r w:rsidRPr="00F807D1">
              <w:rPr>
                <w:rFonts w:asciiTheme="minorHAnsi" w:eastAsiaTheme="minorEastAsia" w:hAnsiTheme="minorHAnsi" w:cstheme="minorBidi"/>
                <w:noProof/>
                <w:szCs w:val="24"/>
                <w:lang w:val="en-US" w:eastAsia="en-US"/>
              </w:rPr>
              <w:tab/>
            </w:r>
            <w:r w:rsidRPr="00F807D1">
              <w:rPr>
                <w:rStyle w:val="Hyperlink"/>
                <w:noProof/>
                <w:color w:val="auto"/>
              </w:rPr>
              <w:t>Patient data and scientific data quality</w:t>
            </w:r>
            <w:r w:rsidRPr="00F807D1">
              <w:rPr>
                <w:noProof/>
                <w:webHidden/>
              </w:rPr>
              <w:tab/>
            </w:r>
            <w:r w:rsidRPr="00F807D1">
              <w:rPr>
                <w:noProof/>
                <w:webHidden/>
              </w:rPr>
              <w:fldChar w:fldCharType="begin"/>
            </w:r>
            <w:r w:rsidRPr="00F807D1">
              <w:rPr>
                <w:noProof/>
                <w:webHidden/>
              </w:rPr>
              <w:instrText xml:space="preserve"> PAGEREF _Toc228150032 \h </w:instrText>
            </w:r>
            <w:r w:rsidRPr="00F807D1">
              <w:rPr>
                <w:noProof/>
                <w:webHidden/>
              </w:rPr>
            </w:r>
            <w:r w:rsidRPr="00F807D1">
              <w:rPr>
                <w:noProof/>
                <w:webHidden/>
              </w:rPr>
              <w:fldChar w:fldCharType="separate"/>
            </w:r>
            <w:r w:rsidRPr="00F807D1">
              <w:rPr>
                <w:noProof/>
                <w:webHidden/>
              </w:rPr>
              <w:t>14</w:t>
            </w:r>
            <w:r w:rsidRPr="00F807D1">
              <w:rPr>
                <w:noProof/>
                <w:webHidden/>
              </w:rPr>
              <w:fldChar w:fldCharType="end"/>
            </w:r>
          </w:hyperlink>
        </w:p>
        <w:p w14:paraId="6AFAE35C" w14:textId="3309D2E0"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33" w:history="1">
            <w:r w:rsidRPr="00F807D1">
              <w:rPr>
                <w:rStyle w:val="Hyperlink"/>
                <w:noProof/>
                <w:color w:val="auto"/>
              </w:rPr>
              <w:t>3.5.2</w:t>
            </w:r>
            <w:r w:rsidRPr="00F807D1">
              <w:rPr>
                <w:rFonts w:asciiTheme="minorHAnsi" w:eastAsiaTheme="minorEastAsia" w:hAnsiTheme="minorHAnsi" w:cstheme="minorBidi"/>
                <w:noProof/>
                <w:szCs w:val="24"/>
                <w:lang w:val="en-US" w:eastAsia="en-US"/>
              </w:rPr>
              <w:tab/>
            </w:r>
            <w:r w:rsidRPr="00F807D1">
              <w:rPr>
                <w:rStyle w:val="Hyperlink"/>
                <w:noProof/>
                <w:color w:val="auto"/>
              </w:rPr>
              <w:t>Data lineage, consent and cross-border transfers</w:t>
            </w:r>
            <w:r w:rsidRPr="00F807D1">
              <w:rPr>
                <w:noProof/>
                <w:webHidden/>
              </w:rPr>
              <w:tab/>
            </w:r>
            <w:r w:rsidRPr="00F807D1">
              <w:rPr>
                <w:noProof/>
                <w:webHidden/>
              </w:rPr>
              <w:fldChar w:fldCharType="begin"/>
            </w:r>
            <w:r w:rsidRPr="00F807D1">
              <w:rPr>
                <w:noProof/>
                <w:webHidden/>
              </w:rPr>
              <w:instrText xml:space="preserve"> PAGEREF _Toc228150033 \h </w:instrText>
            </w:r>
            <w:r w:rsidRPr="00F807D1">
              <w:rPr>
                <w:noProof/>
                <w:webHidden/>
              </w:rPr>
            </w:r>
            <w:r w:rsidRPr="00F807D1">
              <w:rPr>
                <w:noProof/>
                <w:webHidden/>
              </w:rPr>
              <w:fldChar w:fldCharType="separate"/>
            </w:r>
            <w:r w:rsidRPr="00F807D1">
              <w:rPr>
                <w:noProof/>
                <w:webHidden/>
              </w:rPr>
              <w:t>15</w:t>
            </w:r>
            <w:r w:rsidRPr="00F807D1">
              <w:rPr>
                <w:noProof/>
                <w:webHidden/>
              </w:rPr>
              <w:fldChar w:fldCharType="end"/>
            </w:r>
          </w:hyperlink>
        </w:p>
        <w:p w14:paraId="35F1408D" w14:textId="5DA28706" w:rsidR="002B1FC2" w:rsidRPr="00F807D1" w:rsidRDefault="002B1FC2">
          <w:pPr>
            <w:pStyle w:val="TOC2"/>
            <w:tabs>
              <w:tab w:val="left" w:pos="960"/>
              <w:tab w:val="right" w:leader="dot" w:pos="9016"/>
            </w:tabs>
            <w:rPr>
              <w:rFonts w:asciiTheme="minorHAnsi" w:eastAsiaTheme="minorEastAsia" w:hAnsiTheme="minorHAnsi" w:cstheme="minorBidi"/>
              <w:noProof/>
              <w:szCs w:val="24"/>
              <w:lang w:val="en-US" w:eastAsia="en-US"/>
            </w:rPr>
          </w:pPr>
          <w:hyperlink w:anchor="_Toc228150034" w:history="1">
            <w:r w:rsidRPr="00F807D1">
              <w:rPr>
                <w:rStyle w:val="Hyperlink"/>
                <w:noProof/>
                <w:color w:val="auto"/>
              </w:rPr>
              <w:t>3.6</w:t>
            </w:r>
            <w:r w:rsidRPr="00F807D1">
              <w:rPr>
                <w:rFonts w:asciiTheme="minorHAnsi" w:eastAsiaTheme="minorEastAsia" w:hAnsiTheme="minorHAnsi" w:cstheme="minorBidi"/>
                <w:noProof/>
                <w:szCs w:val="24"/>
                <w:lang w:val="en-US" w:eastAsia="en-US"/>
              </w:rPr>
              <w:tab/>
            </w:r>
            <w:r w:rsidRPr="00F807D1">
              <w:rPr>
                <w:rStyle w:val="Hyperlink"/>
                <w:noProof/>
                <w:color w:val="auto"/>
              </w:rPr>
              <w:t>Ethical AI, Bias and Accountability</w:t>
            </w:r>
            <w:r w:rsidRPr="00F807D1">
              <w:rPr>
                <w:noProof/>
                <w:webHidden/>
              </w:rPr>
              <w:tab/>
            </w:r>
            <w:r w:rsidRPr="00F807D1">
              <w:rPr>
                <w:noProof/>
                <w:webHidden/>
              </w:rPr>
              <w:fldChar w:fldCharType="begin"/>
            </w:r>
            <w:r w:rsidRPr="00F807D1">
              <w:rPr>
                <w:noProof/>
                <w:webHidden/>
              </w:rPr>
              <w:instrText xml:space="preserve"> PAGEREF _Toc228150034 \h </w:instrText>
            </w:r>
            <w:r w:rsidRPr="00F807D1">
              <w:rPr>
                <w:noProof/>
                <w:webHidden/>
              </w:rPr>
            </w:r>
            <w:r w:rsidRPr="00F807D1">
              <w:rPr>
                <w:noProof/>
                <w:webHidden/>
              </w:rPr>
              <w:fldChar w:fldCharType="separate"/>
            </w:r>
            <w:r w:rsidRPr="00F807D1">
              <w:rPr>
                <w:noProof/>
                <w:webHidden/>
              </w:rPr>
              <w:t>16</w:t>
            </w:r>
            <w:r w:rsidRPr="00F807D1">
              <w:rPr>
                <w:noProof/>
                <w:webHidden/>
              </w:rPr>
              <w:fldChar w:fldCharType="end"/>
            </w:r>
          </w:hyperlink>
        </w:p>
        <w:p w14:paraId="03462C14" w14:textId="381D8A99"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35" w:history="1">
            <w:r w:rsidRPr="00F807D1">
              <w:rPr>
                <w:rStyle w:val="Hyperlink"/>
                <w:noProof/>
                <w:color w:val="auto"/>
              </w:rPr>
              <w:t>3.6.1</w:t>
            </w:r>
            <w:r w:rsidRPr="00F807D1">
              <w:rPr>
                <w:rFonts w:asciiTheme="minorHAnsi" w:eastAsiaTheme="minorEastAsia" w:hAnsiTheme="minorHAnsi" w:cstheme="minorBidi"/>
                <w:noProof/>
                <w:szCs w:val="24"/>
                <w:lang w:val="en-US" w:eastAsia="en-US"/>
              </w:rPr>
              <w:tab/>
            </w:r>
            <w:r w:rsidRPr="00F807D1">
              <w:rPr>
                <w:rStyle w:val="Hyperlink"/>
                <w:noProof/>
                <w:color w:val="auto"/>
              </w:rPr>
              <w:t>Ethical AI in healthcare and pharmaceuticals</w:t>
            </w:r>
            <w:r w:rsidRPr="00F807D1">
              <w:rPr>
                <w:noProof/>
                <w:webHidden/>
              </w:rPr>
              <w:tab/>
            </w:r>
            <w:r w:rsidRPr="00F807D1">
              <w:rPr>
                <w:noProof/>
                <w:webHidden/>
              </w:rPr>
              <w:fldChar w:fldCharType="begin"/>
            </w:r>
            <w:r w:rsidRPr="00F807D1">
              <w:rPr>
                <w:noProof/>
                <w:webHidden/>
              </w:rPr>
              <w:instrText xml:space="preserve"> PAGEREF _Toc228150035 \h </w:instrText>
            </w:r>
            <w:r w:rsidRPr="00F807D1">
              <w:rPr>
                <w:noProof/>
                <w:webHidden/>
              </w:rPr>
            </w:r>
            <w:r w:rsidRPr="00F807D1">
              <w:rPr>
                <w:noProof/>
                <w:webHidden/>
              </w:rPr>
              <w:fldChar w:fldCharType="separate"/>
            </w:r>
            <w:r w:rsidRPr="00F807D1">
              <w:rPr>
                <w:noProof/>
                <w:webHidden/>
              </w:rPr>
              <w:t>16</w:t>
            </w:r>
            <w:r w:rsidRPr="00F807D1">
              <w:rPr>
                <w:noProof/>
                <w:webHidden/>
              </w:rPr>
              <w:fldChar w:fldCharType="end"/>
            </w:r>
          </w:hyperlink>
        </w:p>
        <w:p w14:paraId="3615C05A" w14:textId="17EDE61C"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36" w:history="1">
            <w:r w:rsidRPr="00F807D1">
              <w:rPr>
                <w:rStyle w:val="Hyperlink"/>
                <w:noProof/>
                <w:color w:val="auto"/>
              </w:rPr>
              <w:t>3.6.2</w:t>
            </w:r>
            <w:r w:rsidRPr="00F807D1">
              <w:rPr>
                <w:rFonts w:asciiTheme="minorHAnsi" w:eastAsiaTheme="minorEastAsia" w:hAnsiTheme="minorHAnsi" w:cstheme="minorBidi"/>
                <w:noProof/>
                <w:szCs w:val="24"/>
                <w:lang w:val="en-US" w:eastAsia="en-US"/>
              </w:rPr>
              <w:tab/>
            </w:r>
            <w:r w:rsidRPr="00F807D1">
              <w:rPr>
                <w:rStyle w:val="Hyperlink"/>
                <w:noProof/>
                <w:color w:val="auto"/>
              </w:rPr>
              <w:t>Bias and clinical fairness</w:t>
            </w:r>
            <w:r w:rsidRPr="00F807D1">
              <w:rPr>
                <w:noProof/>
                <w:webHidden/>
              </w:rPr>
              <w:tab/>
            </w:r>
            <w:r w:rsidRPr="00F807D1">
              <w:rPr>
                <w:noProof/>
                <w:webHidden/>
              </w:rPr>
              <w:fldChar w:fldCharType="begin"/>
            </w:r>
            <w:r w:rsidRPr="00F807D1">
              <w:rPr>
                <w:noProof/>
                <w:webHidden/>
              </w:rPr>
              <w:instrText xml:space="preserve"> PAGEREF _Toc228150036 \h </w:instrText>
            </w:r>
            <w:r w:rsidRPr="00F807D1">
              <w:rPr>
                <w:noProof/>
                <w:webHidden/>
              </w:rPr>
            </w:r>
            <w:r w:rsidRPr="00F807D1">
              <w:rPr>
                <w:noProof/>
                <w:webHidden/>
              </w:rPr>
              <w:fldChar w:fldCharType="separate"/>
            </w:r>
            <w:r w:rsidRPr="00F807D1">
              <w:rPr>
                <w:noProof/>
                <w:webHidden/>
              </w:rPr>
              <w:t>16</w:t>
            </w:r>
            <w:r w:rsidRPr="00F807D1">
              <w:rPr>
                <w:noProof/>
                <w:webHidden/>
              </w:rPr>
              <w:fldChar w:fldCharType="end"/>
            </w:r>
          </w:hyperlink>
        </w:p>
        <w:p w14:paraId="7B81024D" w14:textId="7D1A2838"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37" w:history="1">
            <w:r w:rsidRPr="00F807D1">
              <w:rPr>
                <w:rStyle w:val="Hyperlink"/>
                <w:noProof/>
                <w:color w:val="auto"/>
              </w:rPr>
              <w:t>3.6.3</w:t>
            </w:r>
            <w:r w:rsidRPr="00F807D1">
              <w:rPr>
                <w:rFonts w:asciiTheme="minorHAnsi" w:eastAsiaTheme="minorEastAsia" w:hAnsiTheme="minorHAnsi" w:cstheme="minorBidi"/>
                <w:noProof/>
                <w:szCs w:val="24"/>
                <w:lang w:val="en-US" w:eastAsia="en-US"/>
              </w:rPr>
              <w:tab/>
            </w:r>
            <w:r w:rsidRPr="00F807D1">
              <w:rPr>
                <w:rStyle w:val="Hyperlink"/>
                <w:noProof/>
                <w:color w:val="auto"/>
              </w:rPr>
              <w:t>Accountability and algorithmic auditing</w:t>
            </w:r>
            <w:r w:rsidRPr="00F807D1">
              <w:rPr>
                <w:noProof/>
                <w:webHidden/>
              </w:rPr>
              <w:tab/>
            </w:r>
            <w:r w:rsidRPr="00F807D1">
              <w:rPr>
                <w:noProof/>
                <w:webHidden/>
              </w:rPr>
              <w:fldChar w:fldCharType="begin"/>
            </w:r>
            <w:r w:rsidRPr="00F807D1">
              <w:rPr>
                <w:noProof/>
                <w:webHidden/>
              </w:rPr>
              <w:instrText xml:space="preserve"> PAGEREF _Toc228150037 \h </w:instrText>
            </w:r>
            <w:r w:rsidRPr="00F807D1">
              <w:rPr>
                <w:noProof/>
                <w:webHidden/>
              </w:rPr>
            </w:r>
            <w:r w:rsidRPr="00F807D1">
              <w:rPr>
                <w:noProof/>
                <w:webHidden/>
              </w:rPr>
              <w:fldChar w:fldCharType="separate"/>
            </w:r>
            <w:r w:rsidRPr="00F807D1">
              <w:rPr>
                <w:noProof/>
                <w:webHidden/>
              </w:rPr>
              <w:t>17</w:t>
            </w:r>
            <w:r w:rsidRPr="00F807D1">
              <w:rPr>
                <w:noProof/>
                <w:webHidden/>
              </w:rPr>
              <w:fldChar w:fldCharType="end"/>
            </w:r>
          </w:hyperlink>
        </w:p>
        <w:p w14:paraId="1F42515D" w14:textId="7CE24A6F" w:rsidR="002B1FC2" w:rsidRPr="00F807D1" w:rsidRDefault="002B1FC2">
          <w:pPr>
            <w:pStyle w:val="TOC2"/>
            <w:tabs>
              <w:tab w:val="left" w:pos="960"/>
              <w:tab w:val="right" w:leader="dot" w:pos="9016"/>
            </w:tabs>
            <w:rPr>
              <w:rFonts w:asciiTheme="minorHAnsi" w:eastAsiaTheme="minorEastAsia" w:hAnsiTheme="minorHAnsi" w:cstheme="minorBidi"/>
              <w:noProof/>
              <w:szCs w:val="24"/>
              <w:lang w:val="en-US" w:eastAsia="en-US"/>
            </w:rPr>
          </w:pPr>
          <w:hyperlink w:anchor="_Toc228150038" w:history="1">
            <w:r w:rsidRPr="00F807D1">
              <w:rPr>
                <w:rStyle w:val="Hyperlink"/>
                <w:noProof/>
                <w:color w:val="auto"/>
              </w:rPr>
              <w:t>3.7</w:t>
            </w:r>
            <w:r w:rsidRPr="00F807D1">
              <w:rPr>
                <w:rFonts w:asciiTheme="minorHAnsi" w:eastAsiaTheme="minorEastAsia" w:hAnsiTheme="minorHAnsi" w:cstheme="minorBidi"/>
                <w:noProof/>
                <w:szCs w:val="24"/>
                <w:lang w:val="en-US" w:eastAsia="en-US"/>
              </w:rPr>
              <w:tab/>
            </w:r>
            <w:r w:rsidRPr="00F807D1">
              <w:rPr>
                <w:rStyle w:val="Hyperlink"/>
                <w:noProof/>
                <w:color w:val="auto"/>
              </w:rPr>
              <w:t>Customer, Patient and Regulator Trust</w:t>
            </w:r>
            <w:r w:rsidRPr="00F807D1">
              <w:rPr>
                <w:noProof/>
                <w:webHidden/>
              </w:rPr>
              <w:tab/>
            </w:r>
            <w:r w:rsidRPr="00F807D1">
              <w:rPr>
                <w:noProof/>
                <w:webHidden/>
              </w:rPr>
              <w:fldChar w:fldCharType="begin"/>
            </w:r>
            <w:r w:rsidRPr="00F807D1">
              <w:rPr>
                <w:noProof/>
                <w:webHidden/>
              </w:rPr>
              <w:instrText xml:space="preserve"> PAGEREF _Toc228150038 \h </w:instrText>
            </w:r>
            <w:r w:rsidRPr="00F807D1">
              <w:rPr>
                <w:noProof/>
                <w:webHidden/>
              </w:rPr>
            </w:r>
            <w:r w:rsidRPr="00F807D1">
              <w:rPr>
                <w:noProof/>
                <w:webHidden/>
              </w:rPr>
              <w:fldChar w:fldCharType="separate"/>
            </w:r>
            <w:r w:rsidRPr="00F807D1">
              <w:rPr>
                <w:noProof/>
                <w:webHidden/>
              </w:rPr>
              <w:t>18</w:t>
            </w:r>
            <w:r w:rsidRPr="00F807D1">
              <w:rPr>
                <w:noProof/>
                <w:webHidden/>
              </w:rPr>
              <w:fldChar w:fldCharType="end"/>
            </w:r>
          </w:hyperlink>
        </w:p>
        <w:p w14:paraId="4E382D55" w14:textId="2BBE2924"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39" w:history="1">
            <w:r w:rsidRPr="00F807D1">
              <w:rPr>
                <w:rStyle w:val="Hyperlink"/>
                <w:noProof/>
                <w:color w:val="auto"/>
              </w:rPr>
              <w:t>3.7.1</w:t>
            </w:r>
            <w:r w:rsidRPr="00F807D1">
              <w:rPr>
                <w:rFonts w:asciiTheme="minorHAnsi" w:eastAsiaTheme="minorEastAsia" w:hAnsiTheme="minorHAnsi" w:cstheme="minorBidi"/>
                <w:noProof/>
                <w:szCs w:val="24"/>
                <w:lang w:val="en-US" w:eastAsia="en-US"/>
              </w:rPr>
              <w:tab/>
            </w:r>
            <w:r w:rsidRPr="00F807D1">
              <w:rPr>
                <w:rStyle w:val="Hyperlink"/>
                <w:noProof/>
                <w:color w:val="auto"/>
              </w:rPr>
              <w:t>Trust as a strategic asset</w:t>
            </w:r>
            <w:r w:rsidRPr="00F807D1">
              <w:rPr>
                <w:noProof/>
                <w:webHidden/>
              </w:rPr>
              <w:tab/>
            </w:r>
            <w:r w:rsidRPr="00F807D1">
              <w:rPr>
                <w:noProof/>
                <w:webHidden/>
              </w:rPr>
              <w:fldChar w:fldCharType="begin"/>
            </w:r>
            <w:r w:rsidRPr="00F807D1">
              <w:rPr>
                <w:noProof/>
                <w:webHidden/>
              </w:rPr>
              <w:instrText xml:space="preserve"> PAGEREF _Toc228150039 \h </w:instrText>
            </w:r>
            <w:r w:rsidRPr="00F807D1">
              <w:rPr>
                <w:noProof/>
                <w:webHidden/>
              </w:rPr>
            </w:r>
            <w:r w:rsidRPr="00F807D1">
              <w:rPr>
                <w:noProof/>
                <w:webHidden/>
              </w:rPr>
              <w:fldChar w:fldCharType="separate"/>
            </w:r>
            <w:r w:rsidRPr="00F807D1">
              <w:rPr>
                <w:noProof/>
                <w:webHidden/>
              </w:rPr>
              <w:t>18</w:t>
            </w:r>
            <w:r w:rsidRPr="00F807D1">
              <w:rPr>
                <w:noProof/>
                <w:webHidden/>
              </w:rPr>
              <w:fldChar w:fldCharType="end"/>
            </w:r>
          </w:hyperlink>
        </w:p>
        <w:p w14:paraId="5C2FF9D5" w14:textId="77C8F4DC"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40" w:history="1">
            <w:r w:rsidRPr="00F807D1">
              <w:rPr>
                <w:rStyle w:val="Hyperlink"/>
                <w:noProof/>
                <w:color w:val="auto"/>
              </w:rPr>
              <w:t>3.7.2</w:t>
            </w:r>
            <w:r w:rsidRPr="00F807D1">
              <w:rPr>
                <w:rFonts w:asciiTheme="minorHAnsi" w:eastAsiaTheme="minorEastAsia" w:hAnsiTheme="minorHAnsi" w:cstheme="minorBidi"/>
                <w:noProof/>
                <w:szCs w:val="24"/>
                <w:lang w:val="en-US" w:eastAsia="en-US"/>
              </w:rPr>
              <w:tab/>
            </w:r>
            <w:r w:rsidRPr="00F807D1">
              <w:rPr>
                <w:rStyle w:val="Hyperlink"/>
                <w:noProof/>
                <w:color w:val="auto"/>
              </w:rPr>
              <w:t>Transparency without over-disclosure</w:t>
            </w:r>
            <w:r w:rsidRPr="00F807D1">
              <w:rPr>
                <w:noProof/>
                <w:webHidden/>
              </w:rPr>
              <w:tab/>
            </w:r>
            <w:r w:rsidRPr="00F807D1">
              <w:rPr>
                <w:noProof/>
                <w:webHidden/>
              </w:rPr>
              <w:fldChar w:fldCharType="begin"/>
            </w:r>
            <w:r w:rsidRPr="00F807D1">
              <w:rPr>
                <w:noProof/>
                <w:webHidden/>
              </w:rPr>
              <w:instrText xml:space="preserve"> PAGEREF _Toc228150040 \h </w:instrText>
            </w:r>
            <w:r w:rsidRPr="00F807D1">
              <w:rPr>
                <w:noProof/>
                <w:webHidden/>
              </w:rPr>
            </w:r>
            <w:r w:rsidRPr="00F807D1">
              <w:rPr>
                <w:noProof/>
                <w:webHidden/>
              </w:rPr>
              <w:fldChar w:fldCharType="separate"/>
            </w:r>
            <w:r w:rsidRPr="00F807D1">
              <w:rPr>
                <w:noProof/>
                <w:webHidden/>
              </w:rPr>
              <w:t>18</w:t>
            </w:r>
            <w:r w:rsidRPr="00F807D1">
              <w:rPr>
                <w:noProof/>
                <w:webHidden/>
              </w:rPr>
              <w:fldChar w:fldCharType="end"/>
            </w:r>
          </w:hyperlink>
        </w:p>
        <w:p w14:paraId="3790460F" w14:textId="4421168B" w:rsidR="002B1FC2" w:rsidRPr="00F807D1" w:rsidRDefault="002B1FC2">
          <w:pPr>
            <w:pStyle w:val="TOC2"/>
            <w:tabs>
              <w:tab w:val="left" w:pos="960"/>
              <w:tab w:val="right" w:leader="dot" w:pos="9016"/>
            </w:tabs>
            <w:rPr>
              <w:rFonts w:asciiTheme="minorHAnsi" w:eastAsiaTheme="minorEastAsia" w:hAnsiTheme="minorHAnsi" w:cstheme="minorBidi"/>
              <w:noProof/>
              <w:szCs w:val="24"/>
              <w:lang w:val="en-US" w:eastAsia="en-US"/>
            </w:rPr>
          </w:pPr>
          <w:hyperlink w:anchor="_Toc228150041" w:history="1">
            <w:r w:rsidRPr="00F807D1">
              <w:rPr>
                <w:rStyle w:val="Hyperlink"/>
                <w:noProof/>
                <w:color w:val="auto"/>
              </w:rPr>
              <w:t>3.8</w:t>
            </w:r>
            <w:r w:rsidRPr="00F807D1">
              <w:rPr>
                <w:rFonts w:asciiTheme="minorHAnsi" w:eastAsiaTheme="minorEastAsia" w:hAnsiTheme="minorHAnsi" w:cstheme="minorBidi"/>
                <w:noProof/>
                <w:szCs w:val="24"/>
                <w:lang w:val="en-US" w:eastAsia="en-US"/>
              </w:rPr>
              <w:tab/>
            </w:r>
            <w:r w:rsidRPr="00F807D1">
              <w:rPr>
                <w:rStyle w:val="Hyperlink"/>
                <w:noProof/>
                <w:color w:val="auto"/>
              </w:rPr>
              <w:t>Corporate Governance and AI Risk Management</w:t>
            </w:r>
            <w:r w:rsidRPr="00F807D1">
              <w:rPr>
                <w:noProof/>
                <w:webHidden/>
              </w:rPr>
              <w:tab/>
            </w:r>
            <w:r w:rsidRPr="00F807D1">
              <w:rPr>
                <w:noProof/>
                <w:webHidden/>
              </w:rPr>
              <w:fldChar w:fldCharType="begin"/>
            </w:r>
            <w:r w:rsidRPr="00F807D1">
              <w:rPr>
                <w:noProof/>
                <w:webHidden/>
              </w:rPr>
              <w:instrText xml:space="preserve"> PAGEREF _Toc228150041 \h </w:instrText>
            </w:r>
            <w:r w:rsidRPr="00F807D1">
              <w:rPr>
                <w:noProof/>
                <w:webHidden/>
              </w:rPr>
            </w:r>
            <w:r w:rsidRPr="00F807D1">
              <w:rPr>
                <w:noProof/>
                <w:webHidden/>
              </w:rPr>
              <w:fldChar w:fldCharType="separate"/>
            </w:r>
            <w:r w:rsidRPr="00F807D1">
              <w:rPr>
                <w:noProof/>
                <w:webHidden/>
              </w:rPr>
              <w:t>19</w:t>
            </w:r>
            <w:r w:rsidRPr="00F807D1">
              <w:rPr>
                <w:noProof/>
                <w:webHidden/>
              </w:rPr>
              <w:fldChar w:fldCharType="end"/>
            </w:r>
          </w:hyperlink>
        </w:p>
        <w:p w14:paraId="34DC7395" w14:textId="4DC3957F"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42" w:history="1">
            <w:r w:rsidRPr="00F807D1">
              <w:rPr>
                <w:rStyle w:val="Hyperlink"/>
                <w:noProof/>
                <w:color w:val="auto"/>
              </w:rPr>
              <w:t>3.8.1</w:t>
            </w:r>
            <w:r w:rsidRPr="00F807D1">
              <w:rPr>
                <w:rFonts w:asciiTheme="minorHAnsi" w:eastAsiaTheme="minorEastAsia" w:hAnsiTheme="minorHAnsi" w:cstheme="minorBidi"/>
                <w:noProof/>
                <w:szCs w:val="24"/>
                <w:lang w:val="en-US" w:eastAsia="en-US"/>
              </w:rPr>
              <w:tab/>
            </w:r>
            <w:r w:rsidRPr="00F807D1">
              <w:rPr>
                <w:rStyle w:val="Hyperlink"/>
                <w:noProof/>
                <w:color w:val="auto"/>
              </w:rPr>
              <w:t>Board-level accountability</w:t>
            </w:r>
            <w:r w:rsidRPr="00F807D1">
              <w:rPr>
                <w:noProof/>
                <w:webHidden/>
              </w:rPr>
              <w:tab/>
            </w:r>
            <w:r w:rsidRPr="00F807D1">
              <w:rPr>
                <w:noProof/>
                <w:webHidden/>
              </w:rPr>
              <w:fldChar w:fldCharType="begin"/>
            </w:r>
            <w:r w:rsidRPr="00F807D1">
              <w:rPr>
                <w:noProof/>
                <w:webHidden/>
              </w:rPr>
              <w:instrText xml:space="preserve"> PAGEREF _Toc228150042 \h </w:instrText>
            </w:r>
            <w:r w:rsidRPr="00F807D1">
              <w:rPr>
                <w:noProof/>
                <w:webHidden/>
              </w:rPr>
            </w:r>
            <w:r w:rsidRPr="00F807D1">
              <w:rPr>
                <w:noProof/>
                <w:webHidden/>
              </w:rPr>
              <w:fldChar w:fldCharType="separate"/>
            </w:r>
            <w:r w:rsidRPr="00F807D1">
              <w:rPr>
                <w:noProof/>
                <w:webHidden/>
              </w:rPr>
              <w:t>19</w:t>
            </w:r>
            <w:r w:rsidRPr="00F807D1">
              <w:rPr>
                <w:noProof/>
                <w:webHidden/>
              </w:rPr>
              <w:fldChar w:fldCharType="end"/>
            </w:r>
          </w:hyperlink>
        </w:p>
        <w:p w14:paraId="084AF592" w14:textId="50FA3444"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43" w:history="1">
            <w:r w:rsidRPr="00F807D1">
              <w:rPr>
                <w:rStyle w:val="Hyperlink"/>
                <w:noProof/>
                <w:color w:val="auto"/>
              </w:rPr>
              <w:t>3.8.2</w:t>
            </w:r>
            <w:r w:rsidRPr="00F807D1">
              <w:rPr>
                <w:rFonts w:asciiTheme="minorHAnsi" w:eastAsiaTheme="minorEastAsia" w:hAnsiTheme="minorHAnsi" w:cstheme="minorBidi"/>
                <w:noProof/>
                <w:szCs w:val="24"/>
                <w:lang w:val="en-US" w:eastAsia="en-US"/>
              </w:rPr>
              <w:tab/>
            </w:r>
            <w:r w:rsidRPr="00F807D1">
              <w:rPr>
                <w:rStyle w:val="Hyperlink"/>
                <w:noProof/>
                <w:color w:val="auto"/>
              </w:rPr>
              <w:t>Enterprise risk framework for AI</w:t>
            </w:r>
            <w:r w:rsidRPr="00F807D1">
              <w:rPr>
                <w:noProof/>
                <w:webHidden/>
              </w:rPr>
              <w:tab/>
            </w:r>
            <w:r w:rsidRPr="00F807D1">
              <w:rPr>
                <w:noProof/>
                <w:webHidden/>
              </w:rPr>
              <w:fldChar w:fldCharType="begin"/>
            </w:r>
            <w:r w:rsidRPr="00F807D1">
              <w:rPr>
                <w:noProof/>
                <w:webHidden/>
              </w:rPr>
              <w:instrText xml:space="preserve"> PAGEREF _Toc228150043 \h </w:instrText>
            </w:r>
            <w:r w:rsidRPr="00F807D1">
              <w:rPr>
                <w:noProof/>
                <w:webHidden/>
              </w:rPr>
            </w:r>
            <w:r w:rsidRPr="00F807D1">
              <w:rPr>
                <w:noProof/>
                <w:webHidden/>
              </w:rPr>
              <w:fldChar w:fldCharType="separate"/>
            </w:r>
            <w:r w:rsidRPr="00F807D1">
              <w:rPr>
                <w:noProof/>
                <w:webHidden/>
              </w:rPr>
              <w:t>20</w:t>
            </w:r>
            <w:r w:rsidRPr="00F807D1">
              <w:rPr>
                <w:noProof/>
                <w:webHidden/>
              </w:rPr>
              <w:fldChar w:fldCharType="end"/>
            </w:r>
          </w:hyperlink>
        </w:p>
        <w:p w14:paraId="3EBB9EBB" w14:textId="77D010C9" w:rsidR="002B1FC2" w:rsidRPr="00F807D1" w:rsidRDefault="002B1FC2">
          <w:pPr>
            <w:pStyle w:val="TOC2"/>
            <w:tabs>
              <w:tab w:val="left" w:pos="960"/>
              <w:tab w:val="right" w:leader="dot" w:pos="9016"/>
            </w:tabs>
            <w:rPr>
              <w:rFonts w:asciiTheme="minorHAnsi" w:eastAsiaTheme="minorEastAsia" w:hAnsiTheme="minorHAnsi" w:cstheme="minorBidi"/>
              <w:noProof/>
              <w:szCs w:val="24"/>
              <w:lang w:val="en-US" w:eastAsia="en-US"/>
            </w:rPr>
          </w:pPr>
          <w:hyperlink w:anchor="_Toc228150044" w:history="1">
            <w:r w:rsidRPr="00F807D1">
              <w:rPr>
                <w:rStyle w:val="Hyperlink"/>
                <w:noProof/>
                <w:color w:val="auto"/>
              </w:rPr>
              <w:t>3.9</w:t>
            </w:r>
            <w:r w:rsidRPr="00F807D1">
              <w:rPr>
                <w:rFonts w:asciiTheme="minorHAnsi" w:eastAsiaTheme="minorEastAsia" w:hAnsiTheme="minorHAnsi" w:cstheme="minorBidi"/>
                <w:noProof/>
                <w:szCs w:val="24"/>
                <w:lang w:val="en-US" w:eastAsia="en-US"/>
              </w:rPr>
              <w:tab/>
            </w:r>
            <w:r w:rsidRPr="00F807D1">
              <w:rPr>
                <w:rStyle w:val="Hyperlink"/>
                <w:noProof/>
                <w:color w:val="auto"/>
              </w:rPr>
              <w:t>Implementation Plan</w:t>
            </w:r>
            <w:r w:rsidRPr="00F807D1">
              <w:rPr>
                <w:noProof/>
                <w:webHidden/>
              </w:rPr>
              <w:tab/>
            </w:r>
            <w:r w:rsidRPr="00F807D1">
              <w:rPr>
                <w:noProof/>
                <w:webHidden/>
              </w:rPr>
              <w:fldChar w:fldCharType="begin"/>
            </w:r>
            <w:r w:rsidRPr="00F807D1">
              <w:rPr>
                <w:noProof/>
                <w:webHidden/>
              </w:rPr>
              <w:instrText xml:space="preserve"> PAGEREF _Toc228150044 \h </w:instrText>
            </w:r>
            <w:r w:rsidRPr="00F807D1">
              <w:rPr>
                <w:noProof/>
                <w:webHidden/>
              </w:rPr>
            </w:r>
            <w:r w:rsidRPr="00F807D1">
              <w:rPr>
                <w:noProof/>
                <w:webHidden/>
              </w:rPr>
              <w:fldChar w:fldCharType="separate"/>
            </w:r>
            <w:r w:rsidRPr="00F807D1">
              <w:rPr>
                <w:noProof/>
                <w:webHidden/>
              </w:rPr>
              <w:t>21</w:t>
            </w:r>
            <w:r w:rsidRPr="00F807D1">
              <w:rPr>
                <w:noProof/>
                <w:webHidden/>
              </w:rPr>
              <w:fldChar w:fldCharType="end"/>
            </w:r>
          </w:hyperlink>
        </w:p>
        <w:p w14:paraId="3EC54AB8" w14:textId="7BDA0E3B"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45" w:history="1">
            <w:r w:rsidRPr="00F807D1">
              <w:rPr>
                <w:rStyle w:val="Hyperlink"/>
                <w:noProof/>
                <w:color w:val="auto"/>
              </w:rPr>
              <w:t>3.9.1</w:t>
            </w:r>
            <w:r w:rsidRPr="00F807D1">
              <w:rPr>
                <w:rFonts w:asciiTheme="minorHAnsi" w:eastAsiaTheme="minorEastAsia" w:hAnsiTheme="minorHAnsi" w:cstheme="minorBidi"/>
                <w:noProof/>
                <w:szCs w:val="24"/>
                <w:lang w:val="en-US" w:eastAsia="en-US"/>
              </w:rPr>
              <w:tab/>
            </w:r>
            <w:r w:rsidRPr="00F807D1">
              <w:rPr>
                <w:rStyle w:val="Hyperlink"/>
                <w:noProof/>
                <w:color w:val="auto"/>
              </w:rPr>
              <w:t>Phase 1: Foundation, months 1–6</w:t>
            </w:r>
            <w:r w:rsidRPr="00F807D1">
              <w:rPr>
                <w:noProof/>
                <w:webHidden/>
              </w:rPr>
              <w:tab/>
            </w:r>
            <w:r w:rsidRPr="00F807D1">
              <w:rPr>
                <w:noProof/>
                <w:webHidden/>
              </w:rPr>
              <w:fldChar w:fldCharType="begin"/>
            </w:r>
            <w:r w:rsidRPr="00F807D1">
              <w:rPr>
                <w:noProof/>
                <w:webHidden/>
              </w:rPr>
              <w:instrText xml:space="preserve"> PAGEREF _Toc228150045 \h </w:instrText>
            </w:r>
            <w:r w:rsidRPr="00F807D1">
              <w:rPr>
                <w:noProof/>
                <w:webHidden/>
              </w:rPr>
            </w:r>
            <w:r w:rsidRPr="00F807D1">
              <w:rPr>
                <w:noProof/>
                <w:webHidden/>
              </w:rPr>
              <w:fldChar w:fldCharType="separate"/>
            </w:r>
            <w:r w:rsidRPr="00F807D1">
              <w:rPr>
                <w:noProof/>
                <w:webHidden/>
              </w:rPr>
              <w:t>21</w:t>
            </w:r>
            <w:r w:rsidRPr="00F807D1">
              <w:rPr>
                <w:noProof/>
                <w:webHidden/>
              </w:rPr>
              <w:fldChar w:fldCharType="end"/>
            </w:r>
          </w:hyperlink>
        </w:p>
        <w:p w14:paraId="31D04611" w14:textId="5B054958"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46" w:history="1">
            <w:r w:rsidRPr="00F807D1">
              <w:rPr>
                <w:rStyle w:val="Hyperlink"/>
                <w:noProof/>
                <w:color w:val="auto"/>
              </w:rPr>
              <w:t>3.9.2</w:t>
            </w:r>
            <w:r w:rsidRPr="00F807D1">
              <w:rPr>
                <w:rFonts w:asciiTheme="minorHAnsi" w:eastAsiaTheme="minorEastAsia" w:hAnsiTheme="minorHAnsi" w:cstheme="minorBidi"/>
                <w:noProof/>
                <w:szCs w:val="24"/>
                <w:lang w:val="en-US" w:eastAsia="en-US"/>
              </w:rPr>
              <w:tab/>
            </w:r>
            <w:r w:rsidRPr="00F807D1">
              <w:rPr>
                <w:rStyle w:val="Hyperlink"/>
                <w:noProof/>
                <w:color w:val="auto"/>
              </w:rPr>
              <w:t>Phase 2: Build, months 7–18</w:t>
            </w:r>
            <w:r w:rsidRPr="00F807D1">
              <w:rPr>
                <w:noProof/>
                <w:webHidden/>
              </w:rPr>
              <w:tab/>
            </w:r>
            <w:r w:rsidRPr="00F807D1">
              <w:rPr>
                <w:noProof/>
                <w:webHidden/>
              </w:rPr>
              <w:fldChar w:fldCharType="begin"/>
            </w:r>
            <w:r w:rsidRPr="00F807D1">
              <w:rPr>
                <w:noProof/>
                <w:webHidden/>
              </w:rPr>
              <w:instrText xml:space="preserve"> PAGEREF _Toc228150046 \h </w:instrText>
            </w:r>
            <w:r w:rsidRPr="00F807D1">
              <w:rPr>
                <w:noProof/>
                <w:webHidden/>
              </w:rPr>
            </w:r>
            <w:r w:rsidRPr="00F807D1">
              <w:rPr>
                <w:noProof/>
                <w:webHidden/>
              </w:rPr>
              <w:fldChar w:fldCharType="separate"/>
            </w:r>
            <w:r w:rsidRPr="00F807D1">
              <w:rPr>
                <w:noProof/>
                <w:webHidden/>
              </w:rPr>
              <w:t>22</w:t>
            </w:r>
            <w:r w:rsidRPr="00F807D1">
              <w:rPr>
                <w:noProof/>
                <w:webHidden/>
              </w:rPr>
              <w:fldChar w:fldCharType="end"/>
            </w:r>
          </w:hyperlink>
        </w:p>
        <w:p w14:paraId="1E1CD01F" w14:textId="28D6CC48" w:rsidR="002B1FC2" w:rsidRPr="00F807D1" w:rsidRDefault="002B1FC2">
          <w:pPr>
            <w:pStyle w:val="TOC3"/>
            <w:tabs>
              <w:tab w:val="left" w:pos="1440"/>
              <w:tab w:val="right" w:leader="dot" w:pos="9016"/>
            </w:tabs>
            <w:rPr>
              <w:rFonts w:asciiTheme="minorHAnsi" w:eastAsiaTheme="minorEastAsia" w:hAnsiTheme="minorHAnsi" w:cstheme="minorBidi"/>
              <w:noProof/>
              <w:szCs w:val="24"/>
              <w:lang w:val="en-US" w:eastAsia="en-US"/>
            </w:rPr>
          </w:pPr>
          <w:hyperlink w:anchor="_Toc228150047" w:history="1">
            <w:r w:rsidRPr="00F807D1">
              <w:rPr>
                <w:rStyle w:val="Hyperlink"/>
                <w:noProof/>
                <w:color w:val="auto"/>
              </w:rPr>
              <w:t>3.9.3</w:t>
            </w:r>
            <w:r w:rsidRPr="00F807D1">
              <w:rPr>
                <w:rFonts w:asciiTheme="minorHAnsi" w:eastAsiaTheme="minorEastAsia" w:hAnsiTheme="minorHAnsi" w:cstheme="minorBidi"/>
                <w:noProof/>
                <w:szCs w:val="24"/>
                <w:lang w:val="en-US" w:eastAsia="en-US"/>
              </w:rPr>
              <w:tab/>
            </w:r>
            <w:r w:rsidRPr="00F807D1">
              <w:rPr>
                <w:rStyle w:val="Hyperlink"/>
                <w:noProof/>
                <w:color w:val="auto"/>
              </w:rPr>
              <w:t>Phase 3: Lead, months 19–24</w:t>
            </w:r>
            <w:r w:rsidRPr="00F807D1">
              <w:rPr>
                <w:noProof/>
                <w:webHidden/>
              </w:rPr>
              <w:tab/>
            </w:r>
            <w:r w:rsidRPr="00F807D1">
              <w:rPr>
                <w:noProof/>
                <w:webHidden/>
              </w:rPr>
              <w:fldChar w:fldCharType="begin"/>
            </w:r>
            <w:r w:rsidRPr="00F807D1">
              <w:rPr>
                <w:noProof/>
                <w:webHidden/>
              </w:rPr>
              <w:instrText xml:space="preserve"> PAGEREF _Toc228150047 \h </w:instrText>
            </w:r>
            <w:r w:rsidRPr="00F807D1">
              <w:rPr>
                <w:noProof/>
                <w:webHidden/>
              </w:rPr>
            </w:r>
            <w:r w:rsidRPr="00F807D1">
              <w:rPr>
                <w:noProof/>
                <w:webHidden/>
              </w:rPr>
              <w:fldChar w:fldCharType="separate"/>
            </w:r>
            <w:r w:rsidRPr="00F807D1">
              <w:rPr>
                <w:noProof/>
                <w:webHidden/>
              </w:rPr>
              <w:t>22</w:t>
            </w:r>
            <w:r w:rsidRPr="00F807D1">
              <w:rPr>
                <w:noProof/>
                <w:webHidden/>
              </w:rPr>
              <w:fldChar w:fldCharType="end"/>
            </w:r>
          </w:hyperlink>
        </w:p>
        <w:p w14:paraId="5268F5D9" w14:textId="4DCA707B" w:rsidR="002B1FC2" w:rsidRPr="00F807D1" w:rsidRDefault="002B1FC2">
          <w:pPr>
            <w:pStyle w:val="TOC1"/>
            <w:tabs>
              <w:tab w:val="left" w:pos="480"/>
            </w:tabs>
            <w:rPr>
              <w:rFonts w:asciiTheme="minorHAnsi" w:eastAsiaTheme="minorEastAsia" w:hAnsiTheme="minorHAnsi" w:cstheme="minorBidi"/>
              <w:b w:val="0"/>
              <w:bCs w:val="0"/>
              <w:szCs w:val="24"/>
              <w:lang w:val="en-US" w:eastAsia="en-US"/>
            </w:rPr>
          </w:pPr>
          <w:hyperlink w:anchor="_Toc228150048" w:history="1">
            <w:r w:rsidRPr="00F807D1">
              <w:rPr>
                <w:rStyle w:val="Hyperlink"/>
                <w:color w:val="auto"/>
                <w:lang w:val="en-US"/>
              </w:rPr>
              <w:t>4.</w:t>
            </w:r>
            <w:r w:rsidRPr="00F807D1">
              <w:rPr>
                <w:rFonts w:asciiTheme="minorHAnsi" w:eastAsiaTheme="minorEastAsia" w:hAnsiTheme="minorHAnsi" w:cstheme="minorBidi"/>
                <w:b w:val="0"/>
                <w:bCs w:val="0"/>
                <w:szCs w:val="24"/>
                <w:lang w:val="en-US" w:eastAsia="en-US"/>
              </w:rPr>
              <w:tab/>
            </w:r>
            <w:r w:rsidRPr="00F807D1">
              <w:rPr>
                <w:rStyle w:val="Hyperlink"/>
                <w:color w:val="auto"/>
                <w:lang w:val="en-US"/>
              </w:rPr>
              <w:t>Conclusion</w:t>
            </w:r>
            <w:r w:rsidRPr="00F807D1">
              <w:rPr>
                <w:webHidden/>
              </w:rPr>
              <w:tab/>
            </w:r>
            <w:r w:rsidRPr="00F807D1">
              <w:rPr>
                <w:webHidden/>
              </w:rPr>
              <w:fldChar w:fldCharType="begin"/>
            </w:r>
            <w:r w:rsidRPr="00F807D1">
              <w:rPr>
                <w:webHidden/>
              </w:rPr>
              <w:instrText xml:space="preserve"> PAGEREF _Toc228150048 \h </w:instrText>
            </w:r>
            <w:r w:rsidRPr="00F807D1">
              <w:rPr>
                <w:webHidden/>
              </w:rPr>
            </w:r>
            <w:r w:rsidRPr="00F807D1">
              <w:rPr>
                <w:webHidden/>
              </w:rPr>
              <w:fldChar w:fldCharType="separate"/>
            </w:r>
            <w:r w:rsidRPr="00F807D1">
              <w:rPr>
                <w:webHidden/>
              </w:rPr>
              <w:t>24</w:t>
            </w:r>
            <w:r w:rsidRPr="00F807D1">
              <w:rPr>
                <w:webHidden/>
              </w:rPr>
              <w:fldChar w:fldCharType="end"/>
            </w:r>
          </w:hyperlink>
        </w:p>
        <w:p w14:paraId="1FAC75B4" w14:textId="3473AB79" w:rsidR="002B1FC2" w:rsidRPr="00F807D1" w:rsidRDefault="002B1FC2">
          <w:pPr>
            <w:pStyle w:val="TOC1"/>
            <w:tabs>
              <w:tab w:val="left" w:pos="480"/>
            </w:tabs>
            <w:rPr>
              <w:rFonts w:asciiTheme="minorHAnsi" w:eastAsiaTheme="minorEastAsia" w:hAnsiTheme="minorHAnsi" w:cstheme="minorBidi"/>
              <w:b w:val="0"/>
              <w:bCs w:val="0"/>
              <w:szCs w:val="24"/>
              <w:lang w:val="en-US" w:eastAsia="en-US"/>
            </w:rPr>
          </w:pPr>
          <w:hyperlink w:anchor="_Toc228150049" w:history="1">
            <w:r w:rsidRPr="00F807D1">
              <w:rPr>
                <w:rStyle w:val="Hyperlink"/>
                <w:color w:val="auto"/>
                <w:lang w:val="en-US"/>
              </w:rPr>
              <w:t>5.</w:t>
            </w:r>
            <w:r w:rsidRPr="00F807D1">
              <w:rPr>
                <w:rFonts w:asciiTheme="minorHAnsi" w:eastAsiaTheme="minorEastAsia" w:hAnsiTheme="minorHAnsi" w:cstheme="minorBidi"/>
                <w:b w:val="0"/>
                <w:bCs w:val="0"/>
                <w:szCs w:val="24"/>
                <w:lang w:val="en-US" w:eastAsia="en-US"/>
              </w:rPr>
              <w:tab/>
            </w:r>
            <w:r w:rsidRPr="00F807D1">
              <w:rPr>
                <w:rStyle w:val="Hyperlink"/>
                <w:color w:val="auto"/>
                <w:lang w:val="en-US"/>
              </w:rPr>
              <w:t>Reference List</w:t>
            </w:r>
            <w:r w:rsidRPr="00F807D1">
              <w:rPr>
                <w:webHidden/>
              </w:rPr>
              <w:tab/>
            </w:r>
            <w:r w:rsidRPr="00F807D1">
              <w:rPr>
                <w:webHidden/>
              </w:rPr>
              <w:fldChar w:fldCharType="begin"/>
            </w:r>
            <w:r w:rsidRPr="00F807D1">
              <w:rPr>
                <w:webHidden/>
              </w:rPr>
              <w:instrText xml:space="preserve"> PAGEREF _Toc228150049 \h </w:instrText>
            </w:r>
            <w:r w:rsidRPr="00F807D1">
              <w:rPr>
                <w:webHidden/>
              </w:rPr>
            </w:r>
            <w:r w:rsidRPr="00F807D1">
              <w:rPr>
                <w:webHidden/>
              </w:rPr>
              <w:fldChar w:fldCharType="separate"/>
            </w:r>
            <w:r w:rsidRPr="00F807D1">
              <w:rPr>
                <w:webHidden/>
              </w:rPr>
              <w:t>25</w:t>
            </w:r>
            <w:r w:rsidRPr="00F807D1">
              <w:rPr>
                <w:webHidden/>
              </w:rPr>
              <w:fldChar w:fldCharType="end"/>
            </w:r>
          </w:hyperlink>
        </w:p>
        <w:p w14:paraId="197E5F88" w14:textId="362C3523" w:rsidR="008E36B5" w:rsidRPr="00F807D1" w:rsidRDefault="008E36B5" w:rsidP="00AF278E">
          <w:pPr>
            <w:spacing w:line="276" w:lineRule="auto"/>
          </w:pPr>
          <w:r w:rsidRPr="00F807D1">
            <w:rPr>
              <w:b/>
              <w:bCs/>
              <w:noProof/>
            </w:rPr>
            <w:fldChar w:fldCharType="end"/>
          </w:r>
        </w:p>
      </w:sdtContent>
    </w:sdt>
    <w:p w14:paraId="206503F5" w14:textId="77777777" w:rsidR="000C4B1A" w:rsidRPr="00F807D1" w:rsidRDefault="000C4B1A" w:rsidP="004D45A7">
      <w:pPr>
        <w:rPr>
          <w:b/>
          <w:bCs/>
        </w:rPr>
      </w:pPr>
    </w:p>
    <w:p w14:paraId="5F2E2BB8" w14:textId="77777777" w:rsidR="007A125E" w:rsidRPr="00F807D1" w:rsidRDefault="007A125E" w:rsidP="00877283">
      <w:pPr>
        <w:spacing w:before="0" w:after="160" w:line="259" w:lineRule="auto"/>
        <w:jc w:val="left"/>
        <w:rPr>
          <w:lang w:val="en-US"/>
        </w:rPr>
      </w:pPr>
    </w:p>
    <w:p w14:paraId="12492666" w14:textId="77777777" w:rsidR="00A35A12" w:rsidRPr="00F807D1" w:rsidRDefault="00A35A12" w:rsidP="00A35A12">
      <w:pPr>
        <w:rPr>
          <w:lang w:val="en-US"/>
        </w:rPr>
      </w:pPr>
    </w:p>
    <w:p w14:paraId="05D020EF" w14:textId="06A80B40" w:rsidR="004254B7" w:rsidRPr="00F807D1" w:rsidRDefault="00F116B8">
      <w:pPr>
        <w:spacing w:before="0" w:after="160" w:line="259" w:lineRule="auto"/>
        <w:jc w:val="left"/>
        <w:rPr>
          <w:lang w:val="en-US"/>
        </w:rPr>
      </w:pPr>
      <w:r w:rsidRPr="00F807D1">
        <w:rPr>
          <w:lang w:val="en-US"/>
        </w:rPr>
        <w:br w:type="page"/>
      </w:r>
    </w:p>
    <w:p w14:paraId="248F9488" w14:textId="4347EB7D" w:rsidR="00E9702B" w:rsidRPr="00F807D1" w:rsidRDefault="00E9702B" w:rsidP="00F514B9">
      <w:pPr>
        <w:pStyle w:val="Heading1"/>
        <w:rPr>
          <w:color w:val="auto"/>
          <w:lang w:val="en-US"/>
        </w:rPr>
      </w:pPr>
      <w:bookmarkStart w:id="1" w:name="_Toc228150015"/>
      <w:r w:rsidRPr="00F807D1">
        <w:rPr>
          <w:color w:val="auto"/>
          <w:lang w:val="en-US"/>
        </w:rPr>
        <w:lastRenderedPageBreak/>
        <w:t>Introduction</w:t>
      </w:r>
      <w:bookmarkEnd w:id="1"/>
    </w:p>
    <w:p w14:paraId="4CC9AB51" w14:textId="325E510A" w:rsidR="00E0383B" w:rsidRPr="00F807D1" w:rsidRDefault="00E0383B" w:rsidP="00E0383B">
      <w:pPr>
        <w:rPr>
          <w:lang w:val="en-US"/>
        </w:rPr>
      </w:pPr>
      <w:r w:rsidRPr="00F807D1">
        <w:rPr>
          <w:lang w:val="en-US"/>
        </w:rPr>
        <w:t>Artificial intelligence is emerging as a strategic challenge for global firms due to its effects on innovation, competition, regulation, governance and trust</w:t>
      </w:r>
      <w:r w:rsidR="004A4E9F" w:rsidRPr="00F807D1">
        <w:rPr>
          <w:lang w:val="en-US"/>
        </w:rPr>
        <w:t xml:space="preserve"> (</w:t>
      </w:r>
      <w:proofErr w:type="spellStart"/>
      <w:r w:rsidR="004A4E9F" w:rsidRPr="00F807D1">
        <w:rPr>
          <w:lang w:val="en-US"/>
        </w:rPr>
        <w:t>Ducloux-Baudinière</w:t>
      </w:r>
      <w:proofErr w:type="spellEnd"/>
      <w:r w:rsidR="004A4E9F" w:rsidRPr="00F807D1">
        <w:rPr>
          <w:lang w:val="en-US"/>
        </w:rPr>
        <w:t xml:space="preserve"> and </w:t>
      </w:r>
      <w:proofErr w:type="spellStart"/>
      <w:r w:rsidR="004A4E9F" w:rsidRPr="00F807D1">
        <w:rPr>
          <w:lang w:val="en-US"/>
        </w:rPr>
        <w:t>Jallat</w:t>
      </w:r>
      <w:proofErr w:type="spellEnd"/>
      <w:r w:rsidR="004A4E9F" w:rsidRPr="00F807D1">
        <w:rPr>
          <w:lang w:val="en-US"/>
        </w:rPr>
        <w:t>, 2024)</w:t>
      </w:r>
      <w:r w:rsidRPr="00F807D1">
        <w:rPr>
          <w:lang w:val="en-US"/>
        </w:rPr>
        <w:t xml:space="preserve">. For AstraZeneca, AI is not an IT tool, but a strategic technology which impacts drug discovery and development, patient safety, pharmacovigilance, manufacturing, supply-chain robustness and commercial decisions. AstraZeneca claims that data science and AI are being deployed in research and development to speed up scientific discovery and improve the understanding of the biology of disease, showing how AI is beginning to be embedded in the </w:t>
      </w:r>
      <w:proofErr w:type="spellStart"/>
      <w:r w:rsidRPr="00F807D1">
        <w:rPr>
          <w:lang w:val="en-US"/>
        </w:rPr>
        <w:t>organisation</w:t>
      </w:r>
      <w:proofErr w:type="spellEnd"/>
      <w:r w:rsidRPr="00F807D1">
        <w:rPr>
          <w:lang w:val="en-US"/>
        </w:rPr>
        <w:t xml:space="preserve"> (AstraZeneca, 2026).</w:t>
      </w:r>
    </w:p>
    <w:p w14:paraId="6FBE2FAB" w14:textId="6757CB7D" w:rsidR="00E0383B" w:rsidRPr="00F807D1" w:rsidRDefault="00E0383B" w:rsidP="00E0383B">
      <w:pPr>
        <w:rPr>
          <w:lang w:val="en-US"/>
        </w:rPr>
      </w:pPr>
      <w:r w:rsidRPr="00F807D1">
        <w:rPr>
          <w:lang w:val="en-US"/>
        </w:rPr>
        <w:t>This report is advice to AstraZeneca on the risks of the expansion of AI. The UK and European Union are the focus as AstraZeneca is headquartered in the UK and operates across Europe. This is a strategic choice as the UK has adopted a principles-based and innovation-friendly approach to AI, while the EU has adopted more formal risk-based regulation in the Artificial Intelligence Act (UK Government, 2024; European Parliament, 2024). This is a challenge for AstraZeneca as the company must innovate in order to maintain competitiveness, while also responding to the increasing demand for transparency, accountability, data protection and AI safety.</w:t>
      </w:r>
    </w:p>
    <w:p w14:paraId="6E37ACE1" w14:textId="04A7DF06" w:rsidR="00E0383B" w:rsidRPr="00F807D1" w:rsidRDefault="00034A0B" w:rsidP="00E0383B">
      <w:pPr>
        <w:rPr>
          <w:lang w:val="en-US"/>
        </w:rPr>
      </w:pPr>
      <w:r w:rsidRPr="00F807D1">
        <w:rPr>
          <w:lang w:val="en-US"/>
        </w:rPr>
        <w:t>The report is not an academic paper but an executive report written for the AstraZeneca leadership team. It links the risk associated with AI to political, technological, regulatory and macroeconomic shifts, and applies academic theory to practice. Resource-based theory provides insights into how liability for AI can be a source of competitive advantage. Stakeholder theory assists the analysis of patient, regulator, investor and employee perceptions. Institutional theory is used to describe regulatory, professional and competitive pressure. Information ethics and AI governance literature are used to evaluate data governance, trust, transparency and accountability.</w:t>
      </w:r>
    </w:p>
    <w:p w14:paraId="76242C1D" w14:textId="2F383580" w:rsidR="00E9702B" w:rsidRPr="00F807D1" w:rsidRDefault="00F514B9" w:rsidP="00F514B9">
      <w:pPr>
        <w:pStyle w:val="Caption"/>
        <w:rPr>
          <w:lang w:val="en-US"/>
        </w:rPr>
      </w:pPr>
      <w:r w:rsidRPr="00F807D1">
        <w:t xml:space="preserve">Table </w:t>
      </w:r>
      <w:r w:rsidRPr="00F807D1">
        <w:fldChar w:fldCharType="begin"/>
      </w:r>
      <w:r w:rsidRPr="00F807D1">
        <w:instrText xml:space="preserve"> SEQ Table \* ARABIC </w:instrText>
      </w:r>
      <w:r w:rsidRPr="00F807D1">
        <w:fldChar w:fldCharType="separate"/>
      </w:r>
      <w:r w:rsidR="004E31F6" w:rsidRPr="00F807D1">
        <w:t>1</w:t>
      </w:r>
      <w:r w:rsidRPr="00F807D1">
        <w:fldChar w:fldCharType="end"/>
      </w:r>
      <w:r w:rsidRPr="00F807D1">
        <w:t>: Report scope and analytical focus</w:t>
      </w:r>
      <w:r w:rsidR="00277828" w:rsidRPr="00F807D1">
        <w:t xml:space="preserve"> </w:t>
      </w:r>
      <w:r w:rsidR="00277828" w:rsidRPr="00F807D1">
        <w:rPr>
          <w:bCs/>
          <w:lang w:val="en-US"/>
        </w:rPr>
        <w:t xml:space="preserve">(AstraZeneca, </w:t>
      </w:r>
      <w:r w:rsidR="00277828" w:rsidRPr="00F807D1">
        <w:rPr>
          <w:lang w:val="en-US"/>
        </w:rPr>
        <w:t>2026</w:t>
      </w:r>
      <w:r w:rsidR="00277828" w:rsidRPr="00F807D1">
        <w:rPr>
          <w:bCs/>
          <w:lang w:val="en-US"/>
        </w:rPr>
        <w:t>)</w:t>
      </w:r>
    </w:p>
    <w:tbl>
      <w:tblPr>
        <w:tblStyle w:val="PlainTable2"/>
        <w:tblW w:w="0" w:type="auto"/>
        <w:tblLook w:val="04A0" w:firstRow="1" w:lastRow="0" w:firstColumn="1" w:lastColumn="0" w:noHBand="0" w:noVBand="1"/>
      </w:tblPr>
      <w:tblGrid>
        <w:gridCol w:w="1892"/>
        <w:gridCol w:w="3535"/>
        <w:gridCol w:w="3599"/>
      </w:tblGrid>
      <w:tr w:rsidR="00E9702B" w:rsidRPr="00F807D1" w14:paraId="429159CC" w14:textId="77777777" w:rsidTr="00F514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BD3C89" w14:textId="77777777" w:rsidR="00E9702B" w:rsidRPr="00F807D1" w:rsidRDefault="00E9702B" w:rsidP="00E9702B">
            <w:pPr>
              <w:rPr>
                <w:lang w:val="en-US"/>
              </w:rPr>
            </w:pPr>
            <w:r w:rsidRPr="00F807D1">
              <w:rPr>
                <w:lang w:val="en-US"/>
              </w:rPr>
              <w:t>Area</w:t>
            </w:r>
          </w:p>
        </w:tc>
        <w:tc>
          <w:tcPr>
            <w:tcW w:w="0" w:type="auto"/>
            <w:hideMark/>
          </w:tcPr>
          <w:p w14:paraId="4AC8321B"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Focus in this report</w:t>
            </w:r>
          </w:p>
        </w:tc>
        <w:tc>
          <w:tcPr>
            <w:tcW w:w="0" w:type="auto"/>
            <w:hideMark/>
          </w:tcPr>
          <w:p w14:paraId="7D370395"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Strategic relevance to AstraZeneca</w:t>
            </w:r>
          </w:p>
        </w:tc>
      </w:tr>
      <w:tr w:rsidR="00E9702B" w:rsidRPr="00F807D1" w14:paraId="7CA395F2" w14:textId="77777777" w:rsidTr="00F514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2ECBE3" w14:textId="77777777" w:rsidR="00E9702B" w:rsidRPr="00F807D1" w:rsidRDefault="00E9702B" w:rsidP="00E9702B">
            <w:pPr>
              <w:rPr>
                <w:lang w:val="en-US"/>
              </w:rPr>
            </w:pPr>
            <w:r w:rsidRPr="00F807D1">
              <w:rPr>
                <w:lang w:val="en-US"/>
              </w:rPr>
              <w:t>AI growth</w:t>
            </w:r>
          </w:p>
        </w:tc>
        <w:tc>
          <w:tcPr>
            <w:tcW w:w="0" w:type="auto"/>
            <w:hideMark/>
          </w:tcPr>
          <w:p w14:paraId="6750A911"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Drug discovery, clinical trials, generative AI, safety monitoring</w:t>
            </w:r>
          </w:p>
        </w:tc>
        <w:tc>
          <w:tcPr>
            <w:tcW w:w="0" w:type="auto"/>
            <w:hideMark/>
          </w:tcPr>
          <w:p w14:paraId="1C72D6B5"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Productivity, innovation and competitive advantage</w:t>
            </w:r>
          </w:p>
        </w:tc>
      </w:tr>
      <w:tr w:rsidR="00E9702B" w:rsidRPr="00F807D1" w14:paraId="0E080702" w14:textId="77777777" w:rsidTr="00F514B9">
        <w:tc>
          <w:tcPr>
            <w:cnfStyle w:val="001000000000" w:firstRow="0" w:lastRow="0" w:firstColumn="1" w:lastColumn="0" w:oddVBand="0" w:evenVBand="0" w:oddHBand="0" w:evenHBand="0" w:firstRowFirstColumn="0" w:firstRowLastColumn="0" w:lastRowFirstColumn="0" w:lastRowLastColumn="0"/>
            <w:tcW w:w="0" w:type="auto"/>
            <w:hideMark/>
          </w:tcPr>
          <w:p w14:paraId="2ABC6DF6" w14:textId="77777777" w:rsidR="00E9702B" w:rsidRPr="00F807D1" w:rsidRDefault="00E9702B" w:rsidP="00E9702B">
            <w:pPr>
              <w:rPr>
                <w:lang w:val="en-US"/>
              </w:rPr>
            </w:pPr>
            <w:r w:rsidRPr="00F807D1">
              <w:rPr>
                <w:lang w:val="en-US"/>
              </w:rPr>
              <w:lastRenderedPageBreak/>
              <w:t>Data governance</w:t>
            </w:r>
          </w:p>
        </w:tc>
        <w:tc>
          <w:tcPr>
            <w:tcW w:w="0" w:type="auto"/>
            <w:hideMark/>
          </w:tcPr>
          <w:p w14:paraId="19D33263"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Patient data, research data, data lineage, consent and transfer</w:t>
            </w:r>
          </w:p>
        </w:tc>
        <w:tc>
          <w:tcPr>
            <w:tcW w:w="0" w:type="auto"/>
            <w:hideMark/>
          </w:tcPr>
          <w:p w14:paraId="5640C665" w14:textId="000DC756"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Scientific validity, compliance and trust</w:t>
            </w:r>
            <w:r w:rsidR="00277828" w:rsidRPr="00F807D1">
              <w:rPr>
                <w:lang w:val="en-US"/>
              </w:rPr>
              <w:t xml:space="preserve"> (AstraZeneca, 2026).</w:t>
            </w:r>
          </w:p>
        </w:tc>
      </w:tr>
      <w:tr w:rsidR="00E9702B" w:rsidRPr="00F807D1" w14:paraId="6FE72FF2" w14:textId="77777777" w:rsidTr="00F514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0183EF" w14:textId="77777777" w:rsidR="00E9702B" w:rsidRPr="00F807D1" w:rsidRDefault="00E9702B" w:rsidP="00E9702B">
            <w:pPr>
              <w:rPr>
                <w:lang w:val="en-US"/>
              </w:rPr>
            </w:pPr>
            <w:r w:rsidRPr="00F807D1">
              <w:rPr>
                <w:lang w:val="en-US"/>
              </w:rPr>
              <w:t>Ethical AI</w:t>
            </w:r>
          </w:p>
        </w:tc>
        <w:tc>
          <w:tcPr>
            <w:tcW w:w="0" w:type="auto"/>
            <w:hideMark/>
          </w:tcPr>
          <w:p w14:paraId="062F481C"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Bias, fairness, explainability and accountability</w:t>
            </w:r>
          </w:p>
        </w:tc>
        <w:tc>
          <w:tcPr>
            <w:tcW w:w="0" w:type="auto"/>
            <w:hideMark/>
          </w:tcPr>
          <w:p w14:paraId="5EEE1D4E"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Patient safety and reputational protection</w:t>
            </w:r>
          </w:p>
        </w:tc>
      </w:tr>
      <w:tr w:rsidR="00E9702B" w:rsidRPr="00F807D1" w14:paraId="76A1F2E9" w14:textId="77777777" w:rsidTr="00F514B9">
        <w:tc>
          <w:tcPr>
            <w:cnfStyle w:val="001000000000" w:firstRow="0" w:lastRow="0" w:firstColumn="1" w:lastColumn="0" w:oddVBand="0" w:evenVBand="0" w:oddHBand="0" w:evenHBand="0" w:firstRowFirstColumn="0" w:firstRowLastColumn="0" w:lastRowFirstColumn="0" w:lastRowLastColumn="0"/>
            <w:tcW w:w="0" w:type="auto"/>
            <w:hideMark/>
          </w:tcPr>
          <w:p w14:paraId="1327455D" w14:textId="77777777" w:rsidR="00E9702B" w:rsidRPr="00F807D1" w:rsidRDefault="00E9702B" w:rsidP="00E9702B">
            <w:pPr>
              <w:rPr>
                <w:lang w:val="en-US"/>
              </w:rPr>
            </w:pPr>
            <w:r w:rsidRPr="00F807D1">
              <w:rPr>
                <w:lang w:val="en-US"/>
              </w:rPr>
              <w:t>Regulation</w:t>
            </w:r>
          </w:p>
        </w:tc>
        <w:tc>
          <w:tcPr>
            <w:tcW w:w="0" w:type="auto"/>
            <w:hideMark/>
          </w:tcPr>
          <w:p w14:paraId="649CAA5E"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UK and EU comparison</w:t>
            </w:r>
          </w:p>
        </w:tc>
        <w:tc>
          <w:tcPr>
            <w:tcW w:w="0" w:type="auto"/>
            <w:hideMark/>
          </w:tcPr>
          <w:p w14:paraId="6940D115"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Compliance readiness and market access</w:t>
            </w:r>
          </w:p>
        </w:tc>
      </w:tr>
      <w:tr w:rsidR="00E9702B" w:rsidRPr="00F807D1" w14:paraId="65B2FE66" w14:textId="77777777" w:rsidTr="00F514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F0BE25" w14:textId="77777777" w:rsidR="00E9702B" w:rsidRPr="00F807D1" w:rsidRDefault="00E9702B" w:rsidP="00E9702B">
            <w:pPr>
              <w:rPr>
                <w:lang w:val="en-US"/>
              </w:rPr>
            </w:pPr>
            <w:r w:rsidRPr="00F807D1">
              <w:rPr>
                <w:lang w:val="en-US"/>
              </w:rPr>
              <w:t>Trust</w:t>
            </w:r>
          </w:p>
        </w:tc>
        <w:tc>
          <w:tcPr>
            <w:tcW w:w="0" w:type="auto"/>
            <w:hideMark/>
          </w:tcPr>
          <w:p w14:paraId="57BB61B0"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Patients, clinicians, regulators and investors</w:t>
            </w:r>
          </w:p>
        </w:tc>
        <w:tc>
          <w:tcPr>
            <w:tcW w:w="0" w:type="auto"/>
            <w:hideMark/>
          </w:tcPr>
          <w:p w14:paraId="4A9F8B62" w14:textId="686C06EB"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Long-term legitimacy and brand protection</w:t>
            </w:r>
            <w:r w:rsidR="00277828" w:rsidRPr="00F807D1">
              <w:rPr>
                <w:lang w:val="en-US"/>
              </w:rPr>
              <w:t xml:space="preserve"> (AstraZeneca, 2026).</w:t>
            </w:r>
          </w:p>
        </w:tc>
      </w:tr>
      <w:tr w:rsidR="00E9702B" w:rsidRPr="00F807D1" w14:paraId="1652EE82" w14:textId="77777777" w:rsidTr="00F514B9">
        <w:tc>
          <w:tcPr>
            <w:cnfStyle w:val="001000000000" w:firstRow="0" w:lastRow="0" w:firstColumn="1" w:lastColumn="0" w:oddVBand="0" w:evenVBand="0" w:oddHBand="0" w:evenHBand="0" w:firstRowFirstColumn="0" w:firstRowLastColumn="0" w:lastRowFirstColumn="0" w:lastRowLastColumn="0"/>
            <w:tcW w:w="0" w:type="auto"/>
            <w:hideMark/>
          </w:tcPr>
          <w:p w14:paraId="1ED67A0E" w14:textId="77777777" w:rsidR="00E9702B" w:rsidRPr="00F807D1" w:rsidRDefault="00E9702B" w:rsidP="00E9702B">
            <w:pPr>
              <w:rPr>
                <w:lang w:val="en-US"/>
              </w:rPr>
            </w:pPr>
            <w:r w:rsidRPr="00F807D1">
              <w:rPr>
                <w:lang w:val="en-US"/>
              </w:rPr>
              <w:t>Implementation</w:t>
            </w:r>
          </w:p>
        </w:tc>
        <w:tc>
          <w:tcPr>
            <w:tcW w:w="0" w:type="auto"/>
            <w:hideMark/>
          </w:tcPr>
          <w:p w14:paraId="25152D40"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24-month risk and governance plan</w:t>
            </w:r>
          </w:p>
        </w:tc>
        <w:tc>
          <w:tcPr>
            <w:tcW w:w="0" w:type="auto"/>
            <w:hideMark/>
          </w:tcPr>
          <w:p w14:paraId="3875B2A3"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Practical board-level action</w:t>
            </w:r>
          </w:p>
        </w:tc>
      </w:tr>
    </w:tbl>
    <w:p w14:paraId="0694BC29" w14:textId="5E371254" w:rsidR="00E9702B" w:rsidRPr="00F807D1" w:rsidRDefault="00E9702B" w:rsidP="00E9702B">
      <w:pPr>
        <w:rPr>
          <w:lang w:val="en-US"/>
        </w:rPr>
      </w:pPr>
    </w:p>
    <w:p w14:paraId="40DA39B6" w14:textId="14FB6D8E" w:rsidR="00E0383B" w:rsidRPr="00F807D1" w:rsidRDefault="00E0383B" w:rsidP="00E0383B">
      <w:pPr>
        <w:rPr>
          <w:lang w:val="en-US"/>
        </w:rPr>
      </w:pPr>
      <w:r w:rsidRPr="00F807D1">
        <w:rPr>
          <w:lang w:val="en-US"/>
        </w:rPr>
        <w:t xml:space="preserve">The argument is that AstraZeneca should view responsible AI governance as an advantage. Barney's resource-based theory suggests firms have </w:t>
      </w:r>
      <w:r w:rsidR="008C1E86" w:rsidRPr="00F807D1">
        <w:rPr>
          <w:lang w:val="en-US"/>
        </w:rPr>
        <w:t xml:space="preserve">a </w:t>
      </w:r>
      <w:r w:rsidRPr="00F807D1">
        <w:rPr>
          <w:lang w:val="en-US"/>
        </w:rPr>
        <w:t xml:space="preserve">sustainable advantage when they use valuable, rare, inimitable and </w:t>
      </w:r>
      <w:proofErr w:type="spellStart"/>
      <w:r w:rsidRPr="00F807D1">
        <w:rPr>
          <w:lang w:val="en-US"/>
        </w:rPr>
        <w:t>organisation</w:t>
      </w:r>
      <w:proofErr w:type="spellEnd"/>
      <w:r w:rsidRPr="00F807D1">
        <w:rPr>
          <w:lang w:val="en-US"/>
        </w:rPr>
        <w:t>-specific resources (Barney, 1991). In this case</w:t>
      </w:r>
      <w:r w:rsidR="008C1E86" w:rsidRPr="00F807D1">
        <w:rPr>
          <w:lang w:val="en-US"/>
        </w:rPr>
        <w:t>,</w:t>
      </w:r>
      <w:r w:rsidRPr="00F807D1">
        <w:rPr>
          <w:lang w:val="en-US"/>
        </w:rPr>
        <w:t xml:space="preserve"> the systems, AstraZeneca's AI, will not lead to sustainable advantage. The AI is not unique to the company. The sustainable advantage will be derived from its access to quality scientific data, governance, regulation, ethics and trust. So, there will be a strategic rather than a compliance focus on AI risk management.</w:t>
      </w:r>
    </w:p>
    <w:p w14:paraId="4E814D0D" w14:textId="77777777" w:rsidR="00F514B9" w:rsidRPr="00F807D1" w:rsidRDefault="00F514B9">
      <w:pPr>
        <w:spacing w:before="0" w:after="160" w:line="259" w:lineRule="auto"/>
        <w:jc w:val="left"/>
        <w:rPr>
          <w:b/>
          <w:bCs/>
          <w:lang w:val="en-US"/>
        </w:rPr>
      </w:pPr>
      <w:r w:rsidRPr="00F807D1">
        <w:rPr>
          <w:b/>
          <w:bCs/>
          <w:lang w:val="en-US"/>
        </w:rPr>
        <w:br w:type="page"/>
      </w:r>
    </w:p>
    <w:p w14:paraId="13031696" w14:textId="576F7E33" w:rsidR="00E9702B" w:rsidRPr="00F807D1" w:rsidRDefault="00E9702B" w:rsidP="00F514B9">
      <w:pPr>
        <w:pStyle w:val="Heading1"/>
        <w:rPr>
          <w:color w:val="auto"/>
          <w:lang w:val="en-US"/>
        </w:rPr>
      </w:pPr>
      <w:bookmarkStart w:id="2" w:name="_Toc228150016"/>
      <w:r w:rsidRPr="00F807D1">
        <w:rPr>
          <w:color w:val="auto"/>
          <w:lang w:val="en-US"/>
        </w:rPr>
        <w:lastRenderedPageBreak/>
        <w:t>Main Findings</w:t>
      </w:r>
      <w:bookmarkEnd w:id="2"/>
    </w:p>
    <w:p w14:paraId="788639FA" w14:textId="4A62ED4C" w:rsidR="00E9702B" w:rsidRPr="00F807D1" w:rsidRDefault="00E9702B" w:rsidP="001478CE">
      <w:pPr>
        <w:pStyle w:val="Heading2"/>
        <w:rPr>
          <w:color w:val="auto"/>
        </w:rPr>
      </w:pPr>
      <w:bookmarkStart w:id="3" w:name="_Toc228150017"/>
      <w:r w:rsidRPr="00F807D1">
        <w:rPr>
          <w:color w:val="auto"/>
        </w:rPr>
        <w:t>AstraZeneca and the Strategic Context of AI</w:t>
      </w:r>
      <w:bookmarkEnd w:id="3"/>
    </w:p>
    <w:p w14:paraId="506B2295" w14:textId="7A97E9CF" w:rsidR="00E9702B" w:rsidRPr="00F807D1" w:rsidRDefault="00E9702B" w:rsidP="001478CE">
      <w:pPr>
        <w:pStyle w:val="Heading3"/>
        <w:rPr>
          <w:color w:val="auto"/>
        </w:rPr>
      </w:pPr>
      <w:bookmarkStart w:id="4" w:name="_Toc228150018"/>
      <w:r w:rsidRPr="00F807D1">
        <w:rPr>
          <w:color w:val="auto"/>
        </w:rPr>
        <w:t xml:space="preserve">AstraZeneca </w:t>
      </w:r>
      <w:r w:rsidR="008C1E86" w:rsidRPr="00F807D1">
        <w:rPr>
          <w:color w:val="auto"/>
        </w:rPr>
        <w:t>a</w:t>
      </w:r>
      <w:r w:rsidRPr="00F807D1">
        <w:rPr>
          <w:color w:val="auto"/>
        </w:rPr>
        <w:t>s a high-relevance AI case</w:t>
      </w:r>
      <w:bookmarkEnd w:id="4"/>
    </w:p>
    <w:p w14:paraId="4C09CA24" w14:textId="6F906434" w:rsidR="003E3B11" w:rsidRPr="00F807D1" w:rsidRDefault="003E3B11" w:rsidP="003E3B11">
      <w:pPr>
        <w:rPr>
          <w:lang w:val="en-US"/>
        </w:rPr>
      </w:pPr>
      <w:r w:rsidRPr="00F807D1">
        <w:rPr>
          <w:lang w:val="en-US"/>
        </w:rPr>
        <w:t xml:space="preserve">AstraZeneca is a suitable company to assess due to its status as a global pharmaceutical company with multiple points of exposure to AI. The company's 2024 Annual Report states that </w:t>
      </w:r>
      <w:r w:rsidR="008C1E86" w:rsidRPr="00F807D1">
        <w:rPr>
          <w:lang w:val="en-US"/>
        </w:rPr>
        <w:t>its</w:t>
      </w:r>
      <w:r w:rsidRPr="00F807D1">
        <w:rPr>
          <w:lang w:val="en-US"/>
        </w:rPr>
        <w:t xml:space="preserve"> growth strategy is built on innovation, science and technology and that the company is using AI increasingly to understand disease mechanisms, process large data and boost research productivity (AstraZeneca, 2024). AstraZeneca has the global, regulatory and public documentation resources of a large company, unlike a small local company. It also has a business model where getting AI wrong can result in not just a financial loss, but harm, regulatory intervention and lost trust.</w:t>
      </w:r>
    </w:p>
    <w:p w14:paraId="2E9CA052" w14:textId="708711E1" w:rsidR="003E3B11" w:rsidRPr="00F807D1" w:rsidRDefault="003E3B11" w:rsidP="003E3B11">
      <w:pPr>
        <w:rPr>
          <w:lang w:val="en-US"/>
        </w:rPr>
      </w:pPr>
      <w:r w:rsidRPr="00F807D1">
        <w:rPr>
          <w:lang w:val="en-US"/>
        </w:rPr>
        <w:t>Productivity is a challenge in pharma. Drug discovery costs time, money and effort, with candidates failing at a high rate</w:t>
      </w:r>
      <w:r w:rsidR="00C535A4" w:rsidRPr="00F807D1">
        <w:rPr>
          <w:lang w:val="en-US"/>
        </w:rPr>
        <w:t xml:space="preserve"> (AstraZeneca, 2025)</w:t>
      </w:r>
      <w:r w:rsidRPr="00F807D1">
        <w:rPr>
          <w:lang w:val="en-US"/>
        </w:rPr>
        <w:t xml:space="preserve">. Morgan et al. (2018) show how AstraZeneca has improved </w:t>
      </w:r>
      <w:proofErr w:type="spellStart"/>
      <w:r w:rsidRPr="00F807D1">
        <w:rPr>
          <w:lang w:val="en-US"/>
        </w:rPr>
        <w:t>R</w:t>
      </w:r>
      <w:r w:rsidR="001478CE" w:rsidRPr="00F807D1">
        <w:rPr>
          <w:lang w:val="en-US"/>
        </w:rPr>
        <w:t>and</w:t>
      </w:r>
      <w:r w:rsidRPr="00F807D1">
        <w:rPr>
          <w:lang w:val="en-US"/>
        </w:rPr>
        <w:t>D</w:t>
      </w:r>
      <w:proofErr w:type="spellEnd"/>
      <w:r w:rsidRPr="00F807D1">
        <w:rPr>
          <w:lang w:val="en-US"/>
        </w:rPr>
        <w:t xml:space="preserve"> productivity in the past using a five-dimensional framework of project, quality, decision-making and discipline. AI can help improve productivity by supporting target discovery, drug design, experiment design and evidence generation. However, AI does not replace risk. It just changes its nature with model risk, data risk and explainability risk.</w:t>
      </w:r>
    </w:p>
    <w:p w14:paraId="0252B810" w14:textId="2CFFEE0D" w:rsidR="00E9702B" w:rsidRPr="00F807D1" w:rsidRDefault="00E9702B" w:rsidP="001478CE">
      <w:pPr>
        <w:pStyle w:val="Heading3"/>
        <w:rPr>
          <w:color w:val="auto"/>
        </w:rPr>
      </w:pPr>
      <w:bookmarkStart w:id="5" w:name="_Toc228150019"/>
      <w:r w:rsidRPr="00F807D1">
        <w:rPr>
          <w:color w:val="auto"/>
        </w:rPr>
        <w:t xml:space="preserve">AI as </w:t>
      </w:r>
      <w:r w:rsidR="008C1E86" w:rsidRPr="00F807D1">
        <w:rPr>
          <w:color w:val="auto"/>
        </w:rPr>
        <w:t xml:space="preserve">a </w:t>
      </w:r>
      <w:r w:rsidRPr="00F807D1">
        <w:rPr>
          <w:color w:val="auto"/>
        </w:rPr>
        <w:t>competitive advantage and strategic risk</w:t>
      </w:r>
      <w:bookmarkEnd w:id="5"/>
    </w:p>
    <w:p w14:paraId="022C56CB" w14:textId="29FE2DF5" w:rsidR="00001A38" w:rsidRPr="00F807D1" w:rsidRDefault="00001A38" w:rsidP="00001A38">
      <w:pPr>
        <w:rPr>
          <w:lang w:val="en-US"/>
        </w:rPr>
      </w:pPr>
      <w:r w:rsidRPr="00F807D1">
        <w:rPr>
          <w:lang w:val="en-US"/>
        </w:rPr>
        <w:t xml:space="preserve">AI can help competitive advantage if it helps AstraZeneca accelerate its development of medicines; </w:t>
      </w:r>
      <w:proofErr w:type="spellStart"/>
      <w:r w:rsidRPr="00F807D1">
        <w:rPr>
          <w:lang w:val="en-US"/>
        </w:rPr>
        <w:t>prioritise</w:t>
      </w:r>
      <w:proofErr w:type="spellEnd"/>
      <w:r w:rsidRPr="00F807D1">
        <w:rPr>
          <w:lang w:val="en-US"/>
        </w:rPr>
        <w:t xml:space="preserve"> the company's </w:t>
      </w:r>
      <w:proofErr w:type="spellStart"/>
      <w:r w:rsidRPr="00F807D1">
        <w:rPr>
          <w:lang w:val="en-US"/>
        </w:rPr>
        <w:t>R</w:t>
      </w:r>
      <w:r w:rsidR="001478CE" w:rsidRPr="00F807D1">
        <w:rPr>
          <w:lang w:val="en-US"/>
        </w:rPr>
        <w:t>and</w:t>
      </w:r>
      <w:r w:rsidRPr="00F807D1">
        <w:rPr>
          <w:lang w:val="en-US"/>
        </w:rPr>
        <w:t>D</w:t>
      </w:r>
      <w:proofErr w:type="spellEnd"/>
      <w:r w:rsidRPr="00F807D1">
        <w:rPr>
          <w:lang w:val="en-US"/>
        </w:rPr>
        <w:t xml:space="preserve"> to find the best medicines sooner; and manage scientific uncertainty with better evidence</w:t>
      </w:r>
      <w:r w:rsidR="001167D9" w:rsidRPr="00F807D1">
        <w:rPr>
          <w:lang w:val="en-US"/>
        </w:rPr>
        <w:t xml:space="preserve"> (AstraZeneca, 2025)</w:t>
      </w:r>
      <w:r w:rsidRPr="00F807D1">
        <w:rPr>
          <w:lang w:val="en-US"/>
        </w:rPr>
        <w:t xml:space="preserve">. The theory of "creative destruction" is relevant because AI could change the way pharmaceutical companies create, test and </w:t>
      </w:r>
      <w:proofErr w:type="spellStart"/>
      <w:r w:rsidRPr="00F807D1">
        <w:rPr>
          <w:lang w:val="en-US"/>
        </w:rPr>
        <w:t>commercialise</w:t>
      </w:r>
      <w:proofErr w:type="spellEnd"/>
      <w:r w:rsidRPr="00F807D1">
        <w:rPr>
          <w:lang w:val="en-US"/>
        </w:rPr>
        <w:t xml:space="preserve"> medicines (Schumpeter, 2013). But creative destruction is not without risks. If firms are too slow, they may be out of business, but firms that are too quick in using AI may face fines, litigation and reputational damage.</w:t>
      </w:r>
    </w:p>
    <w:p w14:paraId="7A0A64B6" w14:textId="7DE61B91" w:rsidR="00001A38" w:rsidRPr="00F807D1" w:rsidRDefault="00001A38" w:rsidP="00001A38">
      <w:pPr>
        <w:rPr>
          <w:lang w:val="en-US"/>
        </w:rPr>
      </w:pPr>
      <w:r w:rsidRPr="00F807D1">
        <w:rPr>
          <w:lang w:val="en-US"/>
        </w:rPr>
        <w:t xml:space="preserve">The strategy issue is thus not whether AstraZeneca will adopt AI, but how AstraZeneca should govern AI. Davenport and </w:t>
      </w:r>
      <w:proofErr w:type="spellStart"/>
      <w:r w:rsidRPr="00F807D1">
        <w:rPr>
          <w:lang w:val="en-US"/>
        </w:rPr>
        <w:t>Ronanki</w:t>
      </w:r>
      <w:proofErr w:type="spellEnd"/>
      <w:r w:rsidRPr="00F807D1">
        <w:rPr>
          <w:lang w:val="en-US"/>
        </w:rPr>
        <w:t xml:space="preserve"> (2018) conclude that business value comes from practical rather than technical interest in AI. So, for AstraZeneca, AI needs to be addressed in </w:t>
      </w:r>
      <w:r w:rsidRPr="00F807D1">
        <w:rPr>
          <w:lang w:val="en-US"/>
        </w:rPr>
        <w:lastRenderedPageBreak/>
        <w:t>governance, validation, risk and decision-making. AI should not be a technology project owned by technologists. It must be managed as a business risk and opportunity</w:t>
      </w:r>
      <w:r w:rsidR="00D060B9" w:rsidRPr="00F807D1">
        <w:rPr>
          <w:lang w:val="en-US"/>
        </w:rPr>
        <w:t xml:space="preserve"> (</w:t>
      </w:r>
      <w:r w:rsidR="00D060B9" w:rsidRPr="00F807D1">
        <w:t>Lee et al., 2019)</w:t>
      </w:r>
      <w:r w:rsidRPr="00F807D1">
        <w:rPr>
          <w:lang w:val="en-US"/>
        </w:rPr>
        <w:t>.</w:t>
      </w:r>
    </w:p>
    <w:p w14:paraId="5B4807B8" w14:textId="758664B8" w:rsidR="00E9702B" w:rsidRPr="00F807D1" w:rsidRDefault="00267893" w:rsidP="00E9702B">
      <w:pPr>
        <w:rPr>
          <w:lang w:val="en-US"/>
        </w:rPr>
      </w:pPr>
      <w:r w:rsidRPr="00F807D1">
        <w:rPr>
          <w:noProof/>
          <w:lang w:val="en-US"/>
        </w:rPr>
        <w:drawing>
          <wp:inline distT="0" distB="0" distL="0" distR="0" wp14:anchorId="74A0CEB8" wp14:editId="7835585B">
            <wp:extent cx="5618398" cy="3745599"/>
            <wp:effectExtent l="19050" t="19050" r="20955" b="26670"/>
            <wp:docPr id="1282254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34031" cy="3756021"/>
                    </a:xfrm>
                    <a:prstGeom prst="rect">
                      <a:avLst/>
                    </a:prstGeom>
                    <a:noFill/>
                    <a:ln>
                      <a:solidFill>
                        <a:schemeClr val="accent1">
                          <a:lumMod val="40000"/>
                          <a:lumOff val="60000"/>
                        </a:schemeClr>
                      </a:solidFill>
                    </a:ln>
                  </pic:spPr>
                </pic:pic>
              </a:graphicData>
            </a:graphic>
          </wp:inline>
        </w:drawing>
      </w:r>
    </w:p>
    <w:p w14:paraId="0B20C00B" w14:textId="6B90AE9E" w:rsidR="00E9702B" w:rsidRPr="00F807D1" w:rsidRDefault="00165A9D" w:rsidP="00165A9D">
      <w:pPr>
        <w:pStyle w:val="Caption"/>
        <w:rPr>
          <w:lang w:val="en-US"/>
        </w:rPr>
      </w:pPr>
      <w:r w:rsidRPr="00F807D1">
        <w:rPr>
          <w:b w:val="0"/>
          <w:bCs/>
          <w:lang w:val="en-US"/>
        </w:rPr>
        <w:t xml:space="preserve"> </w:t>
      </w:r>
      <w:r w:rsidRPr="00F807D1">
        <w:t xml:space="preserve">Figure </w:t>
      </w:r>
      <w:r w:rsidRPr="00F807D1">
        <w:fldChar w:fldCharType="begin"/>
      </w:r>
      <w:r w:rsidRPr="00F807D1">
        <w:instrText xml:space="preserve"> SEQ Figure \* ARABIC </w:instrText>
      </w:r>
      <w:r w:rsidRPr="00F807D1">
        <w:fldChar w:fldCharType="separate"/>
      </w:r>
      <w:r w:rsidR="00DD0F0C" w:rsidRPr="00F807D1">
        <w:t>1</w:t>
      </w:r>
      <w:r w:rsidRPr="00F807D1">
        <w:fldChar w:fldCharType="end"/>
      </w:r>
      <w:r w:rsidRPr="00F807D1">
        <w:t>: AI value-risk relationship in AstraZeneca</w:t>
      </w:r>
      <w:r w:rsidR="00267893" w:rsidRPr="00F807D1">
        <w:t xml:space="preserve"> (Author)</w:t>
      </w:r>
    </w:p>
    <w:p w14:paraId="0274132F" w14:textId="5F0F83EE" w:rsidR="00E9702B" w:rsidRPr="00F807D1" w:rsidRDefault="00E9702B" w:rsidP="001478CE">
      <w:pPr>
        <w:pStyle w:val="Heading2"/>
        <w:rPr>
          <w:color w:val="auto"/>
        </w:rPr>
      </w:pPr>
      <w:bookmarkStart w:id="6" w:name="_Toc228150020"/>
      <w:r w:rsidRPr="00F807D1">
        <w:rPr>
          <w:color w:val="auto"/>
        </w:rPr>
        <w:t>AI Opportunity and Business Risk in Pharmaceuticals</w:t>
      </w:r>
      <w:bookmarkEnd w:id="6"/>
    </w:p>
    <w:p w14:paraId="3A10937E" w14:textId="5E2A85E7" w:rsidR="00E9702B" w:rsidRPr="00F807D1" w:rsidRDefault="00E9702B" w:rsidP="001478CE">
      <w:pPr>
        <w:pStyle w:val="Heading3"/>
        <w:rPr>
          <w:color w:val="auto"/>
        </w:rPr>
      </w:pPr>
      <w:bookmarkStart w:id="7" w:name="_Toc228150021"/>
      <w:r w:rsidRPr="00F807D1">
        <w:rPr>
          <w:color w:val="auto"/>
        </w:rPr>
        <w:t>Drug discovery and clinical development opportunities</w:t>
      </w:r>
      <w:bookmarkEnd w:id="7"/>
    </w:p>
    <w:p w14:paraId="4E407337" w14:textId="30F1B066" w:rsidR="00BF2318" w:rsidRPr="00F807D1" w:rsidRDefault="00BF2318" w:rsidP="00BF2318">
      <w:pPr>
        <w:rPr>
          <w:lang w:val="en-US"/>
        </w:rPr>
      </w:pPr>
      <w:r w:rsidRPr="00F807D1">
        <w:rPr>
          <w:lang w:val="en-US"/>
        </w:rPr>
        <w:t xml:space="preserve">The use of AI by AstraZeneca in drug discovery is significant because drug discovery and development involve complex biological and clinical data. AI can be used to design molecules, identify biomarkers, </w:t>
      </w:r>
      <w:proofErr w:type="spellStart"/>
      <w:r w:rsidRPr="00F807D1">
        <w:rPr>
          <w:lang w:val="en-US"/>
        </w:rPr>
        <w:t>analyse</w:t>
      </w:r>
      <w:proofErr w:type="spellEnd"/>
      <w:r w:rsidRPr="00F807D1">
        <w:rPr>
          <w:lang w:val="en-US"/>
        </w:rPr>
        <w:t xml:space="preserve"> images, stratify patients and model. </w:t>
      </w:r>
      <w:proofErr w:type="spellStart"/>
      <w:r w:rsidRPr="00F807D1">
        <w:rPr>
          <w:lang w:val="en-US"/>
        </w:rPr>
        <w:t>Ghiandoni</w:t>
      </w:r>
      <w:proofErr w:type="spellEnd"/>
      <w:r w:rsidRPr="00F807D1">
        <w:rPr>
          <w:lang w:val="en-US"/>
        </w:rPr>
        <w:t xml:space="preserve"> et al. (2024) report how predictive AI modelling is used at AstraZeneca to support design-make-test-</w:t>
      </w:r>
      <w:proofErr w:type="spellStart"/>
      <w:r w:rsidRPr="00F807D1">
        <w:rPr>
          <w:lang w:val="en-US"/>
        </w:rPr>
        <w:t>analyse</w:t>
      </w:r>
      <w:proofErr w:type="spellEnd"/>
      <w:r w:rsidRPr="00F807D1">
        <w:rPr>
          <w:lang w:val="en-US"/>
        </w:rPr>
        <w:t xml:space="preserve"> cycles to discover new drugs</w:t>
      </w:r>
      <w:r w:rsidR="008C1E86" w:rsidRPr="00F807D1">
        <w:rPr>
          <w:lang w:val="en-US"/>
        </w:rPr>
        <w:t>,</w:t>
      </w:r>
      <w:r w:rsidRPr="00F807D1">
        <w:rPr>
          <w:lang w:val="en-US"/>
        </w:rPr>
        <w:t xml:space="preserve"> which demonstrates that AI is not limited to efficiency but also relates to science.</w:t>
      </w:r>
    </w:p>
    <w:p w14:paraId="1990D18F" w14:textId="0F1F7B83" w:rsidR="00BF2318" w:rsidRPr="00F807D1" w:rsidRDefault="00BF2318" w:rsidP="00BF2318">
      <w:pPr>
        <w:rPr>
          <w:lang w:val="en-US"/>
        </w:rPr>
      </w:pPr>
      <w:r w:rsidRPr="00F807D1">
        <w:rPr>
          <w:lang w:val="en-US"/>
        </w:rPr>
        <w:t>AI can also be applied to the design of clinical trials</w:t>
      </w:r>
      <w:r w:rsidR="008C1E86" w:rsidRPr="00F807D1">
        <w:rPr>
          <w:lang w:val="en-US"/>
        </w:rPr>
        <w:t>,</w:t>
      </w:r>
      <w:r w:rsidRPr="00F807D1">
        <w:rPr>
          <w:lang w:val="en-US"/>
        </w:rPr>
        <w:t xml:space="preserve"> such as patient selection, patient enrolment and site selection</w:t>
      </w:r>
      <w:r w:rsidR="00DB44F8" w:rsidRPr="00F807D1">
        <w:rPr>
          <w:lang w:val="en-US"/>
        </w:rPr>
        <w:t xml:space="preserve"> (</w:t>
      </w:r>
      <w:r w:rsidR="00DB44F8" w:rsidRPr="00F807D1">
        <w:t>Askin et al., 2023)</w:t>
      </w:r>
      <w:r w:rsidRPr="00F807D1">
        <w:rPr>
          <w:lang w:val="en-US"/>
        </w:rPr>
        <w:t xml:space="preserve">. This AstraZeneca clinical trials site shows the scale and geographical dispersion of clinical trials (AstraZeneca, 2026). AI can accelerate and </w:t>
      </w:r>
      <w:proofErr w:type="spellStart"/>
      <w:r w:rsidRPr="00F807D1">
        <w:rPr>
          <w:lang w:val="en-US"/>
        </w:rPr>
        <w:t>optimise</w:t>
      </w:r>
      <w:proofErr w:type="spellEnd"/>
      <w:r w:rsidRPr="00F807D1">
        <w:rPr>
          <w:lang w:val="en-US"/>
        </w:rPr>
        <w:t xml:space="preserve"> trials here. However, AI-powered recruitment needs to be managed to ensure </w:t>
      </w:r>
      <w:r w:rsidR="008C1E86" w:rsidRPr="00F807D1">
        <w:rPr>
          <w:lang w:val="en-US"/>
        </w:rPr>
        <w:t xml:space="preserve">that </w:t>
      </w:r>
      <w:r w:rsidRPr="00F807D1">
        <w:rPr>
          <w:lang w:val="en-US"/>
        </w:rPr>
        <w:t>if there are biases in the data</w:t>
      </w:r>
      <w:r w:rsidR="008C1E86" w:rsidRPr="00F807D1">
        <w:rPr>
          <w:lang w:val="en-US"/>
        </w:rPr>
        <w:t>,</w:t>
      </w:r>
      <w:r w:rsidRPr="00F807D1">
        <w:rPr>
          <w:lang w:val="en-US"/>
        </w:rPr>
        <w:t xml:space="preserve"> some people may be excluded from trials or the trial results may not be </w:t>
      </w:r>
      <w:r w:rsidRPr="00F807D1">
        <w:rPr>
          <w:lang w:val="en-US"/>
        </w:rPr>
        <w:lastRenderedPageBreak/>
        <w:t xml:space="preserve">applicable. </w:t>
      </w:r>
      <w:proofErr w:type="spellStart"/>
      <w:r w:rsidRPr="00F807D1">
        <w:rPr>
          <w:lang w:val="en-US"/>
        </w:rPr>
        <w:t>Rajkomar</w:t>
      </w:r>
      <w:proofErr w:type="spellEnd"/>
      <w:r w:rsidRPr="00F807D1">
        <w:rPr>
          <w:lang w:val="en-US"/>
        </w:rPr>
        <w:t xml:space="preserve"> et al. (2019) show the potential of machine learning in medicine</w:t>
      </w:r>
      <w:r w:rsidR="008C1E86" w:rsidRPr="00F807D1">
        <w:rPr>
          <w:lang w:val="en-US"/>
        </w:rPr>
        <w:t>,</w:t>
      </w:r>
      <w:r w:rsidRPr="00F807D1">
        <w:rPr>
          <w:lang w:val="en-US"/>
        </w:rPr>
        <w:t xml:space="preserve"> but the need for validation, </w:t>
      </w:r>
      <w:proofErr w:type="spellStart"/>
      <w:r w:rsidRPr="00F807D1">
        <w:rPr>
          <w:lang w:val="en-US"/>
        </w:rPr>
        <w:t>generalisability</w:t>
      </w:r>
      <w:proofErr w:type="spellEnd"/>
      <w:r w:rsidRPr="00F807D1">
        <w:rPr>
          <w:lang w:val="en-US"/>
        </w:rPr>
        <w:t xml:space="preserve"> and clinical relevance.</w:t>
      </w:r>
    </w:p>
    <w:p w14:paraId="71A896C8" w14:textId="5DC3DEE9" w:rsidR="00E9702B" w:rsidRPr="00F807D1" w:rsidRDefault="00E9702B" w:rsidP="001478CE">
      <w:pPr>
        <w:pStyle w:val="Heading3"/>
        <w:rPr>
          <w:color w:val="auto"/>
        </w:rPr>
      </w:pPr>
      <w:bookmarkStart w:id="8" w:name="_Toc228150022"/>
      <w:r w:rsidRPr="00F807D1">
        <w:rPr>
          <w:color w:val="auto"/>
        </w:rPr>
        <w:t>Generative AI and productivity risks</w:t>
      </w:r>
      <w:bookmarkEnd w:id="8"/>
    </w:p>
    <w:p w14:paraId="55B6AF62" w14:textId="3CB453F4" w:rsidR="00BA04D8" w:rsidRPr="00F807D1" w:rsidRDefault="00BA04D8" w:rsidP="00BA04D8">
      <w:pPr>
        <w:rPr>
          <w:lang w:val="en-US"/>
        </w:rPr>
      </w:pPr>
      <w:r w:rsidRPr="00F807D1">
        <w:rPr>
          <w:lang w:val="en-US"/>
        </w:rPr>
        <w:t xml:space="preserve">AstraZeneca could use generative AI for literature search, regulatory documentation, knowledge management and </w:t>
      </w:r>
      <w:proofErr w:type="spellStart"/>
      <w:r w:rsidRPr="00F807D1">
        <w:rPr>
          <w:lang w:val="en-US"/>
        </w:rPr>
        <w:t>summarisation</w:t>
      </w:r>
      <w:proofErr w:type="spellEnd"/>
      <w:r w:rsidRPr="00F807D1">
        <w:rPr>
          <w:lang w:val="en-US"/>
        </w:rPr>
        <w:t xml:space="preserve"> of scientific publications. However, generative AI has a new risk for hallucinations of incorrect but plausible information</w:t>
      </w:r>
      <w:r w:rsidR="00781C41" w:rsidRPr="00F807D1">
        <w:rPr>
          <w:lang w:val="en-US"/>
        </w:rPr>
        <w:t xml:space="preserve"> (AstraZeneca, 2026)</w:t>
      </w:r>
      <w:r w:rsidRPr="00F807D1">
        <w:rPr>
          <w:lang w:val="en-US"/>
        </w:rPr>
        <w:t>. For pharmaceuticals, hallucinated scientific statement</w:t>
      </w:r>
      <w:r w:rsidR="008C1E86" w:rsidRPr="00F807D1">
        <w:rPr>
          <w:lang w:val="en-US"/>
        </w:rPr>
        <w:t>s</w:t>
      </w:r>
      <w:r w:rsidRPr="00F807D1">
        <w:rPr>
          <w:lang w:val="en-US"/>
        </w:rPr>
        <w:t>, incorrect safety summar</w:t>
      </w:r>
      <w:r w:rsidR="008C1E86" w:rsidRPr="00F807D1">
        <w:rPr>
          <w:lang w:val="en-US"/>
        </w:rPr>
        <w:t>ies,</w:t>
      </w:r>
      <w:r w:rsidRPr="00F807D1">
        <w:rPr>
          <w:lang w:val="en-US"/>
        </w:rPr>
        <w:t xml:space="preserve"> and misleading regulatory document</w:t>
      </w:r>
      <w:r w:rsidR="008C1E86" w:rsidRPr="00F807D1">
        <w:rPr>
          <w:lang w:val="en-US"/>
        </w:rPr>
        <w:t>s</w:t>
      </w:r>
      <w:r w:rsidRPr="00F807D1">
        <w:rPr>
          <w:lang w:val="en-US"/>
        </w:rPr>
        <w:t xml:space="preserve"> would have significant consequences. AstraZeneca needs to differentiate the low-risk productivity use cases from the high-risk science and patient use cases.</w:t>
      </w:r>
    </w:p>
    <w:p w14:paraId="5C73170B" w14:textId="6D057CCC" w:rsidR="00BA04D8" w:rsidRPr="00F807D1" w:rsidRDefault="00BA04D8" w:rsidP="00BA04D8">
      <w:pPr>
        <w:rPr>
          <w:lang w:val="en-US"/>
        </w:rPr>
      </w:pPr>
      <w:r w:rsidRPr="00F807D1">
        <w:rPr>
          <w:lang w:val="en-US"/>
        </w:rPr>
        <w:t xml:space="preserve">Brynjolfsson et al. (2025) report </w:t>
      </w:r>
      <w:r w:rsidR="008C1E86" w:rsidRPr="00F807D1">
        <w:rPr>
          <w:lang w:val="en-US"/>
        </w:rPr>
        <w:t xml:space="preserve">that </w:t>
      </w:r>
      <w:r w:rsidRPr="00F807D1">
        <w:rPr>
          <w:lang w:val="en-US"/>
        </w:rPr>
        <w:t>generative AI boosts productivity, particularly for those with lower levels of experience, but that this depends on control. For AstraZeneca, productivity should not be sacrificed for control. AI should be reviewed, audited and validated. It's not only the risk of system failure but of system drift as people become reliant on the AI output.</w:t>
      </w:r>
    </w:p>
    <w:p w14:paraId="50930404" w14:textId="1A919CEF" w:rsidR="00E9702B" w:rsidRPr="00F807D1" w:rsidRDefault="00FB240B" w:rsidP="00FB240B">
      <w:pPr>
        <w:pStyle w:val="Caption"/>
        <w:rPr>
          <w:lang w:val="en-US"/>
        </w:rPr>
      </w:pPr>
      <w:r w:rsidRPr="00F807D1">
        <w:rPr>
          <w:b w:val="0"/>
          <w:bCs/>
          <w:lang w:val="en-US"/>
        </w:rPr>
        <w:t xml:space="preserve"> </w:t>
      </w:r>
      <w:r w:rsidRPr="00F807D1">
        <w:t xml:space="preserve">Table </w:t>
      </w:r>
      <w:r w:rsidRPr="00F807D1">
        <w:fldChar w:fldCharType="begin"/>
      </w:r>
      <w:r w:rsidRPr="00F807D1">
        <w:instrText xml:space="preserve"> SEQ Table \* ARABIC </w:instrText>
      </w:r>
      <w:r w:rsidRPr="00F807D1">
        <w:fldChar w:fldCharType="separate"/>
      </w:r>
      <w:r w:rsidR="004E31F6" w:rsidRPr="00F807D1">
        <w:t>2</w:t>
      </w:r>
      <w:r w:rsidRPr="00F807D1">
        <w:fldChar w:fldCharType="end"/>
      </w:r>
      <w:r w:rsidRPr="00F807D1">
        <w:t>: AI opportunities and associated risks for AstraZeneca</w:t>
      </w:r>
      <w:r w:rsidR="00781C41" w:rsidRPr="00F807D1">
        <w:t xml:space="preserve"> </w:t>
      </w:r>
      <w:r w:rsidR="00781C41" w:rsidRPr="00F807D1">
        <w:rPr>
          <w:bCs/>
          <w:lang w:val="en-US"/>
        </w:rPr>
        <w:t>(</w:t>
      </w:r>
      <w:r w:rsidR="007F3F50" w:rsidRPr="00F807D1">
        <w:rPr>
          <w:lang w:val="en-US"/>
        </w:rPr>
        <w:t xml:space="preserve">Brynjolfsson et al., 2025; </w:t>
      </w:r>
      <w:r w:rsidR="00781C41" w:rsidRPr="00F807D1">
        <w:rPr>
          <w:bCs/>
          <w:lang w:val="en-US"/>
        </w:rPr>
        <w:t xml:space="preserve">AstraZeneca, </w:t>
      </w:r>
      <w:r w:rsidR="00781C41" w:rsidRPr="00F807D1">
        <w:rPr>
          <w:lang w:val="en-US"/>
        </w:rPr>
        <w:t>2026</w:t>
      </w:r>
      <w:r w:rsidR="00781C41" w:rsidRPr="00F807D1">
        <w:rPr>
          <w:bCs/>
          <w:lang w:val="en-US"/>
        </w:rPr>
        <w:t>)</w:t>
      </w:r>
    </w:p>
    <w:tbl>
      <w:tblPr>
        <w:tblStyle w:val="PlainTable2"/>
        <w:tblW w:w="0" w:type="auto"/>
        <w:tblLook w:val="04A0" w:firstRow="1" w:lastRow="0" w:firstColumn="1" w:lastColumn="0" w:noHBand="0" w:noVBand="1"/>
      </w:tblPr>
      <w:tblGrid>
        <w:gridCol w:w="2227"/>
        <w:gridCol w:w="1823"/>
        <w:gridCol w:w="2340"/>
        <w:gridCol w:w="2636"/>
      </w:tblGrid>
      <w:tr w:rsidR="00E9702B" w:rsidRPr="00F807D1" w14:paraId="3DF9AAA6" w14:textId="77777777" w:rsidTr="007F3F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0E009E" w14:textId="77777777" w:rsidR="00E9702B" w:rsidRPr="00F807D1" w:rsidRDefault="00E9702B" w:rsidP="00E9702B">
            <w:pPr>
              <w:rPr>
                <w:lang w:val="en-US"/>
              </w:rPr>
            </w:pPr>
            <w:r w:rsidRPr="00F807D1">
              <w:rPr>
                <w:lang w:val="en-US"/>
              </w:rPr>
              <w:t>AI use area</w:t>
            </w:r>
          </w:p>
        </w:tc>
        <w:tc>
          <w:tcPr>
            <w:tcW w:w="1823" w:type="dxa"/>
            <w:hideMark/>
          </w:tcPr>
          <w:p w14:paraId="3B3A8E35"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Opportunity</w:t>
            </w:r>
          </w:p>
        </w:tc>
        <w:tc>
          <w:tcPr>
            <w:tcW w:w="2340" w:type="dxa"/>
            <w:hideMark/>
          </w:tcPr>
          <w:p w14:paraId="506E54CE"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Main risk</w:t>
            </w:r>
          </w:p>
        </w:tc>
        <w:tc>
          <w:tcPr>
            <w:tcW w:w="2636" w:type="dxa"/>
            <w:hideMark/>
          </w:tcPr>
          <w:p w14:paraId="33B83C9A"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Required control</w:t>
            </w:r>
          </w:p>
        </w:tc>
      </w:tr>
      <w:tr w:rsidR="00E9702B" w:rsidRPr="00F807D1" w14:paraId="50E9C4FC" w14:textId="77777777" w:rsidTr="007F3F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147FD1" w14:textId="77777777" w:rsidR="00E9702B" w:rsidRPr="00F807D1" w:rsidRDefault="00E9702B" w:rsidP="00E9702B">
            <w:pPr>
              <w:rPr>
                <w:lang w:val="en-US"/>
              </w:rPr>
            </w:pPr>
            <w:r w:rsidRPr="00F807D1">
              <w:rPr>
                <w:lang w:val="en-US"/>
              </w:rPr>
              <w:t>Drug discovery</w:t>
            </w:r>
          </w:p>
        </w:tc>
        <w:tc>
          <w:tcPr>
            <w:tcW w:w="1823" w:type="dxa"/>
            <w:hideMark/>
          </w:tcPr>
          <w:p w14:paraId="637842C6"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Faster target and molecule identification</w:t>
            </w:r>
          </w:p>
        </w:tc>
        <w:tc>
          <w:tcPr>
            <w:tcW w:w="2340" w:type="dxa"/>
            <w:hideMark/>
          </w:tcPr>
          <w:p w14:paraId="17A69B92"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False positives and weak biological validity</w:t>
            </w:r>
          </w:p>
        </w:tc>
        <w:tc>
          <w:tcPr>
            <w:tcW w:w="2636" w:type="dxa"/>
            <w:hideMark/>
          </w:tcPr>
          <w:p w14:paraId="6DAAEA42"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Scientific validation and model documentation</w:t>
            </w:r>
          </w:p>
        </w:tc>
      </w:tr>
      <w:tr w:rsidR="00E9702B" w:rsidRPr="00F807D1" w14:paraId="633E0E09" w14:textId="77777777" w:rsidTr="007F3F50">
        <w:tc>
          <w:tcPr>
            <w:cnfStyle w:val="001000000000" w:firstRow="0" w:lastRow="0" w:firstColumn="1" w:lastColumn="0" w:oddVBand="0" w:evenVBand="0" w:oddHBand="0" w:evenHBand="0" w:firstRowFirstColumn="0" w:firstRowLastColumn="0" w:lastRowFirstColumn="0" w:lastRowLastColumn="0"/>
            <w:tcW w:w="0" w:type="auto"/>
            <w:hideMark/>
          </w:tcPr>
          <w:p w14:paraId="3336DDAD" w14:textId="77777777" w:rsidR="00E9702B" w:rsidRPr="00F807D1" w:rsidRDefault="00E9702B" w:rsidP="00E9702B">
            <w:pPr>
              <w:rPr>
                <w:lang w:val="en-US"/>
              </w:rPr>
            </w:pPr>
            <w:r w:rsidRPr="00F807D1">
              <w:rPr>
                <w:lang w:val="en-US"/>
              </w:rPr>
              <w:t>Clinical trials</w:t>
            </w:r>
          </w:p>
        </w:tc>
        <w:tc>
          <w:tcPr>
            <w:tcW w:w="1823" w:type="dxa"/>
            <w:hideMark/>
          </w:tcPr>
          <w:p w14:paraId="5AE2FF6D"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Better recruitment and site selection</w:t>
            </w:r>
          </w:p>
        </w:tc>
        <w:tc>
          <w:tcPr>
            <w:tcW w:w="2340" w:type="dxa"/>
            <w:hideMark/>
          </w:tcPr>
          <w:p w14:paraId="516DE0AC"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Exclusion or bias in patient selection</w:t>
            </w:r>
          </w:p>
        </w:tc>
        <w:tc>
          <w:tcPr>
            <w:tcW w:w="2636" w:type="dxa"/>
            <w:hideMark/>
          </w:tcPr>
          <w:p w14:paraId="7F510BC9"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Fairness testing and representative datasets</w:t>
            </w:r>
          </w:p>
        </w:tc>
      </w:tr>
      <w:tr w:rsidR="00E9702B" w:rsidRPr="00F807D1" w14:paraId="50262F5A" w14:textId="77777777" w:rsidTr="007F3F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AD5E63" w14:textId="77777777" w:rsidR="00E9702B" w:rsidRPr="00F807D1" w:rsidRDefault="00E9702B" w:rsidP="00E9702B">
            <w:pPr>
              <w:rPr>
                <w:lang w:val="en-US"/>
              </w:rPr>
            </w:pPr>
            <w:r w:rsidRPr="00F807D1">
              <w:rPr>
                <w:lang w:val="en-US"/>
              </w:rPr>
              <w:t>Pharmacovigilance</w:t>
            </w:r>
          </w:p>
        </w:tc>
        <w:tc>
          <w:tcPr>
            <w:tcW w:w="1823" w:type="dxa"/>
            <w:hideMark/>
          </w:tcPr>
          <w:p w14:paraId="3C0AE41E"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Faster detection of safety signals</w:t>
            </w:r>
          </w:p>
        </w:tc>
        <w:tc>
          <w:tcPr>
            <w:tcW w:w="2340" w:type="dxa"/>
            <w:hideMark/>
          </w:tcPr>
          <w:p w14:paraId="08DE18CF"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Missed adverse events or false signals</w:t>
            </w:r>
          </w:p>
        </w:tc>
        <w:tc>
          <w:tcPr>
            <w:tcW w:w="2636" w:type="dxa"/>
            <w:hideMark/>
          </w:tcPr>
          <w:p w14:paraId="4B6A82BB" w14:textId="67315598"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Human review and audit trails</w:t>
            </w:r>
            <w:r w:rsidR="007F3F50" w:rsidRPr="00F807D1">
              <w:rPr>
                <w:lang w:val="en-US"/>
              </w:rPr>
              <w:t xml:space="preserve"> (Brynjolfsson et al., 2025).</w:t>
            </w:r>
          </w:p>
        </w:tc>
      </w:tr>
      <w:tr w:rsidR="00E9702B" w:rsidRPr="00F807D1" w14:paraId="492E7E5D" w14:textId="77777777" w:rsidTr="007F3F50">
        <w:tc>
          <w:tcPr>
            <w:cnfStyle w:val="001000000000" w:firstRow="0" w:lastRow="0" w:firstColumn="1" w:lastColumn="0" w:oddVBand="0" w:evenVBand="0" w:oddHBand="0" w:evenHBand="0" w:firstRowFirstColumn="0" w:firstRowLastColumn="0" w:lastRowFirstColumn="0" w:lastRowLastColumn="0"/>
            <w:tcW w:w="0" w:type="auto"/>
            <w:hideMark/>
          </w:tcPr>
          <w:p w14:paraId="63F36D5B" w14:textId="77777777" w:rsidR="00E9702B" w:rsidRPr="00F807D1" w:rsidRDefault="00E9702B" w:rsidP="00E9702B">
            <w:pPr>
              <w:rPr>
                <w:lang w:val="en-US"/>
              </w:rPr>
            </w:pPr>
            <w:r w:rsidRPr="00F807D1">
              <w:rPr>
                <w:lang w:val="en-US"/>
              </w:rPr>
              <w:t>Regulatory writing</w:t>
            </w:r>
          </w:p>
        </w:tc>
        <w:tc>
          <w:tcPr>
            <w:tcW w:w="1823" w:type="dxa"/>
            <w:hideMark/>
          </w:tcPr>
          <w:p w14:paraId="0CB717D9"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Efficiency in documentation</w:t>
            </w:r>
          </w:p>
        </w:tc>
        <w:tc>
          <w:tcPr>
            <w:tcW w:w="2340" w:type="dxa"/>
            <w:hideMark/>
          </w:tcPr>
          <w:p w14:paraId="671AA6DD"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Inaccurate or unsupported claims</w:t>
            </w:r>
          </w:p>
        </w:tc>
        <w:tc>
          <w:tcPr>
            <w:tcW w:w="2636" w:type="dxa"/>
            <w:hideMark/>
          </w:tcPr>
          <w:p w14:paraId="04804D9F"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Expert approval and version control</w:t>
            </w:r>
          </w:p>
        </w:tc>
      </w:tr>
      <w:tr w:rsidR="00E9702B" w:rsidRPr="00F807D1" w14:paraId="580EF0D1" w14:textId="77777777" w:rsidTr="007F3F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B29911" w14:textId="77777777" w:rsidR="00E9702B" w:rsidRPr="00F807D1" w:rsidRDefault="00E9702B" w:rsidP="00E9702B">
            <w:pPr>
              <w:rPr>
                <w:lang w:val="en-US"/>
              </w:rPr>
            </w:pPr>
            <w:r w:rsidRPr="00F807D1">
              <w:rPr>
                <w:lang w:val="en-US"/>
              </w:rPr>
              <w:lastRenderedPageBreak/>
              <w:t>Commercial analytics</w:t>
            </w:r>
          </w:p>
        </w:tc>
        <w:tc>
          <w:tcPr>
            <w:tcW w:w="1823" w:type="dxa"/>
            <w:hideMark/>
          </w:tcPr>
          <w:p w14:paraId="39A6EE81"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Better market insight</w:t>
            </w:r>
          </w:p>
        </w:tc>
        <w:tc>
          <w:tcPr>
            <w:tcW w:w="2340" w:type="dxa"/>
            <w:hideMark/>
          </w:tcPr>
          <w:p w14:paraId="54188FB9"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Privacy and profiling risks</w:t>
            </w:r>
          </w:p>
        </w:tc>
        <w:tc>
          <w:tcPr>
            <w:tcW w:w="2636" w:type="dxa"/>
            <w:hideMark/>
          </w:tcPr>
          <w:p w14:paraId="4D4E8346"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 xml:space="preserve">Data </w:t>
            </w:r>
            <w:proofErr w:type="spellStart"/>
            <w:r w:rsidRPr="00F807D1">
              <w:rPr>
                <w:lang w:val="en-US"/>
              </w:rPr>
              <w:t>minimisation</w:t>
            </w:r>
            <w:proofErr w:type="spellEnd"/>
            <w:r w:rsidRPr="00F807D1">
              <w:rPr>
                <w:lang w:val="en-US"/>
              </w:rPr>
              <w:t xml:space="preserve"> and compliance review</w:t>
            </w:r>
          </w:p>
        </w:tc>
      </w:tr>
      <w:tr w:rsidR="00E9702B" w:rsidRPr="00F807D1" w14:paraId="6FA419B3" w14:textId="77777777" w:rsidTr="007F3F50">
        <w:tc>
          <w:tcPr>
            <w:cnfStyle w:val="001000000000" w:firstRow="0" w:lastRow="0" w:firstColumn="1" w:lastColumn="0" w:oddVBand="0" w:evenVBand="0" w:oddHBand="0" w:evenHBand="0" w:firstRowFirstColumn="0" w:firstRowLastColumn="0" w:lastRowFirstColumn="0" w:lastRowLastColumn="0"/>
            <w:tcW w:w="0" w:type="auto"/>
            <w:hideMark/>
          </w:tcPr>
          <w:p w14:paraId="50395A57" w14:textId="77777777" w:rsidR="00E9702B" w:rsidRPr="00F807D1" w:rsidRDefault="00E9702B" w:rsidP="00E9702B">
            <w:pPr>
              <w:rPr>
                <w:lang w:val="en-US"/>
              </w:rPr>
            </w:pPr>
            <w:r w:rsidRPr="00F807D1">
              <w:rPr>
                <w:lang w:val="en-US"/>
              </w:rPr>
              <w:t>Internal productivity</w:t>
            </w:r>
          </w:p>
        </w:tc>
        <w:tc>
          <w:tcPr>
            <w:tcW w:w="1823" w:type="dxa"/>
            <w:hideMark/>
          </w:tcPr>
          <w:p w14:paraId="434BA255"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Faster knowledge work</w:t>
            </w:r>
          </w:p>
        </w:tc>
        <w:tc>
          <w:tcPr>
            <w:tcW w:w="2340" w:type="dxa"/>
            <w:hideMark/>
          </w:tcPr>
          <w:p w14:paraId="479F71D7" w14:textId="598B1D86"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Confidential data leakage</w:t>
            </w:r>
            <w:r w:rsidR="007F3F50" w:rsidRPr="00F807D1">
              <w:rPr>
                <w:lang w:val="en-US"/>
              </w:rPr>
              <w:t xml:space="preserve"> (Brynjolfsson et al., 2025).</w:t>
            </w:r>
          </w:p>
        </w:tc>
        <w:tc>
          <w:tcPr>
            <w:tcW w:w="2636" w:type="dxa"/>
            <w:hideMark/>
          </w:tcPr>
          <w:p w14:paraId="4ADF3293"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Approved tools and staff training</w:t>
            </w:r>
          </w:p>
        </w:tc>
      </w:tr>
    </w:tbl>
    <w:p w14:paraId="057AE23D" w14:textId="2DC684F6" w:rsidR="00E9702B" w:rsidRPr="00F807D1" w:rsidRDefault="00E9702B" w:rsidP="00E9702B">
      <w:pPr>
        <w:rPr>
          <w:lang w:val="en-US"/>
        </w:rPr>
      </w:pPr>
    </w:p>
    <w:p w14:paraId="2836A4F1" w14:textId="29F153DF" w:rsidR="00F56146" w:rsidRPr="00F807D1" w:rsidRDefault="00F56146" w:rsidP="001478CE">
      <w:pPr>
        <w:pStyle w:val="Heading2"/>
        <w:rPr>
          <w:color w:val="auto"/>
        </w:rPr>
      </w:pPr>
      <w:bookmarkStart w:id="9" w:name="_Toc228150023"/>
      <w:r w:rsidRPr="00F807D1">
        <w:rPr>
          <w:color w:val="auto"/>
        </w:rPr>
        <w:t>Managing Political, Technological and Regulatory Change</w:t>
      </w:r>
      <w:bookmarkEnd w:id="9"/>
    </w:p>
    <w:p w14:paraId="5362822C" w14:textId="5F8F7105" w:rsidR="00F56146" w:rsidRPr="00F807D1" w:rsidRDefault="00F56146" w:rsidP="001478CE">
      <w:pPr>
        <w:pStyle w:val="Heading3"/>
        <w:rPr>
          <w:color w:val="auto"/>
        </w:rPr>
      </w:pPr>
      <w:bookmarkStart w:id="10" w:name="_Toc228150024"/>
      <w:r w:rsidRPr="00F807D1">
        <w:rPr>
          <w:color w:val="auto"/>
        </w:rPr>
        <w:t>Managing Political Change</w:t>
      </w:r>
      <w:bookmarkEnd w:id="10"/>
    </w:p>
    <w:p w14:paraId="5B174A93" w14:textId="0691910E" w:rsidR="00ED5665" w:rsidRPr="00F807D1" w:rsidRDefault="00ED5665" w:rsidP="00ED5665">
      <w:pPr>
        <w:rPr>
          <w:lang w:val="en-US"/>
        </w:rPr>
      </w:pPr>
      <w:r w:rsidRPr="00F807D1">
        <w:rPr>
          <w:lang w:val="en-US"/>
        </w:rPr>
        <w:t>The AstraZeneca board needs to understand that risk in AI is as much a political as a technical decision. In the UK, AI regulation is framed as pro-innovation, allowing industry regulators such as MHRA (Medicines and Healthcare products Regulatory Agency) and ICO (Information Commissioner's Office) to apply principles to their respective industries (UK Government, 2024). This offers AstraZeneca flexibility, particularly in early research and development phases, and digital health programs. But this also creates uncertainty as sector-specific regulatory expectations may arise. In comparison, the European Union has adopted a binding approach with the EU AI Act, leading to a more stringent approach to high-risk AI (European Parliament, 2024).</w:t>
      </w:r>
    </w:p>
    <w:p w14:paraId="2794CB09" w14:textId="77777777" w:rsidR="00ED5665" w:rsidRPr="00F807D1" w:rsidRDefault="00ED5665" w:rsidP="00ED5665">
      <w:pPr>
        <w:rPr>
          <w:lang w:val="en-US"/>
        </w:rPr>
      </w:pPr>
      <w:r w:rsidRPr="00F807D1">
        <w:rPr>
          <w:lang w:val="en-US"/>
        </w:rPr>
        <w:t>At the corporate level, AstraZeneca should address this political uncertainty with a "highest-standard baseline" approach. It should use EU AI Act standards as the global baseline in governing high-risk AI, and innovate in the safe regulatory environment of the UK. This will reduce regulatory fragmentation, protect future market access and increase regulatory legitimacy. Bradford's Brussels Effect applies here as multinational corporations often adopt EU expectations as global standards because it is more cost-effective than developing a range of strategies for different jurisdictions (Bradford, 2020).</w:t>
      </w:r>
    </w:p>
    <w:p w14:paraId="71C18B9C" w14:textId="3EFEBD45" w:rsidR="00F56146" w:rsidRPr="00F807D1" w:rsidRDefault="00F56146" w:rsidP="001478CE">
      <w:pPr>
        <w:pStyle w:val="Heading3"/>
        <w:rPr>
          <w:color w:val="auto"/>
        </w:rPr>
      </w:pPr>
      <w:bookmarkStart w:id="11" w:name="_Toc228150025"/>
      <w:r w:rsidRPr="00F807D1">
        <w:rPr>
          <w:color w:val="auto"/>
        </w:rPr>
        <w:t>Managing Technological Change</w:t>
      </w:r>
      <w:bookmarkEnd w:id="11"/>
    </w:p>
    <w:p w14:paraId="3D348D65" w14:textId="09CBFB7B" w:rsidR="004854B3" w:rsidRPr="00F807D1" w:rsidRDefault="004854B3" w:rsidP="004854B3">
      <w:pPr>
        <w:rPr>
          <w:lang w:val="en-US"/>
        </w:rPr>
      </w:pPr>
      <w:r w:rsidRPr="00F807D1">
        <w:rPr>
          <w:lang w:val="en-US"/>
        </w:rPr>
        <w:t xml:space="preserve">For AstraZeneca, rapid development in AI is a potential source of productivity benefits and risks. AI can accelerate drug development, </w:t>
      </w:r>
      <w:proofErr w:type="spellStart"/>
      <w:r w:rsidRPr="00F807D1">
        <w:rPr>
          <w:lang w:val="en-US"/>
        </w:rPr>
        <w:t>optimise</w:t>
      </w:r>
      <w:proofErr w:type="spellEnd"/>
      <w:r w:rsidRPr="00F807D1">
        <w:rPr>
          <w:lang w:val="en-US"/>
        </w:rPr>
        <w:t xml:space="preserve"> clinical trial designs, enhance drug safety monitoring and support decision-making in </w:t>
      </w:r>
      <w:proofErr w:type="spellStart"/>
      <w:r w:rsidRPr="00F807D1">
        <w:rPr>
          <w:lang w:val="en-US"/>
        </w:rPr>
        <w:t>R</w:t>
      </w:r>
      <w:r w:rsidR="001478CE" w:rsidRPr="00F807D1">
        <w:rPr>
          <w:lang w:val="en-US"/>
        </w:rPr>
        <w:t>and</w:t>
      </w:r>
      <w:r w:rsidRPr="00F807D1">
        <w:rPr>
          <w:lang w:val="en-US"/>
        </w:rPr>
        <w:t>D</w:t>
      </w:r>
      <w:proofErr w:type="spellEnd"/>
      <w:r w:rsidRPr="00F807D1">
        <w:rPr>
          <w:lang w:val="en-US"/>
        </w:rPr>
        <w:t xml:space="preserve"> and business (AstraZeneca, 2026; </w:t>
      </w:r>
      <w:proofErr w:type="spellStart"/>
      <w:r w:rsidRPr="00F807D1">
        <w:rPr>
          <w:lang w:val="en-US"/>
        </w:rPr>
        <w:t>Ghiandoni</w:t>
      </w:r>
      <w:proofErr w:type="spellEnd"/>
      <w:r w:rsidRPr="00F807D1">
        <w:rPr>
          <w:lang w:val="en-US"/>
        </w:rPr>
        <w:t xml:space="preserve"> et al., 2024). But with technological progress comes the risks of model error, </w:t>
      </w:r>
      <w:r w:rsidRPr="00F807D1">
        <w:rPr>
          <w:lang w:val="en-US"/>
        </w:rPr>
        <w:lastRenderedPageBreak/>
        <w:t>hallucination, automation bias, data leakage and explainability. Generative AI is especially dangerous as it can produce fluent but incorrect text. For pharmaceutical companies</w:t>
      </w:r>
      <w:r w:rsidR="008C1E86" w:rsidRPr="00F807D1">
        <w:rPr>
          <w:lang w:val="en-US"/>
        </w:rPr>
        <w:t>,</w:t>
      </w:r>
      <w:r w:rsidRPr="00F807D1">
        <w:rPr>
          <w:lang w:val="en-US"/>
        </w:rPr>
        <w:t xml:space="preserve"> this can be a safety, regulatory and reputation risk as well as a productivity problem.</w:t>
      </w:r>
    </w:p>
    <w:p w14:paraId="24212BDE" w14:textId="774C762D" w:rsidR="004854B3" w:rsidRPr="00F807D1" w:rsidRDefault="004854B3" w:rsidP="004854B3">
      <w:pPr>
        <w:rPr>
          <w:lang w:val="en-US"/>
        </w:rPr>
      </w:pPr>
      <w:r w:rsidRPr="00F807D1">
        <w:rPr>
          <w:lang w:val="en-US"/>
        </w:rPr>
        <w:t xml:space="preserve">Rather, managers should not race to follow the pack in AI adoption. Instead, they should build AI governance as a resource. Barney's resource-based view of competitive advantage suggests it comes from valuable and unique </w:t>
      </w:r>
      <w:proofErr w:type="spellStart"/>
      <w:r w:rsidRPr="00F807D1">
        <w:rPr>
          <w:lang w:val="en-US"/>
        </w:rPr>
        <w:t>organisational</w:t>
      </w:r>
      <w:proofErr w:type="spellEnd"/>
      <w:r w:rsidRPr="00F807D1">
        <w:rPr>
          <w:lang w:val="en-US"/>
        </w:rPr>
        <w:t xml:space="preserve"> assets, not just having access to technology that is accessible to others (Barney, 1991). Therefore, AstraZeneca should derive </w:t>
      </w:r>
      <w:r w:rsidR="008C1E86" w:rsidRPr="00F807D1">
        <w:rPr>
          <w:lang w:val="en-US"/>
        </w:rPr>
        <w:t xml:space="preserve">a </w:t>
      </w:r>
      <w:r w:rsidRPr="00F807D1">
        <w:rPr>
          <w:lang w:val="en-US"/>
        </w:rPr>
        <w:t>competitive advantage from the integration of AI with reliable science data, regulatory and clinical knowledge, clinical evidence, ethical considerations and assurance. The board should approve a risk assessment before using each AI project. Low</w:t>
      </w:r>
      <w:r w:rsidR="008C1E86" w:rsidRPr="00F807D1">
        <w:rPr>
          <w:lang w:val="en-US"/>
        </w:rPr>
        <w:t>-</w:t>
      </w:r>
      <w:r w:rsidRPr="00F807D1">
        <w:rPr>
          <w:lang w:val="en-US"/>
        </w:rPr>
        <w:t>risk tools may only require minimal approval, but high-risk clinical systems, such as those affecting patients, clinical trials, pharmacovigilance or regulatory submissions, should require formal validation, demonstrate explainability, include human oversight and audit trails</w:t>
      </w:r>
      <w:r w:rsidR="009F46E8" w:rsidRPr="00F807D1">
        <w:rPr>
          <w:lang w:val="en-US"/>
        </w:rPr>
        <w:t xml:space="preserve"> (Ahmed et al., 2025)</w:t>
      </w:r>
      <w:r w:rsidRPr="00F807D1">
        <w:rPr>
          <w:lang w:val="en-US"/>
        </w:rPr>
        <w:t>.</w:t>
      </w:r>
    </w:p>
    <w:p w14:paraId="59AF9203" w14:textId="79BFC4E1" w:rsidR="00F56146" w:rsidRPr="00F807D1" w:rsidRDefault="00F56146" w:rsidP="001478CE">
      <w:pPr>
        <w:pStyle w:val="Heading3"/>
        <w:rPr>
          <w:color w:val="auto"/>
        </w:rPr>
      </w:pPr>
      <w:bookmarkStart w:id="12" w:name="_Toc228150026"/>
      <w:r w:rsidRPr="00F807D1">
        <w:rPr>
          <w:color w:val="auto"/>
        </w:rPr>
        <w:t>Managing Regulatory Change</w:t>
      </w:r>
      <w:bookmarkEnd w:id="12"/>
    </w:p>
    <w:p w14:paraId="1BDCFF64" w14:textId="05F6926D" w:rsidR="0044298D" w:rsidRPr="00F807D1" w:rsidRDefault="0044298D" w:rsidP="0044298D">
      <w:pPr>
        <w:rPr>
          <w:lang w:val="en-US"/>
        </w:rPr>
      </w:pPr>
      <w:r w:rsidRPr="00F807D1">
        <w:rPr>
          <w:lang w:val="en-US"/>
        </w:rPr>
        <w:t>AstraZeneca's regulatory risk is significant as pharmaceuticals operate in a highly regulated industry where non-compliance can lead to regulatory delays, loss of confidence and potential litigation. The UK approach is adaptable for AstraZeneca</w:t>
      </w:r>
      <w:r w:rsidR="008C1E86" w:rsidRPr="00F807D1">
        <w:rPr>
          <w:lang w:val="en-US"/>
        </w:rPr>
        <w:t>,</w:t>
      </w:r>
      <w:r w:rsidRPr="00F807D1">
        <w:rPr>
          <w:lang w:val="en-US"/>
        </w:rPr>
        <w:t xml:space="preserve"> but the UK GDPR and ICO guidance raise fairness, transparency and automated decision-making issues (ICO, 2023a; ICO, 2023b). The MHRA also </w:t>
      </w:r>
      <w:proofErr w:type="spellStart"/>
      <w:r w:rsidRPr="00F807D1">
        <w:rPr>
          <w:lang w:val="en-US"/>
        </w:rPr>
        <w:t>recognises</w:t>
      </w:r>
      <w:proofErr w:type="spellEnd"/>
      <w:r w:rsidRPr="00F807D1">
        <w:rPr>
          <w:lang w:val="en-US"/>
        </w:rPr>
        <w:t xml:space="preserve"> AI may affect regulation of the lifecycle of medical products, such as development, manufacturing and post-market safety (MHRA, 2024). The AI Act in the EU has a more structured approach to risk </w:t>
      </w:r>
      <w:proofErr w:type="spellStart"/>
      <w:r w:rsidRPr="00F807D1">
        <w:rPr>
          <w:lang w:val="en-US"/>
        </w:rPr>
        <w:t>categorisation</w:t>
      </w:r>
      <w:proofErr w:type="spellEnd"/>
      <w:r w:rsidRPr="00F807D1">
        <w:rPr>
          <w:lang w:val="en-US"/>
        </w:rPr>
        <w:t xml:space="preserve"> and high-risk AI systems, and more emphasis on documentation, monitoring and assessment of compliance (European Parliament, 2024).</w:t>
      </w:r>
    </w:p>
    <w:p w14:paraId="083E591A" w14:textId="7B0E706B" w:rsidR="0044298D" w:rsidRPr="00F807D1" w:rsidRDefault="0044298D" w:rsidP="0044298D">
      <w:pPr>
        <w:rPr>
          <w:lang w:val="en-US"/>
        </w:rPr>
      </w:pPr>
      <w:r w:rsidRPr="00F807D1">
        <w:rPr>
          <w:lang w:val="en-US"/>
        </w:rPr>
        <w:t xml:space="preserve">AstraZeneca should adapt to regulatory change by being proactive. An AI regulatory intelligence </w:t>
      </w:r>
      <w:proofErr w:type="spellStart"/>
      <w:r w:rsidRPr="00F807D1">
        <w:rPr>
          <w:lang w:val="en-US"/>
        </w:rPr>
        <w:t>centre</w:t>
      </w:r>
      <w:proofErr w:type="spellEnd"/>
      <w:r w:rsidRPr="00F807D1">
        <w:rPr>
          <w:lang w:val="en-US"/>
        </w:rPr>
        <w:t xml:space="preserve"> should monitor the MHRA, ICO, EMA, European Commission, OECD and NIST</w:t>
      </w:r>
      <w:r w:rsidR="00994A4B" w:rsidRPr="00F807D1">
        <w:rPr>
          <w:lang w:val="en-US"/>
        </w:rPr>
        <w:t xml:space="preserve"> (OECD, 2024)</w:t>
      </w:r>
      <w:r w:rsidRPr="00F807D1">
        <w:rPr>
          <w:lang w:val="en-US"/>
        </w:rPr>
        <w:t xml:space="preserve">. This should report to the board's risk committee every three months and raise awareness of new requirements. This is backed up by institutional theory, where </w:t>
      </w:r>
      <w:proofErr w:type="spellStart"/>
      <w:r w:rsidRPr="00F807D1">
        <w:rPr>
          <w:lang w:val="en-US"/>
        </w:rPr>
        <w:t>organisations</w:t>
      </w:r>
      <w:proofErr w:type="spellEnd"/>
      <w:r w:rsidRPr="00F807D1">
        <w:rPr>
          <w:lang w:val="en-US"/>
        </w:rPr>
        <w:t xml:space="preserve"> react to coercive (legal) forces, normative (professional) forces and mimetic (competitor) forces (DiMaggio and Powell, 1983). </w:t>
      </w:r>
    </w:p>
    <w:p w14:paraId="04129F1A" w14:textId="0B9CCAA0" w:rsidR="00F56146" w:rsidRPr="00F807D1" w:rsidRDefault="00B132F9" w:rsidP="00B132F9">
      <w:pPr>
        <w:pStyle w:val="Caption"/>
        <w:rPr>
          <w:lang w:val="en-US"/>
        </w:rPr>
      </w:pPr>
      <w:r w:rsidRPr="00F807D1">
        <w:rPr>
          <w:b w:val="0"/>
          <w:bCs/>
          <w:lang w:val="en-US"/>
        </w:rPr>
        <w:t xml:space="preserve"> </w:t>
      </w:r>
      <w:r w:rsidRPr="00F807D1">
        <w:t xml:space="preserve">Table </w:t>
      </w:r>
      <w:r w:rsidRPr="00F807D1">
        <w:fldChar w:fldCharType="begin"/>
      </w:r>
      <w:r w:rsidRPr="00F807D1">
        <w:instrText xml:space="preserve"> SEQ Table \* ARABIC </w:instrText>
      </w:r>
      <w:r w:rsidRPr="00F807D1">
        <w:fldChar w:fldCharType="separate"/>
      </w:r>
      <w:r w:rsidR="004E31F6" w:rsidRPr="00F807D1">
        <w:t>3</w:t>
      </w:r>
      <w:r w:rsidRPr="00F807D1">
        <w:fldChar w:fldCharType="end"/>
      </w:r>
      <w:r w:rsidRPr="00F807D1">
        <w:t>: Senior advisory response to political, technological and regulatory change</w:t>
      </w:r>
      <w:r w:rsidR="007B5482" w:rsidRPr="00F807D1">
        <w:t xml:space="preserve"> </w:t>
      </w:r>
      <w:r w:rsidR="007B5482" w:rsidRPr="00F807D1">
        <w:rPr>
          <w:bCs/>
          <w:lang w:val="en-US"/>
        </w:rPr>
        <w:t xml:space="preserve">(ICO, </w:t>
      </w:r>
      <w:r w:rsidR="007B5482" w:rsidRPr="00F807D1">
        <w:rPr>
          <w:lang w:val="en-US"/>
        </w:rPr>
        <w:t>2023</w:t>
      </w:r>
      <w:r w:rsidR="002A3DE5" w:rsidRPr="00F807D1">
        <w:rPr>
          <w:lang w:val="en-US"/>
        </w:rPr>
        <w:t>; Stephen, 2025</w:t>
      </w:r>
      <w:r w:rsidR="007B5482" w:rsidRPr="00F807D1">
        <w:rPr>
          <w:bCs/>
          <w:lang w:val="en-US"/>
        </w:rPr>
        <w:t>)</w:t>
      </w:r>
    </w:p>
    <w:tbl>
      <w:tblPr>
        <w:tblStyle w:val="PlainTable2"/>
        <w:tblW w:w="0" w:type="auto"/>
        <w:tblLook w:val="04A0" w:firstRow="1" w:lastRow="0" w:firstColumn="1" w:lastColumn="0" w:noHBand="0" w:noVBand="1"/>
      </w:tblPr>
      <w:tblGrid>
        <w:gridCol w:w="1756"/>
        <w:gridCol w:w="2376"/>
        <w:gridCol w:w="2281"/>
        <w:gridCol w:w="2613"/>
      </w:tblGrid>
      <w:tr w:rsidR="00F56146" w:rsidRPr="00F807D1" w14:paraId="028739F7" w14:textId="77777777" w:rsidTr="00B132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6E52EE" w14:textId="77777777" w:rsidR="00F56146" w:rsidRPr="00F807D1" w:rsidRDefault="00F56146" w:rsidP="00F56146">
            <w:pPr>
              <w:rPr>
                <w:lang w:val="en-US"/>
              </w:rPr>
            </w:pPr>
            <w:r w:rsidRPr="00F807D1">
              <w:rPr>
                <w:lang w:val="en-US"/>
              </w:rPr>
              <w:lastRenderedPageBreak/>
              <w:t>Change area</w:t>
            </w:r>
          </w:p>
        </w:tc>
        <w:tc>
          <w:tcPr>
            <w:tcW w:w="0" w:type="auto"/>
            <w:hideMark/>
          </w:tcPr>
          <w:p w14:paraId="78704DEC" w14:textId="77777777" w:rsidR="00F56146" w:rsidRPr="00F807D1" w:rsidRDefault="00F56146" w:rsidP="00F56146">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Impact on AstraZeneca</w:t>
            </w:r>
          </w:p>
        </w:tc>
        <w:tc>
          <w:tcPr>
            <w:tcW w:w="0" w:type="auto"/>
            <w:hideMark/>
          </w:tcPr>
          <w:p w14:paraId="076A524B" w14:textId="77777777" w:rsidR="00F56146" w:rsidRPr="00F807D1" w:rsidRDefault="00F56146" w:rsidP="00F56146">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Senior-level risk</w:t>
            </w:r>
          </w:p>
        </w:tc>
        <w:tc>
          <w:tcPr>
            <w:tcW w:w="0" w:type="auto"/>
            <w:hideMark/>
          </w:tcPr>
          <w:p w14:paraId="14E3CEF5" w14:textId="77777777" w:rsidR="00F56146" w:rsidRPr="00F807D1" w:rsidRDefault="00F56146" w:rsidP="00F56146">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Recommended board action</w:t>
            </w:r>
          </w:p>
        </w:tc>
      </w:tr>
      <w:tr w:rsidR="00F56146" w:rsidRPr="00F807D1" w14:paraId="3A373A73" w14:textId="77777777" w:rsidTr="00B132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C76B9C" w14:textId="77777777" w:rsidR="00F56146" w:rsidRPr="00F807D1" w:rsidRDefault="00F56146" w:rsidP="00F56146">
            <w:pPr>
              <w:rPr>
                <w:lang w:val="en-US"/>
              </w:rPr>
            </w:pPr>
            <w:r w:rsidRPr="00F807D1">
              <w:rPr>
                <w:lang w:val="en-US"/>
              </w:rPr>
              <w:t>Political change</w:t>
            </w:r>
          </w:p>
        </w:tc>
        <w:tc>
          <w:tcPr>
            <w:tcW w:w="0" w:type="auto"/>
            <w:hideMark/>
          </w:tcPr>
          <w:p w14:paraId="3577FFF7" w14:textId="49F78112" w:rsidR="00F56146" w:rsidRPr="00F807D1" w:rsidRDefault="00F56146" w:rsidP="00F56146">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UK and EU AI strategies are diverging</w:t>
            </w:r>
            <w:r w:rsidR="00E734F4" w:rsidRPr="00F807D1">
              <w:rPr>
                <w:lang w:val="en-US"/>
              </w:rPr>
              <w:t xml:space="preserve"> (ICO, 2023).</w:t>
            </w:r>
          </w:p>
        </w:tc>
        <w:tc>
          <w:tcPr>
            <w:tcW w:w="0" w:type="auto"/>
            <w:hideMark/>
          </w:tcPr>
          <w:p w14:paraId="57A36B5D" w14:textId="77777777" w:rsidR="00F56146" w:rsidRPr="00F807D1" w:rsidRDefault="00F56146" w:rsidP="00F56146">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Fragmented compliance and uncertain market expectations</w:t>
            </w:r>
          </w:p>
        </w:tc>
        <w:tc>
          <w:tcPr>
            <w:tcW w:w="0" w:type="auto"/>
            <w:hideMark/>
          </w:tcPr>
          <w:p w14:paraId="335AB750" w14:textId="77777777" w:rsidR="00F56146" w:rsidRPr="00F807D1" w:rsidRDefault="00F56146" w:rsidP="00F56146">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Adopt EU AI Act standard as global baseline</w:t>
            </w:r>
          </w:p>
        </w:tc>
      </w:tr>
      <w:tr w:rsidR="00F56146" w:rsidRPr="00F807D1" w14:paraId="2FB29E4C" w14:textId="77777777" w:rsidTr="00B132F9">
        <w:tc>
          <w:tcPr>
            <w:cnfStyle w:val="001000000000" w:firstRow="0" w:lastRow="0" w:firstColumn="1" w:lastColumn="0" w:oddVBand="0" w:evenVBand="0" w:oddHBand="0" w:evenHBand="0" w:firstRowFirstColumn="0" w:firstRowLastColumn="0" w:lastRowFirstColumn="0" w:lastRowLastColumn="0"/>
            <w:tcW w:w="0" w:type="auto"/>
            <w:hideMark/>
          </w:tcPr>
          <w:p w14:paraId="73CA2511" w14:textId="77777777" w:rsidR="00F56146" w:rsidRPr="00F807D1" w:rsidRDefault="00F56146" w:rsidP="00F56146">
            <w:pPr>
              <w:rPr>
                <w:lang w:val="en-US"/>
              </w:rPr>
            </w:pPr>
            <w:r w:rsidRPr="00F807D1">
              <w:rPr>
                <w:lang w:val="en-US"/>
              </w:rPr>
              <w:t>Technological change</w:t>
            </w:r>
          </w:p>
        </w:tc>
        <w:tc>
          <w:tcPr>
            <w:tcW w:w="0" w:type="auto"/>
            <w:hideMark/>
          </w:tcPr>
          <w:p w14:paraId="2CFCEE78" w14:textId="6F7DFCEC" w:rsidR="00F56146" w:rsidRPr="00F807D1" w:rsidRDefault="00F56146" w:rsidP="00F56146">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AI accelerates discovery, trials and productivity</w:t>
            </w:r>
            <w:r w:rsidR="002A3DE5" w:rsidRPr="00F807D1">
              <w:rPr>
                <w:lang w:val="en-US"/>
              </w:rPr>
              <w:t xml:space="preserve"> (Stephen, 2025).</w:t>
            </w:r>
          </w:p>
        </w:tc>
        <w:tc>
          <w:tcPr>
            <w:tcW w:w="0" w:type="auto"/>
            <w:hideMark/>
          </w:tcPr>
          <w:p w14:paraId="7E553DA4" w14:textId="77777777" w:rsidR="00F56146" w:rsidRPr="00F807D1" w:rsidRDefault="00F56146" w:rsidP="00F56146">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Model error, hallucination, bias and data leakage</w:t>
            </w:r>
          </w:p>
        </w:tc>
        <w:tc>
          <w:tcPr>
            <w:tcW w:w="0" w:type="auto"/>
            <w:hideMark/>
          </w:tcPr>
          <w:p w14:paraId="272ACACB" w14:textId="77777777" w:rsidR="00F56146" w:rsidRPr="00F807D1" w:rsidRDefault="00F56146" w:rsidP="00F56146">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Classify AI systems by risk and require human oversight</w:t>
            </w:r>
          </w:p>
        </w:tc>
      </w:tr>
      <w:tr w:rsidR="00F56146" w:rsidRPr="00F807D1" w14:paraId="1385445E" w14:textId="77777777" w:rsidTr="00B132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6F8733" w14:textId="77777777" w:rsidR="00F56146" w:rsidRPr="00F807D1" w:rsidRDefault="00F56146" w:rsidP="00F56146">
            <w:pPr>
              <w:rPr>
                <w:lang w:val="en-US"/>
              </w:rPr>
            </w:pPr>
            <w:r w:rsidRPr="00F807D1">
              <w:rPr>
                <w:lang w:val="en-US"/>
              </w:rPr>
              <w:t>Regulatory change</w:t>
            </w:r>
          </w:p>
        </w:tc>
        <w:tc>
          <w:tcPr>
            <w:tcW w:w="0" w:type="auto"/>
            <w:hideMark/>
          </w:tcPr>
          <w:p w14:paraId="3BA29535" w14:textId="21A0A0CC" w:rsidR="00F56146" w:rsidRPr="00F807D1" w:rsidRDefault="00F56146" w:rsidP="00F56146">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AI obligations are increasing across health and data regulation</w:t>
            </w:r>
            <w:r w:rsidR="002A3DE5" w:rsidRPr="00F807D1">
              <w:rPr>
                <w:lang w:val="en-US"/>
              </w:rPr>
              <w:t xml:space="preserve"> </w:t>
            </w:r>
          </w:p>
        </w:tc>
        <w:tc>
          <w:tcPr>
            <w:tcW w:w="0" w:type="auto"/>
            <w:hideMark/>
          </w:tcPr>
          <w:p w14:paraId="6742D876" w14:textId="77777777" w:rsidR="00F56146" w:rsidRPr="00F807D1" w:rsidRDefault="00F56146" w:rsidP="00F56146">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Fines, approval delays, litigation and reputational damage</w:t>
            </w:r>
          </w:p>
        </w:tc>
        <w:tc>
          <w:tcPr>
            <w:tcW w:w="0" w:type="auto"/>
            <w:hideMark/>
          </w:tcPr>
          <w:p w14:paraId="0A770847" w14:textId="5F5C1B17" w:rsidR="00F56146" w:rsidRPr="00F807D1" w:rsidRDefault="00F56146" w:rsidP="00F56146">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 xml:space="preserve">Create </w:t>
            </w:r>
            <w:r w:rsidR="008C1E86" w:rsidRPr="00F807D1">
              <w:rPr>
                <w:lang w:val="en-US"/>
              </w:rPr>
              <w:t xml:space="preserve">a </w:t>
            </w:r>
            <w:r w:rsidRPr="00F807D1">
              <w:rPr>
                <w:lang w:val="en-US"/>
              </w:rPr>
              <w:t>continuous AI regulatory intelligence function</w:t>
            </w:r>
            <w:r w:rsidR="00E734F4" w:rsidRPr="00F807D1">
              <w:rPr>
                <w:lang w:val="en-US"/>
              </w:rPr>
              <w:t xml:space="preserve"> (ICO, 2023).</w:t>
            </w:r>
          </w:p>
        </w:tc>
      </w:tr>
      <w:tr w:rsidR="00F56146" w:rsidRPr="00F807D1" w14:paraId="79846369" w14:textId="77777777" w:rsidTr="00B132F9">
        <w:tc>
          <w:tcPr>
            <w:cnfStyle w:val="001000000000" w:firstRow="0" w:lastRow="0" w:firstColumn="1" w:lastColumn="0" w:oddVBand="0" w:evenVBand="0" w:oddHBand="0" w:evenHBand="0" w:firstRowFirstColumn="0" w:firstRowLastColumn="0" w:lastRowFirstColumn="0" w:lastRowLastColumn="0"/>
            <w:tcW w:w="0" w:type="auto"/>
            <w:hideMark/>
          </w:tcPr>
          <w:p w14:paraId="7A9C82F1" w14:textId="77777777" w:rsidR="00F56146" w:rsidRPr="00F807D1" w:rsidRDefault="00F56146" w:rsidP="00F56146">
            <w:pPr>
              <w:rPr>
                <w:lang w:val="en-US"/>
              </w:rPr>
            </w:pPr>
            <w:r w:rsidRPr="00F807D1">
              <w:rPr>
                <w:lang w:val="en-US"/>
              </w:rPr>
              <w:t>Data sovereignty</w:t>
            </w:r>
          </w:p>
        </w:tc>
        <w:tc>
          <w:tcPr>
            <w:tcW w:w="0" w:type="auto"/>
            <w:hideMark/>
          </w:tcPr>
          <w:p w14:paraId="61584B9D" w14:textId="77777777" w:rsidR="00F56146" w:rsidRPr="00F807D1" w:rsidRDefault="00F56146" w:rsidP="00F56146">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Cross-border data rules are becoming stricter</w:t>
            </w:r>
          </w:p>
        </w:tc>
        <w:tc>
          <w:tcPr>
            <w:tcW w:w="0" w:type="auto"/>
            <w:hideMark/>
          </w:tcPr>
          <w:p w14:paraId="1359ADD0" w14:textId="77777777" w:rsidR="00F56146" w:rsidRPr="00F807D1" w:rsidRDefault="00F56146" w:rsidP="00F56146">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Delays in research collaboration and data transfer risk</w:t>
            </w:r>
          </w:p>
        </w:tc>
        <w:tc>
          <w:tcPr>
            <w:tcW w:w="0" w:type="auto"/>
            <w:hideMark/>
          </w:tcPr>
          <w:p w14:paraId="726DCDFD" w14:textId="77777777" w:rsidR="00F56146" w:rsidRPr="00F807D1" w:rsidRDefault="00F56146" w:rsidP="00F56146">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Strengthen data lineage and transfer impact assessments</w:t>
            </w:r>
          </w:p>
        </w:tc>
      </w:tr>
      <w:tr w:rsidR="00F56146" w:rsidRPr="00F807D1" w14:paraId="7BF1360C" w14:textId="77777777" w:rsidTr="00B132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E6A0C3" w14:textId="77777777" w:rsidR="00F56146" w:rsidRPr="00F807D1" w:rsidRDefault="00F56146" w:rsidP="00F56146">
            <w:pPr>
              <w:rPr>
                <w:lang w:val="en-US"/>
              </w:rPr>
            </w:pPr>
            <w:r w:rsidRPr="00F807D1">
              <w:rPr>
                <w:lang w:val="en-US"/>
              </w:rPr>
              <w:t>Public trust</w:t>
            </w:r>
          </w:p>
        </w:tc>
        <w:tc>
          <w:tcPr>
            <w:tcW w:w="0" w:type="auto"/>
            <w:hideMark/>
          </w:tcPr>
          <w:p w14:paraId="38B24F27" w14:textId="77777777" w:rsidR="00F56146" w:rsidRPr="00F807D1" w:rsidRDefault="00F56146" w:rsidP="00F56146">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Patients and regulators expect responsible AI</w:t>
            </w:r>
          </w:p>
        </w:tc>
        <w:tc>
          <w:tcPr>
            <w:tcW w:w="0" w:type="auto"/>
            <w:hideMark/>
          </w:tcPr>
          <w:p w14:paraId="2B935DBE" w14:textId="77777777" w:rsidR="00F56146" w:rsidRPr="00F807D1" w:rsidRDefault="00F56146" w:rsidP="00F56146">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Loss of legitimacy if AI is opaque or unfair</w:t>
            </w:r>
          </w:p>
        </w:tc>
        <w:tc>
          <w:tcPr>
            <w:tcW w:w="0" w:type="auto"/>
            <w:hideMark/>
          </w:tcPr>
          <w:p w14:paraId="4F7FFBF1" w14:textId="77777777" w:rsidR="00F56146" w:rsidRPr="00F807D1" w:rsidRDefault="00F56146" w:rsidP="00F56146">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Publish responsible AI assurance and patient-facing explanations</w:t>
            </w:r>
          </w:p>
        </w:tc>
      </w:tr>
    </w:tbl>
    <w:p w14:paraId="2A0FAD14" w14:textId="77777777" w:rsidR="0044298D" w:rsidRPr="00F807D1" w:rsidRDefault="0044298D" w:rsidP="00F56146">
      <w:pPr>
        <w:rPr>
          <w:lang w:val="en-US"/>
        </w:rPr>
      </w:pPr>
    </w:p>
    <w:p w14:paraId="5645FB87" w14:textId="30924026" w:rsidR="00E9702B" w:rsidRPr="00F807D1" w:rsidRDefault="00E9702B" w:rsidP="001478CE">
      <w:pPr>
        <w:pStyle w:val="Heading2"/>
        <w:rPr>
          <w:color w:val="auto"/>
        </w:rPr>
      </w:pPr>
      <w:bookmarkStart w:id="13" w:name="_Toc228150027"/>
      <w:r w:rsidRPr="00F807D1">
        <w:rPr>
          <w:color w:val="auto"/>
        </w:rPr>
        <w:t>UK and EU Regulatory Pressures</w:t>
      </w:r>
      <w:bookmarkEnd w:id="13"/>
    </w:p>
    <w:p w14:paraId="55CF3AD1" w14:textId="53D122DE" w:rsidR="00E9702B" w:rsidRPr="00F807D1" w:rsidRDefault="00E9702B" w:rsidP="001478CE">
      <w:pPr>
        <w:pStyle w:val="Heading3"/>
        <w:rPr>
          <w:color w:val="auto"/>
        </w:rPr>
      </w:pPr>
      <w:bookmarkStart w:id="14" w:name="_Toc228150028"/>
      <w:r w:rsidRPr="00F807D1">
        <w:rPr>
          <w:color w:val="auto"/>
        </w:rPr>
        <w:t>UK regulatory approach</w:t>
      </w:r>
      <w:bookmarkEnd w:id="14"/>
    </w:p>
    <w:p w14:paraId="7D1E0F8D" w14:textId="77777777" w:rsidR="00B77CF6" w:rsidRPr="00F807D1" w:rsidRDefault="00B77CF6" w:rsidP="00B77CF6">
      <w:pPr>
        <w:rPr>
          <w:lang w:val="en-US"/>
        </w:rPr>
      </w:pPr>
      <w:r w:rsidRPr="00F807D1">
        <w:rPr>
          <w:lang w:val="en-US"/>
        </w:rPr>
        <w:t xml:space="preserve">The UK adopts a principles-based, innovation-friendly approach to AI regulation. The UK Government response identifies principles of safety, security, transparency, fairness, accountability and contestability for existing UK regulators to consider (UK Government, 2024). This matters for AstraZeneca as its use of AI may fall under the remit of several </w:t>
      </w:r>
      <w:r w:rsidRPr="00F807D1">
        <w:rPr>
          <w:lang w:val="en-US"/>
        </w:rPr>
        <w:lastRenderedPageBreak/>
        <w:t>regulators including the Information Commissioner’s Office, the Medicines and Healthcare products Regulatory Agency and competition regulators.</w:t>
      </w:r>
    </w:p>
    <w:p w14:paraId="0547A1C4" w14:textId="5F40236D" w:rsidR="00B77CF6" w:rsidRPr="00F807D1" w:rsidRDefault="00B77CF6" w:rsidP="00B77CF6">
      <w:pPr>
        <w:rPr>
          <w:lang w:val="en-US"/>
        </w:rPr>
      </w:pPr>
      <w:r w:rsidRPr="00F807D1">
        <w:rPr>
          <w:lang w:val="en-US"/>
        </w:rPr>
        <w:t xml:space="preserve">The UK model allows AstraZeneca greater flexibility for innovation - particularly in early research stages - but it also increases complexity as the rules can change through industry regulators rather than a clear AI framework. AI can affect the regulation of medical products through the life cycle of the product, including in </w:t>
      </w:r>
      <w:proofErr w:type="spellStart"/>
      <w:r w:rsidRPr="00F807D1">
        <w:rPr>
          <w:lang w:val="en-US"/>
        </w:rPr>
        <w:t>R</w:t>
      </w:r>
      <w:r w:rsidR="001478CE" w:rsidRPr="00F807D1">
        <w:rPr>
          <w:lang w:val="en-US"/>
        </w:rPr>
        <w:t>and</w:t>
      </w:r>
      <w:r w:rsidRPr="00F807D1">
        <w:rPr>
          <w:lang w:val="en-US"/>
        </w:rPr>
        <w:t>D</w:t>
      </w:r>
      <w:proofErr w:type="spellEnd"/>
      <w:r w:rsidRPr="00F807D1">
        <w:rPr>
          <w:lang w:val="en-US"/>
        </w:rPr>
        <w:t xml:space="preserve">, manufacturing, vigilance (post-market surveillance) and decision-making (MHRA, 2024). Therefore, AstraZeneca cannot think that AI in </w:t>
      </w:r>
      <w:proofErr w:type="spellStart"/>
      <w:r w:rsidRPr="00F807D1">
        <w:rPr>
          <w:lang w:val="en-US"/>
        </w:rPr>
        <w:t>R</w:t>
      </w:r>
      <w:r w:rsidR="001478CE" w:rsidRPr="00F807D1">
        <w:rPr>
          <w:lang w:val="en-US"/>
        </w:rPr>
        <w:t>and</w:t>
      </w:r>
      <w:r w:rsidRPr="00F807D1">
        <w:rPr>
          <w:lang w:val="en-US"/>
        </w:rPr>
        <w:t>D</w:t>
      </w:r>
      <w:proofErr w:type="spellEnd"/>
      <w:r w:rsidRPr="00F807D1">
        <w:rPr>
          <w:lang w:val="en-US"/>
        </w:rPr>
        <w:t xml:space="preserve"> is not in the regulatory spotlight simply because it is not "directly" patient-facing.</w:t>
      </w:r>
    </w:p>
    <w:p w14:paraId="6C76367A" w14:textId="7A939E12" w:rsidR="00E9702B" w:rsidRPr="00F807D1" w:rsidRDefault="00E9702B" w:rsidP="001478CE">
      <w:pPr>
        <w:pStyle w:val="Heading3"/>
        <w:rPr>
          <w:color w:val="auto"/>
        </w:rPr>
      </w:pPr>
      <w:bookmarkStart w:id="15" w:name="_Toc228150029"/>
      <w:r w:rsidRPr="00F807D1">
        <w:rPr>
          <w:color w:val="auto"/>
        </w:rPr>
        <w:t>EU regulatory approach</w:t>
      </w:r>
      <w:bookmarkEnd w:id="15"/>
    </w:p>
    <w:p w14:paraId="1FC20535" w14:textId="77777777" w:rsidR="0039756B" w:rsidRPr="00F807D1" w:rsidRDefault="0039756B" w:rsidP="0039756B">
      <w:pPr>
        <w:rPr>
          <w:lang w:val="en-US"/>
        </w:rPr>
      </w:pPr>
      <w:r w:rsidRPr="00F807D1">
        <w:rPr>
          <w:lang w:val="en-US"/>
        </w:rPr>
        <w:t xml:space="preserve">The EU Artificial Intelligence Act is more detailed. It has a risk-based approach and establishes requirements for high-risk AI systems such as governance, transparency, record-keeping, human oversight and risk </w:t>
      </w:r>
      <w:proofErr w:type="spellStart"/>
      <w:r w:rsidRPr="00F807D1">
        <w:rPr>
          <w:lang w:val="en-US"/>
        </w:rPr>
        <w:t>minimisation</w:t>
      </w:r>
      <w:proofErr w:type="spellEnd"/>
      <w:r w:rsidRPr="00F807D1">
        <w:rPr>
          <w:lang w:val="en-US"/>
        </w:rPr>
        <w:t xml:space="preserve"> (European Parliament, 2024). The EU approach is important for AstraZeneca because it operates in Europe and because the EU has a huge influence on policy. Bradford's Brussels Effect indicates that EU standards can become global if multinational corporations adopt them for efficiency and transparency (Bradford, 2020).</w:t>
      </w:r>
    </w:p>
    <w:p w14:paraId="714E88C2" w14:textId="7BD0B44E" w:rsidR="0039756B" w:rsidRPr="00F807D1" w:rsidRDefault="0039756B" w:rsidP="0039756B">
      <w:pPr>
        <w:rPr>
          <w:lang w:val="en-US"/>
        </w:rPr>
      </w:pPr>
      <w:r w:rsidRPr="00F807D1">
        <w:rPr>
          <w:lang w:val="en-US"/>
        </w:rPr>
        <w:t>The implication for AstraZeneca is that it should not create different systems for managing AI. It should use the EU standards as a high standard and adapt them</w:t>
      </w:r>
      <w:r w:rsidR="00994A4B" w:rsidRPr="00F807D1">
        <w:rPr>
          <w:lang w:val="en-US"/>
        </w:rPr>
        <w:t xml:space="preserve"> (OECD, 2024)</w:t>
      </w:r>
      <w:r w:rsidRPr="00F807D1">
        <w:rPr>
          <w:lang w:val="en-US"/>
        </w:rPr>
        <w:t>. This is especially true for the riskier AI applications such as medical decisions, personal data, hiring, safety monitoring or medical products.</w:t>
      </w:r>
    </w:p>
    <w:p w14:paraId="23D9365F" w14:textId="6D284E2D" w:rsidR="00E9702B" w:rsidRPr="00F807D1" w:rsidRDefault="00C9734B" w:rsidP="00C9734B">
      <w:pPr>
        <w:pStyle w:val="Caption"/>
        <w:rPr>
          <w:lang w:val="en-US"/>
        </w:rPr>
      </w:pPr>
      <w:r w:rsidRPr="00F807D1">
        <w:rPr>
          <w:b w:val="0"/>
          <w:bCs/>
          <w:lang w:val="en-US"/>
        </w:rPr>
        <w:t xml:space="preserve"> </w:t>
      </w:r>
      <w:r w:rsidRPr="00F807D1">
        <w:t xml:space="preserve">Table </w:t>
      </w:r>
      <w:r w:rsidRPr="00F807D1">
        <w:fldChar w:fldCharType="begin"/>
      </w:r>
      <w:r w:rsidRPr="00F807D1">
        <w:instrText xml:space="preserve"> SEQ Table \* ARABIC </w:instrText>
      </w:r>
      <w:r w:rsidRPr="00F807D1">
        <w:fldChar w:fldCharType="separate"/>
      </w:r>
      <w:r w:rsidR="004E31F6" w:rsidRPr="00F807D1">
        <w:t>4</w:t>
      </w:r>
      <w:r w:rsidRPr="00F807D1">
        <w:fldChar w:fldCharType="end"/>
      </w:r>
      <w:r w:rsidRPr="00F807D1">
        <w:t>: UK and EU AI regulatory comparison</w:t>
      </w:r>
      <w:r w:rsidR="001927AA" w:rsidRPr="00F807D1">
        <w:t xml:space="preserve"> </w:t>
      </w:r>
      <w:r w:rsidR="001927AA" w:rsidRPr="00F807D1">
        <w:rPr>
          <w:lang w:val="en-US"/>
        </w:rPr>
        <w:t>(European Parliament, 2024)</w:t>
      </w:r>
    </w:p>
    <w:tbl>
      <w:tblPr>
        <w:tblStyle w:val="PlainTable2"/>
        <w:tblW w:w="0" w:type="auto"/>
        <w:tblLook w:val="04A0" w:firstRow="1" w:lastRow="0" w:firstColumn="1" w:lastColumn="0" w:noHBand="0" w:noVBand="1"/>
      </w:tblPr>
      <w:tblGrid>
        <w:gridCol w:w="1693"/>
        <w:gridCol w:w="2643"/>
        <w:gridCol w:w="1848"/>
        <w:gridCol w:w="2842"/>
      </w:tblGrid>
      <w:tr w:rsidR="00E9702B" w:rsidRPr="00F807D1" w14:paraId="24CF19F0" w14:textId="77777777" w:rsidTr="00C973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079507" w14:textId="77777777" w:rsidR="00E9702B" w:rsidRPr="00F807D1" w:rsidRDefault="00E9702B" w:rsidP="00E9702B">
            <w:pPr>
              <w:rPr>
                <w:lang w:val="en-US"/>
              </w:rPr>
            </w:pPr>
            <w:r w:rsidRPr="00F807D1">
              <w:rPr>
                <w:lang w:val="en-US"/>
              </w:rPr>
              <w:t>Area</w:t>
            </w:r>
          </w:p>
        </w:tc>
        <w:tc>
          <w:tcPr>
            <w:tcW w:w="0" w:type="auto"/>
            <w:hideMark/>
          </w:tcPr>
          <w:p w14:paraId="40ED286D"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UK approach</w:t>
            </w:r>
          </w:p>
        </w:tc>
        <w:tc>
          <w:tcPr>
            <w:tcW w:w="0" w:type="auto"/>
            <w:hideMark/>
          </w:tcPr>
          <w:p w14:paraId="6534B33D"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EU approach</w:t>
            </w:r>
          </w:p>
        </w:tc>
        <w:tc>
          <w:tcPr>
            <w:tcW w:w="0" w:type="auto"/>
            <w:hideMark/>
          </w:tcPr>
          <w:p w14:paraId="31CD1C9A"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Implication for AstraZeneca</w:t>
            </w:r>
          </w:p>
        </w:tc>
      </w:tr>
      <w:tr w:rsidR="00E9702B" w:rsidRPr="00F807D1" w14:paraId="2870F5E7" w14:textId="77777777" w:rsidTr="00C973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22C56F" w14:textId="77777777" w:rsidR="00E9702B" w:rsidRPr="00F807D1" w:rsidRDefault="00E9702B" w:rsidP="00E9702B">
            <w:pPr>
              <w:rPr>
                <w:lang w:val="en-US"/>
              </w:rPr>
            </w:pPr>
            <w:r w:rsidRPr="00F807D1">
              <w:rPr>
                <w:lang w:val="en-US"/>
              </w:rPr>
              <w:t>Regulatory model</w:t>
            </w:r>
          </w:p>
        </w:tc>
        <w:tc>
          <w:tcPr>
            <w:tcW w:w="0" w:type="auto"/>
            <w:hideMark/>
          </w:tcPr>
          <w:p w14:paraId="28FD0479"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Principles-based and sector-led</w:t>
            </w:r>
          </w:p>
        </w:tc>
        <w:tc>
          <w:tcPr>
            <w:tcW w:w="0" w:type="auto"/>
            <w:hideMark/>
          </w:tcPr>
          <w:p w14:paraId="0DA164EF"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Binding legal framework</w:t>
            </w:r>
          </w:p>
        </w:tc>
        <w:tc>
          <w:tcPr>
            <w:tcW w:w="0" w:type="auto"/>
            <w:hideMark/>
          </w:tcPr>
          <w:p w14:paraId="03A9E98A" w14:textId="0B50C1E4"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Use EU standard as baseline</w:t>
            </w:r>
            <w:r w:rsidR="001927AA" w:rsidRPr="00F807D1">
              <w:rPr>
                <w:lang w:val="en-US"/>
              </w:rPr>
              <w:t xml:space="preserve"> (European Parliament, 2024).</w:t>
            </w:r>
          </w:p>
        </w:tc>
      </w:tr>
      <w:tr w:rsidR="00E9702B" w:rsidRPr="00F807D1" w14:paraId="57D03B29" w14:textId="77777777" w:rsidTr="00C9734B">
        <w:tc>
          <w:tcPr>
            <w:cnfStyle w:val="001000000000" w:firstRow="0" w:lastRow="0" w:firstColumn="1" w:lastColumn="0" w:oddVBand="0" w:evenVBand="0" w:oddHBand="0" w:evenHBand="0" w:firstRowFirstColumn="0" w:firstRowLastColumn="0" w:lastRowFirstColumn="0" w:lastRowLastColumn="0"/>
            <w:tcW w:w="0" w:type="auto"/>
            <w:hideMark/>
          </w:tcPr>
          <w:p w14:paraId="10965D30" w14:textId="77777777" w:rsidR="00E9702B" w:rsidRPr="00F807D1" w:rsidRDefault="00E9702B" w:rsidP="00E9702B">
            <w:pPr>
              <w:rPr>
                <w:lang w:val="en-US"/>
              </w:rPr>
            </w:pPr>
            <w:r w:rsidRPr="00F807D1">
              <w:rPr>
                <w:lang w:val="en-US"/>
              </w:rPr>
              <w:t>Enforcement</w:t>
            </w:r>
          </w:p>
        </w:tc>
        <w:tc>
          <w:tcPr>
            <w:tcW w:w="0" w:type="auto"/>
            <w:hideMark/>
          </w:tcPr>
          <w:p w14:paraId="7381ABBD"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Existing regulators</w:t>
            </w:r>
          </w:p>
        </w:tc>
        <w:tc>
          <w:tcPr>
            <w:tcW w:w="0" w:type="auto"/>
            <w:hideMark/>
          </w:tcPr>
          <w:p w14:paraId="50A65F6E"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Formal AI Act obligations</w:t>
            </w:r>
          </w:p>
        </w:tc>
        <w:tc>
          <w:tcPr>
            <w:tcW w:w="0" w:type="auto"/>
            <w:hideMark/>
          </w:tcPr>
          <w:p w14:paraId="19A7DCD9"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Prepare documentation and audits</w:t>
            </w:r>
          </w:p>
        </w:tc>
      </w:tr>
      <w:tr w:rsidR="00E9702B" w:rsidRPr="00F807D1" w14:paraId="02422C7B" w14:textId="77777777" w:rsidTr="00C973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7A74ED" w14:textId="77777777" w:rsidR="00E9702B" w:rsidRPr="00F807D1" w:rsidRDefault="00E9702B" w:rsidP="00E9702B">
            <w:pPr>
              <w:rPr>
                <w:lang w:val="en-US"/>
              </w:rPr>
            </w:pPr>
            <w:r w:rsidRPr="00F807D1">
              <w:rPr>
                <w:lang w:val="en-US"/>
              </w:rPr>
              <w:lastRenderedPageBreak/>
              <w:t>Innovation</w:t>
            </w:r>
          </w:p>
        </w:tc>
        <w:tc>
          <w:tcPr>
            <w:tcW w:w="0" w:type="auto"/>
            <w:hideMark/>
          </w:tcPr>
          <w:p w14:paraId="76E48A8D"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Flexible and pro-innovation</w:t>
            </w:r>
          </w:p>
        </w:tc>
        <w:tc>
          <w:tcPr>
            <w:tcW w:w="0" w:type="auto"/>
            <w:hideMark/>
          </w:tcPr>
          <w:p w14:paraId="38A436FD"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More compliance-heavy</w:t>
            </w:r>
          </w:p>
        </w:tc>
        <w:tc>
          <w:tcPr>
            <w:tcW w:w="0" w:type="auto"/>
            <w:hideMark/>
          </w:tcPr>
          <w:p w14:paraId="0EDE53D1"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Pilot in UK but scale with EU controls</w:t>
            </w:r>
          </w:p>
        </w:tc>
      </w:tr>
      <w:tr w:rsidR="00E9702B" w:rsidRPr="00F807D1" w14:paraId="6913F3B3" w14:textId="77777777" w:rsidTr="00C9734B">
        <w:tc>
          <w:tcPr>
            <w:cnfStyle w:val="001000000000" w:firstRow="0" w:lastRow="0" w:firstColumn="1" w:lastColumn="0" w:oddVBand="0" w:evenVBand="0" w:oddHBand="0" w:evenHBand="0" w:firstRowFirstColumn="0" w:firstRowLastColumn="0" w:lastRowFirstColumn="0" w:lastRowLastColumn="0"/>
            <w:tcW w:w="0" w:type="auto"/>
            <w:hideMark/>
          </w:tcPr>
          <w:p w14:paraId="3FB11CF6" w14:textId="77777777" w:rsidR="00E9702B" w:rsidRPr="00F807D1" w:rsidRDefault="00E9702B" w:rsidP="00E9702B">
            <w:pPr>
              <w:rPr>
                <w:lang w:val="en-US"/>
              </w:rPr>
            </w:pPr>
            <w:r w:rsidRPr="00F807D1">
              <w:rPr>
                <w:lang w:val="en-US"/>
              </w:rPr>
              <w:t>Data rights</w:t>
            </w:r>
          </w:p>
        </w:tc>
        <w:tc>
          <w:tcPr>
            <w:tcW w:w="0" w:type="auto"/>
            <w:hideMark/>
          </w:tcPr>
          <w:p w14:paraId="08B0DEA4" w14:textId="0BDBDDA9"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UK GDPR and ICO guidance</w:t>
            </w:r>
            <w:r w:rsidR="001927AA" w:rsidRPr="00F807D1">
              <w:rPr>
                <w:lang w:val="en-US"/>
              </w:rPr>
              <w:t xml:space="preserve"> (European Parliament, 2024).</w:t>
            </w:r>
          </w:p>
        </w:tc>
        <w:tc>
          <w:tcPr>
            <w:tcW w:w="0" w:type="auto"/>
            <w:hideMark/>
          </w:tcPr>
          <w:p w14:paraId="0459F8D2"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GDPR and AI Act combined</w:t>
            </w:r>
          </w:p>
        </w:tc>
        <w:tc>
          <w:tcPr>
            <w:tcW w:w="0" w:type="auto"/>
            <w:hideMark/>
          </w:tcPr>
          <w:p w14:paraId="0AAB4F75"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Integrate privacy and AI governance</w:t>
            </w:r>
          </w:p>
        </w:tc>
      </w:tr>
      <w:tr w:rsidR="00E9702B" w:rsidRPr="00F807D1" w14:paraId="4314FE7C" w14:textId="77777777" w:rsidTr="00C973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78FCB5" w14:textId="77777777" w:rsidR="00E9702B" w:rsidRPr="00F807D1" w:rsidRDefault="00E9702B" w:rsidP="00E9702B">
            <w:pPr>
              <w:rPr>
                <w:lang w:val="en-US"/>
              </w:rPr>
            </w:pPr>
            <w:r w:rsidRPr="00F807D1">
              <w:rPr>
                <w:lang w:val="en-US"/>
              </w:rPr>
              <w:t>Risk classification</w:t>
            </w:r>
          </w:p>
        </w:tc>
        <w:tc>
          <w:tcPr>
            <w:tcW w:w="0" w:type="auto"/>
            <w:hideMark/>
          </w:tcPr>
          <w:p w14:paraId="65838E0F"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 xml:space="preserve">Less </w:t>
            </w:r>
            <w:proofErr w:type="spellStart"/>
            <w:r w:rsidRPr="00F807D1">
              <w:rPr>
                <w:lang w:val="en-US"/>
              </w:rPr>
              <w:t>formalised</w:t>
            </w:r>
            <w:proofErr w:type="spellEnd"/>
          </w:p>
        </w:tc>
        <w:tc>
          <w:tcPr>
            <w:tcW w:w="0" w:type="auto"/>
            <w:hideMark/>
          </w:tcPr>
          <w:p w14:paraId="02EDBB48"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Formal risk tiers</w:t>
            </w:r>
          </w:p>
        </w:tc>
        <w:tc>
          <w:tcPr>
            <w:tcW w:w="0" w:type="auto"/>
            <w:hideMark/>
          </w:tcPr>
          <w:p w14:paraId="753666DC"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Create internal AI risk classification</w:t>
            </w:r>
          </w:p>
        </w:tc>
      </w:tr>
      <w:tr w:rsidR="00E9702B" w:rsidRPr="00F807D1" w14:paraId="4C35BE74" w14:textId="77777777" w:rsidTr="00C9734B">
        <w:tc>
          <w:tcPr>
            <w:cnfStyle w:val="001000000000" w:firstRow="0" w:lastRow="0" w:firstColumn="1" w:lastColumn="0" w:oddVBand="0" w:evenVBand="0" w:oddHBand="0" w:evenHBand="0" w:firstRowFirstColumn="0" w:firstRowLastColumn="0" w:lastRowFirstColumn="0" w:lastRowLastColumn="0"/>
            <w:tcW w:w="0" w:type="auto"/>
            <w:hideMark/>
          </w:tcPr>
          <w:p w14:paraId="1773AF7E" w14:textId="77777777" w:rsidR="00E9702B" w:rsidRPr="00F807D1" w:rsidRDefault="00E9702B" w:rsidP="00E9702B">
            <w:pPr>
              <w:rPr>
                <w:lang w:val="en-US"/>
              </w:rPr>
            </w:pPr>
            <w:r w:rsidRPr="00F807D1">
              <w:rPr>
                <w:lang w:val="en-US"/>
              </w:rPr>
              <w:t>Strategic risk</w:t>
            </w:r>
          </w:p>
        </w:tc>
        <w:tc>
          <w:tcPr>
            <w:tcW w:w="0" w:type="auto"/>
            <w:hideMark/>
          </w:tcPr>
          <w:p w14:paraId="4C204373"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Regulatory uncertainty</w:t>
            </w:r>
          </w:p>
        </w:tc>
        <w:tc>
          <w:tcPr>
            <w:tcW w:w="0" w:type="auto"/>
            <w:hideMark/>
          </w:tcPr>
          <w:p w14:paraId="0CC861FB"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Compliance burden</w:t>
            </w:r>
          </w:p>
        </w:tc>
        <w:tc>
          <w:tcPr>
            <w:tcW w:w="0" w:type="auto"/>
            <w:hideMark/>
          </w:tcPr>
          <w:p w14:paraId="7E638D6E"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Build adaptable governance</w:t>
            </w:r>
          </w:p>
        </w:tc>
      </w:tr>
    </w:tbl>
    <w:p w14:paraId="2133B1C8" w14:textId="77777777" w:rsidR="00C9734B" w:rsidRPr="00F807D1" w:rsidRDefault="00C9734B" w:rsidP="00E9702B">
      <w:pPr>
        <w:rPr>
          <w:b/>
          <w:bCs/>
          <w:lang w:val="en-US"/>
        </w:rPr>
      </w:pPr>
    </w:p>
    <w:p w14:paraId="44D84DF8" w14:textId="57F65BFC" w:rsidR="00E9702B" w:rsidRPr="00F807D1" w:rsidRDefault="00E9702B" w:rsidP="001478CE">
      <w:pPr>
        <w:pStyle w:val="Heading3"/>
        <w:rPr>
          <w:color w:val="auto"/>
        </w:rPr>
      </w:pPr>
      <w:bookmarkStart w:id="16" w:name="_Toc228150030"/>
      <w:r w:rsidRPr="00F807D1">
        <w:rPr>
          <w:color w:val="auto"/>
        </w:rPr>
        <w:t>Automated decision-making and explainability</w:t>
      </w:r>
      <w:bookmarkEnd w:id="16"/>
    </w:p>
    <w:p w14:paraId="3061DB72" w14:textId="77777777" w:rsidR="008C53A1" w:rsidRPr="00F807D1" w:rsidRDefault="008C53A1" w:rsidP="008C53A1">
      <w:pPr>
        <w:rPr>
          <w:lang w:val="en-US"/>
        </w:rPr>
      </w:pPr>
      <w:r w:rsidRPr="00F807D1">
        <w:rPr>
          <w:lang w:val="en-US"/>
        </w:rPr>
        <w:t>AstraZeneca will also need to consider privacy rights for automated decision-making. The ICO guidance sets out that there are rights in relation to only automated decisions with legal or other equally significant effects (ICO, 2023a). This applies to pharmaceuticals in relation to AI affecting patient enrolment, eligibility, access to service and recruitment.</w:t>
      </w:r>
    </w:p>
    <w:p w14:paraId="352C6826" w14:textId="33B5F292" w:rsidR="008C53A1" w:rsidRPr="00F807D1" w:rsidRDefault="008C53A1" w:rsidP="008C53A1">
      <w:pPr>
        <w:rPr>
          <w:lang w:val="en-US"/>
        </w:rPr>
      </w:pPr>
      <w:r w:rsidRPr="00F807D1">
        <w:rPr>
          <w:lang w:val="en-US"/>
        </w:rPr>
        <w:t>Wachter et al. (2017) highlight that the GDPR doesn't create a simple overarching "right to explanation", but does create transparency and accountability requirements. So, AstraZeneca shouldn't wait for uncertainty to become law. It should proactively embrace explainability for high-risk AI systems, particularly those affecting patients, staff or patient care</w:t>
      </w:r>
      <w:r w:rsidR="00F47380" w:rsidRPr="00F807D1">
        <w:rPr>
          <w:lang w:val="en-US"/>
        </w:rPr>
        <w:t xml:space="preserve"> (Mittelstadt et al., 2016)</w:t>
      </w:r>
      <w:r w:rsidRPr="00F807D1">
        <w:rPr>
          <w:lang w:val="en-US"/>
        </w:rPr>
        <w:t>.</w:t>
      </w:r>
    </w:p>
    <w:p w14:paraId="40D4C4A8" w14:textId="76AD00D5" w:rsidR="00E9702B" w:rsidRPr="00F807D1" w:rsidRDefault="00E9702B" w:rsidP="001478CE">
      <w:pPr>
        <w:pStyle w:val="Heading2"/>
        <w:rPr>
          <w:color w:val="auto"/>
        </w:rPr>
      </w:pPr>
      <w:bookmarkStart w:id="17" w:name="_Toc228150031"/>
      <w:r w:rsidRPr="00F807D1">
        <w:rPr>
          <w:color w:val="auto"/>
        </w:rPr>
        <w:t>Data Governance and Cross-Border Risk</w:t>
      </w:r>
      <w:bookmarkEnd w:id="17"/>
    </w:p>
    <w:p w14:paraId="3D892F68" w14:textId="631E6420" w:rsidR="00E9702B" w:rsidRPr="00F807D1" w:rsidRDefault="00E9702B" w:rsidP="001478CE">
      <w:pPr>
        <w:pStyle w:val="Heading3"/>
        <w:rPr>
          <w:color w:val="auto"/>
        </w:rPr>
      </w:pPr>
      <w:bookmarkStart w:id="18" w:name="_Toc228150032"/>
      <w:r w:rsidRPr="00F807D1">
        <w:rPr>
          <w:color w:val="auto"/>
        </w:rPr>
        <w:t>Patient data and scientific data quality</w:t>
      </w:r>
      <w:bookmarkEnd w:id="18"/>
    </w:p>
    <w:p w14:paraId="5F647F6D" w14:textId="77777777" w:rsidR="001C73C2" w:rsidRPr="00F807D1" w:rsidRDefault="001C73C2" w:rsidP="001C73C2">
      <w:pPr>
        <w:rPr>
          <w:lang w:val="en-US"/>
        </w:rPr>
      </w:pPr>
      <w:r w:rsidRPr="00F807D1">
        <w:rPr>
          <w:lang w:val="en-US"/>
        </w:rPr>
        <w:t>Data governance is critical to the AstraZeneca risk with AI because AI is only as good as the data it is trained, validated and monitored on. Pharmacological AI uses data from clinical trials, genetics, images, real-world evidence, safety and publications. These data sources are sensitive, complex and international. Bad data governance can result in biases, privacy breaches, regulatory failings and a lack of trust.</w:t>
      </w:r>
    </w:p>
    <w:p w14:paraId="2D7952BD" w14:textId="77777777" w:rsidR="001C73C2" w:rsidRPr="00F807D1" w:rsidRDefault="001C73C2" w:rsidP="001C73C2">
      <w:pPr>
        <w:rPr>
          <w:lang w:val="en-US"/>
        </w:rPr>
      </w:pPr>
      <w:r w:rsidRPr="00F807D1">
        <w:rPr>
          <w:lang w:val="en-US"/>
        </w:rPr>
        <w:lastRenderedPageBreak/>
        <w:t xml:space="preserve">Information ethics helps us understand data governance as going beyond compliance. </w:t>
      </w:r>
      <w:proofErr w:type="spellStart"/>
      <w:r w:rsidRPr="00F807D1">
        <w:rPr>
          <w:lang w:val="en-US"/>
        </w:rPr>
        <w:t>Floridi</w:t>
      </w:r>
      <w:proofErr w:type="spellEnd"/>
      <w:r w:rsidRPr="00F807D1">
        <w:rPr>
          <w:lang w:val="en-US"/>
        </w:rPr>
        <w:t xml:space="preserve"> (2021) proposes trustworthy AI requires policies to safeguard human dignity and informational environments. For AstraZeneca, this means managing data, not as a resource to be mined. It needs to be treated as sensitive data associated with autonomy, dignity and trust.</w:t>
      </w:r>
    </w:p>
    <w:p w14:paraId="410AAAEF" w14:textId="47ACFF5E" w:rsidR="00E9702B" w:rsidRPr="00F807D1" w:rsidRDefault="00E9702B" w:rsidP="001478CE">
      <w:pPr>
        <w:pStyle w:val="Heading3"/>
        <w:rPr>
          <w:color w:val="auto"/>
        </w:rPr>
      </w:pPr>
      <w:bookmarkStart w:id="19" w:name="_Toc228150033"/>
      <w:r w:rsidRPr="00F807D1">
        <w:rPr>
          <w:color w:val="auto"/>
        </w:rPr>
        <w:t>Data lineage, consent and cross-border transfers</w:t>
      </w:r>
      <w:bookmarkEnd w:id="19"/>
    </w:p>
    <w:p w14:paraId="4B1A95DA" w14:textId="0DD23B19" w:rsidR="00032193" w:rsidRPr="00F807D1" w:rsidRDefault="00032193" w:rsidP="00032193">
      <w:pPr>
        <w:rPr>
          <w:lang w:val="en-US"/>
        </w:rPr>
      </w:pPr>
      <w:r w:rsidRPr="00F807D1">
        <w:rPr>
          <w:lang w:val="en-US"/>
        </w:rPr>
        <w:t>Data lineage, or knowing where data has come from, been processed, what consent it is held under and which AI systems it is used in, should be of concern to AstraZeneca. This is particularly important if data is used to train AI</w:t>
      </w:r>
      <w:r w:rsidR="009A688D" w:rsidRPr="00F807D1">
        <w:rPr>
          <w:lang w:val="en-US"/>
        </w:rPr>
        <w:t xml:space="preserve"> (McKinsey </w:t>
      </w:r>
      <w:r w:rsidR="001478CE" w:rsidRPr="00F807D1">
        <w:rPr>
          <w:lang w:val="en-US"/>
        </w:rPr>
        <w:t>and</w:t>
      </w:r>
      <w:r w:rsidR="009A688D" w:rsidRPr="00F807D1">
        <w:rPr>
          <w:lang w:val="en-US"/>
        </w:rPr>
        <w:t xml:space="preserve"> Company, 2025)</w:t>
      </w:r>
      <w:r w:rsidRPr="00F807D1">
        <w:rPr>
          <w:lang w:val="en-US"/>
        </w:rPr>
        <w:t>. Historical data may not be representative of all groups and the consent may not specifically cover the use of AI.</w:t>
      </w:r>
    </w:p>
    <w:p w14:paraId="55F3A1C3" w14:textId="2C87E992" w:rsidR="00032193" w:rsidRPr="00F807D1" w:rsidRDefault="00032193" w:rsidP="00032193">
      <w:pPr>
        <w:rPr>
          <w:lang w:val="en-US"/>
        </w:rPr>
      </w:pPr>
      <w:r w:rsidRPr="00F807D1">
        <w:rPr>
          <w:lang w:val="en-US"/>
        </w:rPr>
        <w:t xml:space="preserve">Transfers of data are important. AstraZeneca is international, so data will be moving from the UK, the EU and the US to other parts of the world. This is legally and operationally complex as different jurisdictions have different data privacy, data </w:t>
      </w:r>
      <w:proofErr w:type="spellStart"/>
      <w:r w:rsidRPr="00F807D1">
        <w:rPr>
          <w:lang w:val="en-US"/>
        </w:rPr>
        <w:t>localisation</w:t>
      </w:r>
      <w:proofErr w:type="spellEnd"/>
      <w:r w:rsidRPr="00F807D1">
        <w:rPr>
          <w:lang w:val="en-US"/>
        </w:rPr>
        <w:t xml:space="preserve"> and health-data laws. Institutional theory explains why AstraZeneca is likely to experience an increase in pressure to adopt regulator, professional and other </w:t>
      </w:r>
      <w:proofErr w:type="spellStart"/>
      <w:r w:rsidRPr="00F807D1">
        <w:rPr>
          <w:lang w:val="en-US"/>
        </w:rPr>
        <w:t>organisation</w:t>
      </w:r>
      <w:proofErr w:type="spellEnd"/>
      <w:r w:rsidRPr="00F807D1">
        <w:rPr>
          <w:lang w:val="en-US"/>
        </w:rPr>
        <w:t xml:space="preserve"> standards (DiMaggio and Powell, 1983). For example, safe and ethical AI governance will become "de rigueur" in pharmaceutical practice</w:t>
      </w:r>
      <w:r w:rsidR="00BE1DA3" w:rsidRPr="00F807D1">
        <w:rPr>
          <w:lang w:val="en-US"/>
        </w:rPr>
        <w:t xml:space="preserve"> (Kumar, 2025)</w:t>
      </w:r>
      <w:r w:rsidRPr="00F807D1">
        <w:rPr>
          <w:lang w:val="en-US"/>
        </w:rPr>
        <w:t>.</w:t>
      </w:r>
    </w:p>
    <w:p w14:paraId="7BB8D030" w14:textId="59AF23B5" w:rsidR="00032193" w:rsidRPr="00F807D1" w:rsidRDefault="00032193" w:rsidP="00032193">
      <w:pPr>
        <w:rPr>
          <w:lang w:val="en-US"/>
        </w:rPr>
      </w:pPr>
      <w:r w:rsidRPr="00F807D1">
        <w:rPr>
          <w:noProof/>
          <w:lang w:val="en-US"/>
        </w:rPr>
        <w:drawing>
          <wp:inline distT="0" distB="0" distL="0" distR="0" wp14:anchorId="33532605" wp14:editId="0F9C62EB">
            <wp:extent cx="5849530" cy="2924765"/>
            <wp:effectExtent l="19050" t="19050" r="18415" b="28575"/>
            <wp:docPr id="6174831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67220" cy="2933610"/>
                    </a:xfrm>
                    <a:prstGeom prst="rect">
                      <a:avLst/>
                    </a:prstGeom>
                    <a:noFill/>
                    <a:ln>
                      <a:solidFill>
                        <a:schemeClr val="accent1">
                          <a:lumMod val="40000"/>
                          <a:lumOff val="60000"/>
                        </a:schemeClr>
                      </a:solidFill>
                    </a:ln>
                  </pic:spPr>
                </pic:pic>
              </a:graphicData>
            </a:graphic>
          </wp:inline>
        </w:drawing>
      </w:r>
    </w:p>
    <w:p w14:paraId="545746AE" w14:textId="7F34B846" w:rsidR="003C50A3" w:rsidRPr="00F807D1" w:rsidRDefault="003C50A3" w:rsidP="003C50A3">
      <w:pPr>
        <w:pStyle w:val="Caption"/>
        <w:rPr>
          <w:lang w:val="en-US"/>
        </w:rPr>
      </w:pPr>
      <w:r w:rsidRPr="00F807D1">
        <w:t xml:space="preserve">Figure </w:t>
      </w:r>
      <w:r w:rsidRPr="00F807D1">
        <w:fldChar w:fldCharType="begin"/>
      </w:r>
      <w:r w:rsidRPr="00F807D1">
        <w:instrText xml:space="preserve"> SEQ Figure \* ARABIC </w:instrText>
      </w:r>
      <w:r w:rsidRPr="00F807D1">
        <w:fldChar w:fldCharType="separate"/>
      </w:r>
      <w:r w:rsidR="00DD0F0C" w:rsidRPr="00F807D1">
        <w:t>2</w:t>
      </w:r>
      <w:r w:rsidRPr="00F807D1">
        <w:fldChar w:fldCharType="end"/>
      </w:r>
      <w:r w:rsidRPr="00F807D1">
        <w:t>: AstraZeneca AI data governance flow</w:t>
      </w:r>
      <w:r w:rsidR="00032193" w:rsidRPr="00F807D1">
        <w:t xml:space="preserve"> (Author)</w:t>
      </w:r>
    </w:p>
    <w:p w14:paraId="56F06EFA" w14:textId="4B082331" w:rsidR="00E9702B" w:rsidRPr="00F807D1" w:rsidRDefault="00E9702B" w:rsidP="001478CE">
      <w:pPr>
        <w:pStyle w:val="Heading2"/>
        <w:rPr>
          <w:color w:val="auto"/>
        </w:rPr>
      </w:pPr>
      <w:bookmarkStart w:id="20" w:name="_Toc228150034"/>
      <w:r w:rsidRPr="00F807D1">
        <w:rPr>
          <w:color w:val="auto"/>
        </w:rPr>
        <w:lastRenderedPageBreak/>
        <w:t>Ethical AI, Bias and Accountability</w:t>
      </w:r>
      <w:bookmarkEnd w:id="20"/>
    </w:p>
    <w:p w14:paraId="60DE4CE0" w14:textId="123AFC93" w:rsidR="00E9702B" w:rsidRPr="00F807D1" w:rsidRDefault="00E9702B" w:rsidP="001478CE">
      <w:pPr>
        <w:pStyle w:val="Heading3"/>
        <w:rPr>
          <w:color w:val="auto"/>
        </w:rPr>
      </w:pPr>
      <w:bookmarkStart w:id="21" w:name="_Toc228150035"/>
      <w:r w:rsidRPr="00F807D1">
        <w:rPr>
          <w:color w:val="auto"/>
        </w:rPr>
        <w:t>Ethical AI in healthcare and pharmaceuticals</w:t>
      </w:r>
      <w:bookmarkEnd w:id="21"/>
    </w:p>
    <w:p w14:paraId="6A1C3FEE" w14:textId="77777777" w:rsidR="00474AAF" w:rsidRPr="00F807D1" w:rsidRDefault="00474AAF" w:rsidP="00474AAF">
      <w:pPr>
        <w:rPr>
          <w:lang w:val="en-US"/>
        </w:rPr>
      </w:pPr>
      <w:r w:rsidRPr="00F807D1">
        <w:rPr>
          <w:lang w:val="en-US"/>
        </w:rPr>
        <w:t>AstraZeneca's decision-making affects patients, doctors and communities, so AI ethics matter. Human rights, fairness, transparency, accountability and human oversight are part of UNESCO's Recommendation on the Ethics of Artificial Intelligence (UNESCO, 2021). They are relevant to AstraZeneca's use of AI, as it could be used to inform decisions about research priorities, patient inclusion in clinical trials, candidate safety and drug access.</w:t>
      </w:r>
    </w:p>
    <w:p w14:paraId="58CD6D4B" w14:textId="77777777" w:rsidR="00474AAF" w:rsidRPr="00F807D1" w:rsidRDefault="00474AAF" w:rsidP="00474AAF">
      <w:pPr>
        <w:rPr>
          <w:lang w:val="en-US"/>
        </w:rPr>
      </w:pPr>
      <w:r w:rsidRPr="00F807D1">
        <w:rPr>
          <w:lang w:val="en-US"/>
        </w:rPr>
        <w:t xml:space="preserve">Jobin et al. (2019) note AI ethics guidelines usually include transparency, justice, non-maleficence, responsibility and privacy principles. Guidelines are important but must be </w:t>
      </w:r>
      <w:proofErr w:type="spellStart"/>
      <w:r w:rsidRPr="00F807D1">
        <w:rPr>
          <w:lang w:val="en-US"/>
        </w:rPr>
        <w:t>operationalised</w:t>
      </w:r>
      <w:proofErr w:type="spellEnd"/>
      <w:r w:rsidRPr="00F807D1">
        <w:rPr>
          <w:lang w:val="en-US"/>
        </w:rPr>
        <w:t>. So, AstraZeneca needs processes like ethics review, model audit, risk register, escalation and board reporting.</w:t>
      </w:r>
    </w:p>
    <w:p w14:paraId="58EC1A05" w14:textId="292ECFB7" w:rsidR="00474AAF" w:rsidRPr="00F807D1" w:rsidRDefault="00462D55" w:rsidP="00474AAF">
      <w:pPr>
        <w:jc w:val="center"/>
        <w:rPr>
          <w:lang w:val="en-US"/>
        </w:rPr>
      </w:pPr>
      <w:r w:rsidRPr="00F807D1">
        <w:rPr>
          <w:noProof/>
          <w:lang w:val="en-US"/>
        </w:rPr>
        <w:drawing>
          <wp:inline distT="0" distB="0" distL="0" distR="0" wp14:anchorId="03E36F0F" wp14:editId="00F234E0">
            <wp:extent cx="5731510" cy="3971290"/>
            <wp:effectExtent l="19050" t="19050" r="21590" b="10160"/>
            <wp:docPr id="586978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978467" name=""/>
                    <pic:cNvPicPr/>
                  </pic:nvPicPr>
                  <pic:blipFill>
                    <a:blip r:embed="rId11"/>
                    <a:stretch>
                      <a:fillRect/>
                    </a:stretch>
                  </pic:blipFill>
                  <pic:spPr>
                    <a:xfrm>
                      <a:off x="0" y="0"/>
                      <a:ext cx="5731510" cy="3971290"/>
                    </a:xfrm>
                    <a:prstGeom prst="rect">
                      <a:avLst/>
                    </a:prstGeom>
                    <a:ln>
                      <a:solidFill>
                        <a:schemeClr val="accent1">
                          <a:lumMod val="40000"/>
                          <a:lumOff val="60000"/>
                        </a:schemeClr>
                      </a:solidFill>
                    </a:ln>
                  </pic:spPr>
                </pic:pic>
              </a:graphicData>
            </a:graphic>
          </wp:inline>
        </w:drawing>
      </w:r>
    </w:p>
    <w:p w14:paraId="6DC27D29" w14:textId="424EFA58" w:rsidR="002D693C" w:rsidRPr="00F807D1" w:rsidRDefault="002D693C" w:rsidP="002D693C">
      <w:pPr>
        <w:pStyle w:val="Caption"/>
        <w:rPr>
          <w:lang w:val="en-US"/>
        </w:rPr>
      </w:pPr>
      <w:r w:rsidRPr="00F807D1">
        <w:t xml:space="preserve">Figure </w:t>
      </w:r>
      <w:r w:rsidRPr="00F807D1">
        <w:fldChar w:fldCharType="begin"/>
      </w:r>
      <w:r w:rsidRPr="00F807D1">
        <w:instrText xml:space="preserve"> SEQ Figure \* ARABIC </w:instrText>
      </w:r>
      <w:r w:rsidRPr="00F807D1">
        <w:fldChar w:fldCharType="separate"/>
      </w:r>
      <w:r w:rsidR="00DD0F0C" w:rsidRPr="00F807D1">
        <w:t>3</w:t>
      </w:r>
      <w:r w:rsidRPr="00F807D1">
        <w:fldChar w:fldCharType="end"/>
      </w:r>
      <w:r w:rsidRPr="00F807D1">
        <w:t>: Ethical AI control cycle</w:t>
      </w:r>
      <w:r w:rsidR="00462D55" w:rsidRPr="00F807D1">
        <w:t xml:space="preserve"> (Author)</w:t>
      </w:r>
    </w:p>
    <w:p w14:paraId="1CC1A5BC" w14:textId="3DE624EB" w:rsidR="00E9702B" w:rsidRPr="00F807D1" w:rsidRDefault="00E9702B" w:rsidP="001478CE">
      <w:pPr>
        <w:pStyle w:val="Heading3"/>
        <w:rPr>
          <w:color w:val="auto"/>
        </w:rPr>
      </w:pPr>
      <w:bookmarkStart w:id="22" w:name="_Toc228150036"/>
      <w:r w:rsidRPr="00F807D1">
        <w:rPr>
          <w:color w:val="auto"/>
        </w:rPr>
        <w:t>Bias and clinical fairness</w:t>
      </w:r>
      <w:bookmarkEnd w:id="22"/>
    </w:p>
    <w:p w14:paraId="747AD0DF" w14:textId="77777777" w:rsidR="000157D1" w:rsidRPr="00F807D1" w:rsidRDefault="000157D1" w:rsidP="000157D1">
      <w:pPr>
        <w:rPr>
          <w:lang w:val="en-US"/>
        </w:rPr>
      </w:pPr>
      <w:r w:rsidRPr="00F807D1">
        <w:rPr>
          <w:lang w:val="en-US"/>
        </w:rPr>
        <w:t xml:space="preserve">Bias is a major concern for ethical AI in health care. For example, Obermeyer et al. (2019) showed that the algorithm used by many health care systems under-estimated the needs of </w:t>
      </w:r>
      <w:r w:rsidRPr="00F807D1">
        <w:rPr>
          <w:lang w:val="en-US"/>
        </w:rPr>
        <w:lastRenderedPageBreak/>
        <w:t xml:space="preserve">African-Americans because the algorithm used health care costs as an indicator of health care need. This is important for AstraZeneca because it illustrates how seemingly objective data can create and reinforce discrimination. Biased data can reduce the </w:t>
      </w:r>
      <w:proofErr w:type="spellStart"/>
      <w:r w:rsidRPr="00F807D1">
        <w:rPr>
          <w:lang w:val="en-US"/>
        </w:rPr>
        <w:t>generalisability</w:t>
      </w:r>
      <w:proofErr w:type="spellEnd"/>
      <w:r w:rsidRPr="00F807D1">
        <w:rPr>
          <w:lang w:val="en-US"/>
        </w:rPr>
        <w:t xml:space="preserve"> of clinical trial outcomes for underrepresented populations, affect the validity of clinical trials and undermine trust.</w:t>
      </w:r>
    </w:p>
    <w:p w14:paraId="26ABE530" w14:textId="77777777" w:rsidR="000157D1" w:rsidRPr="00F807D1" w:rsidRDefault="000157D1" w:rsidP="000157D1">
      <w:pPr>
        <w:rPr>
          <w:lang w:val="en-US"/>
        </w:rPr>
      </w:pPr>
      <w:r w:rsidRPr="00F807D1">
        <w:rPr>
          <w:lang w:val="en-US"/>
        </w:rPr>
        <w:t xml:space="preserve">AstraZeneca should therefore ensure its AI models for recruiting patients, stratifying patients, monitoring safety or modelling disease are tested for fairness. This doesn't mean that models should perform equally across groups. It means they should </w:t>
      </w:r>
      <w:proofErr w:type="spellStart"/>
      <w:r w:rsidRPr="00F807D1">
        <w:rPr>
          <w:lang w:val="en-US"/>
        </w:rPr>
        <w:t>recognise</w:t>
      </w:r>
      <w:proofErr w:type="spellEnd"/>
      <w:r w:rsidRPr="00F807D1">
        <w:rPr>
          <w:lang w:val="en-US"/>
        </w:rPr>
        <w:t>, explain and justify the differences and act on the differences if they represent unfair data or biases.</w:t>
      </w:r>
    </w:p>
    <w:p w14:paraId="04788B93" w14:textId="7D747123" w:rsidR="00E9702B" w:rsidRPr="00F807D1" w:rsidRDefault="00E9702B" w:rsidP="001478CE">
      <w:pPr>
        <w:pStyle w:val="Heading3"/>
        <w:rPr>
          <w:color w:val="auto"/>
        </w:rPr>
      </w:pPr>
      <w:bookmarkStart w:id="23" w:name="_Toc228150037"/>
      <w:r w:rsidRPr="00F807D1">
        <w:rPr>
          <w:color w:val="auto"/>
        </w:rPr>
        <w:t>Accountability and algorithmic auditing</w:t>
      </w:r>
      <w:bookmarkEnd w:id="23"/>
    </w:p>
    <w:p w14:paraId="37E336A1" w14:textId="77777777" w:rsidR="00535EFE" w:rsidRPr="00F807D1" w:rsidRDefault="00535EFE" w:rsidP="00535EFE">
      <w:pPr>
        <w:rPr>
          <w:lang w:val="en-US"/>
        </w:rPr>
      </w:pPr>
      <w:r w:rsidRPr="00F807D1">
        <w:rPr>
          <w:lang w:val="en-US"/>
        </w:rPr>
        <w:t>Raji et al. (2020) propose internal algorithm audits can address the accountability gap in AI through a review mechanism for the lifecycle of the algorithm. This is particularly relevant to AstraZeneca as AI accountability should not be retrospective. It needs to begin at project initiation and involve algorithm development, validation, deployment and monitoring.</w:t>
      </w:r>
    </w:p>
    <w:p w14:paraId="22B39A0E" w14:textId="77E5E2C1" w:rsidR="00535EFE" w:rsidRPr="00F807D1" w:rsidRDefault="00535EFE" w:rsidP="00535EFE">
      <w:pPr>
        <w:rPr>
          <w:lang w:val="en-US"/>
        </w:rPr>
      </w:pPr>
      <w:proofErr w:type="spellStart"/>
      <w:r w:rsidRPr="00F807D1">
        <w:rPr>
          <w:lang w:val="en-US"/>
        </w:rPr>
        <w:t>Mökander</w:t>
      </w:r>
      <w:proofErr w:type="spellEnd"/>
      <w:r w:rsidRPr="00F807D1">
        <w:rPr>
          <w:lang w:val="en-US"/>
        </w:rPr>
        <w:t xml:space="preserve"> et al. (2022) identify corporate governance risks for AI in biopharmaceuticals such as unclear ownership and accountability and difficulties implementing ethical principles. To mitigate these risks AstraZeneca should establish roles and responsibilities for people such as a Chief Data and AI Officer, legal and compliance leads, </w:t>
      </w:r>
      <w:proofErr w:type="spellStart"/>
      <w:r w:rsidRPr="00F807D1">
        <w:rPr>
          <w:lang w:val="en-US"/>
        </w:rPr>
        <w:t>R</w:t>
      </w:r>
      <w:r w:rsidR="001478CE" w:rsidRPr="00F807D1">
        <w:rPr>
          <w:lang w:val="en-US"/>
        </w:rPr>
        <w:t>and</w:t>
      </w:r>
      <w:r w:rsidRPr="00F807D1">
        <w:rPr>
          <w:lang w:val="en-US"/>
        </w:rPr>
        <w:t>D</w:t>
      </w:r>
      <w:proofErr w:type="spellEnd"/>
      <w:r w:rsidRPr="00F807D1">
        <w:rPr>
          <w:lang w:val="en-US"/>
        </w:rPr>
        <w:t xml:space="preserve"> model owners and a board level governance committee.</w:t>
      </w:r>
    </w:p>
    <w:p w14:paraId="3DE178A8" w14:textId="2F6BE522" w:rsidR="00E9702B" w:rsidRPr="00F807D1" w:rsidRDefault="003C50A3" w:rsidP="003C50A3">
      <w:pPr>
        <w:pStyle w:val="Caption"/>
        <w:rPr>
          <w:lang w:val="en-US"/>
        </w:rPr>
      </w:pPr>
      <w:r w:rsidRPr="00F807D1">
        <w:rPr>
          <w:b w:val="0"/>
          <w:bCs/>
          <w:lang w:val="en-US"/>
        </w:rPr>
        <w:t xml:space="preserve"> </w:t>
      </w:r>
      <w:r w:rsidRPr="00F807D1">
        <w:t xml:space="preserve">Table </w:t>
      </w:r>
      <w:r w:rsidRPr="00F807D1">
        <w:fldChar w:fldCharType="begin"/>
      </w:r>
      <w:r w:rsidRPr="00F807D1">
        <w:instrText xml:space="preserve"> SEQ Table \* ARABIC </w:instrText>
      </w:r>
      <w:r w:rsidRPr="00F807D1">
        <w:fldChar w:fldCharType="separate"/>
      </w:r>
      <w:r w:rsidR="004E31F6" w:rsidRPr="00F807D1">
        <w:t>5</w:t>
      </w:r>
      <w:r w:rsidRPr="00F807D1">
        <w:fldChar w:fldCharType="end"/>
      </w:r>
      <w:r w:rsidRPr="00F807D1">
        <w:t>: Ethical AI risks and governance responses</w:t>
      </w:r>
      <w:r w:rsidR="008E6BB7" w:rsidRPr="00F807D1">
        <w:t xml:space="preserve"> (Mökander et al., 2024)</w:t>
      </w:r>
    </w:p>
    <w:tbl>
      <w:tblPr>
        <w:tblStyle w:val="PlainTable2"/>
        <w:tblW w:w="0" w:type="auto"/>
        <w:tblLook w:val="04A0" w:firstRow="1" w:lastRow="0" w:firstColumn="1" w:lastColumn="0" w:noHBand="0" w:noVBand="1"/>
      </w:tblPr>
      <w:tblGrid>
        <w:gridCol w:w="1968"/>
        <w:gridCol w:w="3263"/>
        <w:gridCol w:w="3795"/>
      </w:tblGrid>
      <w:tr w:rsidR="00E9702B" w:rsidRPr="00F807D1" w14:paraId="4C016CAF" w14:textId="77777777" w:rsidTr="003C50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DE8CAB" w14:textId="77777777" w:rsidR="00E9702B" w:rsidRPr="00F807D1" w:rsidRDefault="00E9702B" w:rsidP="00E9702B">
            <w:pPr>
              <w:rPr>
                <w:lang w:val="en-US"/>
              </w:rPr>
            </w:pPr>
            <w:r w:rsidRPr="00F807D1">
              <w:rPr>
                <w:lang w:val="en-US"/>
              </w:rPr>
              <w:t>Ethical issue</w:t>
            </w:r>
          </w:p>
        </w:tc>
        <w:tc>
          <w:tcPr>
            <w:tcW w:w="0" w:type="auto"/>
            <w:hideMark/>
          </w:tcPr>
          <w:p w14:paraId="2DC7221C"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AstraZeneca risk</w:t>
            </w:r>
          </w:p>
        </w:tc>
        <w:tc>
          <w:tcPr>
            <w:tcW w:w="0" w:type="auto"/>
            <w:hideMark/>
          </w:tcPr>
          <w:p w14:paraId="4B746988"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Governance response</w:t>
            </w:r>
          </w:p>
        </w:tc>
      </w:tr>
      <w:tr w:rsidR="00E9702B" w:rsidRPr="00F807D1" w14:paraId="16DBC242" w14:textId="77777777" w:rsidTr="003C50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B34D17" w14:textId="77777777" w:rsidR="00E9702B" w:rsidRPr="00F807D1" w:rsidRDefault="00E9702B" w:rsidP="00E9702B">
            <w:pPr>
              <w:rPr>
                <w:lang w:val="en-US"/>
              </w:rPr>
            </w:pPr>
            <w:r w:rsidRPr="00F807D1">
              <w:rPr>
                <w:lang w:val="en-US"/>
              </w:rPr>
              <w:t>Bias</w:t>
            </w:r>
          </w:p>
        </w:tc>
        <w:tc>
          <w:tcPr>
            <w:tcW w:w="0" w:type="auto"/>
            <w:hideMark/>
          </w:tcPr>
          <w:p w14:paraId="12A14B31"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Underrepresentation in clinical evidence</w:t>
            </w:r>
          </w:p>
        </w:tc>
        <w:tc>
          <w:tcPr>
            <w:tcW w:w="0" w:type="auto"/>
            <w:hideMark/>
          </w:tcPr>
          <w:p w14:paraId="50CE5690"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Fairness testing and diverse datasets</w:t>
            </w:r>
          </w:p>
        </w:tc>
      </w:tr>
      <w:tr w:rsidR="00E9702B" w:rsidRPr="00F807D1" w14:paraId="0FA7B965" w14:textId="77777777" w:rsidTr="003C50A3">
        <w:tc>
          <w:tcPr>
            <w:cnfStyle w:val="001000000000" w:firstRow="0" w:lastRow="0" w:firstColumn="1" w:lastColumn="0" w:oddVBand="0" w:evenVBand="0" w:oddHBand="0" w:evenHBand="0" w:firstRowFirstColumn="0" w:firstRowLastColumn="0" w:lastRowFirstColumn="0" w:lastRowLastColumn="0"/>
            <w:tcW w:w="0" w:type="auto"/>
            <w:hideMark/>
          </w:tcPr>
          <w:p w14:paraId="07B81FB1" w14:textId="77777777" w:rsidR="00E9702B" w:rsidRPr="00F807D1" w:rsidRDefault="00E9702B" w:rsidP="00E9702B">
            <w:pPr>
              <w:rPr>
                <w:lang w:val="en-US"/>
              </w:rPr>
            </w:pPr>
            <w:r w:rsidRPr="00F807D1">
              <w:rPr>
                <w:lang w:val="en-US"/>
              </w:rPr>
              <w:t>Opacity</w:t>
            </w:r>
          </w:p>
        </w:tc>
        <w:tc>
          <w:tcPr>
            <w:tcW w:w="0" w:type="auto"/>
            <w:hideMark/>
          </w:tcPr>
          <w:p w14:paraId="3DA4883E"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Regulators cannot assess model logic</w:t>
            </w:r>
          </w:p>
        </w:tc>
        <w:tc>
          <w:tcPr>
            <w:tcW w:w="0" w:type="auto"/>
            <w:hideMark/>
          </w:tcPr>
          <w:p w14:paraId="6C0B7C2D" w14:textId="043FB386"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Explainability documentation</w:t>
            </w:r>
            <w:r w:rsidR="008E6BB7" w:rsidRPr="00F807D1">
              <w:rPr>
                <w:lang w:val="en-US"/>
              </w:rPr>
              <w:t xml:space="preserve"> </w:t>
            </w:r>
            <w:r w:rsidR="008E6BB7" w:rsidRPr="00F807D1">
              <w:t>(</w:t>
            </w:r>
            <w:proofErr w:type="spellStart"/>
            <w:r w:rsidR="008E6BB7" w:rsidRPr="00F807D1">
              <w:t>Mökander</w:t>
            </w:r>
            <w:proofErr w:type="spellEnd"/>
            <w:r w:rsidR="008E6BB7" w:rsidRPr="00F807D1">
              <w:t xml:space="preserve"> et al., 2024).</w:t>
            </w:r>
          </w:p>
        </w:tc>
      </w:tr>
      <w:tr w:rsidR="00E9702B" w:rsidRPr="00F807D1" w14:paraId="53A75FB7" w14:textId="77777777" w:rsidTr="003C50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8012A9" w14:textId="77777777" w:rsidR="00E9702B" w:rsidRPr="00F807D1" w:rsidRDefault="00E9702B" w:rsidP="00E9702B">
            <w:pPr>
              <w:rPr>
                <w:lang w:val="en-US"/>
              </w:rPr>
            </w:pPr>
            <w:r w:rsidRPr="00F807D1">
              <w:rPr>
                <w:lang w:val="en-US"/>
              </w:rPr>
              <w:t>Automation bias</w:t>
            </w:r>
          </w:p>
        </w:tc>
        <w:tc>
          <w:tcPr>
            <w:tcW w:w="0" w:type="auto"/>
            <w:hideMark/>
          </w:tcPr>
          <w:p w14:paraId="3C58B55C"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Staff over-trust AI outputs</w:t>
            </w:r>
          </w:p>
        </w:tc>
        <w:tc>
          <w:tcPr>
            <w:tcW w:w="0" w:type="auto"/>
            <w:hideMark/>
          </w:tcPr>
          <w:p w14:paraId="32326DB4"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Human-in-the-loop review</w:t>
            </w:r>
          </w:p>
        </w:tc>
      </w:tr>
      <w:tr w:rsidR="00E9702B" w:rsidRPr="00F807D1" w14:paraId="2282E93F" w14:textId="77777777" w:rsidTr="003C50A3">
        <w:tc>
          <w:tcPr>
            <w:cnfStyle w:val="001000000000" w:firstRow="0" w:lastRow="0" w:firstColumn="1" w:lastColumn="0" w:oddVBand="0" w:evenVBand="0" w:oddHBand="0" w:evenHBand="0" w:firstRowFirstColumn="0" w:firstRowLastColumn="0" w:lastRowFirstColumn="0" w:lastRowLastColumn="0"/>
            <w:tcW w:w="0" w:type="auto"/>
            <w:hideMark/>
          </w:tcPr>
          <w:p w14:paraId="570FDAB4" w14:textId="77777777" w:rsidR="00E9702B" w:rsidRPr="00F807D1" w:rsidRDefault="00E9702B" w:rsidP="00E9702B">
            <w:pPr>
              <w:rPr>
                <w:lang w:val="en-US"/>
              </w:rPr>
            </w:pPr>
            <w:r w:rsidRPr="00F807D1">
              <w:rPr>
                <w:lang w:val="en-US"/>
              </w:rPr>
              <w:t>Accountability gap</w:t>
            </w:r>
          </w:p>
        </w:tc>
        <w:tc>
          <w:tcPr>
            <w:tcW w:w="0" w:type="auto"/>
            <w:hideMark/>
          </w:tcPr>
          <w:p w14:paraId="16460276"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No clear owner for AI harm</w:t>
            </w:r>
          </w:p>
        </w:tc>
        <w:tc>
          <w:tcPr>
            <w:tcW w:w="0" w:type="auto"/>
            <w:hideMark/>
          </w:tcPr>
          <w:p w14:paraId="16D91EE5"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Named model owner and escalation route</w:t>
            </w:r>
          </w:p>
        </w:tc>
      </w:tr>
      <w:tr w:rsidR="00E9702B" w:rsidRPr="00F807D1" w14:paraId="2E90B54B" w14:textId="77777777" w:rsidTr="003C50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3AD641" w14:textId="77777777" w:rsidR="00E9702B" w:rsidRPr="00F807D1" w:rsidRDefault="00E9702B" w:rsidP="00E9702B">
            <w:pPr>
              <w:rPr>
                <w:lang w:val="en-US"/>
              </w:rPr>
            </w:pPr>
            <w:r w:rsidRPr="00F807D1">
              <w:rPr>
                <w:lang w:val="en-US"/>
              </w:rPr>
              <w:lastRenderedPageBreak/>
              <w:t>Privacy harm</w:t>
            </w:r>
          </w:p>
        </w:tc>
        <w:tc>
          <w:tcPr>
            <w:tcW w:w="0" w:type="auto"/>
            <w:hideMark/>
          </w:tcPr>
          <w:p w14:paraId="533A3036"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Misuse of patient data</w:t>
            </w:r>
          </w:p>
        </w:tc>
        <w:tc>
          <w:tcPr>
            <w:tcW w:w="0" w:type="auto"/>
            <w:hideMark/>
          </w:tcPr>
          <w:p w14:paraId="7A587516"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Data ethics review</w:t>
            </w:r>
          </w:p>
        </w:tc>
      </w:tr>
      <w:tr w:rsidR="00E9702B" w:rsidRPr="00F807D1" w14:paraId="13EE9F6D" w14:textId="77777777" w:rsidTr="003C50A3">
        <w:tc>
          <w:tcPr>
            <w:cnfStyle w:val="001000000000" w:firstRow="0" w:lastRow="0" w:firstColumn="1" w:lastColumn="0" w:oddVBand="0" w:evenVBand="0" w:oddHBand="0" w:evenHBand="0" w:firstRowFirstColumn="0" w:firstRowLastColumn="0" w:lastRowFirstColumn="0" w:lastRowLastColumn="0"/>
            <w:tcW w:w="0" w:type="auto"/>
            <w:hideMark/>
          </w:tcPr>
          <w:p w14:paraId="0087D218" w14:textId="77777777" w:rsidR="00E9702B" w:rsidRPr="00F807D1" w:rsidRDefault="00E9702B" w:rsidP="00E9702B">
            <w:pPr>
              <w:rPr>
                <w:lang w:val="en-US"/>
              </w:rPr>
            </w:pPr>
            <w:r w:rsidRPr="00F807D1">
              <w:rPr>
                <w:lang w:val="en-US"/>
              </w:rPr>
              <w:t>Safety risk</w:t>
            </w:r>
          </w:p>
        </w:tc>
        <w:tc>
          <w:tcPr>
            <w:tcW w:w="0" w:type="auto"/>
            <w:hideMark/>
          </w:tcPr>
          <w:p w14:paraId="7593A002"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Incorrect signals or recommendations</w:t>
            </w:r>
          </w:p>
        </w:tc>
        <w:tc>
          <w:tcPr>
            <w:tcW w:w="0" w:type="auto"/>
            <w:hideMark/>
          </w:tcPr>
          <w:p w14:paraId="3B6E5CE5" w14:textId="7D86AFA0"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Continuous monitoring</w:t>
            </w:r>
            <w:r w:rsidR="008E6BB7" w:rsidRPr="00F807D1">
              <w:rPr>
                <w:lang w:val="en-US"/>
              </w:rPr>
              <w:t xml:space="preserve"> </w:t>
            </w:r>
            <w:r w:rsidR="008E6BB7" w:rsidRPr="00F807D1">
              <w:t>(</w:t>
            </w:r>
            <w:proofErr w:type="spellStart"/>
            <w:r w:rsidR="008E6BB7" w:rsidRPr="00F807D1">
              <w:t>Mökander</w:t>
            </w:r>
            <w:proofErr w:type="spellEnd"/>
            <w:r w:rsidR="008E6BB7" w:rsidRPr="00F807D1">
              <w:t xml:space="preserve"> et al., 2024).</w:t>
            </w:r>
          </w:p>
        </w:tc>
      </w:tr>
    </w:tbl>
    <w:p w14:paraId="344AF60E" w14:textId="77777777" w:rsidR="002D693C" w:rsidRPr="00F807D1" w:rsidRDefault="002D693C" w:rsidP="00E9702B">
      <w:pPr>
        <w:rPr>
          <w:b/>
          <w:bCs/>
          <w:lang w:val="en-US"/>
        </w:rPr>
      </w:pPr>
    </w:p>
    <w:p w14:paraId="6CCF8577" w14:textId="1F199A8E" w:rsidR="00E9702B" w:rsidRPr="00F807D1" w:rsidRDefault="00E9702B" w:rsidP="001478CE">
      <w:pPr>
        <w:pStyle w:val="Heading2"/>
        <w:rPr>
          <w:color w:val="auto"/>
        </w:rPr>
      </w:pPr>
      <w:bookmarkStart w:id="24" w:name="_Toc228150038"/>
      <w:r w:rsidRPr="00F807D1">
        <w:rPr>
          <w:color w:val="auto"/>
        </w:rPr>
        <w:t>Customer, Patient and Regulator Trust</w:t>
      </w:r>
      <w:bookmarkEnd w:id="24"/>
    </w:p>
    <w:p w14:paraId="70400D8E" w14:textId="39CD4237" w:rsidR="00E9702B" w:rsidRPr="00F807D1" w:rsidRDefault="00E9702B" w:rsidP="001478CE">
      <w:pPr>
        <w:pStyle w:val="Heading3"/>
        <w:rPr>
          <w:color w:val="auto"/>
        </w:rPr>
      </w:pPr>
      <w:bookmarkStart w:id="25" w:name="_Toc228150039"/>
      <w:r w:rsidRPr="00F807D1">
        <w:rPr>
          <w:color w:val="auto"/>
        </w:rPr>
        <w:t>Trust as a strategic asset</w:t>
      </w:r>
      <w:bookmarkEnd w:id="25"/>
    </w:p>
    <w:p w14:paraId="5BE8BE84" w14:textId="77777777" w:rsidR="00EB792A" w:rsidRPr="00F807D1" w:rsidRDefault="00EB792A" w:rsidP="00EB792A">
      <w:pPr>
        <w:rPr>
          <w:lang w:val="en-US"/>
        </w:rPr>
      </w:pPr>
      <w:r w:rsidRPr="00F807D1">
        <w:rPr>
          <w:lang w:val="en-US"/>
        </w:rPr>
        <w:t>Trust is a strategic resource for AstraZeneca as pharmaceutical companies require public, regulatory and professional trust. Freeman's stakeholder theory is relevant since AstraZeneca needs to take into account the concerns of patients, regulators, doctors, investors, employees and society (Freeman, 2010). AI may be good for some stakeholders and dangerous for others. Shareholders could profit from improved efficiencies in research and development, for instance, but patients could be worried about confidentiality or transparency.</w:t>
      </w:r>
    </w:p>
    <w:p w14:paraId="0AE1B821" w14:textId="77777777" w:rsidR="00EB792A" w:rsidRPr="00F807D1" w:rsidRDefault="00EB792A" w:rsidP="00EB792A">
      <w:pPr>
        <w:rPr>
          <w:lang w:val="en-US"/>
        </w:rPr>
      </w:pPr>
      <w:r w:rsidRPr="00F807D1">
        <w:rPr>
          <w:lang w:val="en-US"/>
        </w:rPr>
        <w:t xml:space="preserve">Trust is important in healthcare since misuse of data or perceived discrimination may de-legitimate it. </w:t>
      </w:r>
      <w:proofErr w:type="spellStart"/>
      <w:r w:rsidRPr="00F807D1">
        <w:rPr>
          <w:lang w:val="en-US"/>
        </w:rPr>
        <w:t>Vayena</w:t>
      </w:r>
      <w:proofErr w:type="spellEnd"/>
      <w:r w:rsidRPr="00F807D1">
        <w:rPr>
          <w:lang w:val="en-US"/>
        </w:rPr>
        <w:t xml:space="preserve"> et al. (2018) note that the use of machine learning in medicine raises ethical concerns of consent, transparency, trust and accountability. So, AstraZeneca should describe its use of AI, its safeguards and when it involves humans.</w:t>
      </w:r>
    </w:p>
    <w:p w14:paraId="2E42FA36" w14:textId="6E937B05" w:rsidR="00E9702B" w:rsidRPr="00F807D1" w:rsidRDefault="00E9702B" w:rsidP="001478CE">
      <w:pPr>
        <w:pStyle w:val="Heading3"/>
        <w:rPr>
          <w:color w:val="auto"/>
        </w:rPr>
      </w:pPr>
      <w:bookmarkStart w:id="26" w:name="_Toc228150040"/>
      <w:r w:rsidRPr="00F807D1">
        <w:rPr>
          <w:color w:val="auto"/>
        </w:rPr>
        <w:t>Transparency without over-disclosure</w:t>
      </w:r>
      <w:bookmarkEnd w:id="26"/>
    </w:p>
    <w:p w14:paraId="4A08D49C" w14:textId="3C00DAE6" w:rsidR="002F1B1B" w:rsidRPr="00F807D1" w:rsidRDefault="002F1B1B" w:rsidP="002F1B1B">
      <w:pPr>
        <w:rPr>
          <w:lang w:val="en-US"/>
        </w:rPr>
      </w:pPr>
      <w:r w:rsidRPr="00F807D1">
        <w:rPr>
          <w:lang w:val="en-US"/>
        </w:rPr>
        <w:t>AstraZeneca should be transparent, but not too transparent. Not all technical details of complex models may help patients or doctors. Transparency should be selective</w:t>
      </w:r>
      <w:r w:rsidR="004F1592" w:rsidRPr="00F807D1">
        <w:rPr>
          <w:lang w:val="en-US"/>
        </w:rPr>
        <w:t xml:space="preserve"> (</w:t>
      </w:r>
      <w:r w:rsidR="004F1592" w:rsidRPr="00F807D1">
        <w:t>Sampson et al., 2019)</w:t>
      </w:r>
      <w:r w:rsidRPr="00F807D1">
        <w:rPr>
          <w:lang w:val="en-US"/>
        </w:rPr>
        <w:t>. Regulators require technical information, verification and audit. Health-care practitioners need clinically relevant information. Consumers need to know about data use and rights and protections. Investors need to know AI creates not risks.</w:t>
      </w:r>
    </w:p>
    <w:p w14:paraId="4FD14A46" w14:textId="77777777" w:rsidR="002F1B1B" w:rsidRPr="00F807D1" w:rsidRDefault="002F1B1B" w:rsidP="002F1B1B">
      <w:pPr>
        <w:rPr>
          <w:lang w:val="en-US"/>
        </w:rPr>
      </w:pPr>
      <w:r w:rsidRPr="00F807D1">
        <w:rPr>
          <w:lang w:val="en-US"/>
        </w:rPr>
        <w:t>Beneficence, non-maleficence, autonomy, justice and explicability are needed for a good AI society (</w:t>
      </w:r>
      <w:proofErr w:type="spellStart"/>
      <w:r w:rsidRPr="00F807D1">
        <w:rPr>
          <w:lang w:val="en-US"/>
        </w:rPr>
        <w:t>Floridi</w:t>
      </w:r>
      <w:proofErr w:type="spellEnd"/>
      <w:r w:rsidRPr="00F807D1">
        <w:rPr>
          <w:lang w:val="en-US"/>
        </w:rPr>
        <w:t xml:space="preserve"> et al., 2018). AstraZeneca can communicate with these principles. Trust is not gained by claims that AI is ethical; trust is gained by claims that AI is regulated, tested, monitored and accountable.</w:t>
      </w:r>
    </w:p>
    <w:p w14:paraId="5D19E014" w14:textId="0156D76C" w:rsidR="00E9702B" w:rsidRPr="00F807D1" w:rsidRDefault="00987062" w:rsidP="00987062">
      <w:pPr>
        <w:pStyle w:val="Caption"/>
        <w:tabs>
          <w:tab w:val="center" w:pos="4513"/>
          <w:tab w:val="left" w:pos="7328"/>
        </w:tabs>
        <w:jc w:val="left"/>
        <w:rPr>
          <w:lang w:val="en-US"/>
        </w:rPr>
      </w:pPr>
      <w:r w:rsidRPr="00F807D1">
        <w:rPr>
          <w:b w:val="0"/>
          <w:bCs/>
          <w:lang w:val="en-US"/>
        </w:rPr>
        <w:tab/>
      </w:r>
      <w:r w:rsidR="006B68E2" w:rsidRPr="00F807D1">
        <w:rPr>
          <w:b w:val="0"/>
          <w:bCs/>
          <w:lang w:val="en-US"/>
        </w:rPr>
        <w:t xml:space="preserve"> </w:t>
      </w:r>
      <w:r w:rsidR="006B68E2" w:rsidRPr="00F807D1">
        <w:t xml:space="preserve">Table </w:t>
      </w:r>
      <w:r w:rsidR="006B68E2" w:rsidRPr="00F807D1">
        <w:fldChar w:fldCharType="begin"/>
      </w:r>
      <w:r w:rsidR="006B68E2" w:rsidRPr="00F807D1">
        <w:instrText xml:space="preserve"> SEQ Table \* ARABIC </w:instrText>
      </w:r>
      <w:r w:rsidR="006B68E2" w:rsidRPr="00F807D1">
        <w:fldChar w:fldCharType="separate"/>
      </w:r>
      <w:r w:rsidR="004E31F6" w:rsidRPr="00F807D1">
        <w:t>6</w:t>
      </w:r>
      <w:r w:rsidR="006B68E2" w:rsidRPr="00F807D1">
        <w:fldChar w:fldCharType="end"/>
      </w:r>
      <w:r w:rsidR="006B68E2" w:rsidRPr="00F807D1">
        <w:t>: Stakeholder trust expectations</w:t>
      </w:r>
      <w:r w:rsidRPr="00F807D1">
        <w:t xml:space="preserve"> </w:t>
      </w:r>
      <w:r w:rsidRPr="00F807D1">
        <w:rPr>
          <w:lang w:val="en-US"/>
        </w:rPr>
        <w:t>(Floridi et al., 2018</w:t>
      </w:r>
      <w:r w:rsidR="005B738F" w:rsidRPr="00F807D1">
        <w:rPr>
          <w:lang w:val="en-US"/>
        </w:rPr>
        <w:t>; Emerj, 2024</w:t>
      </w:r>
      <w:r w:rsidR="00757612" w:rsidRPr="00F807D1">
        <w:rPr>
          <w:lang w:val="en-US"/>
        </w:rPr>
        <w:t>; Papagiannidis et al., 2021)</w:t>
      </w:r>
      <w:r w:rsidRPr="00F807D1">
        <w:t xml:space="preserve"> </w:t>
      </w:r>
    </w:p>
    <w:tbl>
      <w:tblPr>
        <w:tblStyle w:val="PlainTable2"/>
        <w:tblW w:w="8922" w:type="dxa"/>
        <w:tblLook w:val="04A0" w:firstRow="1" w:lastRow="0" w:firstColumn="1" w:lastColumn="0" w:noHBand="0" w:noVBand="1"/>
      </w:tblPr>
      <w:tblGrid>
        <w:gridCol w:w="1457"/>
        <w:gridCol w:w="2521"/>
        <w:gridCol w:w="4944"/>
      </w:tblGrid>
      <w:tr w:rsidR="00E9702B" w:rsidRPr="00F807D1" w14:paraId="5BF7AF99" w14:textId="77777777" w:rsidTr="006B68E2">
        <w:trPr>
          <w:cnfStyle w:val="100000000000" w:firstRow="1" w:lastRow="0" w:firstColumn="0" w:lastColumn="0" w:oddVBand="0" w:evenVBand="0" w:oddHBand="0" w:evenHBand="0" w:firstRowFirstColumn="0" w:firstRowLastColumn="0" w:lastRowFirstColumn="0" w:lastRowLastColumn="0"/>
          <w:trHeight w:val="658"/>
        </w:trPr>
        <w:tc>
          <w:tcPr>
            <w:cnfStyle w:val="001000000000" w:firstRow="0" w:lastRow="0" w:firstColumn="1" w:lastColumn="0" w:oddVBand="0" w:evenVBand="0" w:oddHBand="0" w:evenHBand="0" w:firstRowFirstColumn="0" w:firstRowLastColumn="0" w:lastRowFirstColumn="0" w:lastRowLastColumn="0"/>
            <w:tcW w:w="0" w:type="auto"/>
            <w:hideMark/>
          </w:tcPr>
          <w:p w14:paraId="44B6561A" w14:textId="77777777" w:rsidR="00E9702B" w:rsidRPr="00F807D1" w:rsidRDefault="00E9702B" w:rsidP="00E9702B">
            <w:pPr>
              <w:rPr>
                <w:lang w:val="en-US"/>
              </w:rPr>
            </w:pPr>
            <w:r w:rsidRPr="00F807D1">
              <w:rPr>
                <w:lang w:val="en-US"/>
              </w:rPr>
              <w:lastRenderedPageBreak/>
              <w:t>Stakeholder</w:t>
            </w:r>
          </w:p>
        </w:tc>
        <w:tc>
          <w:tcPr>
            <w:tcW w:w="0" w:type="auto"/>
            <w:hideMark/>
          </w:tcPr>
          <w:p w14:paraId="2212006F"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Main concern</w:t>
            </w:r>
          </w:p>
        </w:tc>
        <w:tc>
          <w:tcPr>
            <w:tcW w:w="0" w:type="auto"/>
            <w:hideMark/>
          </w:tcPr>
          <w:p w14:paraId="27A765C3"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AstraZeneca response</w:t>
            </w:r>
          </w:p>
        </w:tc>
      </w:tr>
      <w:tr w:rsidR="00E9702B" w:rsidRPr="00F807D1" w14:paraId="11B49ADD" w14:textId="77777777" w:rsidTr="006B68E2">
        <w:trPr>
          <w:cnfStyle w:val="000000100000" w:firstRow="0" w:lastRow="0" w:firstColumn="0" w:lastColumn="0" w:oddVBand="0" w:evenVBand="0" w:oddHBand="1" w:evenHBand="0" w:firstRowFirstColumn="0" w:firstRowLastColumn="0" w:lastRowFirstColumn="0" w:lastRowLastColumn="0"/>
          <w:trHeight w:val="658"/>
        </w:trPr>
        <w:tc>
          <w:tcPr>
            <w:cnfStyle w:val="001000000000" w:firstRow="0" w:lastRow="0" w:firstColumn="1" w:lastColumn="0" w:oddVBand="0" w:evenVBand="0" w:oddHBand="0" w:evenHBand="0" w:firstRowFirstColumn="0" w:firstRowLastColumn="0" w:lastRowFirstColumn="0" w:lastRowLastColumn="0"/>
            <w:tcW w:w="0" w:type="auto"/>
            <w:hideMark/>
          </w:tcPr>
          <w:p w14:paraId="48185E8B" w14:textId="77777777" w:rsidR="00E9702B" w:rsidRPr="00F807D1" w:rsidRDefault="00E9702B" w:rsidP="00E9702B">
            <w:pPr>
              <w:rPr>
                <w:lang w:val="en-US"/>
              </w:rPr>
            </w:pPr>
            <w:r w:rsidRPr="00F807D1">
              <w:rPr>
                <w:lang w:val="en-US"/>
              </w:rPr>
              <w:t>Patients</w:t>
            </w:r>
          </w:p>
        </w:tc>
        <w:tc>
          <w:tcPr>
            <w:tcW w:w="0" w:type="auto"/>
            <w:hideMark/>
          </w:tcPr>
          <w:p w14:paraId="69EFCBCB"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Privacy, safety and fairness</w:t>
            </w:r>
          </w:p>
        </w:tc>
        <w:tc>
          <w:tcPr>
            <w:tcW w:w="0" w:type="auto"/>
            <w:hideMark/>
          </w:tcPr>
          <w:p w14:paraId="2F6A07A9" w14:textId="0F40305A"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Plain-language AI and data notices</w:t>
            </w:r>
            <w:r w:rsidR="005B738F" w:rsidRPr="00F807D1">
              <w:rPr>
                <w:lang w:val="en-US"/>
              </w:rPr>
              <w:t>.</w:t>
            </w:r>
          </w:p>
        </w:tc>
      </w:tr>
      <w:tr w:rsidR="00E9702B" w:rsidRPr="00F807D1" w14:paraId="6A351309" w14:textId="77777777" w:rsidTr="006B68E2">
        <w:trPr>
          <w:trHeight w:val="658"/>
        </w:trPr>
        <w:tc>
          <w:tcPr>
            <w:cnfStyle w:val="001000000000" w:firstRow="0" w:lastRow="0" w:firstColumn="1" w:lastColumn="0" w:oddVBand="0" w:evenVBand="0" w:oddHBand="0" w:evenHBand="0" w:firstRowFirstColumn="0" w:firstRowLastColumn="0" w:lastRowFirstColumn="0" w:lastRowLastColumn="0"/>
            <w:tcW w:w="0" w:type="auto"/>
            <w:hideMark/>
          </w:tcPr>
          <w:p w14:paraId="58A5DA2A" w14:textId="77777777" w:rsidR="00E9702B" w:rsidRPr="00F807D1" w:rsidRDefault="00E9702B" w:rsidP="00E9702B">
            <w:pPr>
              <w:rPr>
                <w:lang w:val="en-US"/>
              </w:rPr>
            </w:pPr>
            <w:r w:rsidRPr="00F807D1">
              <w:rPr>
                <w:lang w:val="en-US"/>
              </w:rPr>
              <w:t>Clinicians</w:t>
            </w:r>
          </w:p>
        </w:tc>
        <w:tc>
          <w:tcPr>
            <w:tcW w:w="0" w:type="auto"/>
            <w:hideMark/>
          </w:tcPr>
          <w:p w14:paraId="6DAF5AD7"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Reliability and explainability</w:t>
            </w:r>
          </w:p>
        </w:tc>
        <w:tc>
          <w:tcPr>
            <w:tcW w:w="0" w:type="auto"/>
            <w:hideMark/>
          </w:tcPr>
          <w:p w14:paraId="7B3CE549" w14:textId="5289E5C2"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Clinical validation evidence</w:t>
            </w:r>
            <w:r w:rsidR="005B738F" w:rsidRPr="00F807D1">
              <w:rPr>
                <w:lang w:val="en-US"/>
              </w:rPr>
              <w:t>.</w:t>
            </w:r>
          </w:p>
        </w:tc>
      </w:tr>
      <w:tr w:rsidR="00E9702B" w:rsidRPr="00F807D1" w14:paraId="120DB19E" w14:textId="77777777" w:rsidTr="006B68E2">
        <w:trPr>
          <w:cnfStyle w:val="000000100000" w:firstRow="0" w:lastRow="0" w:firstColumn="0" w:lastColumn="0" w:oddVBand="0" w:evenVBand="0" w:oddHBand="1" w:evenHBand="0" w:firstRowFirstColumn="0" w:firstRowLastColumn="0" w:lastRowFirstColumn="0" w:lastRowLastColumn="0"/>
          <w:trHeight w:val="658"/>
        </w:trPr>
        <w:tc>
          <w:tcPr>
            <w:cnfStyle w:val="001000000000" w:firstRow="0" w:lastRow="0" w:firstColumn="1" w:lastColumn="0" w:oddVBand="0" w:evenVBand="0" w:oddHBand="0" w:evenHBand="0" w:firstRowFirstColumn="0" w:firstRowLastColumn="0" w:lastRowFirstColumn="0" w:lastRowLastColumn="0"/>
            <w:tcW w:w="0" w:type="auto"/>
            <w:hideMark/>
          </w:tcPr>
          <w:p w14:paraId="1128214E" w14:textId="77777777" w:rsidR="00E9702B" w:rsidRPr="00F807D1" w:rsidRDefault="00E9702B" w:rsidP="00E9702B">
            <w:pPr>
              <w:rPr>
                <w:lang w:val="en-US"/>
              </w:rPr>
            </w:pPr>
            <w:r w:rsidRPr="00F807D1">
              <w:rPr>
                <w:lang w:val="en-US"/>
              </w:rPr>
              <w:t>Regulators</w:t>
            </w:r>
          </w:p>
        </w:tc>
        <w:tc>
          <w:tcPr>
            <w:tcW w:w="0" w:type="auto"/>
            <w:hideMark/>
          </w:tcPr>
          <w:p w14:paraId="4B92696E"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Compliance and auditability</w:t>
            </w:r>
          </w:p>
        </w:tc>
        <w:tc>
          <w:tcPr>
            <w:tcW w:w="0" w:type="auto"/>
            <w:hideMark/>
          </w:tcPr>
          <w:p w14:paraId="4AE36E5D" w14:textId="12559099"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Documentation and assurance reports</w:t>
            </w:r>
            <w:r w:rsidR="00757612" w:rsidRPr="00F807D1">
              <w:rPr>
                <w:lang w:val="en-US"/>
              </w:rPr>
              <w:t xml:space="preserve"> (</w:t>
            </w:r>
            <w:proofErr w:type="spellStart"/>
            <w:r w:rsidR="00757612" w:rsidRPr="00F807D1">
              <w:rPr>
                <w:lang w:val="en-US"/>
              </w:rPr>
              <w:t>Papagiannidis</w:t>
            </w:r>
            <w:proofErr w:type="spellEnd"/>
            <w:r w:rsidR="00757612" w:rsidRPr="00F807D1">
              <w:rPr>
                <w:lang w:val="en-US"/>
              </w:rPr>
              <w:t xml:space="preserve"> et al., 2021)</w:t>
            </w:r>
            <w:r w:rsidR="005B738F" w:rsidRPr="00F807D1">
              <w:rPr>
                <w:lang w:val="en-US"/>
              </w:rPr>
              <w:t>.</w:t>
            </w:r>
          </w:p>
        </w:tc>
      </w:tr>
      <w:tr w:rsidR="00E9702B" w:rsidRPr="00F807D1" w14:paraId="5229CE52" w14:textId="77777777" w:rsidTr="006B68E2">
        <w:trPr>
          <w:trHeight w:val="658"/>
        </w:trPr>
        <w:tc>
          <w:tcPr>
            <w:cnfStyle w:val="001000000000" w:firstRow="0" w:lastRow="0" w:firstColumn="1" w:lastColumn="0" w:oddVBand="0" w:evenVBand="0" w:oddHBand="0" w:evenHBand="0" w:firstRowFirstColumn="0" w:firstRowLastColumn="0" w:lastRowFirstColumn="0" w:lastRowLastColumn="0"/>
            <w:tcW w:w="0" w:type="auto"/>
            <w:hideMark/>
          </w:tcPr>
          <w:p w14:paraId="3263A6FB" w14:textId="77777777" w:rsidR="00E9702B" w:rsidRPr="00F807D1" w:rsidRDefault="00E9702B" w:rsidP="00E9702B">
            <w:pPr>
              <w:rPr>
                <w:lang w:val="en-US"/>
              </w:rPr>
            </w:pPr>
            <w:r w:rsidRPr="00F807D1">
              <w:rPr>
                <w:lang w:val="en-US"/>
              </w:rPr>
              <w:t>Investors</w:t>
            </w:r>
          </w:p>
        </w:tc>
        <w:tc>
          <w:tcPr>
            <w:tcW w:w="0" w:type="auto"/>
            <w:hideMark/>
          </w:tcPr>
          <w:p w14:paraId="3409C7F2"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Sustainable value creation</w:t>
            </w:r>
          </w:p>
        </w:tc>
        <w:tc>
          <w:tcPr>
            <w:tcW w:w="0" w:type="auto"/>
            <w:hideMark/>
          </w:tcPr>
          <w:p w14:paraId="764863CE" w14:textId="5983FC2B"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AI governance metrics</w:t>
            </w:r>
            <w:r w:rsidR="00987062" w:rsidRPr="00F807D1">
              <w:rPr>
                <w:lang w:val="en-US"/>
              </w:rPr>
              <w:t xml:space="preserve"> (</w:t>
            </w:r>
            <w:proofErr w:type="spellStart"/>
            <w:r w:rsidR="00987062" w:rsidRPr="00F807D1">
              <w:rPr>
                <w:lang w:val="en-US"/>
              </w:rPr>
              <w:t>Floridi</w:t>
            </w:r>
            <w:proofErr w:type="spellEnd"/>
            <w:r w:rsidR="00987062" w:rsidRPr="00F807D1">
              <w:rPr>
                <w:lang w:val="en-US"/>
              </w:rPr>
              <w:t xml:space="preserve"> et al., 2018).</w:t>
            </w:r>
          </w:p>
        </w:tc>
      </w:tr>
      <w:tr w:rsidR="00E9702B" w:rsidRPr="00F807D1" w14:paraId="15236BDC" w14:textId="77777777" w:rsidTr="006B68E2">
        <w:trPr>
          <w:cnfStyle w:val="000000100000" w:firstRow="0" w:lastRow="0" w:firstColumn="0" w:lastColumn="0" w:oddVBand="0" w:evenVBand="0" w:oddHBand="1" w:evenHBand="0" w:firstRowFirstColumn="0" w:firstRowLastColumn="0" w:lastRowFirstColumn="0" w:lastRowLastColumn="0"/>
          <w:trHeight w:val="658"/>
        </w:trPr>
        <w:tc>
          <w:tcPr>
            <w:cnfStyle w:val="001000000000" w:firstRow="0" w:lastRow="0" w:firstColumn="1" w:lastColumn="0" w:oddVBand="0" w:evenVBand="0" w:oddHBand="0" w:evenHBand="0" w:firstRowFirstColumn="0" w:firstRowLastColumn="0" w:lastRowFirstColumn="0" w:lastRowLastColumn="0"/>
            <w:tcW w:w="0" w:type="auto"/>
            <w:hideMark/>
          </w:tcPr>
          <w:p w14:paraId="28DCFCA1" w14:textId="77777777" w:rsidR="00E9702B" w:rsidRPr="00F807D1" w:rsidRDefault="00E9702B" w:rsidP="00E9702B">
            <w:pPr>
              <w:rPr>
                <w:lang w:val="en-US"/>
              </w:rPr>
            </w:pPr>
            <w:r w:rsidRPr="00F807D1">
              <w:rPr>
                <w:lang w:val="en-US"/>
              </w:rPr>
              <w:t>Employees</w:t>
            </w:r>
          </w:p>
        </w:tc>
        <w:tc>
          <w:tcPr>
            <w:tcW w:w="0" w:type="auto"/>
            <w:hideMark/>
          </w:tcPr>
          <w:p w14:paraId="40D461FD"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Clear rules and training</w:t>
            </w:r>
          </w:p>
        </w:tc>
        <w:tc>
          <w:tcPr>
            <w:tcW w:w="0" w:type="auto"/>
            <w:hideMark/>
          </w:tcPr>
          <w:p w14:paraId="2EBFF4E9" w14:textId="3344CF42"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Responsible AI training</w:t>
            </w:r>
            <w:r w:rsidR="005B738F" w:rsidRPr="00F807D1">
              <w:rPr>
                <w:lang w:val="en-US"/>
              </w:rPr>
              <w:t>.</w:t>
            </w:r>
          </w:p>
        </w:tc>
      </w:tr>
      <w:tr w:rsidR="00E9702B" w:rsidRPr="00F807D1" w14:paraId="390C5B8A" w14:textId="77777777" w:rsidTr="006B68E2">
        <w:trPr>
          <w:trHeight w:val="658"/>
        </w:trPr>
        <w:tc>
          <w:tcPr>
            <w:cnfStyle w:val="001000000000" w:firstRow="0" w:lastRow="0" w:firstColumn="1" w:lastColumn="0" w:oddVBand="0" w:evenVBand="0" w:oddHBand="0" w:evenHBand="0" w:firstRowFirstColumn="0" w:firstRowLastColumn="0" w:lastRowFirstColumn="0" w:lastRowLastColumn="0"/>
            <w:tcW w:w="0" w:type="auto"/>
            <w:hideMark/>
          </w:tcPr>
          <w:p w14:paraId="0AED88E7" w14:textId="77777777" w:rsidR="00E9702B" w:rsidRPr="00F807D1" w:rsidRDefault="00E9702B" w:rsidP="00E9702B">
            <w:pPr>
              <w:rPr>
                <w:lang w:val="en-US"/>
              </w:rPr>
            </w:pPr>
            <w:r w:rsidRPr="00F807D1">
              <w:rPr>
                <w:lang w:val="en-US"/>
              </w:rPr>
              <w:t>Society</w:t>
            </w:r>
          </w:p>
        </w:tc>
        <w:tc>
          <w:tcPr>
            <w:tcW w:w="0" w:type="auto"/>
            <w:hideMark/>
          </w:tcPr>
          <w:p w14:paraId="55A9BF50"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Ethical use of health data</w:t>
            </w:r>
          </w:p>
        </w:tc>
        <w:tc>
          <w:tcPr>
            <w:tcW w:w="0" w:type="auto"/>
            <w:hideMark/>
          </w:tcPr>
          <w:p w14:paraId="6C1D3F25" w14:textId="0BD9880B"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Public reporting and engagement</w:t>
            </w:r>
            <w:r w:rsidR="005B738F" w:rsidRPr="00F807D1">
              <w:rPr>
                <w:lang w:val="en-US"/>
              </w:rPr>
              <w:t xml:space="preserve"> (</w:t>
            </w:r>
            <w:proofErr w:type="spellStart"/>
            <w:r w:rsidR="005B738F" w:rsidRPr="00F807D1">
              <w:rPr>
                <w:lang w:val="en-US"/>
              </w:rPr>
              <w:t>Emerj</w:t>
            </w:r>
            <w:proofErr w:type="spellEnd"/>
            <w:r w:rsidR="005B738F" w:rsidRPr="00F807D1">
              <w:rPr>
                <w:lang w:val="en-US"/>
              </w:rPr>
              <w:t>, 2024).</w:t>
            </w:r>
          </w:p>
        </w:tc>
      </w:tr>
    </w:tbl>
    <w:p w14:paraId="2A208298" w14:textId="2A3E7257" w:rsidR="00E9702B" w:rsidRPr="00F807D1" w:rsidRDefault="00E9702B" w:rsidP="00E9702B">
      <w:pPr>
        <w:rPr>
          <w:lang w:val="en-US"/>
        </w:rPr>
      </w:pPr>
    </w:p>
    <w:p w14:paraId="3C3EC34E" w14:textId="38B538B1" w:rsidR="00E9702B" w:rsidRPr="00F807D1" w:rsidRDefault="00E9702B" w:rsidP="001478CE">
      <w:pPr>
        <w:pStyle w:val="Heading2"/>
        <w:rPr>
          <w:color w:val="auto"/>
        </w:rPr>
      </w:pPr>
      <w:bookmarkStart w:id="27" w:name="_Toc228150041"/>
      <w:r w:rsidRPr="00F807D1">
        <w:rPr>
          <w:color w:val="auto"/>
        </w:rPr>
        <w:t>Corporate Governance and AI Risk Management</w:t>
      </w:r>
      <w:bookmarkEnd w:id="27"/>
    </w:p>
    <w:p w14:paraId="4ED7691E" w14:textId="29798D1D" w:rsidR="00E9702B" w:rsidRPr="00F807D1" w:rsidRDefault="00E9702B" w:rsidP="001478CE">
      <w:pPr>
        <w:pStyle w:val="Heading3"/>
        <w:rPr>
          <w:color w:val="auto"/>
        </w:rPr>
      </w:pPr>
      <w:bookmarkStart w:id="28" w:name="_Toc228150042"/>
      <w:r w:rsidRPr="00F807D1">
        <w:rPr>
          <w:color w:val="auto"/>
        </w:rPr>
        <w:t>Board-level accountability</w:t>
      </w:r>
      <w:bookmarkEnd w:id="28"/>
    </w:p>
    <w:p w14:paraId="6464B4FB" w14:textId="293985D2" w:rsidR="005A6323" w:rsidRPr="00F807D1" w:rsidRDefault="00553CED" w:rsidP="005A6323">
      <w:pPr>
        <w:rPr>
          <w:lang w:val="en-US"/>
        </w:rPr>
      </w:pPr>
      <w:r w:rsidRPr="00F807D1">
        <w:rPr>
          <w:lang w:val="en-US"/>
        </w:rPr>
        <w:t>Good governance is critical because risk related to AI spans regulatory, technical, ethical and business aspects. At AstraZeneca, AI cannot be left solely in the hands of data scientists and technology leaders, as AI may impact patient safety, clinical evidence, regulatory submissions, data privacy and reputation (AstraZeneca, 2026). So, the board is key to defining the company's appetite for risk, governance principles, oversight and ensuring a culture of responsible innovation. Leaders need to be aware of the benefits of AI, but also the regulatory, ethical and reputational risks that may result from insufficient oversight</w:t>
      </w:r>
      <w:r w:rsidR="005A6323" w:rsidRPr="00F807D1">
        <w:rPr>
          <w:lang w:val="en-US"/>
        </w:rPr>
        <w:t>.</w:t>
      </w:r>
    </w:p>
    <w:p w14:paraId="03CDA492" w14:textId="258602A8" w:rsidR="005A6323" w:rsidRPr="00F807D1" w:rsidRDefault="005A6323" w:rsidP="005A6323">
      <w:pPr>
        <w:rPr>
          <w:lang w:val="en-US"/>
        </w:rPr>
      </w:pPr>
      <w:r w:rsidRPr="00F807D1">
        <w:rPr>
          <w:noProof/>
          <w:lang w:val="en-US"/>
        </w:rPr>
        <w:lastRenderedPageBreak/>
        <w:drawing>
          <wp:inline distT="0" distB="0" distL="0" distR="0" wp14:anchorId="457107C3" wp14:editId="6EAF6C31">
            <wp:extent cx="5635256" cy="3756837"/>
            <wp:effectExtent l="19050" t="19050" r="22860" b="15240"/>
            <wp:docPr id="12250584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41824" cy="3761216"/>
                    </a:xfrm>
                    <a:prstGeom prst="rect">
                      <a:avLst/>
                    </a:prstGeom>
                    <a:noFill/>
                    <a:ln>
                      <a:solidFill>
                        <a:schemeClr val="accent1">
                          <a:lumMod val="40000"/>
                          <a:lumOff val="60000"/>
                        </a:schemeClr>
                      </a:solidFill>
                    </a:ln>
                  </pic:spPr>
                </pic:pic>
              </a:graphicData>
            </a:graphic>
          </wp:inline>
        </w:drawing>
      </w:r>
    </w:p>
    <w:p w14:paraId="2783FB72" w14:textId="141ED742" w:rsidR="004E31F6" w:rsidRPr="00F807D1" w:rsidRDefault="004E31F6" w:rsidP="004E31F6">
      <w:pPr>
        <w:pStyle w:val="Caption"/>
      </w:pPr>
      <w:r w:rsidRPr="00F807D1">
        <w:t xml:space="preserve">Figure </w:t>
      </w:r>
      <w:r w:rsidRPr="00F807D1">
        <w:fldChar w:fldCharType="begin"/>
      </w:r>
      <w:r w:rsidRPr="00F807D1">
        <w:instrText xml:space="preserve"> SEQ Figure \* ARABIC </w:instrText>
      </w:r>
      <w:r w:rsidRPr="00F807D1">
        <w:fldChar w:fldCharType="separate"/>
      </w:r>
      <w:r w:rsidR="00DD0F0C" w:rsidRPr="00F807D1">
        <w:t>4</w:t>
      </w:r>
      <w:r w:rsidRPr="00F807D1">
        <w:fldChar w:fldCharType="end"/>
      </w:r>
      <w:r w:rsidRPr="00F807D1">
        <w:t>: Proposed AstraZeneca AI governance structure</w:t>
      </w:r>
      <w:r w:rsidR="005A6323" w:rsidRPr="00F807D1">
        <w:t xml:space="preserve"> (Author)</w:t>
      </w:r>
    </w:p>
    <w:p w14:paraId="30124254" w14:textId="09D98394" w:rsidR="00317712" w:rsidRPr="00F807D1" w:rsidRDefault="00317712" w:rsidP="00317712">
      <w:pPr>
        <w:rPr>
          <w:lang w:val="en-US"/>
        </w:rPr>
      </w:pPr>
      <w:r w:rsidRPr="00F807D1">
        <w:rPr>
          <w:lang w:val="en-US"/>
        </w:rPr>
        <w:t>Risk management includes risk identification, assessment and evaluation, mitigation, monitoring and review. AstraZeneca should use this for all AI systems (</w:t>
      </w:r>
      <w:proofErr w:type="spellStart"/>
      <w:r w:rsidRPr="00F807D1">
        <w:rPr>
          <w:lang w:val="en-US"/>
        </w:rPr>
        <w:t>Eterafi</w:t>
      </w:r>
      <w:proofErr w:type="spellEnd"/>
      <w:r w:rsidRPr="00F807D1">
        <w:rPr>
          <w:lang w:val="en-US"/>
        </w:rPr>
        <w:t xml:space="preserve"> et al., 2025). The creation of high-risk AI systems should not go from experiment to deployment without evidence of risk mitigation, validation, legal and human oversight.</w:t>
      </w:r>
    </w:p>
    <w:p w14:paraId="35FD7EF9" w14:textId="6BAE0E38" w:rsidR="00E9702B" w:rsidRPr="00F807D1" w:rsidRDefault="00E9702B" w:rsidP="001478CE">
      <w:pPr>
        <w:pStyle w:val="Heading3"/>
        <w:rPr>
          <w:color w:val="auto"/>
        </w:rPr>
      </w:pPr>
      <w:bookmarkStart w:id="29" w:name="_Toc228150043"/>
      <w:r w:rsidRPr="00F807D1">
        <w:rPr>
          <w:color w:val="auto"/>
        </w:rPr>
        <w:t>Enterprise risk framework for AI</w:t>
      </w:r>
      <w:bookmarkEnd w:id="29"/>
    </w:p>
    <w:p w14:paraId="377DDED8" w14:textId="77777777" w:rsidR="00F831A2" w:rsidRPr="00F807D1" w:rsidRDefault="00F831A2" w:rsidP="00F831A2">
      <w:pPr>
        <w:rPr>
          <w:lang w:val="en-US"/>
        </w:rPr>
      </w:pPr>
      <w:r w:rsidRPr="00F807D1">
        <w:rPr>
          <w:lang w:val="en-US"/>
        </w:rPr>
        <w:t>The National Institute of Standards and Technology (NIST) AI Risk Management Framework (NIST, 2023) adopts the approach of governing, mapping, measuring and managing AI risks. AstraZeneca should consider this for enterprise risk management. This means it can risk stratify AI systems, implement and apply controls, monitor the performance of models and report on AI risk to the board.</w:t>
      </w:r>
    </w:p>
    <w:p w14:paraId="72DADADC" w14:textId="28DA0406" w:rsidR="00F831A2" w:rsidRPr="00F807D1" w:rsidRDefault="00F831A2" w:rsidP="00F831A2">
      <w:pPr>
        <w:rPr>
          <w:lang w:val="en-US"/>
        </w:rPr>
      </w:pPr>
      <w:r w:rsidRPr="00F807D1">
        <w:rPr>
          <w:lang w:val="en-US"/>
        </w:rPr>
        <w:t>The governance should be in three stages. First, the board should be with a board-level AI and data governance committee</w:t>
      </w:r>
      <w:r w:rsidR="00C41326" w:rsidRPr="00F807D1">
        <w:rPr>
          <w:lang w:val="en-US"/>
        </w:rPr>
        <w:t xml:space="preserve"> </w:t>
      </w:r>
      <w:r w:rsidR="00C41326" w:rsidRPr="00F807D1">
        <w:rPr>
          <w:b/>
          <w:bCs/>
          <w:lang w:val="en-US"/>
        </w:rPr>
        <w:t>(</w:t>
      </w:r>
      <w:r w:rsidR="00C41326" w:rsidRPr="00F807D1">
        <w:rPr>
          <w:lang w:val="en-US"/>
        </w:rPr>
        <w:t>CTO Magazine, 2026</w:t>
      </w:r>
      <w:r w:rsidR="00C41326" w:rsidRPr="00F807D1">
        <w:rPr>
          <w:b/>
          <w:bCs/>
          <w:lang w:val="en-US"/>
        </w:rPr>
        <w:t>)</w:t>
      </w:r>
      <w:r w:rsidRPr="00F807D1">
        <w:rPr>
          <w:b/>
          <w:bCs/>
          <w:lang w:val="en-US"/>
        </w:rPr>
        <w:t xml:space="preserve">. </w:t>
      </w:r>
      <w:r w:rsidRPr="00F807D1">
        <w:rPr>
          <w:lang w:val="en-US"/>
        </w:rPr>
        <w:t xml:space="preserve">Second, management responsibility should be with a multi-disciplinary Responsible AI Steering Group from </w:t>
      </w:r>
      <w:proofErr w:type="spellStart"/>
      <w:r w:rsidRPr="00F807D1">
        <w:rPr>
          <w:lang w:val="en-US"/>
        </w:rPr>
        <w:t>R</w:t>
      </w:r>
      <w:r w:rsidR="001478CE" w:rsidRPr="00F807D1">
        <w:rPr>
          <w:lang w:val="en-US"/>
        </w:rPr>
        <w:t>and</w:t>
      </w:r>
      <w:r w:rsidRPr="00F807D1">
        <w:rPr>
          <w:lang w:val="en-US"/>
        </w:rPr>
        <w:t>D</w:t>
      </w:r>
      <w:proofErr w:type="spellEnd"/>
      <w:r w:rsidRPr="00F807D1">
        <w:rPr>
          <w:lang w:val="en-US"/>
        </w:rPr>
        <w:t>, legal, compliance, data science, cybersecurity, medical affairs and ethics. Third, operational oversight should be with the model owners who document, test and monitor the model.</w:t>
      </w:r>
    </w:p>
    <w:p w14:paraId="2895A306" w14:textId="5231C8A7" w:rsidR="00E9702B" w:rsidRPr="00F807D1" w:rsidRDefault="004E31F6" w:rsidP="004E31F6">
      <w:pPr>
        <w:pStyle w:val="Caption"/>
        <w:rPr>
          <w:lang w:val="en-US"/>
        </w:rPr>
      </w:pPr>
      <w:r w:rsidRPr="00F807D1">
        <w:rPr>
          <w:b w:val="0"/>
          <w:bCs/>
          <w:lang w:val="en-US"/>
        </w:rPr>
        <w:lastRenderedPageBreak/>
        <w:t xml:space="preserve"> </w:t>
      </w:r>
      <w:r w:rsidRPr="00F807D1">
        <w:t xml:space="preserve">Table </w:t>
      </w:r>
      <w:r w:rsidRPr="00F807D1">
        <w:fldChar w:fldCharType="begin"/>
      </w:r>
      <w:r w:rsidRPr="00F807D1">
        <w:instrText xml:space="preserve"> SEQ Table \* ARABIC </w:instrText>
      </w:r>
      <w:r w:rsidRPr="00F807D1">
        <w:fldChar w:fldCharType="separate"/>
      </w:r>
      <w:r w:rsidRPr="00F807D1">
        <w:t>7</w:t>
      </w:r>
      <w:r w:rsidRPr="00F807D1">
        <w:fldChar w:fldCharType="end"/>
      </w:r>
      <w:r w:rsidRPr="00F807D1">
        <w:t>: Proposed AI governance responsibilities</w:t>
      </w:r>
      <w:r w:rsidR="009E7A34" w:rsidRPr="00F807D1">
        <w:t xml:space="preserve"> </w:t>
      </w:r>
      <w:r w:rsidR="009E7A34" w:rsidRPr="00F807D1">
        <w:rPr>
          <w:lang w:val="en-US"/>
        </w:rPr>
        <w:t>(NIST, 2023</w:t>
      </w:r>
      <w:r w:rsidR="00F5266C" w:rsidRPr="00F807D1">
        <w:rPr>
          <w:lang w:val="en-US"/>
        </w:rPr>
        <w:t>; Rubeis et al., 2022</w:t>
      </w:r>
      <w:r w:rsidR="00C41326" w:rsidRPr="00F807D1">
        <w:rPr>
          <w:lang w:val="en-US"/>
        </w:rPr>
        <w:t xml:space="preserve">; </w:t>
      </w:r>
      <w:r w:rsidR="00C41326" w:rsidRPr="00F807D1">
        <w:rPr>
          <w:bCs/>
          <w:lang w:val="en-US"/>
        </w:rPr>
        <w:t xml:space="preserve">CTO Magazine, </w:t>
      </w:r>
      <w:r w:rsidR="00C41326" w:rsidRPr="00F807D1">
        <w:rPr>
          <w:lang w:val="en-US"/>
        </w:rPr>
        <w:t>2026</w:t>
      </w:r>
      <w:r w:rsidR="00C41326" w:rsidRPr="00F807D1">
        <w:rPr>
          <w:bCs/>
          <w:lang w:val="en-US"/>
        </w:rPr>
        <w:t>)</w:t>
      </w:r>
    </w:p>
    <w:tbl>
      <w:tblPr>
        <w:tblStyle w:val="PlainTable2"/>
        <w:tblW w:w="0" w:type="auto"/>
        <w:tblLook w:val="04A0" w:firstRow="1" w:lastRow="0" w:firstColumn="1" w:lastColumn="0" w:noHBand="0" w:noVBand="1"/>
      </w:tblPr>
      <w:tblGrid>
        <w:gridCol w:w="2131"/>
        <w:gridCol w:w="3317"/>
        <w:gridCol w:w="3578"/>
      </w:tblGrid>
      <w:tr w:rsidR="00E9702B" w:rsidRPr="00F807D1" w14:paraId="646868DA" w14:textId="77777777" w:rsidTr="004E31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9BE02B" w14:textId="77777777" w:rsidR="00E9702B" w:rsidRPr="00F807D1" w:rsidRDefault="00E9702B" w:rsidP="00E9702B">
            <w:pPr>
              <w:rPr>
                <w:lang w:val="en-US"/>
              </w:rPr>
            </w:pPr>
            <w:r w:rsidRPr="00F807D1">
              <w:rPr>
                <w:lang w:val="en-US"/>
              </w:rPr>
              <w:t>Governance level</w:t>
            </w:r>
          </w:p>
        </w:tc>
        <w:tc>
          <w:tcPr>
            <w:tcW w:w="0" w:type="auto"/>
            <w:hideMark/>
          </w:tcPr>
          <w:p w14:paraId="69F393EE"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Responsibility</w:t>
            </w:r>
          </w:p>
        </w:tc>
        <w:tc>
          <w:tcPr>
            <w:tcW w:w="0" w:type="auto"/>
            <w:hideMark/>
          </w:tcPr>
          <w:p w14:paraId="407F0826" w14:textId="77777777" w:rsidR="00E9702B" w:rsidRPr="00F807D1" w:rsidRDefault="00E9702B" w:rsidP="00E9702B">
            <w:pPr>
              <w:cnfStyle w:val="100000000000" w:firstRow="1" w:lastRow="0" w:firstColumn="0" w:lastColumn="0" w:oddVBand="0" w:evenVBand="0" w:oddHBand="0" w:evenHBand="0" w:firstRowFirstColumn="0" w:firstRowLastColumn="0" w:lastRowFirstColumn="0" w:lastRowLastColumn="0"/>
              <w:rPr>
                <w:lang w:val="en-US"/>
              </w:rPr>
            </w:pPr>
            <w:r w:rsidRPr="00F807D1">
              <w:rPr>
                <w:lang w:val="en-US"/>
              </w:rPr>
              <w:t>Output</w:t>
            </w:r>
          </w:p>
        </w:tc>
      </w:tr>
      <w:tr w:rsidR="00E9702B" w:rsidRPr="00F807D1" w14:paraId="24C8F645" w14:textId="77777777" w:rsidTr="004E31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8B653D" w14:textId="77777777" w:rsidR="00E9702B" w:rsidRPr="00F807D1" w:rsidRDefault="00E9702B" w:rsidP="00E9702B">
            <w:pPr>
              <w:rPr>
                <w:lang w:val="en-US"/>
              </w:rPr>
            </w:pPr>
            <w:r w:rsidRPr="00F807D1">
              <w:rPr>
                <w:lang w:val="en-US"/>
              </w:rPr>
              <w:t>Board</w:t>
            </w:r>
          </w:p>
        </w:tc>
        <w:tc>
          <w:tcPr>
            <w:tcW w:w="0" w:type="auto"/>
            <w:hideMark/>
          </w:tcPr>
          <w:p w14:paraId="42B79A2B"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Approve AI risk appetite and review major risks</w:t>
            </w:r>
          </w:p>
        </w:tc>
        <w:tc>
          <w:tcPr>
            <w:tcW w:w="0" w:type="auto"/>
            <w:hideMark/>
          </w:tcPr>
          <w:p w14:paraId="18A248A1"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Quarterly AI risk dashboard</w:t>
            </w:r>
          </w:p>
        </w:tc>
      </w:tr>
      <w:tr w:rsidR="00E9702B" w:rsidRPr="00F807D1" w14:paraId="306A744F" w14:textId="77777777" w:rsidTr="004E31F6">
        <w:tc>
          <w:tcPr>
            <w:cnfStyle w:val="001000000000" w:firstRow="0" w:lastRow="0" w:firstColumn="1" w:lastColumn="0" w:oddVBand="0" w:evenVBand="0" w:oddHBand="0" w:evenHBand="0" w:firstRowFirstColumn="0" w:firstRowLastColumn="0" w:lastRowFirstColumn="0" w:lastRowLastColumn="0"/>
            <w:tcW w:w="0" w:type="auto"/>
            <w:hideMark/>
          </w:tcPr>
          <w:p w14:paraId="4C9C8E3B" w14:textId="77777777" w:rsidR="00E9702B" w:rsidRPr="00F807D1" w:rsidRDefault="00E9702B" w:rsidP="00E9702B">
            <w:pPr>
              <w:rPr>
                <w:lang w:val="en-US"/>
              </w:rPr>
            </w:pPr>
            <w:r w:rsidRPr="00F807D1">
              <w:rPr>
                <w:lang w:val="en-US"/>
              </w:rPr>
              <w:t>Executive steering group</w:t>
            </w:r>
          </w:p>
        </w:tc>
        <w:tc>
          <w:tcPr>
            <w:tcW w:w="0" w:type="auto"/>
            <w:hideMark/>
          </w:tcPr>
          <w:p w14:paraId="2D094D1E"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Translate principles into policies</w:t>
            </w:r>
          </w:p>
        </w:tc>
        <w:tc>
          <w:tcPr>
            <w:tcW w:w="0" w:type="auto"/>
            <w:hideMark/>
          </w:tcPr>
          <w:p w14:paraId="58E05003" w14:textId="4D9AD755"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AI governance framework</w:t>
            </w:r>
            <w:r w:rsidR="009E7A34" w:rsidRPr="00F807D1">
              <w:rPr>
                <w:lang w:val="en-US"/>
              </w:rPr>
              <w:t xml:space="preserve"> (NIST, 2023).</w:t>
            </w:r>
          </w:p>
        </w:tc>
      </w:tr>
      <w:tr w:rsidR="00E9702B" w:rsidRPr="00F807D1" w14:paraId="6B5749FF" w14:textId="77777777" w:rsidTr="004E31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FCBFC8" w14:textId="0AC4CBAC" w:rsidR="00E9702B" w:rsidRPr="00F807D1" w:rsidRDefault="009E7A34" w:rsidP="00E9702B">
            <w:pPr>
              <w:rPr>
                <w:lang w:val="en-US"/>
              </w:rPr>
            </w:pPr>
            <w:r w:rsidRPr="00F807D1">
              <w:rPr>
                <w:lang w:val="en-US"/>
              </w:rPr>
              <w:t xml:space="preserve"> </w:t>
            </w:r>
            <w:r w:rsidR="00E9702B" w:rsidRPr="00F807D1">
              <w:rPr>
                <w:lang w:val="en-US"/>
              </w:rPr>
              <w:t>Legal and compliance</w:t>
            </w:r>
          </w:p>
        </w:tc>
        <w:tc>
          <w:tcPr>
            <w:tcW w:w="0" w:type="auto"/>
            <w:hideMark/>
          </w:tcPr>
          <w:p w14:paraId="415647A1"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Assess regulatory obligations</w:t>
            </w:r>
          </w:p>
        </w:tc>
        <w:tc>
          <w:tcPr>
            <w:tcW w:w="0" w:type="auto"/>
            <w:hideMark/>
          </w:tcPr>
          <w:p w14:paraId="2606BB97"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Regulatory gap analysis</w:t>
            </w:r>
          </w:p>
        </w:tc>
      </w:tr>
      <w:tr w:rsidR="00E9702B" w:rsidRPr="00F807D1" w14:paraId="27FAC3D3" w14:textId="77777777" w:rsidTr="004E31F6">
        <w:tc>
          <w:tcPr>
            <w:cnfStyle w:val="001000000000" w:firstRow="0" w:lastRow="0" w:firstColumn="1" w:lastColumn="0" w:oddVBand="0" w:evenVBand="0" w:oddHBand="0" w:evenHBand="0" w:firstRowFirstColumn="0" w:firstRowLastColumn="0" w:lastRowFirstColumn="0" w:lastRowLastColumn="0"/>
            <w:tcW w:w="0" w:type="auto"/>
            <w:hideMark/>
          </w:tcPr>
          <w:p w14:paraId="0EBEBA0B" w14:textId="77777777" w:rsidR="00E9702B" w:rsidRPr="00F807D1" w:rsidRDefault="00E9702B" w:rsidP="00E9702B">
            <w:pPr>
              <w:rPr>
                <w:lang w:val="en-US"/>
              </w:rPr>
            </w:pPr>
            <w:r w:rsidRPr="00F807D1">
              <w:rPr>
                <w:lang w:val="en-US"/>
              </w:rPr>
              <w:t>Data science teams</w:t>
            </w:r>
          </w:p>
        </w:tc>
        <w:tc>
          <w:tcPr>
            <w:tcW w:w="0" w:type="auto"/>
            <w:hideMark/>
          </w:tcPr>
          <w:p w14:paraId="45F3FBF5"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Build and validate models</w:t>
            </w:r>
          </w:p>
        </w:tc>
        <w:tc>
          <w:tcPr>
            <w:tcW w:w="0" w:type="auto"/>
            <w:hideMark/>
          </w:tcPr>
          <w:p w14:paraId="3C15B62E" w14:textId="3F598AE9"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Model cards and validation records</w:t>
            </w:r>
            <w:r w:rsidR="00F5266C" w:rsidRPr="00F807D1">
              <w:rPr>
                <w:lang w:val="en-US"/>
              </w:rPr>
              <w:t xml:space="preserve"> (</w:t>
            </w:r>
            <w:proofErr w:type="spellStart"/>
            <w:r w:rsidR="00F5266C" w:rsidRPr="00F807D1">
              <w:rPr>
                <w:lang w:val="en-US"/>
              </w:rPr>
              <w:t>Rubeis</w:t>
            </w:r>
            <w:proofErr w:type="spellEnd"/>
            <w:r w:rsidR="00F5266C" w:rsidRPr="00F807D1">
              <w:rPr>
                <w:lang w:val="en-US"/>
              </w:rPr>
              <w:t xml:space="preserve"> et al., 2022).</w:t>
            </w:r>
          </w:p>
        </w:tc>
      </w:tr>
      <w:tr w:rsidR="00E9702B" w:rsidRPr="00F807D1" w14:paraId="37A9790B" w14:textId="77777777" w:rsidTr="004E31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374992" w14:textId="77777777" w:rsidR="00E9702B" w:rsidRPr="00F807D1" w:rsidRDefault="00E9702B" w:rsidP="00E9702B">
            <w:pPr>
              <w:rPr>
                <w:lang w:val="en-US"/>
              </w:rPr>
            </w:pPr>
            <w:r w:rsidRPr="00F807D1">
              <w:rPr>
                <w:lang w:val="en-US"/>
              </w:rPr>
              <w:t>Ethics board</w:t>
            </w:r>
          </w:p>
        </w:tc>
        <w:tc>
          <w:tcPr>
            <w:tcW w:w="0" w:type="auto"/>
            <w:hideMark/>
          </w:tcPr>
          <w:p w14:paraId="160E50AA"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Review high-risk use cases</w:t>
            </w:r>
          </w:p>
        </w:tc>
        <w:tc>
          <w:tcPr>
            <w:tcW w:w="0" w:type="auto"/>
            <w:hideMark/>
          </w:tcPr>
          <w:p w14:paraId="3E394F71" w14:textId="77777777" w:rsidR="00E9702B" w:rsidRPr="00F807D1" w:rsidRDefault="00E9702B" w:rsidP="00E9702B">
            <w:pPr>
              <w:cnfStyle w:val="000000100000" w:firstRow="0" w:lastRow="0" w:firstColumn="0" w:lastColumn="0" w:oddVBand="0" w:evenVBand="0" w:oddHBand="1" w:evenHBand="0" w:firstRowFirstColumn="0" w:firstRowLastColumn="0" w:lastRowFirstColumn="0" w:lastRowLastColumn="0"/>
              <w:rPr>
                <w:lang w:val="en-US"/>
              </w:rPr>
            </w:pPr>
            <w:r w:rsidRPr="00F807D1">
              <w:rPr>
                <w:lang w:val="en-US"/>
              </w:rPr>
              <w:t>Ethics approval or escalation</w:t>
            </w:r>
          </w:p>
        </w:tc>
      </w:tr>
      <w:tr w:rsidR="00E9702B" w:rsidRPr="00F807D1" w14:paraId="152E17B1" w14:textId="77777777" w:rsidTr="004E31F6">
        <w:tc>
          <w:tcPr>
            <w:cnfStyle w:val="001000000000" w:firstRow="0" w:lastRow="0" w:firstColumn="1" w:lastColumn="0" w:oddVBand="0" w:evenVBand="0" w:oddHBand="0" w:evenHBand="0" w:firstRowFirstColumn="0" w:firstRowLastColumn="0" w:lastRowFirstColumn="0" w:lastRowLastColumn="0"/>
            <w:tcW w:w="0" w:type="auto"/>
            <w:hideMark/>
          </w:tcPr>
          <w:p w14:paraId="7B957069" w14:textId="77777777" w:rsidR="00E9702B" w:rsidRPr="00F807D1" w:rsidRDefault="00E9702B" w:rsidP="00E9702B">
            <w:pPr>
              <w:rPr>
                <w:lang w:val="en-US"/>
              </w:rPr>
            </w:pPr>
            <w:r w:rsidRPr="00F807D1">
              <w:rPr>
                <w:lang w:val="en-US"/>
              </w:rPr>
              <w:t>Internal audit</w:t>
            </w:r>
          </w:p>
        </w:tc>
        <w:tc>
          <w:tcPr>
            <w:tcW w:w="0" w:type="auto"/>
            <w:hideMark/>
          </w:tcPr>
          <w:p w14:paraId="2F066F0C"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Test controls independently</w:t>
            </w:r>
          </w:p>
        </w:tc>
        <w:tc>
          <w:tcPr>
            <w:tcW w:w="0" w:type="auto"/>
            <w:hideMark/>
          </w:tcPr>
          <w:p w14:paraId="24DEDF6D" w14:textId="77777777" w:rsidR="00E9702B" w:rsidRPr="00F807D1" w:rsidRDefault="00E9702B" w:rsidP="00E9702B">
            <w:pPr>
              <w:cnfStyle w:val="000000000000" w:firstRow="0" w:lastRow="0" w:firstColumn="0" w:lastColumn="0" w:oddVBand="0" w:evenVBand="0" w:oddHBand="0" w:evenHBand="0" w:firstRowFirstColumn="0" w:firstRowLastColumn="0" w:lastRowFirstColumn="0" w:lastRowLastColumn="0"/>
              <w:rPr>
                <w:lang w:val="en-US"/>
              </w:rPr>
            </w:pPr>
            <w:r w:rsidRPr="00F807D1">
              <w:rPr>
                <w:lang w:val="en-US"/>
              </w:rPr>
              <w:t>Assurance reports</w:t>
            </w:r>
          </w:p>
        </w:tc>
      </w:tr>
    </w:tbl>
    <w:p w14:paraId="4F33306D" w14:textId="77777777" w:rsidR="004E31F6" w:rsidRPr="00F807D1" w:rsidRDefault="004E31F6" w:rsidP="00E9702B">
      <w:pPr>
        <w:rPr>
          <w:lang w:val="en-US"/>
        </w:rPr>
      </w:pPr>
    </w:p>
    <w:p w14:paraId="1BB52BD9" w14:textId="740DC45E" w:rsidR="00E9702B" w:rsidRPr="00F807D1" w:rsidRDefault="00E9702B" w:rsidP="001478CE">
      <w:pPr>
        <w:pStyle w:val="Heading2"/>
        <w:rPr>
          <w:color w:val="auto"/>
        </w:rPr>
      </w:pPr>
      <w:bookmarkStart w:id="30" w:name="_Toc228150044"/>
      <w:r w:rsidRPr="00F807D1">
        <w:rPr>
          <w:color w:val="auto"/>
        </w:rPr>
        <w:t>Implementation Plan</w:t>
      </w:r>
      <w:bookmarkEnd w:id="30"/>
    </w:p>
    <w:p w14:paraId="105FDF67" w14:textId="7DD10F35" w:rsidR="00E9702B" w:rsidRPr="00F807D1" w:rsidRDefault="00E9702B" w:rsidP="001478CE">
      <w:pPr>
        <w:pStyle w:val="Heading3"/>
        <w:rPr>
          <w:color w:val="auto"/>
        </w:rPr>
      </w:pPr>
      <w:bookmarkStart w:id="31" w:name="_Toc228150045"/>
      <w:r w:rsidRPr="00F807D1">
        <w:rPr>
          <w:color w:val="auto"/>
        </w:rPr>
        <w:t>Phase 1: Foundation, months 1–6</w:t>
      </w:r>
      <w:bookmarkEnd w:id="31"/>
    </w:p>
    <w:p w14:paraId="4F9E5869" w14:textId="0889BF57" w:rsidR="00BE5AF2" w:rsidRPr="00F807D1" w:rsidRDefault="00BE5AF2" w:rsidP="00BE5AF2">
      <w:pPr>
        <w:rPr>
          <w:lang w:val="en-US"/>
        </w:rPr>
      </w:pPr>
      <w:r w:rsidRPr="00F807D1">
        <w:rPr>
          <w:lang w:val="en-US"/>
        </w:rPr>
        <w:t>Phase 1 will set the foundation. AstraZeneca should establish a board AI and Data Governance Committee or clearly state an existing board risk committee will be responsible for AI</w:t>
      </w:r>
      <w:r w:rsidR="00C25740" w:rsidRPr="00F807D1">
        <w:rPr>
          <w:lang w:val="en-US"/>
        </w:rPr>
        <w:t xml:space="preserve"> (Cerutti et al., 2025)</w:t>
      </w:r>
      <w:r w:rsidRPr="00F807D1">
        <w:rPr>
          <w:lang w:val="en-US"/>
        </w:rPr>
        <w:t>. It should also have senior owners, corporate inventory of AI and risk classification of AI systems. This should include a gap analysis against the UK expectations, EU AI Act, UK GDPR, EU GDPR, MHRA expectations and EMA guidance.</w:t>
      </w:r>
    </w:p>
    <w:p w14:paraId="08B28239" w14:textId="7A8B7991" w:rsidR="00BE5AF2" w:rsidRPr="00F807D1" w:rsidRDefault="00BE5AF2" w:rsidP="00BE5AF2">
      <w:pPr>
        <w:rPr>
          <w:lang w:val="en-US"/>
        </w:rPr>
      </w:pPr>
      <w:r w:rsidRPr="00F807D1">
        <w:rPr>
          <w:lang w:val="en-US"/>
        </w:rPr>
        <w:t xml:space="preserve">The most important take out is knowledge. AstraZeneca can't manage what it doesn't know. The AI inventory should include </w:t>
      </w:r>
      <w:proofErr w:type="spellStart"/>
      <w:r w:rsidRPr="00F807D1">
        <w:rPr>
          <w:lang w:val="en-US"/>
        </w:rPr>
        <w:t>R</w:t>
      </w:r>
      <w:r w:rsidR="001478CE" w:rsidRPr="00F807D1">
        <w:rPr>
          <w:lang w:val="en-US"/>
        </w:rPr>
        <w:t>and</w:t>
      </w:r>
      <w:r w:rsidRPr="00F807D1">
        <w:rPr>
          <w:lang w:val="en-US"/>
        </w:rPr>
        <w:t>D</w:t>
      </w:r>
      <w:proofErr w:type="spellEnd"/>
      <w:r w:rsidRPr="00F807D1">
        <w:rPr>
          <w:lang w:val="en-US"/>
        </w:rPr>
        <w:t xml:space="preserve"> systems, clinical operations systems, commercial analytics systems, HR systems, pharmacovigilance systems, manufacturing systems and corporate systems</w:t>
      </w:r>
      <w:r w:rsidR="003C28FD" w:rsidRPr="00F807D1">
        <w:rPr>
          <w:lang w:val="en-US"/>
        </w:rPr>
        <w:t xml:space="preserve"> (Pharmaceutical Technology, 2025)</w:t>
      </w:r>
      <w:r w:rsidRPr="00F807D1">
        <w:rPr>
          <w:lang w:val="en-US"/>
        </w:rPr>
        <w:t>. Data should include use, data sources, type, owner, country, users and risk.</w:t>
      </w:r>
    </w:p>
    <w:p w14:paraId="1690FE0B" w14:textId="2F0CE3EC" w:rsidR="00E9702B" w:rsidRPr="00F807D1" w:rsidRDefault="00E9702B" w:rsidP="001478CE">
      <w:pPr>
        <w:pStyle w:val="Heading3"/>
        <w:rPr>
          <w:color w:val="auto"/>
        </w:rPr>
      </w:pPr>
      <w:bookmarkStart w:id="32" w:name="_Toc228150046"/>
      <w:r w:rsidRPr="00F807D1">
        <w:rPr>
          <w:color w:val="auto"/>
        </w:rPr>
        <w:lastRenderedPageBreak/>
        <w:t>Phase 2: Build, months 7–18</w:t>
      </w:r>
      <w:bookmarkEnd w:id="32"/>
    </w:p>
    <w:p w14:paraId="338CDD5E" w14:textId="77777777" w:rsidR="00DD6E53" w:rsidRPr="00F807D1" w:rsidRDefault="00DD6E53" w:rsidP="00DD6E53">
      <w:pPr>
        <w:rPr>
          <w:lang w:val="en-US"/>
        </w:rPr>
      </w:pPr>
      <w:r w:rsidRPr="00F807D1">
        <w:rPr>
          <w:lang w:val="en-US"/>
        </w:rPr>
        <w:t>Phase 2 should establish controls. AstraZeneca should enforce risk assessments for AI systems with high impact, model validation processes, explainability, training and policies on allowed tools. AstraZeneca should prohibit employees from using public AI tools to enter confidential, patient or commercial-in-confidence information. Confidentiality and regulatory risks must be avoided from unregulated use of generative AI.</w:t>
      </w:r>
    </w:p>
    <w:p w14:paraId="3E151B9E" w14:textId="482A0761" w:rsidR="00DD6E53" w:rsidRPr="00F807D1" w:rsidRDefault="00DD6E53" w:rsidP="00DD6E53">
      <w:pPr>
        <w:rPr>
          <w:lang w:val="en-US"/>
        </w:rPr>
      </w:pPr>
      <w:r w:rsidRPr="00F807D1">
        <w:rPr>
          <w:lang w:val="en-US"/>
        </w:rPr>
        <w:t>AstraZeneca should also be auditing algorithms. Raji et al. (2020) show auditing must be pre, post and during the lifecycle. AstraZeneca should use pre-deployment testing, post-deployment evaluation and regular evaluation.</w:t>
      </w:r>
    </w:p>
    <w:p w14:paraId="60EB4FA4" w14:textId="598A982D" w:rsidR="00E9702B" w:rsidRPr="00F807D1" w:rsidRDefault="00E9702B" w:rsidP="001478CE">
      <w:pPr>
        <w:pStyle w:val="Heading3"/>
        <w:rPr>
          <w:color w:val="auto"/>
        </w:rPr>
      </w:pPr>
      <w:bookmarkStart w:id="33" w:name="_Toc228150047"/>
      <w:r w:rsidRPr="00F807D1">
        <w:rPr>
          <w:color w:val="auto"/>
        </w:rPr>
        <w:t>Phase 3: Lead, months 19–24</w:t>
      </w:r>
      <w:bookmarkEnd w:id="33"/>
    </w:p>
    <w:p w14:paraId="7816561A" w14:textId="77777777" w:rsidR="00A26711" w:rsidRPr="00F807D1" w:rsidRDefault="00A26711" w:rsidP="00A26711">
      <w:pPr>
        <w:rPr>
          <w:lang w:val="en-US"/>
        </w:rPr>
      </w:pPr>
      <w:r w:rsidRPr="00F807D1">
        <w:rPr>
          <w:lang w:val="en-US"/>
        </w:rPr>
        <w:t>AstraZeneca should lead the way on responsible AI in phase 3. AstraZeneca should publish a Responsible AI and Data Governance Report, and engage in external assurance of high-risk AI, and with regulators. This should also involve patient communication on AI and security controls. Trust should not be sold; it should be earned.</w:t>
      </w:r>
    </w:p>
    <w:p w14:paraId="5560BCAC" w14:textId="0F49D7B2" w:rsidR="00A26711" w:rsidRPr="00F807D1" w:rsidRDefault="00A26711" w:rsidP="00A26711">
      <w:pPr>
        <w:rPr>
          <w:lang w:val="en-US"/>
        </w:rPr>
      </w:pPr>
      <w:r w:rsidRPr="00F807D1">
        <w:rPr>
          <w:noProof/>
          <w:lang w:val="en-US"/>
        </w:rPr>
        <w:drawing>
          <wp:inline distT="0" distB="0" distL="0" distR="0" wp14:anchorId="6CC367C3" wp14:editId="1912EA0D">
            <wp:extent cx="5796280" cy="3191983"/>
            <wp:effectExtent l="19050" t="19050" r="13970" b="27940"/>
            <wp:docPr id="18665572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20967" cy="3205578"/>
                    </a:xfrm>
                    <a:prstGeom prst="rect">
                      <a:avLst/>
                    </a:prstGeom>
                    <a:noFill/>
                    <a:ln>
                      <a:solidFill>
                        <a:schemeClr val="accent1">
                          <a:lumMod val="40000"/>
                          <a:lumOff val="60000"/>
                        </a:schemeClr>
                      </a:solidFill>
                    </a:ln>
                  </pic:spPr>
                </pic:pic>
              </a:graphicData>
            </a:graphic>
          </wp:inline>
        </w:drawing>
      </w:r>
    </w:p>
    <w:p w14:paraId="0E226D48" w14:textId="57981DA8" w:rsidR="00E9702B" w:rsidRPr="00F807D1" w:rsidRDefault="00DD0F0C" w:rsidP="00DD0F0C">
      <w:pPr>
        <w:pStyle w:val="Caption"/>
      </w:pPr>
      <w:r w:rsidRPr="00F807D1">
        <w:rPr>
          <w:b w:val="0"/>
          <w:bCs/>
          <w:lang w:val="en-US"/>
        </w:rPr>
        <w:t xml:space="preserve"> </w:t>
      </w:r>
      <w:r w:rsidRPr="00F807D1">
        <w:t xml:space="preserve">Figure </w:t>
      </w:r>
      <w:r w:rsidRPr="00F807D1">
        <w:fldChar w:fldCharType="begin"/>
      </w:r>
      <w:r w:rsidRPr="00F807D1">
        <w:instrText xml:space="preserve"> SEQ Figure \* ARABIC </w:instrText>
      </w:r>
      <w:r w:rsidRPr="00F807D1">
        <w:fldChar w:fldCharType="separate"/>
      </w:r>
      <w:r w:rsidRPr="00F807D1">
        <w:t>5</w:t>
      </w:r>
      <w:r w:rsidRPr="00F807D1">
        <w:fldChar w:fldCharType="end"/>
      </w:r>
      <w:r w:rsidRPr="00F807D1">
        <w:t>: 24-month implementation roadmap</w:t>
      </w:r>
      <w:r w:rsidR="00A26711" w:rsidRPr="00F807D1">
        <w:t xml:space="preserve"> (Author)</w:t>
      </w:r>
    </w:p>
    <w:p w14:paraId="4319908A" w14:textId="630EFD0F" w:rsidR="00815F17" w:rsidRPr="00F807D1" w:rsidRDefault="00815F17" w:rsidP="00815F17">
      <w:pPr>
        <w:rPr>
          <w:lang w:val="en-ZA"/>
        </w:rPr>
      </w:pPr>
      <w:r w:rsidRPr="00F807D1">
        <w:rPr>
          <w:lang w:val="en-ZA"/>
        </w:rPr>
        <w:t xml:space="preserve">This figure illustrates a planned 24-month timeline for establishing AI governance at AstraZeneca in three phases: Foundation, Build and Lead. The Foundation phase sets up the initial governance arrangements, such as an AI oversight committee, inventory of systems and </w:t>
      </w:r>
      <w:r w:rsidRPr="00F807D1">
        <w:rPr>
          <w:lang w:val="en-ZA"/>
        </w:rPr>
        <w:lastRenderedPageBreak/>
        <w:t>regulatory gap analysis. During the Build phase, controls are implemented through impact assessments, employee training and model validation. The Lead phase focuses on accountability and reporting through external assurance and reporting. In summary, the roadmap shows an evolutionary approach from setting up governance to mature risk management of AI across the organisation, in line with regulatory requirements and business strategy</w:t>
      </w:r>
      <w:r w:rsidR="00E32D68" w:rsidRPr="00F807D1">
        <w:rPr>
          <w:lang w:val="en-ZA"/>
        </w:rPr>
        <w:t xml:space="preserve"> </w:t>
      </w:r>
      <w:r w:rsidR="00E32D68" w:rsidRPr="00F807D1">
        <w:rPr>
          <w:lang w:val="en-US"/>
        </w:rPr>
        <w:t>(Porter, 1979)</w:t>
      </w:r>
      <w:r w:rsidRPr="00F807D1">
        <w:rPr>
          <w:lang w:val="en-ZA"/>
        </w:rPr>
        <w:t>.</w:t>
      </w:r>
    </w:p>
    <w:p w14:paraId="0D4A0DD0" w14:textId="77777777" w:rsidR="00A26711" w:rsidRPr="00F807D1" w:rsidRDefault="00A26711">
      <w:pPr>
        <w:spacing w:before="0" w:after="160" w:line="259" w:lineRule="auto"/>
        <w:jc w:val="left"/>
        <w:rPr>
          <w:rFonts w:eastAsiaTheme="majorEastAsia" w:cstheme="majorBidi"/>
          <w:b/>
          <w:sz w:val="32"/>
          <w:szCs w:val="32"/>
          <w:lang w:val="en-US"/>
        </w:rPr>
      </w:pPr>
      <w:r w:rsidRPr="00F807D1">
        <w:rPr>
          <w:lang w:val="en-US"/>
        </w:rPr>
        <w:br w:type="page"/>
      </w:r>
    </w:p>
    <w:p w14:paraId="59C72697" w14:textId="48FC2CA8" w:rsidR="00E9702B" w:rsidRPr="00F807D1" w:rsidRDefault="00E9702B" w:rsidP="00DD0F0C">
      <w:pPr>
        <w:pStyle w:val="Heading1"/>
        <w:rPr>
          <w:color w:val="auto"/>
          <w:lang w:val="en-US"/>
        </w:rPr>
      </w:pPr>
      <w:bookmarkStart w:id="34" w:name="_Toc228150048"/>
      <w:r w:rsidRPr="00F807D1">
        <w:rPr>
          <w:color w:val="auto"/>
          <w:lang w:val="en-US"/>
        </w:rPr>
        <w:lastRenderedPageBreak/>
        <w:t>Conclusion</w:t>
      </w:r>
      <w:bookmarkEnd w:id="34"/>
    </w:p>
    <w:p w14:paraId="2D6D116D" w14:textId="77777777" w:rsidR="00AC674C" w:rsidRPr="00F807D1" w:rsidRDefault="00AC674C" w:rsidP="00AC674C">
      <w:pPr>
        <w:rPr>
          <w:lang w:val="en-US"/>
        </w:rPr>
      </w:pPr>
      <w:r w:rsidRPr="00F807D1">
        <w:rPr>
          <w:lang w:val="en-US"/>
        </w:rPr>
        <w:t>AI offers AstraZeneca the opportunity to improve research, efficiency and health outcomes. But it comes with risks around patient privacy, bias, explainability, non-compliance with regulatory requirements, cybersecurity, accountability and trust. The take-home message from this report is that AstraZeneca shouldn't think of AI risk solely as an IT issue. It should consider it a board-level capability.</w:t>
      </w:r>
    </w:p>
    <w:p w14:paraId="4C424582" w14:textId="56208C2B" w:rsidR="00AC674C" w:rsidRPr="00F807D1" w:rsidRDefault="00AC674C" w:rsidP="00AC674C">
      <w:pPr>
        <w:rPr>
          <w:lang w:val="en-US"/>
        </w:rPr>
      </w:pPr>
      <w:r w:rsidRPr="00F807D1">
        <w:rPr>
          <w:lang w:val="en-US"/>
        </w:rPr>
        <w:t xml:space="preserve">The UK-EU comparison underscores the need for AstraZeneca to plan for the future. UK offers flexibility in the form of principles-based regulation but it is potentially unclear. EU offers certainty, in the form of the Artificial Intelligence Act but it is more expensive. </w:t>
      </w:r>
      <w:r w:rsidR="00CB3141" w:rsidRPr="00F807D1">
        <w:rPr>
          <w:lang w:val="en-US"/>
        </w:rPr>
        <w:t>So,</w:t>
      </w:r>
      <w:r w:rsidRPr="00F807D1">
        <w:rPr>
          <w:lang w:val="en-US"/>
        </w:rPr>
        <w:t xml:space="preserve"> AstraZeneca must adopt EU norms for AI governance and harness UK flexibility to encourage innovation. This reduces regulatory burden and lays the foundation for global expectations.</w:t>
      </w:r>
    </w:p>
    <w:p w14:paraId="25716DEF" w14:textId="39AE291C" w:rsidR="00AC674C" w:rsidRPr="00F807D1" w:rsidRDefault="00AC674C" w:rsidP="00AC674C">
      <w:pPr>
        <w:rPr>
          <w:lang w:val="en-US"/>
        </w:rPr>
      </w:pPr>
      <w:r w:rsidRPr="00F807D1">
        <w:rPr>
          <w:lang w:val="en-US"/>
        </w:rPr>
        <w:t>The plan for action includes governance, technical and trust leadership. By using an AI inventory, transparency, data governance, audits of algorithms, training in responsible AI, and publishing assurance of responsible AI, AstraZeneca will reduce the risk of legal and reputational damage, while improving its competitive advantage. As with the resource-based view, the greatest opportunity to gain most advantage will not be through AI, but AstraZeneca's ability to integrate AI with trusted data, scientific knowledge, ethical leadership and compliance.</w:t>
      </w:r>
    </w:p>
    <w:p w14:paraId="3D10E6F6" w14:textId="5A895FD8" w:rsidR="00A643B7" w:rsidRPr="00F807D1" w:rsidRDefault="00A643B7" w:rsidP="00A643B7">
      <w:pPr>
        <w:rPr>
          <w:lang w:val="en-US"/>
        </w:rPr>
      </w:pPr>
      <w:r w:rsidRPr="00F807D1">
        <w:rPr>
          <w:lang w:val="en-US"/>
        </w:rPr>
        <w:t>The final recommendation is that AstraZeneca should embed responsible AI into its business strategy and company brand, rather than just viewing it as a regulatory obligation. Trust is critical to the pharmaceutical industry because patients, doctors, regulators and health systems rely on companies to deliver safe, effective and responsibly produced medicines. Here, responsible AI can be a point of difference. By showing that its AI systems are transparent, validated, fair and human-oversighted, AstraZeneca can foster trust among regulators, patients and shareholders.</w:t>
      </w:r>
    </w:p>
    <w:p w14:paraId="58166727" w14:textId="1348CC26" w:rsidR="00E9702B" w:rsidRPr="00F807D1" w:rsidRDefault="00A643B7" w:rsidP="00E9702B">
      <w:pPr>
        <w:rPr>
          <w:lang w:val="en-US"/>
        </w:rPr>
      </w:pPr>
      <w:r w:rsidRPr="00F807D1">
        <w:rPr>
          <w:lang w:val="en-US"/>
        </w:rPr>
        <w:t xml:space="preserve">Responsible AI will also enable innovation by enabling AstraZeneca to harness new technologies in a safe and consistent way. Good governance will </w:t>
      </w:r>
      <w:proofErr w:type="spellStart"/>
      <w:r w:rsidRPr="00F807D1">
        <w:rPr>
          <w:lang w:val="en-US"/>
        </w:rPr>
        <w:t>minimise</w:t>
      </w:r>
      <w:proofErr w:type="spellEnd"/>
      <w:r w:rsidRPr="00F807D1">
        <w:rPr>
          <w:lang w:val="en-US"/>
        </w:rPr>
        <w:t xml:space="preserve"> the risk of discrimination, data quality, regulatory and reputational issues. It also enables quicker decision-making as teams will have guidelines around the use of AI. So, the use of responsible AI should be communicated to the public, patients, employees and regulatory bodies. This would demonstrate that AstraZeneca is using AI to boost efficiency, but also to benefit patients with respect to their rights, safety and trust. </w:t>
      </w:r>
    </w:p>
    <w:p w14:paraId="58F2D956" w14:textId="69D2D3DB" w:rsidR="00020F8F" w:rsidRPr="00F807D1" w:rsidRDefault="00E5024E" w:rsidP="00F514B9">
      <w:pPr>
        <w:pStyle w:val="Heading1"/>
        <w:rPr>
          <w:color w:val="auto"/>
          <w:lang w:val="en-US"/>
        </w:rPr>
      </w:pPr>
      <w:bookmarkStart w:id="35" w:name="_Toc228150049"/>
      <w:r w:rsidRPr="00F807D1">
        <w:rPr>
          <w:color w:val="auto"/>
          <w:lang w:val="en-US"/>
        </w:rPr>
        <w:lastRenderedPageBreak/>
        <w:t>Reference List</w:t>
      </w:r>
      <w:bookmarkEnd w:id="35"/>
    </w:p>
    <w:p w14:paraId="2CC0B633" w14:textId="77777777" w:rsidR="001478CE" w:rsidRPr="00F807D1" w:rsidRDefault="001478CE" w:rsidP="004E44E7">
      <w:pPr>
        <w:ind w:left="720" w:hanging="720"/>
        <w:rPr>
          <w:lang w:val="en-US"/>
        </w:rPr>
      </w:pPr>
      <w:r w:rsidRPr="00F807D1">
        <w:rPr>
          <w:lang w:val="en-US"/>
        </w:rPr>
        <w:t xml:space="preserve">Ahmed, F. A., Gul, S. and Shahzad, S. (2025) ‘Ensuring accountability and transparency in AI-driven corporate governance’, </w:t>
      </w:r>
      <w:r w:rsidRPr="00F807D1">
        <w:rPr>
          <w:i/>
          <w:iCs/>
          <w:lang w:val="en-US"/>
        </w:rPr>
        <w:t>International Journal of Social Sciences Bulletin</w:t>
      </w:r>
      <w:r w:rsidRPr="00F807D1">
        <w:rPr>
          <w:lang w:val="en-US"/>
        </w:rPr>
        <w:t xml:space="preserve">, 3(5), pp. 330–341. </w:t>
      </w:r>
    </w:p>
    <w:p w14:paraId="781A9146" w14:textId="767844BF" w:rsidR="001478CE" w:rsidRPr="00F807D1" w:rsidRDefault="001478CE" w:rsidP="004E44E7">
      <w:pPr>
        <w:ind w:left="720" w:hanging="720"/>
        <w:rPr>
          <w:lang w:val="en-US"/>
        </w:rPr>
      </w:pPr>
      <w:r w:rsidRPr="00F807D1">
        <w:t xml:space="preserve">Askin, S., Burkhalter, D., Calado, G., and El </w:t>
      </w:r>
      <w:proofErr w:type="spellStart"/>
      <w:r w:rsidRPr="00F807D1">
        <w:t>Dakrouni</w:t>
      </w:r>
      <w:proofErr w:type="spellEnd"/>
      <w:r w:rsidRPr="00F807D1">
        <w:t>, S. (2023) Artificial intelligence applied to clinical trials: opportunities and challenges. </w:t>
      </w:r>
      <w:r w:rsidRPr="00F807D1">
        <w:rPr>
          <w:i/>
          <w:iCs/>
        </w:rPr>
        <w:t>Health and technology</w:t>
      </w:r>
      <w:r w:rsidRPr="00F807D1">
        <w:t>, </w:t>
      </w:r>
      <w:r w:rsidRPr="00F807D1">
        <w:rPr>
          <w:i/>
          <w:iCs/>
        </w:rPr>
        <w:t>13</w:t>
      </w:r>
      <w:r w:rsidRPr="00F807D1">
        <w:t>(2), 203-213.</w:t>
      </w:r>
    </w:p>
    <w:p w14:paraId="2E4426F6" w14:textId="77777777" w:rsidR="001478CE" w:rsidRPr="00F807D1" w:rsidRDefault="001478CE" w:rsidP="004E44E7">
      <w:pPr>
        <w:ind w:left="720" w:hanging="720"/>
        <w:rPr>
          <w:lang w:val="en-US"/>
        </w:rPr>
      </w:pPr>
      <w:r w:rsidRPr="00F807D1">
        <w:rPr>
          <w:lang w:val="en-US"/>
        </w:rPr>
        <w:t xml:space="preserve">AstraZeneca (2024) </w:t>
      </w:r>
      <w:r w:rsidRPr="00F807D1">
        <w:rPr>
          <w:i/>
          <w:iCs/>
          <w:lang w:val="en-US"/>
        </w:rPr>
        <w:t>Annual Report 2024</w:t>
      </w:r>
      <w:r w:rsidRPr="00F807D1">
        <w:rPr>
          <w:lang w:val="en-US"/>
        </w:rPr>
        <w:t xml:space="preserve">. Available at: </w:t>
      </w:r>
      <w:hyperlink r:id="rId14" w:tgtFrame="_new" w:history="1">
        <w:r w:rsidRPr="00F807D1">
          <w:rPr>
            <w:rStyle w:val="Hyperlink"/>
            <w:color w:val="auto"/>
            <w:lang w:val="en-US"/>
          </w:rPr>
          <w:t>https://www.astrazeneca.com/content/dam/az/Investor_Relations/annual-report-2024/pdf/AstraZeneca_AR_2024.pdf</w:t>
        </w:r>
      </w:hyperlink>
      <w:r w:rsidRPr="00F807D1">
        <w:rPr>
          <w:lang w:val="en-US"/>
        </w:rPr>
        <w:t xml:space="preserve"> (Accessed: 5 April 2026). </w:t>
      </w:r>
    </w:p>
    <w:p w14:paraId="07978104" w14:textId="77777777" w:rsidR="001478CE" w:rsidRPr="00F807D1" w:rsidRDefault="001478CE" w:rsidP="004E44E7">
      <w:pPr>
        <w:ind w:left="720" w:hanging="720"/>
        <w:rPr>
          <w:lang w:val="en-US"/>
        </w:rPr>
      </w:pPr>
      <w:r w:rsidRPr="00F807D1">
        <w:rPr>
          <w:lang w:val="en-US"/>
        </w:rPr>
        <w:t xml:space="preserve">AstraZeneca (2024) </w:t>
      </w:r>
      <w:r w:rsidRPr="00F807D1">
        <w:rPr>
          <w:i/>
          <w:iCs/>
          <w:lang w:val="en-US"/>
        </w:rPr>
        <w:t>Generative AI in drug discovery and development</w:t>
      </w:r>
      <w:r w:rsidRPr="00F807D1">
        <w:rPr>
          <w:lang w:val="en-US"/>
        </w:rPr>
        <w:t xml:space="preserve">. Available at: </w:t>
      </w:r>
      <w:hyperlink r:id="rId15" w:tgtFrame="_new" w:history="1">
        <w:r w:rsidRPr="00F807D1">
          <w:rPr>
            <w:rStyle w:val="Hyperlink"/>
            <w:color w:val="auto"/>
            <w:lang w:val="en-US"/>
          </w:rPr>
          <w:t>https://www.astrazeneca.com/what-science-can-do/topics/data-science-ai/generative-ai-drug-discovery-development.html</w:t>
        </w:r>
      </w:hyperlink>
      <w:r w:rsidRPr="00F807D1">
        <w:rPr>
          <w:lang w:val="en-US"/>
        </w:rPr>
        <w:t xml:space="preserve"> (Accessed: 5 April 2026).</w:t>
      </w:r>
    </w:p>
    <w:p w14:paraId="5A3D1B2B" w14:textId="77777777" w:rsidR="001478CE" w:rsidRPr="00F807D1" w:rsidRDefault="001478CE" w:rsidP="004E44E7">
      <w:pPr>
        <w:ind w:left="720" w:hanging="720"/>
        <w:rPr>
          <w:lang w:val="en-US"/>
        </w:rPr>
      </w:pPr>
      <w:r w:rsidRPr="00F807D1">
        <w:rPr>
          <w:lang w:val="en-US"/>
        </w:rPr>
        <w:t xml:space="preserve">AstraZeneca (2025) </w:t>
      </w:r>
      <w:r w:rsidRPr="00F807D1">
        <w:rPr>
          <w:i/>
          <w:iCs/>
          <w:lang w:val="en-US"/>
        </w:rPr>
        <w:t>Data and AI ethics</w:t>
      </w:r>
      <w:r w:rsidRPr="00F807D1">
        <w:rPr>
          <w:lang w:val="en-US"/>
        </w:rPr>
        <w:t xml:space="preserve">. Available at: </w:t>
      </w:r>
      <w:hyperlink r:id="rId16" w:tgtFrame="_new" w:history="1">
        <w:r w:rsidRPr="00F807D1">
          <w:rPr>
            <w:rStyle w:val="Hyperlink"/>
            <w:color w:val="auto"/>
            <w:lang w:val="en-US"/>
          </w:rPr>
          <w:t>https://www.astrazeneca.com/sustainability/ethics-compliance/data-and-ai-ethics.html</w:t>
        </w:r>
      </w:hyperlink>
      <w:r w:rsidRPr="00F807D1">
        <w:rPr>
          <w:lang w:val="en-US"/>
        </w:rPr>
        <w:t xml:space="preserve"> (Accessed: 5 April 2026). </w:t>
      </w:r>
    </w:p>
    <w:p w14:paraId="75481A9B" w14:textId="77777777" w:rsidR="001478CE" w:rsidRPr="00F807D1" w:rsidRDefault="001478CE" w:rsidP="004E44E7">
      <w:pPr>
        <w:ind w:left="720" w:hanging="720"/>
        <w:rPr>
          <w:lang w:val="en-US"/>
        </w:rPr>
      </w:pPr>
      <w:r w:rsidRPr="00F807D1">
        <w:rPr>
          <w:lang w:val="en-US"/>
        </w:rPr>
        <w:t xml:space="preserve">AstraZeneca (2025) </w:t>
      </w:r>
      <w:r w:rsidRPr="00F807D1">
        <w:rPr>
          <w:i/>
          <w:iCs/>
          <w:lang w:val="en-US"/>
        </w:rPr>
        <w:t>Unlocking future drug discovery through AI advances</w:t>
      </w:r>
      <w:r w:rsidRPr="00F807D1">
        <w:rPr>
          <w:lang w:val="en-US"/>
        </w:rPr>
        <w:t xml:space="preserve">. Available at: </w:t>
      </w:r>
      <w:hyperlink r:id="rId17" w:tgtFrame="_new" w:history="1">
        <w:r w:rsidRPr="00F807D1">
          <w:rPr>
            <w:rStyle w:val="Hyperlink"/>
            <w:color w:val="auto"/>
            <w:lang w:val="en-US"/>
          </w:rPr>
          <w:t>https://www.astrazeneca.com/what-science-can-do/topics/data-science-ai/unlocking-future-drug-discovery-through-AI-advances.html</w:t>
        </w:r>
      </w:hyperlink>
      <w:r w:rsidRPr="00F807D1">
        <w:rPr>
          <w:lang w:val="en-US"/>
        </w:rPr>
        <w:t xml:space="preserve"> (Accessed: 5 April 2026). </w:t>
      </w:r>
    </w:p>
    <w:p w14:paraId="6A31B247" w14:textId="77777777" w:rsidR="001478CE" w:rsidRPr="00F807D1" w:rsidRDefault="001478CE" w:rsidP="004E44E7">
      <w:pPr>
        <w:ind w:left="720" w:hanging="720"/>
        <w:rPr>
          <w:lang w:val="en-US"/>
        </w:rPr>
      </w:pPr>
      <w:r w:rsidRPr="00F807D1">
        <w:rPr>
          <w:lang w:val="en-US"/>
        </w:rPr>
        <w:t xml:space="preserve">AstraZeneca (2026) </w:t>
      </w:r>
      <w:r w:rsidRPr="00F807D1">
        <w:rPr>
          <w:i/>
          <w:iCs/>
          <w:lang w:val="en-US"/>
        </w:rPr>
        <w:t>Clinical trials</w:t>
      </w:r>
      <w:r w:rsidRPr="00F807D1">
        <w:rPr>
          <w:lang w:val="en-US"/>
        </w:rPr>
        <w:t xml:space="preserve">. Available at: </w:t>
      </w:r>
      <w:hyperlink r:id="rId18" w:tgtFrame="_new" w:history="1">
        <w:r w:rsidRPr="00F807D1">
          <w:rPr>
            <w:rStyle w:val="Hyperlink"/>
            <w:color w:val="auto"/>
            <w:lang w:val="en-US"/>
          </w:rPr>
          <w:t>https://www.astrazenecaclinicaltrials.com/</w:t>
        </w:r>
      </w:hyperlink>
      <w:r w:rsidRPr="00F807D1">
        <w:rPr>
          <w:lang w:val="en-US"/>
        </w:rPr>
        <w:t xml:space="preserve"> (Accessed: 5 April 2026). </w:t>
      </w:r>
    </w:p>
    <w:p w14:paraId="0F91454F" w14:textId="77777777" w:rsidR="001478CE" w:rsidRPr="00F807D1" w:rsidRDefault="001478CE" w:rsidP="004E44E7">
      <w:pPr>
        <w:ind w:left="720" w:hanging="720"/>
        <w:rPr>
          <w:lang w:val="en-US"/>
        </w:rPr>
      </w:pPr>
      <w:r w:rsidRPr="00F807D1">
        <w:rPr>
          <w:lang w:val="en-US"/>
        </w:rPr>
        <w:t xml:space="preserve">AstraZeneca (2026) </w:t>
      </w:r>
      <w:r w:rsidRPr="00F807D1">
        <w:rPr>
          <w:i/>
          <w:iCs/>
          <w:lang w:val="en-US"/>
        </w:rPr>
        <w:t>Data science and AI</w:t>
      </w:r>
      <w:r w:rsidRPr="00F807D1">
        <w:rPr>
          <w:lang w:val="en-US"/>
        </w:rPr>
        <w:t xml:space="preserve">. Available at: </w:t>
      </w:r>
      <w:hyperlink r:id="rId19" w:tgtFrame="_new" w:history="1">
        <w:r w:rsidRPr="00F807D1">
          <w:rPr>
            <w:rStyle w:val="Hyperlink"/>
            <w:color w:val="auto"/>
            <w:lang w:val="en-US"/>
          </w:rPr>
          <w:t>https://www.astrazeneca.com/r-d/data-science-and-ai.html</w:t>
        </w:r>
      </w:hyperlink>
      <w:r w:rsidRPr="00F807D1">
        <w:rPr>
          <w:lang w:val="en-US"/>
        </w:rPr>
        <w:t xml:space="preserve"> (Accessed: 5 April 2026). </w:t>
      </w:r>
    </w:p>
    <w:p w14:paraId="531C904F" w14:textId="77777777" w:rsidR="001478CE" w:rsidRPr="00F807D1" w:rsidRDefault="001478CE" w:rsidP="004E44E7">
      <w:pPr>
        <w:ind w:left="720" w:hanging="720"/>
        <w:rPr>
          <w:lang w:val="en-US"/>
        </w:rPr>
      </w:pPr>
      <w:r w:rsidRPr="00F807D1">
        <w:rPr>
          <w:lang w:val="en-US"/>
        </w:rPr>
        <w:t xml:space="preserve">AstraZeneca (2026) </w:t>
      </w:r>
      <w:r w:rsidRPr="00F807D1">
        <w:rPr>
          <w:i/>
          <w:iCs/>
          <w:lang w:val="en-US"/>
        </w:rPr>
        <w:t>Sustainability resources</w:t>
      </w:r>
      <w:r w:rsidRPr="00F807D1">
        <w:rPr>
          <w:lang w:val="en-US"/>
        </w:rPr>
        <w:t xml:space="preserve">. Available at: </w:t>
      </w:r>
      <w:hyperlink r:id="rId20" w:tgtFrame="_new" w:history="1">
        <w:r w:rsidRPr="00F807D1">
          <w:rPr>
            <w:rStyle w:val="Hyperlink"/>
            <w:color w:val="auto"/>
            <w:lang w:val="en-US"/>
          </w:rPr>
          <w:t>https://www.astrazeneca.com/sustainability/resources.html</w:t>
        </w:r>
      </w:hyperlink>
      <w:r w:rsidRPr="00F807D1">
        <w:rPr>
          <w:lang w:val="en-US"/>
        </w:rPr>
        <w:t xml:space="preserve"> (Accessed: 5 April 2026). </w:t>
      </w:r>
    </w:p>
    <w:p w14:paraId="09D911C6" w14:textId="77777777" w:rsidR="001478CE" w:rsidRPr="00F807D1" w:rsidRDefault="001478CE" w:rsidP="004E44E7">
      <w:pPr>
        <w:ind w:left="720" w:hanging="720"/>
        <w:rPr>
          <w:lang w:val="en-US"/>
        </w:rPr>
      </w:pPr>
      <w:r w:rsidRPr="00F807D1">
        <w:rPr>
          <w:lang w:val="en-US"/>
        </w:rPr>
        <w:t xml:space="preserve">Barney, J. (1991) ‘Firm resources and sustained competitive advantage’, </w:t>
      </w:r>
      <w:r w:rsidRPr="00F807D1">
        <w:rPr>
          <w:i/>
          <w:iCs/>
          <w:lang w:val="en-US"/>
        </w:rPr>
        <w:t>Journal of Management</w:t>
      </w:r>
      <w:r w:rsidRPr="00F807D1">
        <w:rPr>
          <w:lang w:val="en-US"/>
        </w:rPr>
        <w:t xml:space="preserve">, 17(1), pp. 99–120. </w:t>
      </w:r>
    </w:p>
    <w:p w14:paraId="678BA20F" w14:textId="77777777" w:rsidR="001478CE" w:rsidRPr="00F807D1" w:rsidRDefault="001478CE" w:rsidP="004E44E7">
      <w:pPr>
        <w:ind w:left="720" w:hanging="720"/>
        <w:rPr>
          <w:lang w:val="en-US"/>
        </w:rPr>
      </w:pPr>
      <w:r w:rsidRPr="00F807D1">
        <w:rPr>
          <w:lang w:val="en-US"/>
        </w:rPr>
        <w:t xml:space="preserve">Bradford, A. (2020) </w:t>
      </w:r>
      <w:r w:rsidRPr="00F807D1">
        <w:rPr>
          <w:i/>
          <w:iCs/>
          <w:lang w:val="en-US"/>
        </w:rPr>
        <w:t>The Brussels Effect: How the European Union Rules the World</w:t>
      </w:r>
      <w:r w:rsidRPr="00F807D1">
        <w:rPr>
          <w:lang w:val="en-US"/>
        </w:rPr>
        <w:t xml:space="preserve">. Oxford: Oxford University Press. </w:t>
      </w:r>
    </w:p>
    <w:p w14:paraId="72D4FE13" w14:textId="77777777" w:rsidR="001478CE" w:rsidRPr="00F807D1" w:rsidRDefault="001478CE" w:rsidP="004E44E7">
      <w:pPr>
        <w:ind w:left="720" w:hanging="720"/>
        <w:rPr>
          <w:lang w:val="en-US"/>
        </w:rPr>
      </w:pPr>
      <w:r w:rsidRPr="00F807D1">
        <w:rPr>
          <w:lang w:val="en-US"/>
        </w:rPr>
        <w:t xml:space="preserve">Brynjolfsson, E., Li, D. and Raymond, L. (2025) ‘Generative AI at work’, </w:t>
      </w:r>
      <w:r w:rsidRPr="00F807D1">
        <w:rPr>
          <w:i/>
          <w:iCs/>
          <w:lang w:val="en-US"/>
        </w:rPr>
        <w:t>The Quarterly Journal of Economics</w:t>
      </w:r>
      <w:r w:rsidRPr="00F807D1">
        <w:rPr>
          <w:lang w:val="en-US"/>
        </w:rPr>
        <w:t xml:space="preserve">, 140(2), pp. 889–942. </w:t>
      </w:r>
    </w:p>
    <w:p w14:paraId="70241CEE" w14:textId="77777777" w:rsidR="001478CE" w:rsidRPr="00F807D1" w:rsidRDefault="001478CE" w:rsidP="004E44E7">
      <w:pPr>
        <w:ind w:left="720" w:hanging="720"/>
        <w:rPr>
          <w:lang w:val="en-US"/>
        </w:rPr>
      </w:pPr>
      <w:r w:rsidRPr="00F807D1">
        <w:rPr>
          <w:lang w:val="en-US"/>
        </w:rPr>
        <w:lastRenderedPageBreak/>
        <w:t xml:space="preserve">Cerutti, E., Cerutti, M. E. M., Pascual, A. I. G., Kido, Y., Li, L., Melina, M. G., et al. (2025) </w:t>
      </w:r>
      <w:r w:rsidRPr="00F807D1">
        <w:rPr>
          <w:i/>
          <w:iCs/>
          <w:lang w:val="en-US"/>
        </w:rPr>
        <w:t>The Global Impact of AI: Mind the Gap</w:t>
      </w:r>
      <w:r w:rsidRPr="00F807D1">
        <w:rPr>
          <w:lang w:val="en-US"/>
        </w:rPr>
        <w:t xml:space="preserve">. International Monetary Fund. </w:t>
      </w:r>
    </w:p>
    <w:p w14:paraId="3476C462" w14:textId="77777777" w:rsidR="001478CE" w:rsidRPr="00F807D1" w:rsidRDefault="001478CE" w:rsidP="004E44E7">
      <w:pPr>
        <w:ind w:left="720" w:hanging="720"/>
        <w:rPr>
          <w:lang w:val="en-US"/>
        </w:rPr>
      </w:pPr>
      <w:r w:rsidRPr="00F807D1">
        <w:rPr>
          <w:lang w:val="en-US"/>
        </w:rPr>
        <w:t xml:space="preserve">CTO Magazine (2026) </w:t>
      </w:r>
      <w:r w:rsidRPr="00F807D1">
        <w:rPr>
          <w:i/>
          <w:iCs/>
          <w:lang w:val="en-US"/>
        </w:rPr>
        <w:t>AstraZeneca AI strategy: Harnessing AI for smarter science</w:t>
      </w:r>
      <w:r w:rsidRPr="00F807D1">
        <w:rPr>
          <w:lang w:val="en-US"/>
        </w:rPr>
        <w:t xml:space="preserve">. Available at: </w:t>
      </w:r>
      <w:hyperlink r:id="rId21" w:tgtFrame="_new" w:history="1">
        <w:r w:rsidRPr="00F807D1">
          <w:rPr>
            <w:rStyle w:val="Hyperlink"/>
            <w:color w:val="auto"/>
            <w:lang w:val="en-US"/>
          </w:rPr>
          <w:t>https://ctomagazine.com/astrazeneca-ai-strategy-harnessing-ai-for-smarter-science/</w:t>
        </w:r>
      </w:hyperlink>
      <w:r w:rsidRPr="00F807D1">
        <w:rPr>
          <w:lang w:val="en-US"/>
        </w:rPr>
        <w:t xml:space="preserve"> (Accessed: 5 April 2026). </w:t>
      </w:r>
    </w:p>
    <w:p w14:paraId="4B58A90F" w14:textId="77777777" w:rsidR="001478CE" w:rsidRPr="00F807D1" w:rsidRDefault="001478CE" w:rsidP="004E44E7">
      <w:pPr>
        <w:ind w:left="720" w:hanging="720"/>
        <w:rPr>
          <w:lang w:val="en-US"/>
        </w:rPr>
      </w:pPr>
      <w:r w:rsidRPr="00F807D1">
        <w:rPr>
          <w:lang w:val="en-US"/>
        </w:rPr>
        <w:t xml:space="preserve">Davenport, T. H. and </w:t>
      </w:r>
      <w:proofErr w:type="spellStart"/>
      <w:r w:rsidRPr="00F807D1">
        <w:rPr>
          <w:lang w:val="en-US"/>
        </w:rPr>
        <w:t>Ronanki</w:t>
      </w:r>
      <w:proofErr w:type="spellEnd"/>
      <w:r w:rsidRPr="00F807D1">
        <w:rPr>
          <w:lang w:val="en-US"/>
        </w:rPr>
        <w:t xml:space="preserve">, R. (2018) ‘Artificial intelligence for the real world’, </w:t>
      </w:r>
      <w:r w:rsidRPr="00F807D1">
        <w:rPr>
          <w:i/>
          <w:iCs/>
          <w:lang w:val="en-US"/>
        </w:rPr>
        <w:t>Harvard Business Review</w:t>
      </w:r>
      <w:r w:rsidRPr="00F807D1">
        <w:rPr>
          <w:lang w:val="en-US"/>
        </w:rPr>
        <w:t xml:space="preserve">, 96(1), pp. 108–116. </w:t>
      </w:r>
    </w:p>
    <w:p w14:paraId="235A8CE7" w14:textId="77777777" w:rsidR="001478CE" w:rsidRPr="00F807D1" w:rsidRDefault="001478CE" w:rsidP="004E44E7">
      <w:pPr>
        <w:ind w:left="720" w:hanging="720"/>
        <w:rPr>
          <w:lang w:val="en-US"/>
        </w:rPr>
      </w:pPr>
      <w:r w:rsidRPr="00F807D1">
        <w:rPr>
          <w:lang w:val="en-US"/>
        </w:rPr>
        <w:t xml:space="preserve">DiMaggio, P. J. and Powell, W. W. (1983) ‘The iron cage revisited: Institutional isomorphism and collective rationality in organizational fields’, </w:t>
      </w:r>
      <w:r w:rsidRPr="00F807D1">
        <w:rPr>
          <w:i/>
          <w:iCs/>
          <w:lang w:val="en-US"/>
        </w:rPr>
        <w:t>American Sociological Review</w:t>
      </w:r>
      <w:r w:rsidRPr="00F807D1">
        <w:rPr>
          <w:lang w:val="en-US"/>
        </w:rPr>
        <w:t xml:space="preserve">, 48(2), pp. 147–160. </w:t>
      </w:r>
    </w:p>
    <w:p w14:paraId="63DC3556" w14:textId="77777777" w:rsidR="001478CE" w:rsidRPr="00F807D1" w:rsidRDefault="001478CE" w:rsidP="004E44E7">
      <w:pPr>
        <w:ind w:left="720" w:hanging="720"/>
        <w:rPr>
          <w:lang w:val="en-US"/>
        </w:rPr>
      </w:pPr>
      <w:proofErr w:type="spellStart"/>
      <w:r w:rsidRPr="00F807D1">
        <w:rPr>
          <w:lang w:val="en-US"/>
        </w:rPr>
        <w:t>Ducloux-Baudinière</w:t>
      </w:r>
      <w:proofErr w:type="spellEnd"/>
      <w:r w:rsidRPr="00F807D1">
        <w:rPr>
          <w:lang w:val="en-US"/>
        </w:rPr>
        <w:t xml:space="preserve">, J. and </w:t>
      </w:r>
      <w:proofErr w:type="spellStart"/>
      <w:r w:rsidRPr="00F807D1">
        <w:rPr>
          <w:lang w:val="en-US"/>
        </w:rPr>
        <w:t>Jallat</w:t>
      </w:r>
      <w:proofErr w:type="spellEnd"/>
      <w:r w:rsidRPr="00F807D1">
        <w:rPr>
          <w:lang w:val="en-US"/>
        </w:rPr>
        <w:t xml:space="preserve">, F. (2024) </w:t>
      </w:r>
      <w:r w:rsidRPr="00F807D1">
        <w:rPr>
          <w:i/>
          <w:iCs/>
          <w:lang w:val="en-US"/>
        </w:rPr>
        <w:t>The impact of artificial intelligence on the transformation and optimization of drug launches: How executives from the health industry perceive the ongoing revolution</w:t>
      </w:r>
      <w:r w:rsidRPr="00F807D1">
        <w:rPr>
          <w:lang w:val="en-US"/>
        </w:rPr>
        <w:t xml:space="preserve">. </w:t>
      </w:r>
    </w:p>
    <w:p w14:paraId="11F6FFA8" w14:textId="77777777" w:rsidR="001478CE" w:rsidRPr="00F807D1" w:rsidRDefault="001478CE" w:rsidP="004E44E7">
      <w:pPr>
        <w:ind w:left="720" w:hanging="720"/>
        <w:rPr>
          <w:lang w:val="en-US"/>
        </w:rPr>
      </w:pPr>
      <w:proofErr w:type="spellStart"/>
      <w:r w:rsidRPr="00F807D1">
        <w:rPr>
          <w:lang w:val="en-US"/>
        </w:rPr>
        <w:t>Emerj</w:t>
      </w:r>
      <w:proofErr w:type="spellEnd"/>
      <w:r w:rsidRPr="00F807D1">
        <w:rPr>
          <w:lang w:val="en-US"/>
        </w:rPr>
        <w:t xml:space="preserve"> (2024) </w:t>
      </w:r>
      <w:r w:rsidRPr="00F807D1">
        <w:rPr>
          <w:i/>
          <w:iCs/>
          <w:lang w:val="en-US"/>
        </w:rPr>
        <w:t>Artificial intelligence at AstraZeneca</w:t>
      </w:r>
      <w:r w:rsidRPr="00F807D1">
        <w:rPr>
          <w:lang w:val="en-US"/>
        </w:rPr>
        <w:t xml:space="preserve">. Available at: </w:t>
      </w:r>
      <w:hyperlink r:id="rId22" w:tgtFrame="_new" w:history="1">
        <w:r w:rsidRPr="00F807D1">
          <w:rPr>
            <w:rStyle w:val="Hyperlink"/>
            <w:color w:val="auto"/>
            <w:lang w:val="en-US"/>
          </w:rPr>
          <w:t>https://emerj.com/artificial-intelligence-at-astrazeneca/</w:t>
        </w:r>
      </w:hyperlink>
      <w:r w:rsidRPr="00F807D1">
        <w:rPr>
          <w:lang w:val="en-US"/>
        </w:rPr>
        <w:t xml:space="preserve"> (Accessed: 5 April 2026). </w:t>
      </w:r>
    </w:p>
    <w:p w14:paraId="4BBA9A96" w14:textId="77777777" w:rsidR="001478CE" w:rsidRPr="00F807D1" w:rsidRDefault="001478CE" w:rsidP="004E44E7">
      <w:pPr>
        <w:ind w:left="720" w:hanging="720"/>
        <w:rPr>
          <w:lang w:val="en-US"/>
        </w:rPr>
      </w:pPr>
      <w:r w:rsidRPr="00F807D1">
        <w:rPr>
          <w:lang w:val="en-US"/>
        </w:rPr>
        <w:t xml:space="preserve">Eterafi, M., Fouladi, N., </w:t>
      </w:r>
      <w:proofErr w:type="spellStart"/>
      <w:r w:rsidRPr="00F807D1">
        <w:rPr>
          <w:lang w:val="en-US"/>
        </w:rPr>
        <w:t>Amanzadeh</w:t>
      </w:r>
      <w:proofErr w:type="spellEnd"/>
      <w:r w:rsidRPr="00F807D1">
        <w:rPr>
          <w:lang w:val="en-US"/>
        </w:rPr>
        <w:t xml:space="preserve">, M., Mohammadnia, A. and Safarzadeh, E. (2025) ‘A data-driven machine learning framework to predict side effects of AstraZeneca and Sinopharm COVID-19 vaccines’, </w:t>
      </w:r>
      <w:r w:rsidRPr="00F807D1">
        <w:rPr>
          <w:i/>
          <w:iCs/>
          <w:lang w:val="en-US"/>
        </w:rPr>
        <w:t>Scientific Reports</w:t>
      </w:r>
      <w:r w:rsidRPr="00F807D1">
        <w:rPr>
          <w:lang w:val="en-US"/>
        </w:rPr>
        <w:t xml:space="preserve">, 15(1), 40687. </w:t>
      </w:r>
    </w:p>
    <w:p w14:paraId="50C93C11" w14:textId="77777777" w:rsidR="001478CE" w:rsidRPr="00F807D1" w:rsidRDefault="001478CE" w:rsidP="004E44E7">
      <w:pPr>
        <w:ind w:left="720" w:hanging="720"/>
        <w:rPr>
          <w:lang w:val="en-US"/>
        </w:rPr>
      </w:pPr>
      <w:r w:rsidRPr="00F807D1">
        <w:rPr>
          <w:lang w:val="en-US"/>
        </w:rPr>
        <w:t xml:space="preserve">European Parliament (2024) </w:t>
      </w:r>
      <w:r w:rsidRPr="00F807D1">
        <w:rPr>
          <w:i/>
          <w:iCs/>
          <w:lang w:val="en-US"/>
        </w:rPr>
        <w:t>Artificial Intelligence Act</w:t>
      </w:r>
      <w:r w:rsidRPr="00F807D1">
        <w:rPr>
          <w:lang w:val="en-US"/>
        </w:rPr>
        <w:t xml:space="preserve">. Available at: </w:t>
      </w:r>
      <w:hyperlink r:id="rId23" w:tgtFrame="_new" w:history="1">
        <w:r w:rsidRPr="00F807D1">
          <w:rPr>
            <w:rStyle w:val="Hyperlink"/>
            <w:color w:val="auto"/>
            <w:lang w:val="en-US"/>
          </w:rPr>
          <w:t>https://artificialintelligenceact.eu/wp-content/uploads/2024/04/TA-9-2024-0138_EN.pdf</w:t>
        </w:r>
      </w:hyperlink>
      <w:r w:rsidRPr="00F807D1">
        <w:rPr>
          <w:lang w:val="en-US"/>
        </w:rPr>
        <w:t xml:space="preserve"> (Accessed: 16 April 2026). </w:t>
      </w:r>
    </w:p>
    <w:p w14:paraId="53122E44" w14:textId="77777777" w:rsidR="001478CE" w:rsidRPr="00F807D1" w:rsidRDefault="001478CE" w:rsidP="004E44E7">
      <w:pPr>
        <w:ind w:left="720" w:hanging="720"/>
        <w:rPr>
          <w:lang w:val="en-US"/>
        </w:rPr>
      </w:pPr>
      <w:proofErr w:type="spellStart"/>
      <w:r w:rsidRPr="00F807D1">
        <w:rPr>
          <w:lang w:val="en-US"/>
        </w:rPr>
        <w:t>Floridi</w:t>
      </w:r>
      <w:proofErr w:type="spellEnd"/>
      <w:r w:rsidRPr="00F807D1">
        <w:rPr>
          <w:lang w:val="en-US"/>
        </w:rPr>
        <w:t xml:space="preserve">, L. (2021) ‘Establishing the rules for building trustworthy AI’, in </w:t>
      </w:r>
      <w:r w:rsidRPr="00F807D1">
        <w:rPr>
          <w:i/>
          <w:iCs/>
          <w:lang w:val="en-US"/>
        </w:rPr>
        <w:t>Ethics, Governance, and Policies in Artificial Intelligence</w:t>
      </w:r>
      <w:r w:rsidRPr="00F807D1">
        <w:rPr>
          <w:lang w:val="en-US"/>
        </w:rPr>
        <w:t xml:space="preserve">. Cham: Springer International Publishing, pp. 41–45. </w:t>
      </w:r>
    </w:p>
    <w:p w14:paraId="7B85DB97" w14:textId="77777777" w:rsidR="001478CE" w:rsidRPr="00F807D1" w:rsidRDefault="001478CE" w:rsidP="004E44E7">
      <w:pPr>
        <w:ind w:left="720" w:hanging="720"/>
        <w:rPr>
          <w:lang w:val="en-US"/>
        </w:rPr>
      </w:pPr>
      <w:proofErr w:type="spellStart"/>
      <w:r w:rsidRPr="00F807D1">
        <w:rPr>
          <w:lang w:val="en-US"/>
        </w:rPr>
        <w:t>Floridi</w:t>
      </w:r>
      <w:proofErr w:type="spellEnd"/>
      <w:r w:rsidRPr="00F807D1">
        <w:rPr>
          <w:lang w:val="en-US"/>
        </w:rPr>
        <w:t xml:space="preserve">, L., Cowls, J., </w:t>
      </w:r>
      <w:proofErr w:type="spellStart"/>
      <w:r w:rsidRPr="00F807D1">
        <w:rPr>
          <w:lang w:val="en-US"/>
        </w:rPr>
        <w:t>Beltrametti</w:t>
      </w:r>
      <w:proofErr w:type="spellEnd"/>
      <w:r w:rsidRPr="00F807D1">
        <w:rPr>
          <w:lang w:val="en-US"/>
        </w:rPr>
        <w:t xml:space="preserve">, M., Chatila, R., </w:t>
      </w:r>
      <w:proofErr w:type="spellStart"/>
      <w:r w:rsidRPr="00F807D1">
        <w:rPr>
          <w:lang w:val="en-US"/>
        </w:rPr>
        <w:t>Chazerand</w:t>
      </w:r>
      <w:proofErr w:type="spellEnd"/>
      <w:r w:rsidRPr="00F807D1">
        <w:rPr>
          <w:lang w:val="en-US"/>
        </w:rPr>
        <w:t xml:space="preserve">, P., Dignum, V., et al. (2018) ‘AI4People—An ethical framework for a good AI society: Opportunities, risks, principles, and recommendations’, </w:t>
      </w:r>
      <w:r w:rsidRPr="00F807D1">
        <w:rPr>
          <w:i/>
          <w:iCs/>
          <w:lang w:val="en-US"/>
        </w:rPr>
        <w:t>Minds and Machines</w:t>
      </w:r>
      <w:r w:rsidRPr="00F807D1">
        <w:rPr>
          <w:lang w:val="en-US"/>
        </w:rPr>
        <w:t xml:space="preserve">, 28(4), pp. 689–707. </w:t>
      </w:r>
    </w:p>
    <w:p w14:paraId="5946177B" w14:textId="77777777" w:rsidR="001478CE" w:rsidRPr="00F807D1" w:rsidRDefault="001478CE" w:rsidP="004E44E7">
      <w:pPr>
        <w:ind w:left="720" w:hanging="720"/>
        <w:rPr>
          <w:lang w:val="en-US"/>
        </w:rPr>
      </w:pPr>
      <w:r w:rsidRPr="00F807D1">
        <w:rPr>
          <w:lang w:val="en-US"/>
        </w:rPr>
        <w:t xml:space="preserve">Freeman, R. E. (2010) </w:t>
      </w:r>
      <w:r w:rsidRPr="00F807D1">
        <w:rPr>
          <w:i/>
          <w:iCs/>
          <w:lang w:val="en-US"/>
        </w:rPr>
        <w:t>Strategic Management: A Stakeholder Approach</w:t>
      </w:r>
      <w:r w:rsidRPr="00F807D1">
        <w:rPr>
          <w:lang w:val="en-US"/>
        </w:rPr>
        <w:t xml:space="preserve">. Cambridge: Cambridge University Press. </w:t>
      </w:r>
    </w:p>
    <w:p w14:paraId="70FFAB9D" w14:textId="77777777" w:rsidR="001478CE" w:rsidRPr="00F807D1" w:rsidRDefault="001478CE" w:rsidP="004E44E7">
      <w:pPr>
        <w:ind w:left="720" w:hanging="720"/>
        <w:rPr>
          <w:lang w:val="en-US"/>
        </w:rPr>
      </w:pPr>
      <w:r w:rsidRPr="00F807D1">
        <w:rPr>
          <w:lang w:val="en-US"/>
        </w:rPr>
        <w:lastRenderedPageBreak/>
        <w:t xml:space="preserve">Ghiandoni, G. M., Evertsson, E., Riley, D. J., </w:t>
      </w:r>
      <w:proofErr w:type="spellStart"/>
      <w:r w:rsidRPr="00F807D1">
        <w:rPr>
          <w:lang w:val="en-US"/>
        </w:rPr>
        <w:t>Tyrchan</w:t>
      </w:r>
      <w:proofErr w:type="spellEnd"/>
      <w:r w:rsidRPr="00F807D1">
        <w:rPr>
          <w:lang w:val="en-US"/>
        </w:rPr>
        <w:t xml:space="preserve">, C. and Rathi, P. C. (2024) ‘Augmenting DMTA using predictive AI modelling at AstraZeneca’, </w:t>
      </w:r>
      <w:r w:rsidRPr="00F807D1">
        <w:rPr>
          <w:i/>
          <w:iCs/>
          <w:lang w:val="en-US"/>
        </w:rPr>
        <w:t>Drug Discovery Today</w:t>
      </w:r>
      <w:r w:rsidRPr="00F807D1">
        <w:rPr>
          <w:lang w:val="en-US"/>
        </w:rPr>
        <w:t xml:space="preserve">, 29(4), 103945. </w:t>
      </w:r>
    </w:p>
    <w:p w14:paraId="1B678F63" w14:textId="77777777" w:rsidR="001478CE" w:rsidRPr="00F807D1" w:rsidRDefault="001478CE" w:rsidP="004E44E7">
      <w:pPr>
        <w:ind w:left="720" w:hanging="720"/>
        <w:rPr>
          <w:lang w:val="en-US"/>
        </w:rPr>
      </w:pPr>
      <w:r w:rsidRPr="00F807D1">
        <w:rPr>
          <w:lang w:val="en-US"/>
        </w:rPr>
        <w:t xml:space="preserve">Information Commissioner’s Office (2023) </w:t>
      </w:r>
      <w:r w:rsidRPr="00F807D1">
        <w:rPr>
          <w:i/>
          <w:iCs/>
          <w:lang w:val="en-US"/>
        </w:rPr>
        <w:t>Explaining decisions made with artificial intelligence</w:t>
      </w:r>
      <w:r w:rsidRPr="00F807D1">
        <w:rPr>
          <w:lang w:val="en-US"/>
        </w:rPr>
        <w:t xml:space="preserve">. Available at: </w:t>
      </w:r>
      <w:hyperlink r:id="rId24" w:tgtFrame="_new" w:history="1">
        <w:r w:rsidRPr="00F807D1">
          <w:rPr>
            <w:rStyle w:val="Hyperlink"/>
            <w:color w:val="auto"/>
            <w:lang w:val="en-US"/>
          </w:rPr>
          <w:t>https://ico.org.uk/for-organisations/uk-gdpr-guidance-and-resources/artificial-intelligence/explaining-decisions-made-with-artificial-intelligence/</w:t>
        </w:r>
      </w:hyperlink>
      <w:r w:rsidRPr="00F807D1">
        <w:rPr>
          <w:lang w:val="en-US"/>
        </w:rPr>
        <w:t xml:space="preserve"> (Accessed: 5 April 2026). </w:t>
      </w:r>
    </w:p>
    <w:p w14:paraId="6EF48B6C" w14:textId="77777777" w:rsidR="001478CE" w:rsidRPr="00F807D1" w:rsidRDefault="001478CE" w:rsidP="004E44E7">
      <w:pPr>
        <w:ind w:left="720" w:hanging="720"/>
        <w:rPr>
          <w:lang w:val="en-US"/>
        </w:rPr>
      </w:pPr>
      <w:r w:rsidRPr="00F807D1">
        <w:rPr>
          <w:lang w:val="en-US"/>
        </w:rPr>
        <w:t xml:space="preserve">Information Commissioner’s Office (2023) </w:t>
      </w:r>
      <w:r w:rsidRPr="00F807D1">
        <w:rPr>
          <w:i/>
          <w:iCs/>
          <w:lang w:val="en-US"/>
        </w:rPr>
        <w:t>Rights related to automated decision-making including profiling</w:t>
      </w:r>
      <w:r w:rsidRPr="00F807D1">
        <w:rPr>
          <w:lang w:val="en-US"/>
        </w:rPr>
        <w:t xml:space="preserve">. Available at: </w:t>
      </w:r>
      <w:hyperlink r:id="rId25" w:tgtFrame="_new" w:history="1">
        <w:r w:rsidRPr="00F807D1">
          <w:rPr>
            <w:rStyle w:val="Hyperlink"/>
            <w:color w:val="auto"/>
            <w:lang w:val="en-US"/>
          </w:rPr>
          <w:t>https://ico.org.uk/for-organisations/uk-gdpr-guidance-and-resources/individual-rights/individual-rights/rights-related-to-automated-decision-making-including-profiling/</w:t>
        </w:r>
      </w:hyperlink>
      <w:r w:rsidRPr="00F807D1">
        <w:rPr>
          <w:lang w:val="en-US"/>
        </w:rPr>
        <w:t xml:space="preserve"> (Accessed: 5 April 2026). </w:t>
      </w:r>
    </w:p>
    <w:p w14:paraId="3695B2DC" w14:textId="77777777" w:rsidR="001478CE" w:rsidRPr="00F807D1" w:rsidRDefault="001478CE" w:rsidP="004E44E7">
      <w:pPr>
        <w:ind w:left="720" w:hanging="720"/>
        <w:rPr>
          <w:lang w:val="en-US"/>
        </w:rPr>
      </w:pPr>
      <w:r w:rsidRPr="00F807D1">
        <w:rPr>
          <w:lang w:val="en-US"/>
        </w:rPr>
        <w:t xml:space="preserve">Jobin, A., Ienca, M. and </w:t>
      </w:r>
      <w:proofErr w:type="spellStart"/>
      <w:r w:rsidRPr="00F807D1">
        <w:rPr>
          <w:lang w:val="en-US"/>
        </w:rPr>
        <w:t>Vayena</w:t>
      </w:r>
      <w:proofErr w:type="spellEnd"/>
      <w:r w:rsidRPr="00F807D1">
        <w:rPr>
          <w:lang w:val="en-US"/>
        </w:rPr>
        <w:t xml:space="preserve">, E. (2019) ‘The global landscape of AI ethics guidelines’, </w:t>
      </w:r>
      <w:r w:rsidRPr="00F807D1">
        <w:rPr>
          <w:i/>
          <w:iCs/>
          <w:lang w:val="en-US"/>
        </w:rPr>
        <w:t>Nature Machine Intelligence</w:t>
      </w:r>
      <w:r w:rsidRPr="00F807D1">
        <w:rPr>
          <w:lang w:val="en-US"/>
        </w:rPr>
        <w:t xml:space="preserve">, 1(9), pp. 389–399. </w:t>
      </w:r>
    </w:p>
    <w:p w14:paraId="27FB68E1" w14:textId="3277AE6D" w:rsidR="001478CE" w:rsidRPr="00F807D1" w:rsidRDefault="001478CE" w:rsidP="004E44E7">
      <w:pPr>
        <w:ind w:left="720" w:hanging="720"/>
        <w:rPr>
          <w:lang w:val="en-US"/>
        </w:rPr>
      </w:pPr>
      <w:r w:rsidRPr="00F807D1">
        <w:rPr>
          <w:lang w:val="en-US"/>
        </w:rPr>
        <w:t xml:space="preserve">Kumar, S. N. P. (2025) ‘Comprehensive AI Governance Framework: A Strategic Approach for Organizations in Dynamic Regulatory Environments’, </w:t>
      </w:r>
      <w:r w:rsidRPr="00F807D1">
        <w:rPr>
          <w:i/>
          <w:iCs/>
          <w:lang w:val="en-US"/>
        </w:rPr>
        <w:t>International Journal of Engineering and Extended Technologies Research (IJEETR)</w:t>
      </w:r>
      <w:r w:rsidRPr="00F807D1">
        <w:rPr>
          <w:lang w:val="en-US"/>
        </w:rPr>
        <w:t xml:space="preserve">, 7(2), pp. 9653–9660. </w:t>
      </w:r>
    </w:p>
    <w:p w14:paraId="72F35A19" w14:textId="172ACAD8" w:rsidR="001478CE" w:rsidRPr="00F807D1" w:rsidRDefault="001478CE" w:rsidP="004E44E7">
      <w:pPr>
        <w:ind w:left="720" w:hanging="720"/>
        <w:rPr>
          <w:lang w:val="en-US"/>
        </w:rPr>
      </w:pPr>
      <w:r w:rsidRPr="00F807D1">
        <w:t>Lee, J., Suh, T., Roy, D., and Baucus, M. (2019) Emerging technology and business model innovation: the case of artificial intelligence. </w:t>
      </w:r>
      <w:r w:rsidRPr="00F807D1">
        <w:rPr>
          <w:i/>
          <w:iCs/>
        </w:rPr>
        <w:t>Journal of Open Innovation: Technology, Market, and Complexity</w:t>
      </w:r>
      <w:r w:rsidRPr="00F807D1">
        <w:t>, </w:t>
      </w:r>
      <w:r w:rsidRPr="00F807D1">
        <w:rPr>
          <w:i/>
          <w:iCs/>
        </w:rPr>
        <w:t>5</w:t>
      </w:r>
      <w:r w:rsidRPr="00F807D1">
        <w:t>(3), 44.</w:t>
      </w:r>
    </w:p>
    <w:p w14:paraId="7CD47387" w14:textId="2C06F79A" w:rsidR="001478CE" w:rsidRPr="00F807D1" w:rsidRDefault="001478CE" w:rsidP="004E44E7">
      <w:pPr>
        <w:ind w:left="720" w:hanging="720"/>
        <w:rPr>
          <w:lang w:val="en-US"/>
        </w:rPr>
      </w:pPr>
      <w:r w:rsidRPr="00F807D1">
        <w:rPr>
          <w:lang w:val="en-US"/>
        </w:rPr>
        <w:t xml:space="preserve">McKinsey and Company (2025) </w:t>
      </w:r>
      <w:r w:rsidRPr="00F807D1">
        <w:rPr>
          <w:i/>
          <w:iCs/>
          <w:lang w:val="en-US"/>
        </w:rPr>
        <w:t>The state of AI: How organizations are rewiring to capture value</w:t>
      </w:r>
      <w:r w:rsidRPr="00F807D1">
        <w:rPr>
          <w:lang w:val="en-US"/>
        </w:rPr>
        <w:t xml:space="preserve">. Available at: </w:t>
      </w:r>
      <w:hyperlink r:id="rId26" w:tgtFrame="_new" w:history="1">
        <w:r w:rsidRPr="00F807D1">
          <w:rPr>
            <w:rStyle w:val="Hyperlink"/>
            <w:color w:val="auto"/>
            <w:lang w:val="en-US"/>
          </w:rPr>
          <w:t>https://www.mckinsey.com/~/media/mckinsey/business%20functions/quantumblack/our%20insights/the%20state%20of%20ai/2025/the-state-of-ai-how-organizations-are-rewiring-to-capture-value_final.pdf</w:t>
        </w:r>
      </w:hyperlink>
      <w:r w:rsidRPr="00F807D1">
        <w:rPr>
          <w:lang w:val="en-US"/>
        </w:rPr>
        <w:t xml:space="preserve"> (Accessed: 16 April 2026). </w:t>
      </w:r>
    </w:p>
    <w:p w14:paraId="7D610B62" w14:textId="77777777" w:rsidR="001478CE" w:rsidRPr="00F807D1" w:rsidRDefault="001478CE" w:rsidP="004E44E7">
      <w:pPr>
        <w:ind w:left="720" w:hanging="720"/>
        <w:rPr>
          <w:lang w:val="en-US"/>
        </w:rPr>
      </w:pPr>
      <w:r w:rsidRPr="00F807D1">
        <w:rPr>
          <w:lang w:val="en-US"/>
        </w:rPr>
        <w:t xml:space="preserve">Medicines and Healthcare products Regulatory Agency (2024) </w:t>
      </w:r>
      <w:r w:rsidRPr="00F807D1">
        <w:rPr>
          <w:i/>
          <w:iCs/>
          <w:lang w:val="en-US"/>
        </w:rPr>
        <w:t>Impact of AI on the regulation of medical products</w:t>
      </w:r>
      <w:r w:rsidRPr="00F807D1">
        <w:rPr>
          <w:lang w:val="en-US"/>
        </w:rPr>
        <w:t xml:space="preserve">. Available at: </w:t>
      </w:r>
      <w:hyperlink r:id="rId27" w:tgtFrame="_new" w:history="1">
        <w:r w:rsidRPr="00F807D1">
          <w:rPr>
            <w:rStyle w:val="Hyperlink"/>
            <w:color w:val="auto"/>
            <w:lang w:val="en-US"/>
          </w:rPr>
          <w:t>https://assets.publishing.service.gov.uk/media/662fce1e9e82181baa98a988/MHRA_Impact-of-AI-on-the-regulation-of-medical-products.pdf</w:t>
        </w:r>
      </w:hyperlink>
      <w:r w:rsidRPr="00F807D1">
        <w:rPr>
          <w:lang w:val="en-US"/>
        </w:rPr>
        <w:t xml:space="preserve"> (Accessed: 5 April 2026). </w:t>
      </w:r>
    </w:p>
    <w:p w14:paraId="0EFEACDC" w14:textId="47002951" w:rsidR="001478CE" w:rsidRPr="00F807D1" w:rsidRDefault="001478CE" w:rsidP="004E44E7">
      <w:pPr>
        <w:ind w:left="720" w:hanging="720"/>
        <w:rPr>
          <w:lang w:val="en-US"/>
        </w:rPr>
      </w:pPr>
      <w:r w:rsidRPr="00F807D1">
        <w:rPr>
          <w:lang w:val="en-US"/>
        </w:rPr>
        <w:t xml:space="preserve">Mittelstadt, B. D., </w:t>
      </w:r>
      <w:proofErr w:type="spellStart"/>
      <w:r w:rsidRPr="00F807D1">
        <w:rPr>
          <w:lang w:val="en-US"/>
        </w:rPr>
        <w:t>Allo</w:t>
      </w:r>
      <w:proofErr w:type="spellEnd"/>
      <w:r w:rsidRPr="00F807D1">
        <w:rPr>
          <w:lang w:val="en-US"/>
        </w:rPr>
        <w:t xml:space="preserve">, P., Taddeo, M., Wachter, S. and </w:t>
      </w:r>
      <w:proofErr w:type="spellStart"/>
      <w:r w:rsidRPr="00F807D1">
        <w:rPr>
          <w:lang w:val="en-US"/>
        </w:rPr>
        <w:t>Floridi</w:t>
      </w:r>
      <w:proofErr w:type="spellEnd"/>
      <w:r w:rsidRPr="00F807D1">
        <w:rPr>
          <w:lang w:val="en-US"/>
        </w:rPr>
        <w:t xml:space="preserve">, L. (2016) ‘The ethics of algorithms: Mapping the debate’, </w:t>
      </w:r>
      <w:r w:rsidRPr="00F807D1">
        <w:rPr>
          <w:i/>
          <w:iCs/>
          <w:lang w:val="en-US"/>
        </w:rPr>
        <w:t>Big Data and Society</w:t>
      </w:r>
      <w:r w:rsidRPr="00F807D1">
        <w:rPr>
          <w:lang w:val="en-US"/>
        </w:rPr>
        <w:t xml:space="preserve">, 3(2), 2053951716679679. </w:t>
      </w:r>
    </w:p>
    <w:p w14:paraId="5B3A29F2" w14:textId="77777777" w:rsidR="001478CE" w:rsidRPr="00F807D1" w:rsidRDefault="001478CE" w:rsidP="004E44E7">
      <w:pPr>
        <w:ind w:left="720" w:hanging="720"/>
        <w:rPr>
          <w:lang w:val="en-US"/>
        </w:rPr>
      </w:pPr>
      <w:proofErr w:type="spellStart"/>
      <w:r w:rsidRPr="00F807D1">
        <w:rPr>
          <w:lang w:val="en-US"/>
        </w:rPr>
        <w:lastRenderedPageBreak/>
        <w:t>Mökander</w:t>
      </w:r>
      <w:proofErr w:type="spellEnd"/>
      <w:r w:rsidRPr="00F807D1">
        <w:rPr>
          <w:lang w:val="en-US"/>
        </w:rPr>
        <w:t xml:space="preserve">, J., Sheth, M., </w:t>
      </w:r>
      <w:proofErr w:type="spellStart"/>
      <w:r w:rsidRPr="00F807D1">
        <w:rPr>
          <w:lang w:val="en-US"/>
        </w:rPr>
        <w:t>Gersbro-Sundler</w:t>
      </w:r>
      <w:proofErr w:type="spellEnd"/>
      <w:r w:rsidRPr="00F807D1">
        <w:rPr>
          <w:lang w:val="en-US"/>
        </w:rPr>
        <w:t xml:space="preserve">, M., Blomgren, P. and </w:t>
      </w:r>
      <w:proofErr w:type="spellStart"/>
      <w:r w:rsidRPr="00F807D1">
        <w:rPr>
          <w:lang w:val="en-US"/>
        </w:rPr>
        <w:t>Floridi</w:t>
      </w:r>
      <w:proofErr w:type="spellEnd"/>
      <w:r w:rsidRPr="00F807D1">
        <w:rPr>
          <w:lang w:val="en-US"/>
        </w:rPr>
        <w:t xml:space="preserve">, L. (2022) ‘Challenges and best practices in corporate AI governance: Lessons from the biopharmaceutical industry’, </w:t>
      </w:r>
      <w:r w:rsidRPr="00F807D1">
        <w:rPr>
          <w:i/>
          <w:iCs/>
          <w:lang w:val="en-US"/>
        </w:rPr>
        <w:t>Frontiers in Computer Science</w:t>
      </w:r>
      <w:r w:rsidRPr="00F807D1">
        <w:rPr>
          <w:lang w:val="en-US"/>
        </w:rPr>
        <w:t xml:space="preserve">, 4, 1068361. </w:t>
      </w:r>
    </w:p>
    <w:p w14:paraId="61680154" w14:textId="1F4BC34A" w:rsidR="001478CE" w:rsidRPr="00F807D1" w:rsidRDefault="001478CE" w:rsidP="004E44E7">
      <w:pPr>
        <w:ind w:left="720" w:hanging="720"/>
        <w:rPr>
          <w:lang w:val="en-US"/>
        </w:rPr>
      </w:pPr>
      <w:r w:rsidRPr="00F807D1">
        <w:rPr>
          <w:lang w:val="en-US"/>
        </w:rPr>
        <w:t xml:space="preserve">Morgan, P., Brown, D. G., Lennard, S., Anderton, M. J., Barrett, J. C., Eriksson, U., et al. (2018) ‘Impact of a five-dimensional framework on </w:t>
      </w:r>
      <w:proofErr w:type="spellStart"/>
      <w:r w:rsidRPr="00F807D1">
        <w:rPr>
          <w:lang w:val="en-US"/>
        </w:rPr>
        <w:t>RandD</w:t>
      </w:r>
      <w:proofErr w:type="spellEnd"/>
      <w:r w:rsidRPr="00F807D1">
        <w:rPr>
          <w:lang w:val="en-US"/>
        </w:rPr>
        <w:t xml:space="preserve"> productivity at AstraZeneca’, </w:t>
      </w:r>
      <w:r w:rsidRPr="00F807D1">
        <w:rPr>
          <w:i/>
          <w:iCs/>
          <w:lang w:val="en-US"/>
        </w:rPr>
        <w:t>Nature Reviews Drug Discovery</w:t>
      </w:r>
      <w:r w:rsidRPr="00F807D1">
        <w:rPr>
          <w:lang w:val="en-US"/>
        </w:rPr>
        <w:t xml:space="preserve">, 17(3), pp. 167–181. </w:t>
      </w:r>
    </w:p>
    <w:p w14:paraId="6E07DA3D" w14:textId="77777777" w:rsidR="001478CE" w:rsidRPr="00F807D1" w:rsidRDefault="001478CE" w:rsidP="004E44E7">
      <w:pPr>
        <w:ind w:left="720" w:hanging="720"/>
        <w:rPr>
          <w:lang w:val="en-US"/>
        </w:rPr>
      </w:pPr>
      <w:r w:rsidRPr="00F807D1">
        <w:rPr>
          <w:lang w:val="en-US"/>
        </w:rPr>
        <w:t xml:space="preserve">National Institute of Standards and Technology (2023) </w:t>
      </w:r>
      <w:r w:rsidRPr="00F807D1">
        <w:rPr>
          <w:i/>
          <w:iCs/>
          <w:lang w:val="en-US"/>
        </w:rPr>
        <w:t>AI Risk Management Framework</w:t>
      </w:r>
      <w:r w:rsidRPr="00F807D1">
        <w:rPr>
          <w:lang w:val="en-US"/>
        </w:rPr>
        <w:t xml:space="preserve">. Available at: </w:t>
      </w:r>
      <w:hyperlink r:id="rId28" w:tgtFrame="_new" w:history="1">
        <w:r w:rsidRPr="00F807D1">
          <w:rPr>
            <w:rStyle w:val="Hyperlink"/>
            <w:color w:val="auto"/>
            <w:lang w:val="en-US"/>
          </w:rPr>
          <w:t>https://www.nist.gov/itl/ai-risk-management-framework</w:t>
        </w:r>
      </w:hyperlink>
      <w:r w:rsidRPr="00F807D1">
        <w:rPr>
          <w:lang w:val="en-US"/>
        </w:rPr>
        <w:t xml:space="preserve"> (Accessed: 5 April 2026). </w:t>
      </w:r>
    </w:p>
    <w:p w14:paraId="3E4C577D" w14:textId="77777777" w:rsidR="001478CE" w:rsidRPr="00F807D1" w:rsidRDefault="001478CE" w:rsidP="004E44E7">
      <w:pPr>
        <w:ind w:left="720" w:hanging="720"/>
        <w:rPr>
          <w:lang w:val="en-US"/>
        </w:rPr>
      </w:pPr>
      <w:r w:rsidRPr="00F807D1">
        <w:rPr>
          <w:lang w:val="en-US"/>
        </w:rPr>
        <w:t xml:space="preserve">Obermeyer, Z., Powers, B., Vogeli, C. and Mullainathan, S. (2019) ‘Dissecting racial bias in an algorithm used to manage the health of populations’, </w:t>
      </w:r>
      <w:r w:rsidRPr="00F807D1">
        <w:rPr>
          <w:i/>
          <w:iCs/>
          <w:lang w:val="en-US"/>
        </w:rPr>
        <w:t>Science</w:t>
      </w:r>
      <w:r w:rsidRPr="00F807D1">
        <w:rPr>
          <w:lang w:val="en-US"/>
        </w:rPr>
        <w:t xml:space="preserve">, 366(6464), pp. 447–453. </w:t>
      </w:r>
    </w:p>
    <w:p w14:paraId="11C51DAC" w14:textId="77777777" w:rsidR="001478CE" w:rsidRPr="00F807D1" w:rsidRDefault="001478CE" w:rsidP="004E44E7">
      <w:pPr>
        <w:ind w:left="720" w:hanging="720"/>
        <w:rPr>
          <w:lang w:val="en-US"/>
        </w:rPr>
      </w:pPr>
      <w:r w:rsidRPr="00F807D1">
        <w:rPr>
          <w:lang w:val="en-US"/>
        </w:rPr>
        <w:t xml:space="preserve">OECD (2024) </w:t>
      </w:r>
      <w:r w:rsidRPr="00F807D1">
        <w:rPr>
          <w:i/>
          <w:iCs/>
          <w:lang w:val="en-US"/>
        </w:rPr>
        <w:t>OECD AI Principles</w:t>
      </w:r>
      <w:r w:rsidRPr="00F807D1">
        <w:rPr>
          <w:lang w:val="en-US"/>
        </w:rPr>
        <w:t xml:space="preserve">. Available at: </w:t>
      </w:r>
      <w:hyperlink r:id="rId29" w:tgtFrame="_new" w:history="1">
        <w:r w:rsidRPr="00F807D1">
          <w:rPr>
            <w:rStyle w:val="Hyperlink"/>
            <w:color w:val="auto"/>
            <w:lang w:val="en-US"/>
          </w:rPr>
          <w:t>https://www.oecd.org/en/topics/sub-issues/ai-principles.html</w:t>
        </w:r>
      </w:hyperlink>
      <w:r w:rsidRPr="00F807D1">
        <w:rPr>
          <w:lang w:val="en-US"/>
        </w:rPr>
        <w:t xml:space="preserve"> (Accessed: 16 April 2026). </w:t>
      </w:r>
    </w:p>
    <w:p w14:paraId="520FF8FE" w14:textId="77777777" w:rsidR="001478CE" w:rsidRPr="00F807D1" w:rsidRDefault="001478CE" w:rsidP="004E44E7">
      <w:pPr>
        <w:ind w:left="720" w:hanging="720"/>
        <w:rPr>
          <w:lang w:val="en-US"/>
        </w:rPr>
      </w:pPr>
      <w:proofErr w:type="spellStart"/>
      <w:r w:rsidRPr="00F807D1">
        <w:rPr>
          <w:lang w:val="en-US"/>
        </w:rPr>
        <w:t>Papagiannidis</w:t>
      </w:r>
      <w:proofErr w:type="spellEnd"/>
      <w:r w:rsidRPr="00F807D1">
        <w:rPr>
          <w:lang w:val="en-US"/>
        </w:rPr>
        <w:t xml:space="preserve">, E., Enholm, I. M., Dremel, C., Mikalef, P. and Krogstie, J. (2021) ‘Deploying AI governance practices: A revelatory case study’, in </w:t>
      </w:r>
      <w:r w:rsidRPr="00F807D1">
        <w:rPr>
          <w:i/>
          <w:iCs/>
          <w:lang w:val="en-US"/>
        </w:rPr>
        <w:t>Conference on e-Business, e-Services and e-Society</w:t>
      </w:r>
      <w:r w:rsidRPr="00F807D1">
        <w:rPr>
          <w:lang w:val="en-US"/>
        </w:rPr>
        <w:t xml:space="preserve">. Cham: Springer International Publishing, pp. 208–219. </w:t>
      </w:r>
    </w:p>
    <w:p w14:paraId="49D01A3D" w14:textId="77777777" w:rsidR="001478CE" w:rsidRPr="00F807D1" w:rsidRDefault="001478CE" w:rsidP="004E44E7">
      <w:pPr>
        <w:ind w:left="720" w:hanging="720"/>
        <w:rPr>
          <w:lang w:val="en-US"/>
        </w:rPr>
      </w:pPr>
      <w:r w:rsidRPr="00F807D1">
        <w:rPr>
          <w:lang w:val="en-US"/>
        </w:rPr>
        <w:t xml:space="preserve">Pharmaceutical Technology (2025) </w:t>
      </w:r>
      <w:r w:rsidRPr="00F807D1">
        <w:rPr>
          <w:i/>
          <w:iCs/>
          <w:lang w:val="en-US"/>
        </w:rPr>
        <w:t>AstraZeneca US expansion highlights AI, automation and policy pressure in pharma manufacturing</w:t>
      </w:r>
      <w:r w:rsidRPr="00F807D1">
        <w:rPr>
          <w:lang w:val="en-US"/>
        </w:rPr>
        <w:t xml:space="preserve">. Available at: </w:t>
      </w:r>
      <w:hyperlink r:id="rId30" w:tgtFrame="_new" w:history="1">
        <w:r w:rsidRPr="00F807D1">
          <w:rPr>
            <w:rStyle w:val="Hyperlink"/>
            <w:color w:val="auto"/>
            <w:lang w:val="en-US"/>
          </w:rPr>
          <w:t>https://www.pharmtech.com/view/astrazeneca-us-expansion-highlights-ai-automation-policy-pressure-pharma-manufacturing</w:t>
        </w:r>
      </w:hyperlink>
      <w:r w:rsidRPr="00F807D1">
        <w:rPr>
          <w:lang w:val="en-US"/>
        </w:rPr>
        <w:t xml:space="preserve"> (Accessed: 5 April 2026). </w:t>
      </w:r>
    </w:p>
    <w:p w14:paraId="4F8B7A90" w14:textId="77777777" w:rsidR="001478CE" w:rsidRPr="00F807D1" w:rsidRDefault="001478CE" w:rsidP="004E44E7">
      <w:pPr>
        <w:ind w:left="720" w:hanging="720"/>
        <w:rPr>
          <w:lang w:val="en-US"/>
        </w:rPr>
      </w:pPr>
      <w:r w:rsidRPr="00F807D1">
        <w:rPr>
          <w:lang w:val="en-US"/>
        </w:rPr>
        <w:t xml:space="preserve">Porter, M. E. (1979) ‘How competitive forces shape strategy’, in </w:t>
      </w:r>
      <w:r w:rsidRPr="00F807D1">
        <w:rPr>
          <w:i/>
          <w:iCs/>
          <w:lang w:val="en-US"/>
        </w:rPr>
        <w:t>Readings in Strategic Management</w:t>
      </w:r>
      <w:r w:rsidRPr="00F807D1">
        <w:rPr>
          <w:lang w:val="en-US"/>
        </w:rPr>
        <w:t xml:space="preserve">. London: Macmillan Education UK, pp. 133–143. </w:t>
      </w:r>
    </w:p>
    <w:p w14:paraId="34E9CF70" w14:textId="77777777" w:rsidR="001478CE" w:rsidRPr="00F807D1" w:rsidRDefault="001478CE" w:rsidP="004E44E7">
      <w:pPr>
        <w:ind w:left="720" w:hanging="720"/>
        <w:rPr>
          <w:lang w:val="en-US"/>
        </w:rPr>
      </w:pPr>
      <w:r w:rsidRPr="00F807D1">
        <w:rPr>
          <w:lang w:val="en-US"/>
        </w:rPr>
        <w:t xml:space="preserve">Raji, I. D., Smart, A., White, R. N., Mitchell, M., Gebru, T., Hutchinson, B., et al. (2020) ‘Closing the AI accountability gap: Defining an end-to-end framework for internal algorithmic auditing’, in </w:t>
      </w:r>
      <w:r w:rsidRPr="00F807D1">
        <w:rPr>
          <w:i/>
          <w:iCs/>
          <w:lang w:val="en-US"/>
        </w:rPr>
        <w:t>Proceedings of the 2020 Conference on Fairness, Accountability, and Transparency</w:t>
      </w:r>
      <w:r w:rsidRPr="00F807D1">
        <w:rPr>
          <w:lang w:val="en-US"/>
        </w:rPr>
        <w:t xml:space="preserve">, pp. 33–44. </w:t>
      </w:r>
    </w:p>
    <w:p w14:paraId="08C7CF76" w14:textId="77777777" w:rsidR="001478CE" w:rsidRPr="00F807D1" w:rsidRDefault="001478CE" w:rsidP="004E44E7">
      <w:pPr>
        <w:ind w:left="720" w:hanging="720"/>
        <w:rPr>
          <w:lang w:val="en-US"/>
        </w:rPr>
      </w:pPr>
      <w:proofErr w:type="spellStart"/>
      <w:r w:rsidRPr="00F807D1">
        <w:rPr>
          <w:lang w:val="en-US"/>
        </w:rPr>
        <w:t>Rajkomar</w:t>
      </w:r>
      <w:proofErr w:type="spellEnd"/>
      <w:r w:rsidRPr="00F807D1">
        <w:rPr>
          <w:lang w:val="en-US"/>
        </w:rPr>
        <w:t xml:space="preserve">, A., Dean, J. and </w:t>
      </w:r>
      <w:proofErr w:type="spellStart"/>
      <w:r w:rsidRPr="00F807D1">
        <w:rPr>
          <w:lang w:val="en-US"/>
        </w:rPr>
        <w:t>Kohane</w:t>
      </w:r>
      <w:proofErr w:type="spellEnd"/>
      <w:r w:rsidRPr="00F807D1">
        <w:rPr>
          <w:lang w:val="en-US"/>
        </w:rPr>
        <w:t xml:space="preserve">, I. (2019) ‘Machine learning in medicine’, </w:t>
      </w:r>
      <w:r w:rsidRPr="00F807D1">
        <w:rPr>
          <w:i/>
          <w:iCs/>
          <w:lang w:val="en-US"/>
        </w:rPr>
        <w:t>New England Journal of Medicine</w:t>
      </w:r>
      <w:r w:rsidRPr="00F807D1">
        <w:rPr>
          <w:lang w:val="en-US"/>
        </w:rPr>
        <w:t xml:space="preserve">, 380(14), pp. 1347–1358. </w:t>
      </w:r>
    </w:p>
    <w:p w14:paraId="746E9830" w14:textId="77777777" w:rsidR="001478CE" w:rsidRPr="00F807D1" w:rsidRDefault="001478CE" w:rsidP="004E44E7">
      <w:pPr>
        <w:ind w:left="720" w:hanging="720"/>
        <w:rPr>
          <w:lang w:val="en-US"/>
        </w:rPr>
      </w:pPr>
      <w:proofErr w:type="spellStart"/>
      <w:r w:rsidRPr="00F807D1">
        <w:rPr>
          <w:lang w:val="en-US"/>
        </w:rPr>
        <w:lastRenderedPageBreak/>
        <w:t>Rubeis</w:t>
      </w:r>
      <w:proofErr w:type="spellEnd"/>
      <w:r w:rsidRPr="00F807D1">
        <w:rPr>
          <w:lang w:val="en-US"/>
        </w:rPr>
        <w:t xml:space="preserve">, G., </w:t>
      </w:r>
      <w:proofErr w:type="spellStart"/>
      <w:r w:rsidRPr="00F807D1">
        <w:rPr>
          <w:lang w:val="en-US"/>
        </w:rPr>
        <w:t>Dubbala</w:t>
      </w:r>
      <w:proofErr w:type="spellEnd"/>
      <w:r w:rsidRPr="00F807D1">
        <w:rPr>
          <w:lang w:val="en-US"/>
        </w:rPr>
        <w:t xml:space="preserve">, K. and Metzler, I. (2022) ‘“Democratizing” artificial intelligence in medicine and healthcare: Mapping the uses of an elusive term’, </w:t>
      </w:r>
      <w:r w:rsidRPr="00F807D1">
        <w:rPr>
          <w:i/>
          <w:iCs/>
          <w:lang w:val="en-US"/>
        </w:rPr>
        <w:t>Frontiers in Genetics</w:t>
      </w:r>
      <w:r w:rsidRPr="00F807D1">
        <w:rPr>
          <w:lang w:val="en-US"/>
        </w:rPr>
        <w:t xml:space="preserve">, 13, 902542. </w:t>
      </w:r>
    </w:p>
    <w:p w14:paraId="51D15DBA" w14:textId="7A088E43" w:rsidR="001478CE" w:rsidRPr="00F807D1" w:rsidRDefault="001478CE" w:rsidP="004E44E7">
      <w:pPr>
        <w:ind w:left="720" w:hanging="720"/>
        <w:rPr>
          <w:lang w:val="en-US"/>
        </w:rPr>
      </w:pPr>
      <w:r w:rsidRPr="00F807D1">
        <w:t xml:space="preserve">Sampson, C. J., Arnold, R., Bryan, S., Clarke, P., Ekins, S., </w:t>
      </w:r>
      <w:proofErr w:type="spellStart"/>
      <w:r w:rsidRPr="00F807D1">
        <w:t>Hatswell</w:t>
      </w:r>
      <w:proofErr w:type="spellEnd"/>
      <w:r w:rsidRPr="00F807D1">
        <w:t>, A., ... and Wrightson, T. (2019) Transparency in decision modelling: what, why, who and how?. </w:t>
      </w:r>
      <w:r w:rsidRPr="00F807D1">
        <w:rPr>
          <w:i/>
          <w:iCs/>
        </w:rPr>
        <w:t>Pharmacoeconomics</w:t>
      </w:r>
      <w:r w:rsidRPr="00F807D1">
        <w:t>, </w:t>
      </w:r>
      <w:r w:rsidRPr="00F807D1">
        <w:rPr>
          <w:i/>
          <w:iCs/>
        </w:rPr>
        <w:t>37</w:t>
      </w:r>
      <w:r w:rsidRPr="00F807D1">
        <w:t>(11), 1355-1369.</w:t>
      </w:r>
    </w:p>
    <w:p w14:paraId="68057ED0" w14:textId="77777777" w:rsidR="001478CE" w:rsidRPr="00F807D1" w:rsidRDefault="001478CE" w:rsidP="004E44E7">
      <w:pPr>
        <w:ind w:left="720" w:hanging="720"/>
        <w:rPr>
          <w:lang w:val="en-US"/>
        </w:rPr>
      </w:pPr>
      <w:r w:rsidRPr="00F807D1">
        <w:rPr>
          <w:lang w:val="en-US"/>
        </w:rPr>
        <w:t xml:space="preserve">Schumpeter, J. A. (2013) </w:t>
      </w:r>
      <w:r w:rsidRPr="00F807D1">
        <w:rPr>
          <w:i/>
          <w:iCs/>
          <w:lang w:val="en-US"/>
        </w:rPr>
        <w:t>Capitalism, Socialism and Democracy</w:t>
      </w:r>
      <w:r w:rsidRPr="00F807D1">
        <w:rPr>
          <w:lang w:val="en-US"/>
        </w:rPr>
        <w:t xml:space="preserve">. Abingdon: Routledge. </w:t>
      </w:r>
    </w:p>
    <w:p w14:paraId="35DECE06" w14:textId="77777777" w:rsidR="001478CE" w:rsidRPr="00F807D1" w:rsidRDefault="001478CE" w:rsidP="004E44E7">
      <w:pPr>
        <w:ind w:left="720" w:hanging="720"/>
        <w:rPr>
          <w:lang w:val="en-US"/>
        </w:rPr>
      </w:pPr>
      <w:r w:rsidRPr="00F807D1">
        <w:rPr>
          <w:lang w:val="en-US"/>
        </w:rPr>
        <w:t xml:space="preserve">Stephen, G. (2025) ‘Artificial Intelligence and Program Management in the Pharmaceutical Industry: Streamlining Decision-Making, Clinical Trials, Regulatory Compliance, Commercialization, and Risk Management’, </w:t>
      </w:r>
      <w:r w:rsidRPr="00F807D1">
        <w:rPr>
          <w:i/>
          <w:iCs/>
          <w:lang w:val="en-US"/>
        </w:rPr>
        <w:t>International Journal of Business and Management Review</w:t>
      </w:r>
      <w:r w:rsidRPr="00F807D1">
        <w:rPr>
          <w:lang w:val="en-US"/>
        </w:rPr>
        <w:t xml:space="preserve">, 13(8), pp. 13–45. </w:t>
      </w:r>
    </w:p>
    <w:p w14:paraId="3F929B90" w14:textId="77777777" w:rsidR="001478CE" w:rsidRPr="00F807D1" w:rsidRDefault="001478CE" w:rsidP="004E44E7">
      <w:pPr>
        <w:ind w:left="720" w:hanging="720"/>
        <w:rPr>
          <w:lang w:val="en-US"/>
        </w:rPr>
      </w:pPr>
      <w:r w:rsidRPr="00F807D1">
        <w:rPr>
          <w:lang w:val="en-US"/>
        </w:rPr>
        <w:t xml:space="preserve">UK Government (2024) </w:t>
      </w:r>
      <w:r w:rsidRPr="00F807D1">
        <w:rPr>
          <w:i/>
          <w:iCs/>
          <w:lang w:val="en-US"/>
        </w:rPr>
        <w:t>A pro-innovation approach to AI regulation: Government response</w:t>
      </w:r>
      <w:r w:rsidRPr="00F807D1">
        <w:rPr>
          <w:lang w:val="en-US"/>
        </w:rPr>
        <w:t xml:space="preserve">. Available at: </w:t>
      </w:r>
      <w:hyperlink r:id="rId31" w:tgtFrame="_new" w:history="1">
        <w:r w:rsidRPr="00F807D1">
          <w:rPr>
            <w:rStyle w:val="Hyperlink"/>
            <w:color w:val="auto"/>
            <w:lang w:val="en-US"/>
          </w:rPr>
          <w:t>https://assets.publishing.service.gov.uk/media/65c1e399c43191000d1a45f4/a-pro-innovation-approach-to-ai-regulation-amended-governement-response-web-ready.pdf</w:t>
        </w:r>
      </w:hyperlink>
      <w:r w:rsidRPr="00F807D1">
        <w:rPr>
          <w:lang w:val="en-US"/>
        </w:rPr>
        <w:t xml:space="preserve"> (Accessed: 5 April 2026). </w:t>
      </w:r>
    </w:p>
    <w:p w14:paraId="7666C5EA" w14:textId="77777777" w:rsidR="001478CE" w:rsidRPr="00F807D1" w:rsidRDefault="001478CE" w:rsidP="004E44E7">
      <w:pPr>
        <w:ind w:left="720" w:hanging="720"/>
        <w:rPr>
          <w:lang w:val="en-US"/>
        </w:rPr>
      </w:pPr>
      <w:r w:rsidRPr="00F807D1">
        <w:rPr>
          <w:lang w:val="en-US"/>
        </w:rPr>
        <w:t xml:space="preserve">UNESCO (2021) </w:t>
      </w:r>
      <w:r w:rsidRPr="00F807D1">
        <w:rPr>
          <w:i/>
          <w:iCs/>
          <w:lang w:val="en-US"/>
        </w:rPr>
        <w:t>Recommendation on the ethics of artificial intelligence</w:t>
      </w:r>
      <w:r w:rsidRPr="00F807D1">
        <w:rPr>
          <w:lang w:val="en-US"/>
        </w:rPr>
        <w:t xml:space="preserve">. Available at: </w:t>
      </w:r>
      <w:hyperlink r:id="rId32" w:tgtFrame="_new" w:history="1">
        <w:r w:rsidRPr="00F807D1">
          <w:rPr>
            <w:rStyle w:val="Hyperlink"/>
            <w:color w:val="auto"/>
            <w:lang w:val="en-US"/>
          </w:rPr>
          <w:t>https://www.unesco.org/en/artificial-intelligence/recommendation-ethics</w:t>
        </w:r>
      </w:hyperlink>
      <w:r w:rsidRPr="00F807D1">
        <w:rPr>
          <w:lang w:val="en-US"/>
        </w:rPr>
        <w:t xml:space="preserve"> (Accessed: 5 April 2026). </w:t>
      </w:r>
    </w:p>
    <w:p w14:paraId="5FC3A3B5" w14:textId="77777777" w:rsidR="001478CE" w:rsidRPr="00F807D1" w:rsidRDefault="001478CE" w:rsidP="004E44E7">
      <w:pPr>
        <w:ind w:left="720" w:hanging="720"/>
        <w:rPr>
          <w:lang w:val="en-US"/>
        </w:rPr>
      </w:pPr>
      <w:proofErr w:type="spellStart"/>
      <w:r w:rsidRPr="00F807D1">
        <w:rPr>
          <w:lang w:val="en-US"/>
        </w:rPr>
        <w:t>Vayena</w:t>
      </w:r>
      <w:proofErr w:type="spellEnd"/>
      <w:r w:rsidRPr="00F807D1">
        <w:rPr>
          <w:lang w:val="en-US"/>
        </w:rPr>
        <w:t xml:space="preserve">, E., </w:t>
      </w:r>
      <w:proofErr w:type="spellStart"/>
      <w:r w:rsidRPr="00F807D1">
        <w:rPr>
          <w:lang w:val="en-US"/>
        </w:rPr>
        <w:t>Blasimme</w:t>
      </w:r>
      <w:proofErr w:type="spellEnd"/>
      <w:r w:rsidRPr="00F807D1">
        <w:rPr>
          <w:lang w:val="en-US"/>
        </w:rPr>
        <w:t xml:space="preserve">, A. and Cohen, I. G. (2018) ‘Machine learning in medicine: Addressing ethical challenges’, </w:t>
      </w:r>
      <w:proofErr w:type="spellStart"/>
      <w:r w:rsidRPr="00F807D1">
        <w:rPr>
          <w:i/>
          <w:iCs/>
          <w:lang w:val="en-US"/>
        </w:rPr>
        <w:t>PLoS</w:t>
      </w:r>
      <w:proofErr w:type="spellEnd"/>
      <w:r w:rsidRPr="00F807D1">
        <w:rPr>
          <w:i/>
          <w:iCs/>
          <w:lang w:val="en-US"/>
        </w:rPr>
        <w:t xml:space="preserve"> Medicine</w:t>
      </w:r>
      <w:r w:rsidRPr="00F807D1">
        <w:rPr>
          <w:lang w:val="en-US"/>
        </w:rPr>
        <w:t xml:space="preserve">, 15(11), e1002689. </w:t>
      </w:r>
    </w:p>
    <w:p w14:paraId="6F6C40C6" w14:textId="77777777" w:rsidR="001478CE" w:rsidRPr="00F807D1" w:rsidRDefault="001478CE" w:rsidP="004E44E7">
      <w:pPr>
        <w:ind w:left="720" w:hanging="720"/>
        <w:rPr>
          <w:lang w:val="en-US"/>
        </w:rPr>
      </w:pPr>
      <w:r w:rsidRPr="00F807D1">
        <w:rPr>
          <w:lang w:val="en-US"/>
        </w:rPr>
        <w:t xml:space="preserve">Wachter, S., Mittelstadt, B. and </w:t>
      </w:r>
      <w:proofErr w:type="spellStart"/>
      <w:r w:rsidRPr="00F807D1">
        <w:rPr>
          <w:lang w:val="en-US"/>
        </w:rPr>
        <w:t>Floridi</w:t>
      </w:r>
      <w:proofErr w:type="spellEnd"/>
      <w:r w:rsidRPr="00F807D1">
        <w:rPr>
          <w:lang w:val="en-US"/>
        </w:rPr>
        <w:t xml:space="preserve">, L. (2017) ‘Why a right to explanation of automated decision-making does not exist in the general data protection regulation’, </w:t>
      </w:r>
      <w:r w:rsidRPr="00F807D1">
        <w:rPr>
          <w:i/>
          <w:iCs/>
          <w:lang w:val="en-US"/>
        </w:rPr>
        <w:t>International Data Privacy Law</w:t>
      </w:r>
      <w:r w:rsidRPr="00F807D1">
        <w:rPr>
          <w:lang w:val="en-US"/>
        </w:rPr>
        <w:t xml:space="preserve">, 7(2), pp. 76–99. </w:t>
      </w:r>
    </w:p>
    <w:p w14:paraId="40116F83" w14:textId="77777777" w:rsidR="004E44E7" w:rsidRPr="00F807D1" w:rsidRDefault="004E44E7" w:rsidP="008B2F3E">
      <w:pPr>
        <w:ind w:left="720" w:hanging="720"/>
        <w:rPr>
          <w:b/>
          <w:bCs/>
          <w:lang w:val="en-US"/>
        </w:rPr>
      </w:pPr>
    </w:p>
    <w:p w14:paraId="5D000FE5" w14:textId="77777777" w:rsidR="00CF75EB" w:rsidRPr="00F807D1" w:rsidRDefault="00CF75EB" w:rsidP="00A133EE"/>
    <w:sectPr w:rsidR="00CF75EB" w:rsidRPr="00F807D1">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738D7" w14:textId="77777777" w:rsidR="00913943" w:rsidRDefault="00913943" w:rsidP="00DB6DC3">
      <w:pPr>
        <w:spacing w:before="0" w:after="0" w:line="240" w:lineRule="auto"/>
      </w:pPr>
      <w:r>
        <w:separator/>
      </w:r>
    </w:p>
  </w:endnote>
  <w:endnote w:type="continuationSeparator" w:id="0">
    <w:p w14:paraId="2ECC26C3" w14:textId="77777777" w:rsidR="00913943" w:rsidRDefault="00913943" w:rsidP="00DB6D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4570049"/>
      <w:docPartObj>
        <w:docPartGallery w:val="Page Numbers (Bottom of Page)"/>
        <w:docPartUnique/>
      </w:docPartObj>
    </w:sdtPr>
    <w:sdtEndPr>
      <w:rPr>
        <w:noProof/>
      </w:rPr>
    </w:sdtEndPr>
    <w:sdtContent>
      <w:p w14:paraId="317112C7" w14:textId="0AEBF938" w:rsidR="000C4B1A" w:rsidRDefault="000C4B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EEF7EC" w14:textId="77777777" w:rsidR="000C4B1A" w:rsidRDefault="000C4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71E87A" w14:textId="77777777" w:rsidR="00913943" w:rsidRDefault="00913943" w:rsidP="00DB6DC3">
      <w:pPr>
        <w:spacing w:before="0" w:after="0" w:line="240" w:lineRule="auto"/>
      </w:pPr>
      <w:r>
        <w:separator/>
      </w:r>
    </w:p>
  </w:footnote>
  <w:footnote w:type="continuationSeparator" w:id="0">
    <w:p w14:paraId="6BF1385D" w14:textId="77777777" w:rsidR="00913943" w:rsidRDefault="00913943" w:rsidP="00DB6DC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203A7"/>
    <w:multiLevelType w:val="multilevel"/>
    <w:tmpl w:val="9D3EF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2F426E"/>
    <w:multiLevelType w:val="multilevel"/>
    <w:tmpl w:val="8B54A73E"/>
    <w:lvl w:ilvl="0">
      <w:start w:val="4"/>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763B85"/>
    <w:multiLevelType w:val="multilevel"/>
    <w:tmpl w:val="531CAE60"/>
    <w:lvl w:ilvl="0">
      <w:start w:val="1"/>
      <w:numFmt w:val="decimal"/>
      <w:pStyle w:val="Heading1"/>
      <w:lvlText w:val="%1."/>
      <w:lvlJc w:val="left"/>
      <w:pPr>
        <w:ind w:left="360" w:hanging="360"/>
      </w:pPr>
    </w:lvl>
    <w:lvl w:ilvl="1">
      <w:start w:val="1"/>
      <w:numFmt w:val="decimal"/>
      <w:pStyle w:val="Heading2"/>
      <w:isLgl/>
      <w:lvlText w:val="%1.%2"/>
      <w:lvlJc w:val="left"/>
      <w:pPr>
        <w:ind w:left="400" w:hanging="400"/>
      </w:pPr>
      <w:rPr>
        <w:rFonts w:hint="default"/>
      </w:rPr>
    </w:lvl>
    <w:lvl w:ilvl="2">
      <w:start w:val="1"/>
      <w:numFmt w:val="decimal"/>
      <w:pStyle w:val="Heading3"/>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11E52648"/>
    <w:multiLevelType w:val="multilevel"/>
    <w:tmpl w:val="A57AE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FB7FE5"/>
    <w:multiLevelType w:val="multilevel"/>
    <w:tmpl w:val="ABCE8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AC5D11"/>
    <w:multiLevelType w:val="hybridMultilevel"/>
    <w:tmpl w:val="4CE09A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DE1FCF"/>
    <w:multiLevelType w:val="multilevel"/>
    <w:tmpl w:val="DB005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7D5FC6"/>
    <w:multiLevelType w:val="multilevel"/>
    <w:tmpl w:val="0CF468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3F5954"/>
    <w:multiLevelType w:val="multilevel"/>
    <w:tmpl w:val="69C660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0010E8"/>
    <w:multiLevelType w:val="multilevel"/>
    <w:tmpl w:val="7A42A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F82E07"/>
    <w:multiLevelType w:val="multilevel"/>
    <w:tmpl w:val="10B8A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D65B6C"/>
    <w:multiLevelType w:val="multilevel"/>
    <w:tmpl w:val="2932C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B5381E"/>
    <w:multiLevelType w:val="multilevel"/>
    <w:tmpl w:val="1AC44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A363EC"/>
    <w:multiLevelType w:val="multilevel"/>
    <w:tmpl w:val="63FE8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E6322C"/>
    <w:multiLevelType w:val="multilevel"/>
    <w:tmpl w:val="06347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7A6C6F"/>
    <w:multiLevelType w:val="multilevel"/>
    <w:tmpl w:val="7B7CB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BA425D"/>
    <w:multiLevelType w:val="multilevel"/>
    <w:tmpl w:val="3D600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DC4948"/>
    <w:multiLevelType w:val="multilevel"/>
    <w:tmpl w:val="13FAD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542AEE"/>
    <w:multiLevelType w:val="multilevel"/>
    <w:tmpl w:val="5DD0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30037A"/>
    <w:multiLevelType w:val="multilevel"/>
    <w:tmpl w:val="2FBA5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80760F"/>
    <w:multiLevelType w:val="multilevel"/>
    <w:tmpl w:val="D3C49E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B26A2C"/>
    <w:multiLevelType w:val="hybridMultilevel"/>
    <w:tmpl w:val="EE1C4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D3523F"/>
    <w:multiLevelType w:val="multilevel"/>
    <w:tmpl w:val="E256B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EA3D3C"/>
    <w:multiLevelType w:val="multilevel"/>
    <w:tmpl w:val="D868BD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7047EA"/>
    <w:multiLevelType w:val="multilevel"/>
    <w:tmpl w:val="56AEE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7A6D34"/>
    <w:multiLevelType w:val="multilevel"/>
    <w:tmpl w:val="772C3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5A4AC8"/>
    <w:multiLevelType w:val="multilevel"/>
    <w:tmpl w:val="48BA5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5E60A8"/>
    <w:multiLevelType w:val="multilevel"/>
    <w:tmpl w:val="B5B0B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810D06"/>
    <w:multiLevelType w:val="multilevel"/>
    <w:tmpl w:val="C6A06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FA53B38"/>
    <w:multiLevelType w:val="multilevel"/>
    <w:tmpl w:val="30D0F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058746C"/>
    <w:multiLevelType w:val="multilevel"/>
    <w:tmpl w:val="4A367C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0EE6E93"/>
    <w:multiLevelType w:val="multilevel"/>
    <w:tmpl w:val="99CA7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543AD3"/>
    <w:multiLevelType w:val="multilevel"/>
    <w:tmpl w:val="D090A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EE49E4"/>
    <w:multiLevelType w:val="multilevel"/>
    <w:tmpl w:val="01800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DD242C"/>
    <w:multiLevelType w:val="multilevel"/>
    <w:tmpl w:val="D360AE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5F032C"/>
    <w:multiLevelType w:val="multilevel"/>
    <w:tmpl w:val="E2440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677669"/>
    <w:multiLevelType w:val="multilevel"/>
    <w:tmpl w:val="C9BE3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0573431"/>
    <w:multiLevelType w:val="multilevel"/>
    <w:tmpl w:val="0F52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21150A"/>
    <w:multiLevelType w:val="multilevel"/>
    <w:tmpl w:val="873C7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9D3405"/>
    <w:multiLevelType w:val="multilevel"/>
    <w:tmpl w:val="C79C5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5DD2222"/>
    <w:multiLevelType w:val="multilevel"/>
    <w:tmpl w:val="5E0454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9D84200"/>
    <w:multiLevelType w:val="multilevel"/>
    <w:tmpl w:val="5A76D5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CD62880"/>
    <w:multiLevelType w:val="hybridMultilevel"/>
    <w:tmpl w:val="F6441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D5F18AF"/>
    <w:multiLevelType w:val="multilevel"/>
    <w:tmpl w:val="6B284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FFB4B13"/>
    <w:multiLevelType w:val="multilevel"/>
    <w:tmpl w:val="AE5EF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2FE5200"/>
    <w:multiLevelType w:val="multilevel"/>
    <w:tmpl w:val="2B98C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34E374B"/>
    <w:multiLevelType w:val="multilevel"/>
    <w:tmpl w:val="0AD4C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5BC7D91"/>
    <w:multiLevelType w:val="multilevel"/>
    <w:tmpl w:val="0CF69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DBF4CCA"/>
    <w:multiLevelType w:val="multilevel"/>
    <w:tmpl w:val="4698A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E448B2"/>
    <w:multiLevelType w:val="multilevel"/>
    <w:tmpl w:val="1F72C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6971757">
    <w:abstractNumId w:val="9"/>
  </w:num>
  <w:num w:numId="2" w16cid:durableId="251935768">
    <w:abstractNumId w:val="49"/>
  </w:num>
  <w:num w:numId="3" w16cid:durableId="1786729392">
    <w:abstractNumId w:val="12"/>
  </w:num>
  <w:num w:numId="4" w16cid:durableId="1724671809">
    <w:abstractNumId w:val="3"/>
  </w:num>
  <w:num w:numId="5" w16cid:durableId="1971012279">
    <w:abstractNumId w:val="37"/>
  </w:num>
  <w:num w:numId="6" w16cid:durableId="779033317">
    <w:abstractNumId w:val="21"/>
  </w:num>
  <w:num w:numId="7" w16cid:durableId="761032739">
    <w:abstractNumId w:val="27"/>
  </w:num>
  <w:num w:numId="8" w16cid:durableId="1768842589">
    <w:abstractNumId w:val="14"/>
  </w:num>
  <w:num w:numId="9" w16cid:durableId="277492809">
    <w:abstractNumId w:val="47"/>
  </w:num>
  <w:num w:numId="10" w16cid:durableId="750812070">
    <w:abstractNumId w:val="45"/>
  </w:num>
  <w:num w:numId="11" w16cid:durableId="132062393">
    <w:abstractNumId w:val="43"/>
  </w:num>
  <w:num w:numId="12" w16cid:durableId="777413557">
    <w:abstractNumId w:val="34"/>
  </w:num>
  <w:num w:numId="13" w16cid:durableId="380134164">
    <w:abstractNumId w:val="19"/>
  </w:num>
  <w:num w:numId="14" w16cid:durableId="2146391312">
    <w:abstractNumId w:val="40"/>
  </w:num>
  <w:num w:numId="15" w16cid:durableId="1189219569">
    <w:abstractNumId w:val="41"/>
  </w:num>
  <w:num w:numId="16" w16cid:durableId="900407755">
    <w:abstractNumId w:val="20"/>
  </w:num>
  <w:num w:numId="17" w16cid:durableId="825973534">
    <w:abstractNumId w:val="13"/>
  </w:num>
  <w:num w:numId="18" w16cid:durableId="856651958">
    <w:abstractNumId w:val="18"/>
  </w:num>
  <w:num w:numId="19" w16cid:durableId="917518318">
    <w:abstractNumId w:val="44"/>
  </w:num>
  <w:num w:numId="20" w16cid:durableId="401759150">
    <w:abstractNumId w:val="31"/>
  </w:num>
  <w:num w:numId="21" w16cid:durableId="1239553184">
    <w:abstractNumId w:val="15"/>
  </w:num>
  <w:num w:numId="22" w16cid:durableId="1037314438">
    <w:abstractNumId w:val="35"/>
  </w:num>
  <w:num w:numId="23" w16cid:durableId="1352146470">
    <w:abstractNumId w:val="33"/>
  </w:num>
  <w:num w:numId="24" w16cid:durableId="1346831673">
    <w:abstractNumId w:val="8"/>
  </w:num>
  <w:num w:numId="25" w16cid:durableId="1671324507">
    <w:abstractNumId w:val="46"/>
  </w:num>
  <w:num w:numId="26" w16cid:durableId="1569345075">
    <w:abstractNumId w:val="4"/>
  </w:num>
  <w:num w:numId="27" w16cid:durableId="704907320">
    <w:abstractNumId w:val="17"/>
  </w:num>
  <w:num w:numId="28" w16cid:durableId="573786628">
    <w:abstractNumId w:val="29"/>
  </w:num>
  <w:num w:numId="29" w16cid:durableId="1998918455">
    <w:abstractNumId w:val="32"/>
  </w:num>
  <w:num w:numId="30" w16cid:durableId="30882603">
    <w:abstractNumId w:val="10"/>
  </w:num>
  <w:num w:numId="31" w16cid:durableId="1616252269">
    <w:abstractNumId w:val="30"/>
  </w:num>
  <w:num w:numId="32" w16cid:durableId="245698261">
    <w:abstractNumId w:val="38"/>
  </w:num>
  <w:num w:numId="33" w16cid:durableId="882205671">
    <w:abstractNumId w:val="28"/>
  </w:num>
  <w:num w:numId="34" w16cid:durableId="692804718">
    <w:abstractNumId w:val="25"/>
  </w:num>
  <w:num w:numId="35" w16cid:durableId="203759052">
    <w:abstractNumId w:val="22"/>
  </w:num>
  <w:num w:numId="36" w16cid:durableId="168494166">
    <w:abstractNumId w:val="16"/>
  </w:num>
  <w:num w:numId="37" w16cid:durableId="529496821">
    <w:abstractNumId w:val="23"/>
  </w:num>
  <w:num w:numId="38" w16cid:durableId="191499688">
    <w:abstractNumId w:val="36"/>
  </w:num>
  <w:num w:numId="39" w16cid:durableId="1512643405">
    <w:abstractNumId w:val="7"/>
  </w:num>
  <w:num w:numId="40" w16cid:durableId="52510000">
    <w:abstractNumId w:val="24"/>
  </w:num>
  <w:num w:numId="41" w16cid:durableId="323120582">
    <w:abstractNumId w:val="11"/>
  </w:num>
  <w:num w:numId="42" w16cid:durableId="592124745">
    <w:abstractNumId w:val="42"/>
  </w:num>
  <w:num w:numId="43" w16cid:durableId="1778796572">
    <w:abstractNumId w:val="1"/>
  </w:num>
  <w:num w:numId="44" w16cid:durableId="163592941">
    <w:abstractNumId w:val="0"/>
  </w:num>
  <w:num w:numId="45" w16cid:durableId="883056723">
    <w:abstractNumId w:val="39"/>
  </w:num>
  <w:num w:numId="46" w16cid:durableId="1516574546">
    <w:abstractNumId w:val="6"/>
  </w:num>
  <w:num w:numId="47" w16cid:durableId="2042582118">
    <w:abstractNumId w:val="5"/>
  </w:num>
  <w:num w:numId="48" w16cid:durableId="844708090">
    <w:abstractNumId w:val="26"/>
  </w:num>
  <w:num w:numId="49" w16cid:durableId="1444882434">
    <w:abstractNumId w:val="48"/>
  </w:num>
  <w:num w:numId="50" w16cid:durableId="11395401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I0M7EwNDEyMDAxNzdT0lEKTi0uzszPAykwNK0FAMo0HAotAAAA"/>
  </w:docVars>
  <w:rsids>
    <w:rsidRoot w:val="00932CCF"/>
    <w:rsid w:val="00001310"/>
    <w:rsid w:val="00001A38"/>
    <w:rsid w:val="00001EE8"/>
    <w:rsid w:val="0000324B"/>
    <w:rsid w:val="00011670"/>
    <w:rsid w:val="000157D1"/>
    <w:rsid w:val="00016F78"/>
    <w:rsid w:val="00020B01"/>
    <w:rsid w:val="00020F8F"/>
    <w:rsid w:val="00024653"/>
    <w:rsid w:val="000268A0"/>
    <w:rsid w:val="000317D3"/>
    <w:rsid w:val="00032193"/>
    <w:rsid w:val="00032C37"/>
    <w:rsid w:val="00033241"/>
    <w:rsid w:val="00034A0B"/>
    <w:rsid w:val="000667D9"/>
    <w:rsid w:val="00072828"/>
    <w:rsid w:val="00074387"/>
    <w:rsid w:val="00081ECF"/>
    <w:rsid w:val="0008627C"/>
    <w:rsid w:val="00087944"/>
    <w:rsid w:val="00092892"/>
    <w:rsid w:val="00094CC3"/>
    <w:rsid w:val="00095F94"/>
    <w:rsid w:val="000A29F4"/>
    <w:rsid w:val="000A3991"/>
    <w:rsid w:val="000A719F"/>
    <w:rsid w:val="000C0EBC"/>
    <w:rsid w:val="000C13ED"/>
    <w:rsid w:val="000C4B1A"/>
    <w:rsid w:val="000C65F0"/>
    <w:rsid w:val="000C6656"/>
    <w:rsid w:val="000C66E3"/>
    <w:rsid w:val="000D61C8"/>
    <w:rsid w:val="000E4AD0"/>
    <w:rsid w:val="000E5691"/>
    <w:rsid w:val="000E6E74"/>
    <w:rsid w:val="000F44A6"/>
    <w:rsid w:val="001011C0"/>
    <w:rsid w:val="001012F9"/>
    <w:rsid w:val="001167D9"/>
    <w:rsid w:val="00116FAF"/>
    <w:rsid w:val="00126483"/>
    <w:rsid w:val="0013418C"/>
    <w:rsid w:val="00143136"/>
    <w:rsid w:val="0014313A"/>
    <w:rsid w:val="0014496D"/>
    <w:rsid w:val="0014653B"/>
    <w:rsid w:val="00147121"/>
    <w:rsid w:val="001478CE"/>
    <w:rsid w:val="00151F84"/>
    <w:rsid w:val="00153167"/>
    <w:rsid w:val="001563B0"/>
    <w:rsid w:val="00163626"/>
    <w:rsid w:val="00165A9D"/>
    <w:rsid w:val="00165BA4"/>
    <w:rsid w:val="00170A59"/>
    <w:rsid w:val="0018514A"/>
    <w:rsid w:val="00185909"/>
    <w:rsid w:val="00191A66"/>
    <w:rsid w:val="001927AA"/>
    <w:rsid w:val="001A047D"/>
    <w:rsid w:val="001A5164"/>
    <w:rsid w:val="001A5DBE"/>
    <w:rsid w:val="001B234B"/>
    <w:rsid w:val="001B56E1"/>
    <w:rsid w:val="001C0ABB"/>
    <w:rsid w:val="001C73C2"/>
    <w:rsid w:val="001D18FE"/>
    <w:rsid w:val="001E34A8"/>
    <w:rsid w:val="001F074F"/>
    <w:rsid w:val="001F1D4A"/>
    <w:rsid w:val="001F691F"/>
    <w:rsid w:val="001F7B95"/>
    <w:rsid w:val="002019A0"/>
    <w:rsid w:val="00210644"/>
    <w:rsid w:val="0021335F"/>
    <w:rsid w:val="002217F3"/>
    <w:rsid w:val="0022186F"/>
    <w:rsid w:val="00241C45"/>
    <w:rsid w:val="00246038"/>
    <w:rsid w:val="0024741D"/>
    <w:rsid w:val="00247550"/>
    <w:rsid w:val="002677F3"/>
    <w:rsid w:val="00267893"/>
    <w:rsid w:val="00277828"/>
    <w:rsid w:val="00287120"/>
    <w:rsid w:val="00295BC7"/>
    <w:rsid w:val="002A3DE5"/>
    <w:rsid w:val="002A418F"/>
    <w:rsid w:val="002B1FC2"/>
    <w:rsid w:val="002B6458"/>
    <w:rsid w:val="002C2D83"/>
    <w:rsid w:val="002D52B9"/>
    <w:rsid w:val="002D693C"/>
    <w:rsid w:val="002E0AFA"/>
    <w:rsid w:val="002F1B1B"/>
    <w:rsid w:val="00300303"/>
    <w:rsid w:val="00301450"/>
    <w:rsid w:val="00303DD4"/>
    <w:rsid w:val="00304038"/>
    <w:rsid w:val="00317712"/>
    <w:rsid w:val="00317E1B"/>
    <w:rsid w:val="00337041"/>
    <w:rsid w:val="00344065"/>
    <w:rsid w:val="00355D30"/>
    <w:rsid w:val="00361B9E"/>
    <w:rsid w:val="003638B7"/>
    <w:rsid w:val="0036669B"/>
    <w:rsid w:val="00367DC0"/>
    <w:rsid w:val="0039756B"/>
    <w:rsid w:val="003A2310"/>
    <w:rsid w:val="003A2C61"/>
    <w:rsid w:val="003B7345"/>
    <w:rsid w:val="003C28FD"/>
    <w:rsid w:val="003C3026"/>
    <w:rsid w:val="003C3286"/>
    <w:rsid w:val="003C50A3"/>
    <w:rsid w:val="003D4D91"/>
    <w:rsid w:val="003E1883"/>
    <w:rsid w:val="003E3B11"/>
    <w:rsid w:val="003E6738"/>
    <w:rsid w:val="004031A3"/>
    <w:rsid w:val="00403C2E"/>
    <w:rsid w:val="00406B8F"/>
    <w:rsid w:val="00410D84"/>
    <w:rsid w:val="00413BA4"/>
    <w:rsid w:val="00423E59"/>
    <w:rsid w:val="00424089"/>
    <w:rsid w:val="004254B7"/>
    <w:rsid w:val="00435B1D"/>
    <w:rsid w:val="004411C0"/>
    <w:rsid w:val="0044298D"/>
    <w:rsid w:val="004457C2"/>
    <w:rsid w:val="004536F5"/>
    <w:rsid w:val="00456A79"/>
    <w:rsid w:val="004577EE"/>
    <w:rsid w:val="00460E5C"/>
    <w:rsid w:val="00461943"/>
    <w:rsid w:val="00462D55"/>
    <w:rsid w:val="00462E8D"/>
    <w:rsid w:val="00474AAF"/>
    <w:rsid w:val="00476B96"/>
    <w:rsid w:val="004805DD"/>
    <w:rsid w:val="00482BD4"/>
    <w:rsid w:val="004854B3"/>
    <w:rsid w:val="00485AA1"/>
    <w:rsid w:val="0048698A"/>
    <w:rsid w:val="004978CA"/>
    <w:rsid w:val="004A4E9F"/>
    <w:rsid w:val="004B5EF5"/>
    <w:rsid w:val="004C3ADE"/>
    <w:rsid w:val="004D45A7"/>
    <w:rsid w:val="004E0A81"/>
    <w:rsid w:val="004E1328"/>
    <w:rsid w:val="004E31F6"/>
    <w:rsid w:val="004E44E7"/>
    <w:rsid w:val="004F1592"/>
    <w:rsid w:val="004F3F29"/>
    <w:rsid w:val="004F5ED0"/>
    <w:rsid w:val="00512F5F"/>
    <w:rsid w:val="00515B98"/>
    <w:rsid w:val="0051640B"/>
    <w:rsid w:val="00517E5A"/>
    <w:rsid w:val="00535EFE"/>
    <w:rsid w:val="00542331"/>
    <w:rsid w:val="005472D8"/>
    <w:rsid w:val="00553CED"/>
    <w:rsid w:val="00570D2B"/>
    <w:rsid w:val="0057198B"/>
    <w:rsid w:val="00577F24"/>
    <w:rsid w:val="00592D3D"/>
    <w:rsid w:val="005931FF"/>
    <w:rsid w:val="00593501"/>
    <w:rsid w:val="005943EF"/>
    <w:rsid w:val="005A20C6"/>
    <w:rsid w:val="005A6323"/>
    <w:rsid w:val="005B738F"/>
    <w:rsid w:val="006014F0"/>
    <w:rsid w:val="00602AC3"/>
    <w:rsid w:val="006061A3"/>
    <w:rsid w:val="00606327"/>
    <w:rsid w:val="006155FA"/>
    <w:rsid w:val="006260C1"/>
    <w:rsid w:val="00637F29"/>
    <w:rsid w:val="00654548"/>
    <w:rsid w:val="00656002"/>
    <w:rsid w:val="00656DFA"/>
    <w:rsid w:val="006720ED"/>
    <w:rsid w:val="006820AD"/>
    <w:rsid w:val="00696768"/>
    <w:rsid w:val="00696B99"/>
    <w:rsid w:val="006B14DB"/>
    <w:rsid w:val="006B2605"/>
    <w:rsid w:val="006B3470"/>
    <w:rsid w:val="006B68E2"/>
    <w:rsid w:val="006C387D"/>
    <w:rsid w:val="006C576B"/>
    <w:rsid w:val="006D0CE7"/>
    <w:rsid w:val="006D30FC"/>
    <w:rsid w:val="006D3EA6"/>
    <w:rsid w:val="006E0F44"/>
    <w:rsid w:val="006E3A90"/>
    <w:rsid w:val="006E3C32"/>
    <w:rsid w:val="006F0C42"/>
    <w:rsid w:val="006F14E0"/>
    <w:rsid w:val="006F5FBD"/>
    <w:rsid w:val="006F6112"/>
    <w:rsid w:val="007001E3"/>
    <w:rsid w:val="00743271"/>
    <w:rsid w:val="00752103"/>
    <w:rsid w:val="00753FC8"/>
    <w:rsid w:val="00757612"/>
    <w:rsid w:val="0076038A"/>
    <w:rsid w:val="00763457"/>
    <w:rsid w:val="007645BC"/>
    <w:rsid w:val="00765272"/>
    <w:rsid w:val="00770D49"/>
    <w:rsid w:val="007731D1"/>
    <w:rsid w:val="00781C41"/>
    <w:rsid w:val="007923F5"/>
    <w:rsid w:val="0079688E"/>
    <w:rsid w:val="007A0143"/>
    <w:rsid w:val="007A125E"/>
    <w:rsid w:val="007A5702"/>
    <w:rsid w:val="007B2DE8"/>
    <w:rsid w:val="007B536E"/>
    <w:rsid w:val="007B5482"/>
    <w:rsid w:val="007C0D51"/>
    <w:rsid w:val="007D01F9"/>
    <w:rsid w:val="007D2561"/>
    <w:rsid w:val="007D2730"/>
    <w:rsid w:val="007D654A"/>
    <w:rsid w:val="007E492D"/>
    <w:rsid w:val="007E5B2D"/>
    <w:rsid w:val="007E6CA7"/>
    <w:rsid w:val="007F3F50"/>
    <w:rsid w:val="007F6AB0"/>
    <w:rsid w:val="00813945"/>
    <w:rsid w:val="00815F17"/>
    <w:rsid w:val="00821DA2"/>
    <w:rsid w:val="00822C19"/>
    <w:rsid w:val="00831F4E"/>
    <w:rsid w:val="0083677E"/>
    <w:rsid w:val="00845BA2"/>
    <w:rsid w:val="008476FB"/>
    <w:rsid w:val="00847925"/>
    <w:rsid w:val="0085079F"/>
    <w:rsid w:val="008671BD"/>
    <w:rsid w:val="00877283"/>
    <w:rsid w:val="008855F0"/>
    <w:rsid w:val="008937EF"/>
    <w:rsid w:val="008B26F2"/>
    <w:rsid w:val="008B2F3E"/>
    <w:rsid w:val="008B3472"/>
    <w:rsid w:val="008C1E86"/>
    <w:rsid w:val="008C53A1"/>
    <w:rsid w:val="008D4D6B"/>
    <w:rsid w:val="008E0CB4"/>
    <w:rsid w:val="008E36B5"/>
    <w:rsid w:val="008E4407"/>
    <w:rsid w:val="008E6BB7"/>
    <w:rsid w:val="008E7C0D"/>
    <w:rsid w:val="008F2B4C"/>
    <w:rsid w:val="00902CC9"/>
    <w:rsid w:val="00906609"/>
    <w:rsid w:val="00912984"/>
    <w:rsid w:val="00913943"/>
    <w:rsid w:val="00913DAE"/>
    <w:rsid w:val="0091712B"/>
    <w:rsid w:val="0092146E"/>
    <w:rsid w:val="009244C2"/>
    <w:rsid w:val="00930673"/>
    <w:rsid w:val="00930B48"/>
    <w:rsid w:val="00930EB2"/>
    <w:rsid w:val="00932CCF"/>
    <w:rsid w:val="009522AB"/>
    <w:rsid w:val="00960CDF"/>
    <w:rsid w:val="00975DCB"/>
    <w:rsid w:val="00981F07"/>
    <w:rsid w:val="00987062"/>
    <w:rsid w:val="00994A4B"/>
    <w:rsid w:val="009A0B93"/>
    <w:rsid w:val="009A1B43"/>
    <w:rsid w:val="009A688D"/>
    <w:rsid w:val="009D2673"/>
    <w:rsid w:val="009E3F3E"/>
    <w:rsid w:val="009E7A34"/>
    <w:rsid w:val="009F46E8"/>
    <w:rsid w:val="00A0372E"/>
    <w:rsid w:val="00A04858"/>
    <w:rsid w:val="00A07299"/>
    <w:rsid w:val="00A133EE"/>
    <w:rsid w:val="00A13C77"/>
    <w:rsid w:val="00A14C49"/>
    <w:rsid w:val="00A21CE8"/>
    <w:rsid w:val="00A26711"/>
    <w:rsid w:val="00A26F2C"/>
    <w:rsid w:val="00A35A12"/>
    <w:rsid w:val="00A406C9"/>
    <w:rsid w:val="00A41E5F"/>
    <w:rsid w:val="00A52AE4"/>
    <w:rsid w:val="00A54926"/>
    <w:rsid w:val="00A643B7"/>
    <w:rsid w:val="00A77F62"/>
    <w:rsid w:val="00A87BC6"/>
    <w:rsid w:val="00A913DF"/>
    <w:rsid w:val="00A92B2D"/>
    <w:rsid w:val="00A94B3B"/>
    <w:rsid w:val="00AA66F8"/>
    <w:rsid w:val="00AA765E"/>
    <w:rsid w:val="00AB3BB3"/>
    <w:rsid w:val="00AB69A9"/>
    <w:rsid w:val="00AC674C"/>
    <w:rsid w:val="00AD0B70"/>
    <w:rsid w:val="00AD623E"/>
    <w:rsid w:val="00AE0992"/>
    <w:rsid w:val="00AE7D6D"/>
    <w:rsid w:val="00AF278E"/>
    <w:rsid w:val="00AF4F50"/>
    <w:rsid w:val="00AF5FFB"/>
    <w:rsid w:val="00B10640"/>
    <w:rsid w:val="00B11CA3"/>
    <w:rsid w:val="00B132F9"/>
    <w:rsid w:val="00B20D98"/>
    <w:rsid w:val="00B21591"/>
    <w:rsid w:val="00B31E2A"/>
    <w:rsid w:val="00B43A4A"/>
    <w:rsid w:val="00B47BDE"/>
    <w:rsid w:val="00B52205"/>
    <w:rsid w:val="00B52450"/>
    <w:rsid w:val="00B53FEF"/>
    <w:rsid w:val="00B61352"/>
    <w:rsid w:val="00B6732B"/>
    <w:rsid w:val="00B73052"/>
    <w:rsid w:val="00B77CF6"/>
    <w:rsid w:val="00B8013F"/>
    <w:rsid w:val="00B82B9C"/>
    <w:rsid w:val="00B95696"/>
    <w:rsid w:val="00BA04D8"/>
    <w:rsid w:val="00BA1466"/>
    <w:rsid w:val="00BA30E2"/>
    <w:rsid w:val="00BB1833"/>
    <w:rsid w:val="00BB6B9B"/>
    <w:rsid w:val="00BC0FCA"/>
    <w:rsid w:val="00BD6CD9"/>
    <w:rsid w:val="00BD6DB2"/>
    <w:rsid w:val="00BE054D"/>
    <w:rsid w:val="00BE1DA3"/>
    <w:rsid w:val="00BE5AF2"/>
    <w:rsid w:val="00BE6C34"/>
    <w:rsid w:val="00BF0F67"/>
    <w:rsid w:val="00BF2318"/>
    <w:rsid w:val="00BF527E"/>
    <w:rsid w:val="00BF7F5F"/>
    <w:rsid w:val="00C05F6D"/>
    <w:rsid w:val="00C13D95"/>
    <w:rsid w:val="00C25740"/>
    <w:rsid w:val="00C2755F"/>
    <w:rsid w:val="00C41326"/>
    <w:rsid w:val="00C45E24"/>
    <w:rsid w:val="00C535A4"/>
    <w:rsid w:val="00C57DE1"/>
    <w:rsid w:val="00C607B8"/>
    <w:rsid w:val="00C60895"/>
    <w:rsid w:val="00C73B9F"/>
    <w:rsid w:val="00C76830"/>
    <w:rsid w:val="00C8002A"/>
    <w:rsid w:val="00C81CDF"/>
    <w:rsid w:val="00C95160"/>
    <w:rsid w:val="00C9734B"/>
    <w:rsid w:val="00CB2AED"/>
    <w:rsid w:val="00CB3141"/>
    <w:rsid w:val="00CB65C3"/>
    <w:rsid w:val="00CB731B"/>
    <w:rsid w:val="00CD1CE0"/>
    <w:rsid w:val="00CD203E"/>
    <w:rsid w:val="00CD6658"/>
    <w:rsid w:val="00CD67D7"/>
    <w:rsid w:val="00CD7A45"/>
    <w:rsid w:val="00CF0BFE"/>
    <w:rsid w:val="00CF3589"/>
    <w:rsid w:val="00CF75EB"/>
    <w:rsid w:val="00CF7852"/>
    <w:rsid w:val="00D04E44"/>
    <w:rsid w:val="00D060B9"/>
    <w:rsid w:val="00D0691A"/>
    <w:rsid w:val="00D11B7B"/>
    <w:rsid w:val="00D11F1A"/>
    <w:rsid w:val="00D21843"/>
    <w:rsid w:val="00D249F9"/>
    <w:rsid w:val="00D41D1E"/>
    <w:rsid w:val="00D42581"/>
    <w:rsid w:val="00D44A22"/>
    <w:rsid w:val="00D45DE5"/>
    <w:rsid w:val="00D51A81"/>
    <w:rsid w:val="00D51E36"/>
    <w:rsid w:val="00D67503"/>
    <w:rsid w:val="00D70630"/>
    <w:rsid w:val="00D758DA"/>
    <w:rsid w:val="00D7643B"/>
    <w:rsid w:val="00D765B4"/>
    <w:rsid w:val="00D87FFD"/>
    <w:rsid w:val="00D979E4"/>
    <w:rsid w:val="00DA5E32"/>
    <w:rsid w:val="00DB1F0B"/>
    <w:rsid w:val="00DB44F8"/>
    <w:rsid w:val="00DB450C"/>
    <w:rsid w:val="00DB60D5"/>
    <w:rsid w:val="00DB6CE8"/>
    <w:rsid w:val="00DB6DC3"/>
    <w:rsid w:val="00DC2201"/>
    <w:rsid w:val="00DC38D9"/>
    <w:rsid w:val="00DD0F0C"/>
    <w:rsid w:val="00DD2740"/>
    <w:rsid w:val="00DD6E53"/>
    <w:rsid w:val="00DE4831"/>
    <w:rsid w:val="00DF33BB"/>
    <w:rsid w:val="00E0383B"/>
    <w:rsid w:val="00E07449"/>
    <w:rsid w:val="00E10A5A"/>
    <w:rsid w:val="00E1773B"/>
    <w:rsid w:val="00E3148D"/>
    <w:rsid w:val="00E32C7F"/>
    <w:rsid w:val="00E32D68"/>
    <w:rsid w:val="00E4517A"/>
    <w:rsid w:val="00E5024E"/>
    <w:rsid w:val="00E54D2C"/>
    <w:rsid w:val="00E55BAA"/>
    <w:rsid w:val="00E734F4"/>
    <w:rsid w:val="00E77689"/>
    <w:rsid w:val="00E86851"/>
    <w:rsid w:val="00E92CE3"/>
    <w:rsid w:val="00E93792"/>
    <w:rsid w:val="00E93B81"/>
    <w:rsid w:val="00E9702B"/>
    <w:rsid w:val="00EA2CD0"/>
    <w:rsid w:val="00EB36BA"/>
    <w:rsid w:val="00EB39F9"/>
    <w:rsid w:val="00EB792A"/>
    <w:rsid w:val="00EC68F5"/>
    <w:rsid w:val="00ED1968"/>
    <w:rsid w:val="00ED5665"/>
    <w:rsid w:val="00ED5B06"/>
    <w:rsid w:val="00ED7EDA"/>
    <w:rsid w:val="00EE0002"/>
    <w:rsid w:val="00EE124B"/>
    <w:rsid w:val="00EE3432"/>
    <w:rsid w:val="00EE77CC"/>
    <w:rsid w:val="00EF104F"/>
    <w:rsid w:val="00EF1DE9"/>
    <w:rsid w:val="00F01841"/>
    <w:rsid w:val="00F020BC"/>
    <w:rsid w:val="00F0496C"/>
    <w:rsid w:val="00F116B8"/>
    <w:rsid w:val="00F123DA"/>
    <w:rsid w:val="00F15F9A"/>
    <w:rsid w:val="00F20561"/>
    <w:rsid w:val="00F20938"/>
    <w:rsid w:val="00F21079"/>
    <w:rsid w:val="00F26959"/>
    <w:rsid w:val="00F27C16"/>
    <w:rsid w:val="00F32011"/>
    <w:rsid w:val="00F33257"/>
    <w:rsid w:val="00F424E1"/>
    <w:rsid w:val="00F44F14"/>
    <w:rsid w:val="00F470CF"/>
    <w:rsid w:val="00F47380"/>
    <w:rsid w:val="00F514B9"/>
    <w:rsid w:val="00F5266C"/>
    <w:rsid w:val="00F530C5"/>
    <w:rsid w:val="00F56146"/>
    <w:rsid w:val="00F67AC1"/>
    <w:rsid w:val="00F807D1"/>
    <w:rsid w:val="00F831A2"/>
    <w:rsid w:val="00F934B4"/>
    <w:rsid w:val="00F96391"/>
    <w:rsid w:val="00F96CD5"/>
    <w:rsid w:val="00FA2511"/>
    <w:rsid w:val="00FA2515"/>
    <w:rsid w:val="00FA3181"/>
    <w:rsid w:val="00FA7F17"/>
    <w:rsid w:val="00FB240B"/>
    <w:rsid w:val="00FC6BAE"/>
    <w:rsid w:val="00FE1D40"/>
    <w:rsid w:val="00FF72E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CCD1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B1A"/>
    <w:pPr>
      <w:spacing w:before="120" w:after="120" w:line="360" w:lineRule="auto"/>
      <w:jc w:val="both"/>
    </w:pPr>
    <w:rPr>
      <w:rFonts w:ascii="Times New Roman" w:hAnsi="Times New Roman" w:cs="Times New Roman"/>
      <w:sz w:val="24"/>
      <w:lang w:eastAsia="en-GB"/>
    </w:rPr>
  </w:style>
  <w:style w:type="paragraph" w:styleId="Heading1">
    <w:name w:val="heading 1"/>
    <w:basedOn w:val="Normal"/>
    <w:next w:val="Normal"/>
    <w:link w:val="Heading1Char"/>
    <w:autoRedefine/>
    <w:uiPriority w:val="9"/>
    <w:qFormat/>
    <w:rsid w:val="00F514B9"/>
    <w:pPr>
      <w:keepNext/>
      <w:keepLines/>
      <w:numPr>
        <w:numId w:val="50"/>
      </w:numPr>
      <w:spacing w:before="0" w:after="200"/>
      <w:jc w:val="center"/>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1478CE"/>
    <w:pPr>
      <w:keepNext/>
      <w:keepLines/>
      <w:numPr>
        <w:ilvl w:val="1"/>
        <w:numId w:val="50"/>
      </w:numPr>
      <w:spacing w:before="160" w:after="200"/>
      <w:outlineLvl w:val="1"/>
    </w:pPr>
    <w:rPr>
      <w:rFonts w:eastAsiaTheme="majorEastAsia" w:cstheme="majorBidi"/>
      <w:b/>
      <w:color w:val="0070C0"/>
      <w:sz w:val="28"/>
      <w:szCs w:val="26"/>
      <w:lang w:val="en-US"/>
    </w:rPr>
  </w:style>
  <w:style w:type="paragraph" w:styleId="Heading3">
    <w:name w:val="heading 3"/>
    <w:basedOn w:val="Normal"/>
    <w:next w:val="Normal"/>
    <w:link w:val="Heading3Char"/>
    <w:autoRedefine/>
    <w:uiPriority w:val="9"/>
    <w:unhideWhenUsed/>
    <w:qFormat/>
    <w:rsid w:val="001478CE"/>
    <w:pPr>
      <w:keepNext/>
      <w:keepLines/>
      <w:numPr>
        <w:ilvl w:val="2"/>
        <w:numId w:val="50"/>
      </w:numPr>
      <w:spacing w:before="160" w:after="200"/>
      <w:outlineLvl w:val="2"/>
    </w:pPr>
    <w:rPr>
      <w:rFonts w:eastAsiaTheme="majorEastAsia" w:cstheme="majorBidi"/>
      <w:b/>
      <w:iCs/>
      <w:color w:val="7030A0"/>
      <w:sz w:val="25"/>
      <w:szCs w:val="24"/>
      <w:lang w:val="en-US"/>
    </w:rPr>
  </w:style>
  <w:style w:type="paragraph" w:styleId="Heading4">
    <w:name w:val="heading 4"/>
    <w:basedOn w:val="Normal"/>
    <w:next w:val="Normal"/>
    <w:link w:val="Heading4Char"/>
    <w:uiPriority w:val="9"/>
    <w:semiHidden/>
    <w:unhideWhenUsed/>
    <w:qFormat/>
    <w:rsid w:val="00932CC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32CC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32CC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2CC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2CC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2CC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4B9"/>
    <w:rPr>
      <w:rFonts w:ascii="Times New Roman" w:eastAsiaTheme="majorEastAsia" w:hAnsi="Times New Roman" w:cstheme="majorBidi"/>
      <w:b/>
      <w:color w:val="002060"/>
      <w:sz w:val="32"/>
      <w:szCs w:val="32"/>
      <w:lang w:eastAsia="en-GB"/>
    </w:rPr>
  </w:style>
  <w:style w:type="character" w:customStyle="1" w:styleId="Heading2Char">
    <w:name w:val="Heading 2 Char"/>
    <w:basedOn w:val="DefaultParagraphFont"/>
    <w:link w:val="Heading2"/>
    <w:uiPriority w:val="9"/>
    <w:rsid w:val="001478CE"/>
    <w:rPr>
      <w:rFonts w:ascii="Times New Roman" w:eastAsiaTheme="majorEastAsia" w:hAnsi="Times New Roman" w:cstheme="majorBidi"/>
      <w:b/>
      <w:color w:val="0070C0"/>
      <w:sz w:val="28"/>
      <w:szCs w:val="26"/>
      <w:lang w:val="en-US" w:eastAsia="en-GB"/>
    </w:rPr>
  </w:style>
  <w:style w:type="character" w:customStyle="1" w:styleId="Heading3Char">
    <w:name w:val="Heading 3 Char"/>
    <w:basedOn w:val="DefaultParagraphFont"/>
    <w:link w:val="Heading3"/>
    <w:uiPriority w:val="9"/>
    <w:rsid w:val="001478CE"/>
    <w:rPr>
      <w:rFonts w:ascii="Times New Roman" w:eastAsiaTheme="majorEastAsia" w:hAnsi="Times New Roman" w:cstheme="majorBidi"/>
      <w:b/>
      <w:iCs/>
      <w:color w:val="7030A0"/>
      <w:sz w:val="25"/>
      <w:szCs w:val="24"/>
      <w:lang w:val="en-US" w:eastAsia="en-GB"/>
    </w:rPr>
  </w:style>
  <w:style w:type="paragraph" w:styleId="Caption">
    <w:name w:val="caption"/>
    <w:basedOn w:val="Normal"/>
    <w:next w:val="Normal"/>
    <w:autoRedefine/>
    <w:unhideWhenUsed/>
    <w:qFormat/>
    <w:rsid w:val="00743271"/>
    <w:pPr>
      <w:spacing w:after="360"/>
      <w:jc w:val="center"/>
    </w:pPr>
    <w:rPr>
      <w:rFonts w:cstheme="minorHAnsi"/>
      <w:b/>
      <w:i/>
      <w:iCs/>
      <w:noProof/>
      <w:sz w:val="20"/>
      <w:szCs w:val="24"/>
      <w:lang w:val="en-ZA"/>
    </w:rPr>
  </w:style>
  <w:style w:type="character" w:customStyle="1" w:styleId="Heading4Char">
    <w:name w:val="Heading 4 Char"/>
    <w:basedOn w:val="DefaultParagraphFont"/>
    <w:link w:val="Heading4"/>
    <w:uiPriority w:val="9"/>
    <w:semiHidden/>
    <w:rsid w:val="00932CCF"/>
    <w:rPr>
      <w:rFonts w:eastAsiaTheme="majorEastAsia" w:cstheme="majorBidi"/>
      <w:i/>
      <w:iCs/>
      <w:color w:val="2F5496" w:themeColor="accent1" w:themeShade="BF"/>
      <w:sz w:val="24"/>
      <w:lang w:eastAsia="en-GB"/>
    </w:rPr>
  </w:style>
  <w:style w:type="character" w:customStyle="1" w:styleId="Heading5Char">
    <w:name w:val="Heading 5 Char"/>
    <w:basedOn w:val="DefaultParagraphFont"/>
    <w:link w:val="Heading5"/>
    <w:uiPriority w:val="9"/>
    <w:semiHidden/>
    <w:rsid w:val="00932CCF"/>
    <w:rPr>
      <w:rFonts w:eastAsiaTheme="majorEastAsia" w:cstheme="majorBidi"/>
      <w:color w:val="2F5496" w:themeColor="accent1" w:themeShade="BF"/>
      <w:sz w:val="24"/>
      <w:lang w:eastAsia="en-GB"/>
    </w:rPr>
  </w:style>
  <w:style w:type="character" w:customStyle="1" w:styleId="Heading6Char">
    <w:name w:val="Heading 6 Char"/>
    <w:basedOn w:val="DefaultParagraphFont"/>
    <w:link w:val="Heading6"/>
    <w:uiPriority w:val="9"/>
    <w:semiHidden/>
    <w:rsid w:val="00932CCF"/>
    <w:rPr>
      <w:rFonts w:eastAsiaTheme="majorEastAsia" w:cstheme="majorBidi"/>
      <w:i/>
      <w:iCs/>
      <w:color w:val="595959" w:themeColor="text1" w:themeTint="A6"/>
      <w:sz w:val="24"/>
      <w:lang w:eastAsia="en-GB"/>
    </w:rPr>
  </w:style>
  <w:style w:type="character" w:customStyle="1" w:styleId="Heading7Char">
    <w:name w:val="Heading 7 Char"/>
    <w:basedOn w:val="DefaultParagraphFont"/>
    <w:link w:val="Heading7"/>
    <w:uiPriority w:val="9"/>
    <w:semiHidden/>
    <w:rsid w:val="00932CCF"/>
    <w:rPr>
      <w:rFonts w:eastAsiaTheme="majorEastAsia" w:cstheme="majorBidi"/>
      <w:color w:val="595959" w:themeColor="text1" w:themeTint="A6"/>
      <w:sz w:val="24"/>
      <w:lang w:eastAsia="en-GB"/>
    </w:rPr>
  </w:style>
  <w:style w:type="character" w:customStyle="1" w:styleId="Heading8Char">
    <w:name w:val="Heading 8 Char"/>
    <w:basedOn w:val="DefaultParagraphFont"/>
    <w:link w:val="Heading8"/>
    <w:uiPriority w:val="9"/>
    <w:semiHidden/>
    <w:rsid w:val="00932CCF"/>
    <w:rPr>
      <w:rFonts w:eastAsiaTheme="majorEastAsia" w:cstheme="majorBidi"/>
      <w:i/>
      <w:iCs/>
      <w:color w:val="272727" w:themeColor="text1" w:themeTint="D8"/>
      <w:sz w:val="24"/>
      <w:lang w:eastAsia="en-GB"/>
    </w:rPr>
  </w:style>
  <w:style w:type="character" w:customStyle="1" w:styleId="Heading9Char">
    <w:name w:val="Heading 9 Char"/>
    <w:basedOn w:val="DefaultParagraphFont"/>
    <w:link w:val="Heading9"/>
    <w:uiPriority w:val="9"/>
    <w:semiHidden/>
    <w:rsid w:val="00932CCF"/>
    <w:rPr>
      <w:rFonts w:eastAsiaTheme="majorEastAsia" w:cstheme="majorBidi"/>
      <w:color w:val="272727" w:themeColor="text1" w:themeTint="D8"/>
      <w:sz w:val="24"/>
      <w:lang w:eastAsia="en-GB"/>
    </w:rPr>
  </w:style>
  <w:style w:type="paragraph" w:styleId="Title">
    <w:name w:val="Title"/>
    <w:basedOn w:val="Normal"/>
    <w:next w:val="Normal"/>
    <w:link w:val="TitleChar"/>
    <w:uiPriority w:val="10"/>
    <w:qFormat/>
    <w:rsid w:val="00932CCF"/>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CCF"/>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932CC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CCF"/>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932C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2CCF"/>
    <w:rPr>
      <w:rFonts w:ascii="Times New Roman" w:hAnsi="Times New Roman" w:cs="Times New Roman"/>
      <w:i/>
      <w:iCs/>
      <w:color w:val="404040" w:themeColor="text1" w:themeTint="BF"/>
      <w:sz w:val="24"/>
      <w:lang w:eastAsia="en-GB"/>
    </w:rPr>
  </w:style>
  <w:style w:type="paragraph" w:styleId="ListParagraph">
    <w:name w:val="List Paragraph"/>
    <w:basedOn w:val="Normal"/>
    <w:uiPriority w:val="34"/>
    <w:qFormat/>
    <w:rsid w:val="00932CCF"/>
    <w:pPr>
      <w:ind w:left="720"/>
      <w:contextualSpacing/>
    </w:pPr>
  </w:style>
  <w:style w:type="character" w:styleId="IntenseEmphasis">
    <w:name w:val="Intense Emphasis"/>
    <w:basedOn w:val="DefaultParagraphFont"/>
    <w:uiPriority w:val="21"/>
    <w:qFormat/>
    <w:rsid w:val="00932CCF"/>
    <w:rPr>
      <w:i/>
      <w:iCs/>
      <w:color w:val="2F5496" w:themeColor="accent1" w:themeShade="BF"/>
    </w:rPr>
  </w:style>
  <w:style w:type="paragraph" w:styleId="IntenseQuote">
    <w:name w:val="Intense Quote"/>
    <w:basedOn w:val="Normal"/>
    <w:next w:val="Normal"/>
    <w:link w:val="IntenseQuoteChar"/>
    <w:uiPriority w:val="30"/>
    <w:qFormat/>
    <w:rsid w:val="00932C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2CCF"/>
    <w:rPr>
      <w:rFonts w:ascii="Times New Roman" w:hAnsi="Times New Roman" w:cs="Times New Roman"/>
      <w:i/>
      <w:iCs/>
      <w:color w:val="2F5496" w:themeColor="accent1" w:themeShade="BF"/>
      <w:sz w:val="24"/>
      <w:lang w:eastAsia="en-GB"/>
    </w:rPr>
  </w:style>
  <w:style w:type="character" w:styleId="IntenseReference">
    <w:name w:val="Intense Reference"/>
    <w:basedOn w:val="DefaultParagraphFont"/>
    <w:uiPriority w:val="32"/>
    <w:qFormat/>
    <w:rsid w:val="00932CCF"/>
    <w:rPr>
      <w:b/>
      <w:bCs/>
      <w:smallCaps/>
      <w:color w:val="2F5496" w:themeColor="accent1" w:themeShade="BF"/>
      <w:spacing w:val="5"/>
    </w:rPr>
  </w:style>
  <w:style w:type="table" w:styleId="GridTable4-Accent5">
    <w:name w:val="Grid Table 4 Accent 5"/>
    <w:basedOn w:val="TableNormal"/>
    <w:uiPriority w:val="49"/>
    <w:rsid w:val="00932CC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DB6DC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B6DC3"/>
    <w:rPr>
      <w:rFonts w:ascii="Times New Roman" w:hAnsi="Times New Roman" w:cs="Times New Roman"/>
      <w:sz w:val="24"/>
      <w:lang w:eastAsia="en-GB"/>
    </w:rPr>
  </w:style>
  <w:style w:type="paragraph" w:styleId="Footer">
    <w:name w:val="footer"/>
    <w:basedOn w:val="Normal"/>
    <w:link w:val="FooterChar"/>
    <w:uiPriority w:val="99"/>
    <w:unhideWhenUsed/>
    <w:rsid w:val="00DB6DC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B6DC3"/>
    <w:rPr>
      <w:rFonts w:ascii="Times New Roman" w:hAnsi="Times New Roman" w:cs="Times New Roman"/>
      <w:sz w:val="24"/>
      <w:lang w:eastAsia="en-GB"/>
    </w:rPr>
  </w:style>
  <w:style w:type="character" w:styleId="Hyperlink">
    <w:name w:val="Hyperlink"/>
    <w:basedOn w:val="DefaultParagraphFont"/>
    <w:uiPriority w:val="99"/>
    <w:unhideWhenUsed/>
    <w:rsid w:val="00570D2B"/>
    <w:rPr>
      <w:color w:val="0563C1" w:themeColor="hyperlink"/>
      <w:u w:val="single"/>
    </w:rPr>
  </w:style>
  <w:style w:type="paragraph" w:styleId="TOCHeading">
    <w:name w:val="TOC Heading"/>
    <w:basedOn w:val="Heading1"/>
    <w:next w:val="Normal"/>
    <w:uiPriority w:val="39"/>
    <w:unhideWhenUsed/>
    <w:qFormat/>
    <w:rsid w:val="008E36B5"/>
    <w:pPr>
      <w:spacing w:before="240" w:after="0" w:line="259" w:lineRule="auto"/>
      <w:jc w:val="left"/>
      <w:outlineLvl w:val="9"/>
    </w:pPr>
    <w:rPr>
      <w:rFonts w:asciiTheme="majorHAnsi" w:hAnsiTheme="majorHAnsi"/>
      <w:b w:val="0"/>
      <w:color w:val="2F5496" w:themeColor="accent1" w:themeShade="BF"/>
      <w:kern w:val="0"/>
      <w:lang w:val="en-US" w:eastAsia="en-US"/>
      <w14:ligatures w14:val="none"/>
    </w:rPr>
  </w:style>
  <w:style w:type="paragraph" w:styleId="TOC1">
    <w:name w:val="toc 1"/>
    <w:basedOn w:val="Normal"/>
    <w:next w:val="Normal"/>
    <w:autoRedefine/>
    <w:uiPriority w:val="39"/>
    <w:unhideWhenUsed/>
    <w:rsid w:val="008E36B5"/>
    <w:pPr>
      <w:tabs>
        <w:tab w:val="right" w:leader="dot" w:pos="9016"/>
      </w:tabs>
      <w:spacing w:after="100"/>
    </w:pPr>
    <w:rPr>
      <w:rFonts w:eastAsiaTheme="majorEastAsia"/>
      <w:b/>
      <w:bCs/>
      <w:noProof/>
    </w:rPr>
  </w:style>
  <w:style w:type="paragraph" w:styleId="TOC2">
    <w:name w:val="toc 2"/>
    <w:basedOn w:val="Normal"/>
    <w:next w:val="Normal"/>
    <w:autoRedefine/>
    <w:uiPriority w:val="39"/>
    <w:unhideWhenUsed/>
    <w:rsid w:val="008E36B5"/>
    <w:pPr>
      <w:spacing w:after="100"/>
      <w:ind w:left="240"/>
    </w:pPr>
  </w:style>
  <w:style w:type="paragraph" w:styleId="TOC3">
    <w:name w:val="toc 3"/>
    <w:basedOn w:val="Normal"/>
    <w:next w:val="Normal"/>
    <w:autoRedefine/>
    <w:uiPriority w:val="39"/>
    <w:unhideWhenUsed/>
    <w:rsid w:val="008E36B5"/>
    <w:pPr>
      <w:spacing w:after="100"/>
      <w:ind w:left="480"/>
    </w:pPr>
  </w:style>
  <w:style w:type="character" w:styleId="Strong">
    <w:name w:val="Strong"/>
    <w:basedOn w:val="DefaultParagraphFont"/>
    <w:uiPriority w:val="22"/>
    <w:qFormat/>
    <w:rsid w:val="00F01841"/>
    <w:rPr>
      <w:b/>
      <w:bCs/>
    </w:rPr>
  </w:style>
  <w:style w:type="paragraph" w:styleId="NormalWeb">
    <w:name w:val="Normal (Web)"/>
    <w:basedOn w:val="Normal"/>
    <w:uiPriority w:val="99"/>
    <w:semiHidden/>
    <w:unhideWhenUsed/>
    <w:rsid w:val="00F01841"/>
    <w:pPr>
      <w:spacing w:before="100" w:beforeAutospacing="1" w:after="100" w:afterAutospacing="1" w:line="240" w:lineRule="auto"/>
      <w:jc w:val="left"/>
    </w:pPr>
    <w:rPr>
      <w:rFonts w:eastAsiaTheme="minorEastAsia"/>
      <w:kern w:val="0"/>
      <w:szCs w:val="24"/>
      <w:lang w:val="en-US" w:eastAsia="en-US" w:bidi="bn-BD"/>
      <w14:ligatures w14:val="none"/>
    </w:rPr>
  </w:style>
  <w:style w:type="character" w:styleId="UnresolvedMention">
    <w:name w:val="Unresolved Mention"/>
    <w:basedOn w:val="DefaultParagraphFont"/>
    <w:uiPriority w:val="99"/>
    <w:semiHidden/>
    <w:unhideWhenUsed/>
    <w:rsid w:val="00743271"/>
    <w:rPr>
      <w:color w:val="605E5C"/>
      <w:shd w:val="clear" w:color="auto" w:fill="E1DFDD"/>
    </w:rPr>
  </w:style>
  <w:style w:type="table" w:styleId="TableGrid">
    <w:name w:val="Table Grid"/>
    <w:basedOn w:val="TableNormal"/>
    <w:uiPriority w:val="39"/>
    <w:rsid w:val="007A0143"/>
    <w:pPr>
      <w:spacing w:after="0" w:line="240" w:lineRule="auto"/>
    </w:pPr>
    <w:tblPr>
      <w:tblBorders>
        <w:top w:val="single" w:sz="12" w:space="0" w:color="2E74B5" w:themeColor="accent5" w:themeShade="BF"/>
        <w:left w:val="single" w:sz="12" w:space="0" w:color="2E74B5" w:themeColor="accent5" w:themeShade="BF"/>
        <w:bottom w:val="single" w:sz="12" w:space="0" w:color="2E74B5" w:themeColor="accent5" w:themeShade="BF"/>
        <w:right w:val="single" w:sz="12" w:space="0" w:color="2E74B5" w:themeColor="accent5" w:themeShade="BF"/>
        <w:insideH w:val="single" w:sz="12" w:space="0" w:color="2E74B5" w:themeColor="accent5" w:themeShade="BF"/>
        <w:insideV w:val="single" w:sz="12" w:space="0" w:color="2E74B5" w:themeColor="accent5" w:themeShade="BF"/>
      </w:tblBorders>
    </w:tblPr>
    <w:tblStylePr w:type="firstRow">
      <w:pPr>
        <w:jc w:val="center"/>
      </w:pPr>
      <w:rPr>
        <w:b/>
        <w:i/>
      </w:rPr>
      <w:tblPr/>
      <w:tcPr>
        <w:shd w:val="clear" w:color="auto" w:fill="BDD6EE" w:themeFill="accent5" w:themeFillTint="66"/>
        <w:vAlign w:val="center"/>
      </w:tcPr>
    </w:tblStylePr>
  </w:style>
  <w:style w:type="table" w:styleId="GridTable4-Accent4">
    <w:name w:val="Grid Table 4 Accent 4"/>
    <w:basedOn w:val="TableNormal"/>
    <w:uiPriority w:val="49"/>
    <w:rsid w:val="006E0F4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ableofFigures">
    <w:name w:val="table of figures"/>
    <w:basedOn w:val="Normal"/>
    <w:next w:val="Normal"/>
    <w:uiPriority w:val="99"/>
    <w:unhideWhenUsed/>
    <w:rsid w:val="00CB731B"/>
    <w:pPr>
      <w:spacing w:after="0"/>
    </w:pPr>
  </w:style>
  <w:style w:type="table" w:styleId="PlainTable3">
    <w:name w:val="Plain Table 3"/>
    <w:basedOn w:val="TableNormal"/>
    <w:uiPriority w:val="43"/>
    <w:rsid w:val="0021335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21335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FollowedHyperlink">
    <w:name w:val="FollowedHyperlink"/>
    <w:basedOn w:val="DefaultParagraphFont"/>
    <w:uiPriority w:val="99"/>
    <w:semiHidden/>
    <w:unhideWhenUsed/>
    <w:rsid w:val="00126483"/>
    <w:rPr>
      <w:color w:val="954F72" w:themeColor="followedHyperlink"/>
      <w:u w:val="single"/>
    </w:rPr>
  </w:style>
  <w:style w:type="paragraph" w:styleId="NoSpacing">
    <w:name w:val="No Spacing"/>
    <w:link w:val="NoSpacingChar"/>
    <w:uiPriority w:val="1"/>
    <w:qFormat/>
    <w:rsid w:val="001478C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478CE"/>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015202">
      <w:bodyDiv w:val="1"/>
      <w:marLeft w:val="0"/>
      <w:marRight w:val="0"/>
      <w:marTop w:val="0"/>
      <w:marBottom w:val="0"/>
      <w:divBdr>
        <w:top w:val="none" w:sz="0" w:space="0" w:color="auto"/>
        <w:left w:val="none" w:sz="0" w:space="0" w:color="auto"/>
        <w:bottom w:val="none" w:sz="0" w:space="0" w:color="auto"/>
        <w:right w:val="none" w:sz="0" w:space="0" w:color="auto"/>
      </w:divBdr>
      <w:divsChild>
        <w:div w:id="1362247381">
          <w:marLeft w:val="0"/>
          <w:marRight w:val="0"/>
          <w:marTop w:val="0"/>
          <w:marBottom w:val="0"/>
          <w:divBdr>
            <w:top w:val="none" w:sz="0" w:space="0" w:color="auto"/>
            <w:left w:val="none" w:sz="0" w:space="0" w:color="auto"/>
            <w:bottom w:val="none" w:sz="0" w:space="0" w:color="auto"/>
            <w:right w:val="none" w:sz="0" w:space="0" w:color="auto"/>
          </w:divBdr>
          <w:divsChild>
            <w:div w:id="1535845994">
              <w:marLeft w:val="0"/>
              <w:marRight w:val="0"/>
              <w:marTop w:val="0"/>
              <w:marBottom w:val="0"/>
              <w:divBdr>
                <w:top w:val="none" w:sz="0" w:space="0" w:color="auto"/>
                <w:left w:val="none" w:sz="0" w:space="0" w:color="auto"/>
                <w:bottom w:val="none" w:sz="0" w:space="0" w:color="auto"/>
                <w:right w:val="none" w:sz="0" w:space="0" w:color="auto"/>
              </w:divBdr>
              <w:divsChild>
                <w:div w:id="2070690369">
                  <w:marLeft w:val="0"/>
                  <w:marRight w:val="0"/>
                  <w:marTop w:val="0"/>
                  <w:marBottom w:val="0"/>
                  <w:divBdr>
                    <w:top w:val="none" w:sz="0" w:space="0" w:color="auto"/>
                    <w:left w:val="none" w:sz="0" w:space="0" w:color="auto"/>
                    <w:bottom w:val="none" w:sz="0" w:space="0" w:color="auto"/>
                    <w:right w:val="none" w:sz="0" w:space="0" w:color="auto"/>
                  </w:divBdr>
                  <w:divsChild>
                    <w:div w:id="176382616">
                      <w:marLeft w:val="0"/>
                      <w:marRight w:val="0"/>
                      <w:marTop w:val="0"/>
                      <w:marBottom w:val="0"/>
                      <w:divBdr>
                        <w:top w:val="none" w:sz="0" w:space="0" w:color="auto"/>
                        <w:left w:val="none" w:sz="0" w:space="0" w:color="auto"/>
                        <w:bottom w:val="none" w:sz="0" w:space="0" w:color="auto"/>
                        <w:right w:val="none" w:sz="0" w:space="0" w:color="auto"/>
                      </w:divBdr>
                      <w:divsChild>
                        <w:div w:id="754784671">
                          <w:marLeft w:val="0"/>
                          <w:marRight w:val="0"/>
                          <w:marTop w:val="0"/>
                          <w:marBottom w:val="0"/>
                          <w:divBdr>
                            <w:top w:val="none" w:sz="0" w:space="0" w:color="auto"/>
                            <w:left w:val="none" w:sz="0" w:space="0" w:color="auto"/>
                            <w:bottom w:val="none" w:sz="0" w:space="0" w:color="auto"/>
                            <w:right w:val="none" w:sz="0" w:space="0" w:color="auto"/>
                          </w:divBdr>
                          <w:divsChild>
                            <w:div w:id="759836663">
                              <w:marLeft w:val="0"/>
                              <w:marRight w:val="0"/>
                              <w:marTop w:val="0"/>
                              <w:marBottom w:val="0"/>
                              <w:divBdr>
                                <w:top w:val="none" w:sz="0" w:space="0" w:color="auto"/>
                                <w:left w:val="none" w:sz="0" w:space="0" w:color="auto"/>
                                <w:bottom w:val="none" w:sz="0" w:space="0" w:color="auto"/>
                                <w:right w:val="none" w:sz="0" w:space="0" w:color="auto"/>
                              </w:divBdr>
                              <w:divsChild>
                                <w:div w:id="8650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1458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strazenecaclinicaltrials.com/" TargetMode="External"/><Relationship Id="rId26" Type="http://schemas.openxmlformats.org/officeDocument/2006/relationships/hyperlink" Target="https://www.mckinsey.com/~/media/mckinsey/business%20functions/quantumblack/our%20insights/the%20state%20of%20ai/2025/the-state-of-ai-how-organizations-are-rewiring-to-capture-value_final.pdf" TargetMode="External"/><Relationship Id="rId3" Type="http://schemas.openxmlformats.org/officeDocument/2006/relationships/styles" Target="styles.xml"/><Relationship Id="rId21" Type="http://schemas.openxmlformats.org/officeDocument/2006/relationships/hyperlink" Target="https://ctomagazine.com/astrazeneca-ai-strategy-harnessing-ai-for-smarter-scienc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strazeneca.com/what-science-can-do/topics/data-science-ai/unlocking-future-drug-discovery-through-AI-advances.html" TargetMode="External"/><Relationship Id="rId25" Type="http://schemas.openxmlformats.org/officeDocument/2006/relationships/hyperlink" Target="https://ico.org.uk/for-organisations/uk-gdpr-guidance-and-resources/individual-rights/individual-rights/rights-related-to-automated-decision-making-including-profiling/"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strazeneca.com/sustainability/ethics-compliance/data-and-ai-ethics.html" TargetMode="External"/><Relationship Id="rId20" Type="http://schemas.openxmlformats.org/officeDocument/2006/relationships/hyperlink" Target="https://www.astrazeneca.com/sustainability/resources.html" TargetMode="External"/><Relationship Id="rId29" Type="http://schemas.openxmlformats.org/officeDocument/2006/relationships/hyperlink" Target="https://www.oecd.org/en/topics/sub-issues/ai-principle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co.org.uk/for-organisations/uk-gdpr-guidance-and-resources/artificial-intelligence/explaining-decisions-made-with-artificial-intelligence/" TargetMode="External"/><Relationship Id="rId32" Type="http://schemas.openxmlformats.org/officeDocument/2006/relationships/hyperlink" Target="https://www.unesco.org/en/artificial-intelligence/recommendation-ethics" TargetMode="External"/><Relationship Id="rId5" Type="http://schemas.openxmlformats.org/officeDocument/2006/relationships/webSettings" Target="webSettings.xml"/><Relationship Id="rId15" Type="http://schemas.openxmlformats.org/officeDocument/2006/relationships/hyperlink" Target="https://www.astrazeneca.com/what-science-can-do/topics/data-science-ai/generative-ai-drug-discovery-development.html" TargetMode="External"/><Relationship Id="rId23" Type="http://schemas.openxmlformats.org/officeDocument/2006/relationships/hyperlink" Target="https://artificialintelligenceact.eu/wp-content/uploads/2024/04/TA-9-2024-0138_EN.pdf" TargetMode="External"/><Relationship Id="rId28" Type="http://schemas.openxmlformats.org/officeDocument/2006/relationships/hyperlink" Target="https://www.nist.gov/itl/ai-risk-management-framework" TargetMode="External"/><Relationship Id="rId10" Type="http://schemas.openxmlformats.org/officeDocument/2006/relationships/image" Target="media/image3.png"/><Relationship Id="rId19" Type="http://schemas.openxmlformats.org/officeDocument/2006/relationships/hyperlink" Target="https://www.astrazeneca.com/r-d/data-science-and-ai.html" TargetMode="External"/><Relationship Id="rId31" Type="http://schemas.openxmlformats.org/officeDocument/2006/relationships/hyperlink" Target="https://assets.publishing.service.gov.uk/media/65c1e399c43191000d1a45f4/a-pro-innovation-approach-to-ai-regulation-amended-governement-response-web-read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strazeneca.com/content/dam/az/Investor_Relations/annual-report-2024/pdf/AstraZeneca_AR_2024.pdf" TargetMode="External"/><Relationship Id="rId22" Type="http://schemas.openxmlformats.org/officeDocument/2006/relationships/hyperlink" Target="https://emerj.com/artificial-intelligence-at-astrazeneca/" TargetMode="External"/><Relationship Id="rId27" Type="http://schemas.openxmlformats.org/officeDocument/2006/relationships/hyperlink" Target="https://assets.publishing.service.gov.uk/media/662fce1e9e82181baa98a988/MHRA_Impact-of-AI-on-the-regulation-of-medical-products.pdf" TargetMode="External"/><Relationship Id="rId30" Type="http://schemas.openxmlformats.org/officeDocument/2006/relationships/hyperlink" Target="https://www.pharmtech.com/view/astrazeneca-us-expansion-highlights-ai-automation-policy-pressure-pharma-manufacturing"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3896F8-C19E-4B4D-AA08-B640E772E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7754</Words>
  <Characters>44198</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Advising AstraZeneca on Artificial Intelligence Growth and Risk Management</dc:title>
  <dc:subject/>
  <dc:creator/>
  <cp:keywords/>
  <dc:description/>
  <cp:lastModifiedBy/>
  <cp:revision>1</cp:revision>
  <dcterms:created xsi:type="dcterms:W3CDTF">2026-01-27T10:38:00Z</dcterms:created>
  <dcterms:modified xsi:type="dcterms:W3CDTF">2026-04-27T17:14:00Z</dcterms:modified>
</cp:coreProperties>
</file>