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512883" w:rsidR="00C47F7C" w:rsidRDefault="00000000" w14:paraId="2B027B23" w14:textId="77777777">
      <w:pPr>
        <w:pStyle w:val="Title"/>
        <w:keepNext/>
        <w:widowControl/>
        <w:spacing w:line="360" w:lineRule="auto" w:before="60" w:after="40"/>
        <w:rPr>
          <w:color w:val="4F81BD" w:themeColor="accent1"/>
        </w:rPr>
      </w:pPr>
      <w:r w:rsidRPr="00512883">
        <w:rPr>
          <w:rFonts w:ascii="Arial" w:hAnsi="Arial" w:eastAsia="Arial" w:cs="Arial"/>
          <w:b/>
          <w:color w:val="4F81BD" w:themeColor="accent1"/>
          <w:sz w:val="22"/>
          <w:szCs w:val="22"/>
        </w:rPr>
        <w:t>Domiciliary Care and Community Antenatal Midwifery</w:t>
      </w:r>
    </w:p>
    <w:p w:rsidR="00C47F7C" w:rsidRDefault="00000000" w14:paraId="193AC203" w14:textId="77777777">
      <w:pPr>
        <w:pStyle w:val="Subtitle"/>
        <w:widowControl/>
        <w:spacing w:line="360" w:lineRule="auto" w:after="280"/>
      </w:pPr>
      <w:r>
        <w:rPr>
          <w:rFonts w:ascii="Arial" w:hAnsi="Arial" w:eastAsia="Arial" w:cs="Arial"/>
          <w:sz w:val="22"/>
          <w:szCs w:val="22"/>
        </w:rPr>
        <w:t>Written Assignment</w:t>
      </w:r>
    </w:p>
    <w:p w:rsidR="00C47F7C" w:rsidP="00512883" w:rsidRDefault="00000000" w14:paraId="7E31ADD3" w14:textId="112A9CD6">
      <w:pPr>
        <w:widowControl/>
        <w:spacing w:line="360" w:lineRule="auto"/>
      </w:pPr>
      <w:r>
        <w:rPr>
          <w:rFonts w:ascii="Arial" w:hAnsi="Arial" w:eastAsia="Arial" w:cs="Arial"/>
          <w:sz w:val="22"/>
          <w:szCs w:val="22"/>
        </w:rPr>
        <w:t xml:space="preserve">Student name: </w:t>
      </w:r>
      <w:proofErr w:type="spellStart"/>
      <w:r w:rsidR="00512883">
        <w:rPr>
          <w:rFonts w:ascii="Arial" w:hAnsi="Arial" w:eastAsia="Arial" w:cs="Arial"/>
          <w:sz w:val="22"/>
          <w:szCs w:val="22"/>
        </w:rPr>
        <w:t>Khazia</w:t>
      </w:r>
      <w:proofErr w:type="spellEnd"/>
      <w:r w:rsidR="00512883">
        <w:rPr>
          <w:rFonts w:ascii="Arial" w:hAnsi="Arial" w:eastAsia="Arial" w:cs="Arial"/>
          <w:sz w:val="22"/>
          <w:szCs w:val="22"/>
        </w:rPr>
        <w:t xml:space="preserve"> Bi</w:t>
      </w:r>
    </w:p>
    <w:p w:rsidR="00C47F7C" w:rsidP="00512883" w:rsidRDefault="00000000" w14:paraId="52E67575" w14:textId="41769BA3">
      <w:pPr>
        <w:widowControl/>
        <w:spacing w:line="360" w:lineRule="auto"/>
      </w:pPr>
      <w:r>
        <w:rPr>
          <w:rFonts w:ascii="Arial" w:hAnsi="Arial" w:eastAsia="Arial" w:cs="Arial"/>
          <w:sz w:val="22"/>
          <w:szCs w:val="22"/>
        </w:rPr>
        <w:t xml:space="preserve">Student ID: </w:t>
      </w:r>
      <w:r w:rsidR="00512883">
        <w:rPr>
          <w:rFonts w:ascii="Arial" w:hAnsi="Arial" w:eastAsia="Arial" w:cs="Arial"/>
          <w:sz w:val="22"/>
          <w:szCs w:val="22"/>
        </w:rPr>
        <w:t>2533712</w:t>
      </w:r>
    </w:p>
    <w:p w:rsidR="00C47F7C" w:rsidRDefault="00000000" w14:paraId="6E34E271" w14:textId="77777777">
      <w:pPr>
        <w:widowControl/>
        <w:spacing w:line="360" w:lineRule="auto"/>
      </w:pPr>
      <w:r>
        <w:rPr>
          <w:rFonts w:ascii="Arial" w:hAnsi="Arial" w:eastAsia="Arial" w:cs="Arial"/>
          <w:sz w:val="22"/>
          <w:szCs w:val="22"/>
        </w:rPr>
        <w:t>Programme: Certificate of Higher Education Skills for the Workplace (Health &amp; Social Care)</w:t>
      </w:r>
    </w:p>
    <w:p w:rsidR="00C47F7C" w:rsidRDefault="00000000" w14:paraId="7DDFFA30" w14:textId="77777777">
      <w:pPr>
        <w:widowControl/>
        <w:spacing w:line="360" w:lineRule="auto"/>
      </w:pPr>
      <w:r>
        <w:rPr>
          <w:rFonts w:ascii="Arial" w:hAnsi="Arial" w:eastAsia="Arial" w:cs="Arial"/>
          <w:sz w:val="22"/>
          <w:szCs w:val="22"/>
        </w:rPr>
        <w:t>Module: LCHS4003 Introduction to Health and Social Care</w:t>
      </w:r>
    </w:p>
    <w:p w:rsidR="00C47F7C" w:rsidRDefault="00000000" w14:paraId="148E0E6F" w14:textId="4AE6A824">
      <w:pPr>
        <w:widowControl/>
        <w:spacing w:line="360" w:lineRule="auto"/>
      </w:pPr>
      <w:r w:rsidR="00000000">
        <w:rPr>
          <w:rFonts w:ascii="Arial" w:hAnsi="Arial" w:eastAsia="Arial" w:cs="Arial"/>
          <w:sz w:val="22"/>
          <w:szCs w:val="22"/>
        </w:rPr>
        <w:t xml:space="preserve">Lecturer: </w:t>
      </w:r>
      <w:r w:rsidR="7CEC5485">
        <w:rPr>
          <w:rFonts w:ascii="Arial" w:hAnsi="Arial" w:eastAsia="Arial" w:cs="Arial"/>
          <w:sz w:val="22"/>
          <w:szCs w:val="22"/>
        </w:rPr>
        <w:t>Jane Ngarari</w:t>
      </w:r>
    </w:p>
    <w:p w:rsidR="00C47F7C" w:rsidRDefault="00000000" w14:paraId="28CC69B4" w14:textId="77777777">
      <w:pPr>
        <w:widowControl/>
        <w:spacing w:line="360" w:lineRule="auto"/>
      </w:pPr>
      <w:r>
        <w:rPr>
          <w:rFonts w:ascii="Arial" w:hAnsi="Arial" w:eastAsia="Arial" w:cs="Arial"/>
          <w:sz w:val="22"/>
          <w:szCs w:val="22"/>
        </w:rPr>
        <w:t>Component 1 Coursework Portfolio</w:t>
      </w:r>
    </w:p>
    <w:p w:rsidR="00C47F7C" w:rsidRDefault="00000000" w14:paraId="292AF4E5" w14:textId="77777777">
      <w:pPr>
        <w:widowControl/>
        <w:spacing w:line="360" w:lineRule="auto"/>
      </w:pPr>
      <w:r>
        <w:rPr>
          <w:rFonts w:ascii="Arial" w:hAnsi="Arial" w:eastAsia="Arial" w:cs="Arial"/>
          <w:sz w:val="22"/>
          <w:szCs w:val="22"/>
        </w:rPr>
        <w:t>Task 1 body word count: 750</w:t>
      </w:r>
    </w:p>
    <w:p w:rsidR="00C47F7C" w:rsidRDefault="00000000" w14:paraId="7001B8ED" w14:textId="77777777">
      <w:pPr>
        <w:widowControl/>
        <w:spacing w:line="360" w:lineRule="auto"/>
      </w:pPr>
      <w:r>
        <w:rPr>
          <w:rFonts w:ascii="Arial" w:hAnsi="Arial" w:eastAsia="Arial" w:cs="Arial"/>
          <w:sz w:val="22"/>
          <w:szCs w:val="22"/>
        </w:rPr>
        <w:t>Task 2 body word count: 750</w:t>
      </w:r>
    </w:p>
    <w:p w:rsidRPr="00512883" w:rsidR="00C47F7C" w:rsidRDefault="00000000" w14:paraId="28ECFC7C" w14:textId="77777777">
      <w:pPr>
        <w:pStyle w:val="Heading1"/>
        <w:keepNext/>
        <w:pageBreakBefore/>
        <w:widowControl/>
        <w:spacing w:line="360" w:lineRule="auto" w:before="100" w:after="80"/>
        <w:rPr>
          <w:color w:val="4F81BD" w:themeColor="accent1"/>
        </w:rPr>
      </w:pPr>
      <w:r w:rsidRPr="00512883">
        <w:rPr>
          <w:rFonts w:ascii="Arial" w:hAnsi="Arial" w:eastAsia="Arial" w:cs="Arial"/>
          <w:b/>
          <w:color w:val="4F81BD" w:themeColor="accent1"/>
          <w:sz w:val="22"/>
          <w:szCs w:val="22"/>
        </w:rPr>
        <w:lastRenderedPageBreak/>
        <w:t>Task 1 Domiciliary Care in Birmingham</w:t>
      </w:r>
    </w:p>
    <w:p w:rsidR="00C47F7C" w:rsidRDefault="00000000" w14:paraId="269EFAD0" w14:textId="77777777">
      <w:pPr>
        <w:widowControl/>
        <w:spacing w:after="0" w:line="360" w:lineRule="auto"/>
      </w:pPr>
      <w:r>
        <w:rPr>
          <w:rFonts w:ascii="Arial" w:hAnsi="Arial" w:eastAsia="Arial" w:cs="Arial"/>
          <w:sz w:val="22"/>
          <w:szCs w:val="22"/>
        </w:rPr>
        <w:t>To: Councillor Nosheen Khalid, Cabinet Member for Health and Social Care, Birmingham City Council</w:t>
      </w:r>
    </w:p>
    <w:p w:rsidR="00512883" w:rsidRDefault="00000000" w14:paraId="5FCCA96A" w14:textId="77777777">
      <w:pPr>
        <w:widowControl/>
        <w:spacing w:after="0" w:line="360" w:lineRule="auto"/>
      </w:pPr>
      <w:r>
        <w:rPr>
          <w:rFonts w:ascii="Arial" w:hAnsi="Arial" w:eastAsia="Arial" w:cs="Arial"/>
          <w:sz w:val="22"/>
          <w:szCs w:val="22"/>
        </w:rPr>
        <w:t xml:space="preserve">From: </w:t>
      </w:r>
      <w:proofErr w:type="spellStart"/>
      <w:r w:rsidR="00512883">
        <w:rPr>
          <w:rFonts w:ascii="Arial" w:hAnsi="Arial" w:eastAsia="Arial" w:cs="Arial"/>
          <w:sz w:val="22"/>
          <w:szCs w:val="22"/>
        </w:rPr>
        <w:t>Khazia</w:t>
      </w:r>
      <w:proofErr w:type="spellEnd"/>
      <w:r w:rsidR="00512883">
        <w:rPr>
          <w:rFonts w:ascii="Arial" w:hAnsi="Arial" w:eastAsia="Arial" w:cs="Arial"/>
          <w:sz w:val="22"/>
          <w:szCs w:val="22"/>
        </w:rPr>
        <w:t xml:space="preserve"> Bi</w:t>
      </w:r>
      <w:r w:rsidR="00512883">
        <w:rPr>
          <w:rFonts w:ascii="Arial" w:hAnsi="Arial" w:eastAsia="Arial" w:cs="Arial"/>
          <w:sz w:val="22"/>
          <w:szCs w:val="22"/>
        </w:rPr>
        <w:t xml:space="preserve"> </w:t>
      </w:r>
    </w:p>
    <w:p w:rsidR="00C47F7C" w:rsidRDefault="00000000" w14:paraId="37F7B637" w14:textId="19B21497">
      <w:pPr>
        <w:widowControl/>
        <w:spacing w:after="0" w:line="360" w:lineRule="auto"/>
      </w:pPr>
      <w:r>
        <w:rPr>
          <w:rFonts w:ascii="Arial" w:hAnsi="Arial" w:eastAsia="Arial" w:cs="Arial"/>
          <w:sz w:val="22"/>
          <w:szCs w:val="22"/>
        </w:rPr>
        <w:t>Date: 4 October 2026</w:t>
      </w:r>
    </w:p>
    <w:p w:rsidR="00C47F7C" w:rsidRDefault="00000000" w14:paraId="351629D5" w14:textId="77777777">
      <w:pPr>
        <w:widowControl/>
        <w:spacing w:after="0" w:line="360" w:lineRule="auto"/>
      </w:pPr>
      <w:r>
        <w:rPr>
          <w:rFonts w:ascii="Arial" w:hAnsi="Arial" w:eastAsia="Arial" w:cs="Arial"/>
          <w:sz w:val="22"/>
          <w:szCs w:val="22"/>
        </w:rPr>
        <w:t>Subject: Addressing unmet domiciliary care needs</w:t>
      </w:r>
    </w:p>
    <w:p w:rsidR="00C47F7C" w:rsidRDefault="00000000" w14:paraId="2E4F9FA8" w14:textId="77777777">
      <w:pPr>
        <w:widowControl/>
        <w:spacing w:line="360" w:lineRule="auto" w:after="0"/>
      </w:pPr>
      <w:r>
        <w:rPr>
          <w:rFonts w:ascii="Arial" w:hAnsi="Arial" w:eastAsia="Arial" w:cs="Arial"/>
          <w:sz w:val="22"/>
          <w:szCs w:val="22"/>
        </w:rPr>
        <w:t>Recipient details: Birmingham City Council (2026).</w:t>
      </w:r>
    </w:p>
    <w:p w:rsidRPr="00512883" w:rsidR="00C47F7C" w:rsidRDefault="00000000" w14:paraId="3FACAA40" w14:textId="77777777">
      <w:pPr>
        <w:pStyle w:val="Heading2"/>
        <w:keepNext/>
        <w:widowControl/>
        <w:spacing w:line="360" w:lineRule="auto" w:before="60" w:after="40"/>
        <w:rPr>
          <w:color w:val="4F81BD" w:themeColor="accent1"/>
        </w:rPr>
      </w:pPr>
      <w:r w:rsidRPr="00512883">
        <w:rPr>
          <w:rFonts w:ascii="Arial" w:hAnsi="Arial" w:eastAsia="Arial" w:cs="Arial"/>
          <w:b/>
          <w:color w:val="4F81BD" w:themeColor="accent1"/>
          <w:sz w:val="22"/>
          <w:szCs w:val="22"/>
        </w:rPr>
        <w:t>Introduction</w:t>
      </w:r>
    </w:p>
    <w:p w:rsidR="00C47F7C" w:rsidRDefault="00000000" w14:paraId="5E0C3842" w14:textId="77777777">
      <w:pPr>
        <w:widowControl/>
        <w:spacing w:line="360" w:lineRule="auto" w:after="0"/>
      </w:pPr>
      <w:r>
        <w:rPr>
          <w:rFonts w:ascii="Arial" w:hAnsi="Arial" w:eastAsia="Arial" w:cs="Arial"/>
          <w:sz w:val="22"/>
          <w:szCs w:val="22"/>
        </w:rPr>
        <w:t>This report proposes a response to the scenario of insufficient domiciliary care in Birmingham. Domiciliary care supports people with daily activities in their own homes, including washing, dressing and preparing meals. Reliable provision matters to older people, disabled adults and unpaid carers. The aim is to address unmet need while protecting independence, dignity and individual choice.</w:t>
      </w:r>
    </w:p>
    <w:p w:rsidR="00C47F7C" w:rsidRDefault="00000000" w14:paraId="15D7221B" w14:textId="77777777">
      <w:pPr>
        <w:widowControl/>
        <w:spacing w:line="360" w:lineRule="auto" w:after="0"/>
      </w:pPr>
      <w:r>
        <w:rPr>
          <w:rFonts w:ascii="Arial" w:hAnsi="Arial" w:eastAsia="Arial" w:cs="Arial"/>
          <w:sz w:val="22"/>
          <w:szCs w:val="22"/>
        </w:rPr>
        <w:t>Local evidence requires a balanced interpretation. The Care Quality Commission (CQC, 2023) reported sufficient overall homecare supply in Birmingham. Its May 2026 assessment nevertheless identified some assessment and review waits exceeding council targets (CQC, 2026). Assessment delays do not themselves prove a shortage of care workers. Therefore, the scenario should prompt investigation of specific access gaps rather than an unsupported claim that every neighbourhood lacks services.</w:t>
      </w:r>
    </w:p>
    <w:p w:rsidRPr="00512883" w:rsidR="00C47F7C" w:rsidRDefault="00000000" w14:paraId="79442F63" w14:textId="77777777">
      <w:pPr>
        <w:pStyle w:val="Heading2"/>
        <w:keepNext/>
        <w:widowControl/>
        <w:spacing w:line="360" w:lineRule="auto" w:before="60" w:after="40"/>
        <w:rPr>
          <w:color w:val="4F81BD" w:themeColor="accent1"/>
        </w:rPr>
      </w:pPr>
      <w:r w:rsidRPr="00512883">
        <w:rPr>
          <w:rFonts w:ascii="Arial" w:hAnsi="Arial" w:eastAsia="Arial" w:cs="Arial"/>
          <w:b/>
          <w:color w:val="4F81BD" w:themeColor="accent1"/>
          <w:sz w:val="22"/>
          <w:szCs w:val="22"/>
        </w:rPr>
        <w:t>Impact on the community</w:t>
      </w:r>
    </w:p>
    <w:p w:rsidR="00C47F7C" w:rsidRDefault="00000000" w14:paraId="47DAD10A" w14:textId="77777777">
      <w:pPr>
        <w:widowControl/>
        <w:spacing w:line="360" w:lineRule="auto" w:after="0"/>
      </w:pPr>
      <w:r>
        <w:rPr>
          <w:rFonts w:ascii="Arial" w:hAnsi="Arial" w:eastAsia="Arial" w:cs="Arial"/>
          <w:sz w:val="22"/>
          <w:szCs w:val="22"/>
        </w:rPr>
        <w:t>Where suitable support is unavailable, a person may struggle with eating, personal hygiene or maintaining a safe home. Unpredictable visits can undermine privacy and control over daily routines. NICE (2015) recommends sufficient visit and travel time to protect care quality and dignity. For someone needing assistance to get out of bed, a delayed morning visit could prevent attendance at a community activity, illustrating how service reliability affects social participation.</w:t>
      </w:r>
    </w:p>
    <w:p w:rsidR="00C47F7C" w:rsidRDefault="00000000" w14:paraId="30925203" w14:textId="77777777">
      <w:pPr>
        <w:widowControl/>
        <w:spacing w:line="360" w:lineRule="auto" w:after="0"/>
      </w:pPr>
      <w:r>
        <w:rPr>
          <w:rFonts w:ascii="Arial" w:hAnsi="Arial" w:eastAsia="Arial" w:cs="Arial"/>
          <w:sz w:val="22"/>
          <w:szCs w:val="22"/>
        </w:rPr>
        <w:t>Families may absorb additional responsibilities when formal support is missing. This can restrict employment, rest and relationships, particularly when care is needed repeatedly throughout the day. People without nearby relatives may have fewer alternatives. A response should therefore examine both the individual’s unmet needs and the sustainability of unpaid care, instead of assuming relatives can replace trained workers indefinitely.</w:t>
      </w:r>
    </w:p>
    <w:p w:rsidRPr="00512883" w:rsidR="00C47F7C" w:rsidRDefault="00000000" w14:paraId="78610DB6" w14:textId="77777777">
      <w:pPr>
        <w:pStyle w:val="Heading2"/>
        <w:keepNext/>
        <w:widowControl/>
        <w:spacing w:line="360" w:lineRule="auto" w:before="60" w:after="40"/>
        <w:rPr>
          <w:color w:val="4F81BD" w:themeColor="accent1"/>
        </w:rPr>
      </w:pPr>
      <w:r w:rsidRPr="00512883">
        <w:rPr>
          <w:rFonts w:ascii="Arial" w:hAnsi="Arial" w:eastAsia="Arial" w:cs="Arial"/>
          <w:b/>
          <w:color w:val="4F81BD" w:themeColor="accent1"/>
          <w:sz w:val="22"/>
          <w:szCs w:val="22"/>
        </w:rPr>
        <w:t>Recommended response</w:t>
      </w:r>
    </w:p>
    <w:p w:rsidR="00C47F7C" w:rsidRDefault="00000000" w14:paraId="3E57EA0A" w14:textId="77777777">
      <w:pPr>
        <w:widowControl/>
        <w:spacing w:line="360" w:lineRule="auto" w:after="0"/>
      </w:pPr>
      <w:r>
        <w:rPr>
          <w:rFonts w:ascii="Arial" w:hAnsi="Arial" w:eastAsia="Arial" w:cs="Arial"/>
          <w:sz w:val="22"/>
          <w:szCs w:val="22"/>
        </w:rPr>
        <w:t xml:space="preserve">The Care Act 2014 provides the legal framework. Section 1 places wellbeing at the centre of council decisions, while section 2 concerns preventing, reducing or delaying needs. Section 5 </w:t>
      </w:r>
      <w:r>
        <w:rPr>
          <w:rFonts w:ascii="Arial" w:hAnsi="Arial" w:eastAsia="Arial" w:cs="Arial"/>
          <w:sz w:val="22"/>
          <w:szCs w:val="22"/>
        </w:rPr>
        <w:lastRenderedPageBreak/>
        <w:t>requires promotion of a diverse, sustainable market offering quality services. Section 9 requires assessment where an adult appears to need care, regardless of finances or presumed eligibility. Section 10 addresses carers’ assessments. The duty to meet eligible needs under section 18 depends on its statutory conditions; assessment does not automatically mean free homecare (Care Act 2014).</w:t>
      </w:r>
    </w:p>
    <w:p w:rsidR="00C47F7C" w:rsidRDefault="00000000" w14:paraId="4DBA6344" w14:textId="77777777">
      <w:pPr>
        <w:widowControl/>
        <w:spacing w:line="360" w:lineRule="auto" w:after="0"/>
      </w:pPr>
      <w:r>
        <w:rPr>
          <w:rFonts w:ascii="Arial" w:hAnsi="Arial" w:eastAsia="Arial" w:cs="Arial"/>
          <w:sz w:val="22"/>
          <w:szCs w:val="22"/>
        </w:rPr>
        <w:t>First, the council should undertake a three-month review of unmet domiciliary care needs. Commissioners should distinguish waits for assessment from waits for an agreed package to begin, then map unfilled visits by neighbourhood, time and required skills. They should consult residents, carers and providers, offering interpreters and accessible formats. This would identify whether the problem is insufficient staffing, unsuitable provision or slow coordination, allowing resources to follow demonstrated need.</w:t>
      </w:r>
    </w:p>
    <w:p w:rsidR="00C47F7C" w:rsidRDefault="00000000" w14:paraId="027EF52F" w14:textId="77777777">
      <w:pPr>
        <w:widowControl/>
        <w:spacing w:line="360" w:lineRule="auto" w:after="0"/>
      </w:pPr>
      <w:r>
        <w:rPr>
          <w:rFonts w:ascii="Arial" w:hAnsi="Arial" w:eastAsia="Arial" w:cs="Arial"/>
          <w:sz w:val="22"/>
          <w:szCs w:val="22"/>
        </w:rPr>
        <w:t>Second, commissioners should review whether contract prices and schedules support reliable delivery. Contracts should recognise travel, supervision and training costs, with visits long enough for the agreed support. NICE (2015) supports adequate contact and travel time. Providers should be encouraged to offer predictable hours, development opportunities and small regular care teams. These measures may improve retention and continuity, although higher fees should be linked to evidence of better delivery rather than assumed to solve shortages alone.</w:t>
      </w:r>
    </w:p>
    <w:p w:rsidR="00C47F7C" w:rsidRDefault="00000000" w14:paraId="5B90B881" w14:textId="77777777">
      <w:pPr>
        <w:widowControl/>
        <w:spacing w:line="360" w:lineRule="auto" w:after="0"/>
      </w:pPr>
      <w:r>
        <w:rPr>
          <w:rFonts w:ascii="Arial" w:hAnsi="Arial" w:eastAsia="Arial" w:cs="Arial"/>
          <w:sz w:val="22"/>
          <w:szCs w:val="22"/>
        </w:rPr>
        <w:t>Third, Birmingham should build on the integrated neighbourhood working identified by CQC (2026). Social workers, community nurses, occupational therapists and providers should agree responsibilities for each care package. A named coordinator and timely, accurate records can reduce duplicated assessments and conflicting instructions. Information should be shared securely and proportionately. Reablement should help people regain everyday skills where appropriate, while continuing care remains available when recovery is limited.</w:t>
      </w:r>
    </w:p>
    <w:p w:rsidR="00C47F7C" w:rsidRDefault="00000000" w14:paraId="5A03220D" w14:textId="77777777">
      <w:pPr>
        <w:widowControl/>
        <w:spacing w:line="360" w:lineRule="auto" w:after="0"/>
      </w:pPr>
      <w:r>
        <w:rPr>
          <w:rFonts w:ascii="Arial" w:hAnsi="Arial" w:eastAsia="Arial" w:cs="Arial"/>
          <w:sz w:val="22"/>
          <w:szCs w:val="22"/>
        </w:rPr>
        <w:t>Fourth, the council should assess carers’ needs and agree contingency arrangements when a worker is absent. Accessible telephone contact and clear escalation routes are essential. Technology, such as agreed reminder systems, may supplement care, but its suitability should be assessed individually. It cannot perform personal care or replace human contact simply to reduce expenditure.</w:t>
      </w:r>
    </w:p>
    <w:p w:rsidR="00C47F7C" w:rsidRDefault="00000000" w14:paraId="453E40DD" w14:textId="77777777">
      <w:pPr>
        <w:widowControl/>
        <w:spacing w:line="360" w:lineRule="auto" w:after="0"/>
      </w:pPr>
      <w:r>
        <w:rPr>
          <w:rFonts w:ascii="Arial" w:hAnsi="Arial" w:eastAsia="Arial" w:cs="Arial"/>
          <w:sz w:val="22"/>
          <w:szCs w:val="22"/>
        </w:rPr>
        <w:t xml:space="preserve">Implementation should begin with a targeted six-month pilot in areas where the review finds the greatest unmet need. Councillor Khalid should request an officer-led costed proposal and scrutiny updates. Measures should include package-start waiting times, missed visits, staff retention, carer feedback and residents’ reported control over daily life. Results should be compared with a baseline and reviewed for unequal outcomes. Expansion should depend on demonstrated improvements and an affordable funding plan. Residents should also help define success before the pilot starts, so that improvements reflect their priorities. For example, keeping a </w:t>
      </w:r>
      <w:r>
        <w:rPr>
          <w:rFonts w:ascii="Arial" w:hAnsi="Arial" w:eastAsia="Arial" w:cs="Arial"/>
          <w:sz w:val="22"/>
          <w:szCs w:val="22"/>
        </w:rPr>
        <w:t>regular carer or choosing a convenient visit time may matter more than receiving additional short visits alone.</w:t>
      </w:r>
    </w:p>
    <w:p w:rsidRPr="00512883" w:rsidR="00C47F7C" w:rsidRDefault="00000000" w14:paraId="004B2698" w14:textId="77777777">
      <w:pPr>
        <w:pStyle w:val="Heading2"/>
        <w:keepNext/>
        <w:widowControl/>
        <w:spacing w:line="360" w:lineRule="auto" w:before="60" w:after="40"/>
        <w:rPr>
          <w:color w:val="4F81BD" w:themeColor="accent1"/>
        </w:rPr>
      </w:pPr>
      <w:r w:rsidRPr="00512883">
        <w:rPr>
          <w:rFonts w:ascii="Arial" w:hAnsi="Arial" w:eastAsia="Arial" w:cs="Arial"/>
          <w:b/>
          <w:color w:val="4F81BD" w:themeColor="accent1"/>
          <w:sz w:val="22"/>
          <w:szCs w:val="22"/>
        </w:rPr>
        <w:t>Conclusion</w:t>
      </w:r>
    </w:p>
    <w:p w:rsidR="00C47F7C" w:rsidRDefault="00000000" w14:paraId="5E14538F" w14:textId="77777777">
      <w:pPr>
        <w:widowControl/>
        <w:spacing w:line="360" w:lineRule="auto" w:after="0"/>
      </w:pPr>
      <w:r>
        <w:rPr>
          <w:rFonts w:ascii="Arial" w:hAnsi="Arial" w:eastAsia="Arial" w:cs="Arial"/>
          <w:sz w:val="22"/>
          <w:szCs w:val="22"/>
        </w:rPr>
        <w:t>Birmingham should respond through accurate assessment, sustainable commissioning and coordinated support. A targeted approach recognises existing strengths while addressing verified gaps. Success means dependable care that enables residents to live with dignity and supports carers without transferring unreasonable responsibility onto families.</w:t>
      </w:r>
    </w:p>
    <w:p w:rsidRPr="00512883" w:rsidR="00C47F7C" w:rsidRDefault="00000000" w14:paraId="4CD67396" w14:textId="77777777">
      <w:pPr>
        <w:pStyle w:val="Heading1"/>
        <w:keepNext/>
        <w:pageBreakBefore/>
        <w:widowControl/>
        <w:spacing w:line="360" w:lineRule="auto" w:before="100" w:after="80"/>
        <w:rPr>
          <w:color w:val="4F81BD" w:themeColor="accent1"/>
        </w:rPr>
      </w:pPr>
      <w:r w:rsidRPr="00512883">
        <w:rPr>
          <w:rFonts w:ascii="Arial" w:hAnsi="Arial" w:eastAsia="Arial" w:cs="Arial"/>
          <w:b/>
          <w:color w:val="4F81BD" w:themeColor="accent1"/>
          <w:sz w:val="22"/>
          <w:szCs w:val="22"/>
        </w:rPr>
        <w:lastRenderedPageBreak/>
        <w:t>Task 2 Community Antenatal Midwifery</w:t>
      </w:r>
    </w:p>
    <w:p>
      <w:pPr>
        <w:pStyle w:val="Heading2"/>
        <w:keepNext/>
        <w:widowControl/>
        <w:spacing w:before="60" w:after="40" w:line="360" w:lineRule="auto"/>
      </w:pPr>
      <w:r>
        <w:rPr>
          <w:rFonts w:ascii="Arial" w:hAnsi="Arial" w:eastAsia="Arial" w:cs="Arial"/>
          <w:b/>
          <w:sz w:val="22"/>
          <w:szCs w:val="22"/>
        </w:rPr>
        <w:t>Introduction</w:t>
      </w:r>
    </w:p>
    <w:p w:rsidR="00C47F7C" w:rsidRDefault="00000000" w14:paraId="5A1D132A" w14:textId="77777777">
      <w:pPr>
        <w:widowControl/>
        <w:spacing w:line="360" w:lineRule="auto" w:after="0"/>
      </w:pPr>
      <w:r>
        <w:rPr>
          <w:rFonts w:ascii="Arial" w:hAnsi="Arial" w:eastAsia="Arial" w:cs="Arial"/>
          <w:sz w:val="22"/>
          <w:szCs w:val="22"/>
        </w:rPr>
        <w:t>For a pregnant woman, an antenatal appointment may be an opportunity to discuss health, safety at home and what support she wants. Community midwives therefore offer more than clinical checks: they connect women with information and specialist help while respecting individual decisions. This essay considers the service’s historical development, then evaluates its contribution to quality of life through Birmingham-based access, personal choice and practical service design.</w:t>
      </w:r>
    </w:p>
    <w:p>
      <w:pPr>
        <w:pStyle w:val="Heading2"/>
        <w:keepNext/>
        <w:widowControl/>
        <w:spacing w:before="60" w:after="40" w:line="360" w:lineRule="auto"/>
      </w:pPr>
      <w:r>
        <w:rPr>
          <w:rFonts w:ascii="Arial" w:hAnsi="Arial" w:eastAsia="Arial" w:cs="Arial"/>
          <w:b/>
          <w:sz w:val="22"/>
          <w:szCs w:val="22"/>
        </w:rPr>
        <w:t>From regulation to public provision</w:t>
      </w:r>
    </w:p>
    <w:p w:rsidR="00C47F7C" w:rsidRDefault="00000000" w14:paraId="28750BA6" w14:textId="77777777">
      <w:pPr>
        <w:widowControl/>
        <w:spacing w:line="360" w:lineRule="auto" w:after="0"/>
      </w:pPr>
      <w:r>
        <w:rPr>
          <w:rFonts w:ascii="Arial" w:hAnsi="Arial" w:eastAsia="Arial" w:cs="Arial"/>
          <w:sz w:val="22"/>
          <w:szCs w:val="22"/>
        </w:rPr>
        <w:t>Midwives assisted women long before the NHS, but training and oversight varied. The Midwives Act 1902 created the Central Midwives Board and introduced formal requirements for practice in England and Wales. Gibb (2022) notes that greater legal recognition did not immediately settle questions about the profession’s standing. The change matters because regulation sets expectations for competence; it does not, by itself, ensure that every pregnant woman can reach a suitably trained practitioner.</w:t>
      </w:r>
    </w:p>
    <w:p w:rsidR="00C47F7C" w:rsidRDefault="00000000" w14:paraId="2D4CAD88" w14:textId="77777777">
      <w:pPr>
        <w:widowControl/>
        <w:spacing w:line="360" w:lineRule="auto" w:after="0"/>
      </w:pPr>
      <w:r>
        <w:rPr>
          <w:rFonts w:ascii="Arial" w:hAnsi="Arial" w:eastAsia="Arial" w:cs="Arial"/>
          <w:sz w:val="22"/>
          <w:szCs w:val="22"/>
        </w:rPr>
        <w:t>The Midwives Act 1936 moved towards organised, paid midwifery provision. In parliamentary discussion, the intention was to make qualified assistance available irrespective of personal circumstances (House of Commons, 1936). After the NHS began in 1948, access on the basis of need became a core principle (NHS England, 2023). Together these developments shifted responsibility beyond individual families, although a publicly organised service still has to respond to barriers experienced in local communities.</w:t>
      </w:r>
    </w:p>
    <w:p>
      <w:pPr>
        <w:pStyle w:val="Heading2"/>
        <w:keepNext/>
        <w:widowControl/>
        <w:spacing w:before="60" w:after="40" w:line="360" w:lineRule="auto"/>
      </w:pPr>
      <w:r>
        <w:rPr>
          <w:rFonts w:ascii="Arial" w:hAnsi="Arial" w:eastAsia="Arial" w:cs="Arial"/>
          <w:b/>
          <w:sz w:val="22"/>
          <w:szCs w:val="22"/>
        </w:rPr>
        <w:t>The Birmingham pathway: access and early checks</w:t>
      </w:r>
    </w:p>
    <w:p w:rsidR="00C47F7C" w:rsidRDefault="00000000" w14:paraId="71AA0628" w14:textId="77777777">
      <w:pPr>
        <w:widowControl/>
        <w:spacing w:line="360" w:lineRule="auto" w:after="0"/>
      </w:pPr>
      <w:r>
        <w:rPr>
          <w:rFonts w:ascii="Arial" w:hAnsi="Arial" w:eastAsia="Arial" w:cs="Arial"/>
          <w:sz w:val="22"/>
          <w:szCs w:val="22"/>
        </w:rPr>
        <w:t>Birmingham Women’s and Children’s NHS Foundation Trust (n.d.) sets out a self-referral pathway and community appointments, including GP practices and hubs. Consider a woman with childcare responsibilities or irregular employment: a convenient appointment location is helpful, but she may still need flexible times or interpreting support. The local model offers a route into maternity care; whether it works equitably depends on the practical details of contact, booking and onward referral.</w:t>
      </w:r>
    </w:p>
    <w:p w:rsidR="00C47F7C" w:rsidRDefault="00000000" w14:paraId="22BB1EE0" w14:textId="77777777">
      <w:pPr>
        <w:widowControl/>
        <w:spacing w:line="360" w:lineRule="auto" w:after="0"/>
      </w:pPr>
      <w:r>
        <w:rPr>
          <w:rFonts w:ascii="Arial" w:hAnsi="Arial" w:eastAsia="Arial" w:cs="Arial"/>
          <w:sz w:val="22"/>
          <w:szCs w:val="22"/>
        </w:rPr>
        <w:t>At booking, a midwife considers physical health alongside social circumstances and explains available screening and follow-up. NICE (2021) recommends a first booking appointment by ten weeks, with ten planned appointments for a first pregnancy or seven for subsequent pregnancies, adapted to individual need. Blood-pressure monitoring and discussion of symptoms can prompt specialist assessment. The community role is therefore an early point of recognition and coordination, not a substitute for hospital care when risks increase.</w:t>
      </w:r>
    </w:p>
    <w:p>
      <w:pPr>
        <w:pStyle w:val="Heading2"/>
        <w:keepNext/>
        <w:widowControl/>
        <w:spacing w:before="60" w:after="40" w:line="360" w:lineRule="auto"/>
      </w:pPr>
      <w:r>
        <w:rPr>
          <w:rFonts w:ascii="Arial" w:hAnsi="Arial" w:eastAsia="Arial" w:cs="Arial"/>
          <w:b/>
          <w:sz w:val="22"/>
          <w:szCs w:val="22"/>
        </w:rPr>
        <w:t>What continuity evidence can establish</w:t>
      </w:r>
    </w:p>
    <w:p w:rsidR="00C47F7C" w:rsidRDefault="00000000" w14:paraId="7F9C320A" w14:textId="77777777">
      <w:pPr>
        <w:widowControl/>
        <w:spacing w:line="360" w:lineRule="auto" w:after="0"/>
      </w:pPr>
      <w:r>
        <w:rPr>
          <w:rFonts w:ascii="Arial" w:hAnsi="Arial" w:eastAsia="Arial" w:cs="Arial"/>
          <w:sz w:val="22"/>
          <w:szCs w:val="22"/>
        </w:rPr>
        <w:t>Seeing a familiar midwife may encourage questions that are difficult to raise during an appointment, including worries about relationships or mental wellbeing. Yet a service can be local without offering the same clinician consistently. A Cochrane review of 17 studies including 18,533 women found that continuity models probably raised spontaneous vaginal births from 66% to 70% and lowered caesarean births from 16% to 15% (Sandall et al., 2024).</w:t>
      </w:r>
      <w:r>
        <w:rPr>
          <w:rFonts w:ascii="Arial" w:hAnsi="Arial" w:eastAsia="Arial" w:cs="Arial"/>
          <w:sz w:val="22"/>
          <w:szCs w:val="22"/>
        </w:rPr>
      </w:r>
    </w:p>
    <w:p w:rsidR="00C47F7C" w:rsidRDefault="00000000" w14:paraId="2638B274" w14:textId="77777777">
      <w:pPr>
        <w:widowControl/>
        <w:spacing w:line="360" w:lineRule="auto" w:after="0"/>
      </w:pPr>
      <w:r>
        <w:rPr>
          <w:rFonts w:ascii="Arial" w:hAnsi="Arial" w:eastAsia="Arial" w:cs="Arial"/>
          <w:sz w:val="22"/>
          <w:szCs w:val="22"/>
        </w:rPr>
        <w:t>Those figures concern models spanning pregnancy, labour and the early postnatal period. They cannot show that the same outcome would follow from simply assigning one midwife to antenatal clinic appointments. Women facing higher clinical risks were often excluded from the studies, and conclusions about neonatal death remained uncertain (Sandall et al., 2024). What the evidence does support is treating relationships as important, while avoiding promises about outcomes the research cannot establish.</w:t>
      </w:r>
    </w:p>
    <w:p w:rsidR="00C47F7C" w:rsidRDefault="00000000" w14:paraId="6822D9B0" w14:textId="77777777">
      <w:pPr>
        <w:widowControl/>
        <w:spacing w:line="360" w:lineRule="auto" w:after="0"/>
      </w:pPr>
      <w:r>
        <w:rPr>
          <w:rFonts w:ascii="Arial" w:hAnsi="Arial" w:eastAsia="Arial" w:cs="Arial"/>
          <w:sz w:val="22"/>
          <w:szCs w:val="22"/>
        </w:rPr>
        <w:t>Workforce arrangements determine whether continuity is realistic. NHS England (2022) advised that safe staffing should take priority over extending continuity models. A small team without adequate cover may create more cancelled visits or delays. A more dependable approach would combine manageable caseloads with agreed handovers between midwives, GPs and obstetric teams. Women should know whom to contact between appointments, particularly when a concern requires urgent advice or referral.</w:t>
      </w:r>
    </w:p>
    <w:p>
      <w:pPr>
        <w:pStyle w:val="Heading2"/>
        <w:keepNext/>
        <w:widowControl/>
        <w:spacing w:before="60" w:after="40" w:line="360" w:lineRule="auto"/>
      </w:pPr>
      <w:r>
        <w:rPr>
          <w:rFonts w:ascii="Arial" w:hAnsi="Arial" w:eastAsia="Arial" w:cs="Arial"/>
          <w:b/>
          <w:sz w:val="22"/>
          <w:szCs w:val="22"/>
        </w:rPr>
        <w:t>Choice, safety and measuring local experience</w:t>
      </w:r>
    </w:p>
    <w:p w:rsidR="00C47F7C" w:rsidRDefault="00000000" w14:paraId="1C063511" w14:textId="77777777">
      <w:pPr>
        <w:widowControl/>
        <w:spacing w:line="360" w:lineRule="auto" w:after="0"/>
      </w:pPr>
      <w:r>
        <w:rPr>
          <w:rFonts w:ascii="Arial" w:hAnsi="Arial" w:eastAsia="Arial" w:cs="Arial"/>
          <w:sz w:val="22"/>
          <w:szCs w:val="22"/>
        </w:rPr>
        <w:t>Respectful care can improve everyday confidence as well as clinical outcomes. NICE (2021) supports clear explanations and informed consent, so a woman should be able to understand screening choices rather than feel rushed towards a decision. Private conversations may reveal issues she cannot discuss in front of a partner or relative. Printed information, interpreting services and appropriate alternatives to digital communication can make the same standard of care more achievable for different families.</w:t>
      </w:r>
    </w:p>
    <w:p w:rsidR="00C47F7C" w:rsidRDefault="00000000" w14:paraId="352E97E1" w14:textId="77777777">
      <w:pPr>
        <w:widowControl/>
        <w:spacing w:line="360" w:lineRule="auto" w:after="0"/>
      </w:pPr>
      <w:r>
        <w:rPr>
          <w:rFonts w:ascii="Arial" w:hAnsi="Arial" w:eastAsia="Arial" w:cs="Arial"/>
          <w:sz w:val="22"/>
          <w:szCs w:val="22"/>
        </w:rPr>
        <w:t>Birmingham services could judge success by more than the number of booked visits. Reviewing how quickly women are first seen, whether referrals are completed, and whether they understood advice would expose gaps that attendance figures miss. Women who miss an appointment should be offered an opportunity to explain obstacles, rather than automatically being labelled disengaged. Feedback can then inform appointment locations, communication options and staffing decisions, linking service design to lived experience.</w:t>
      </w:r>
    </w:p>
    <w:p>
      <w:pPr>
        <w:pStyle w:val="Heading2"/>
        <w:keepNext/>
        <w:widowControl/>
        <w:spacing w:before="60" w:after="40" w:line="360" w:lineRule="auto"/>
      </w:pPr>
      <w:r>
        <w:rPr>
          <w:rFonts w:ascii="Arial" w:hAnsi="Arial" w:eastAsia="Arial" w:cs="Arial"/>
          <w:b/>
          <w:sz w:val="22"/>
          <w:szCs w:val="22"/>
        </w:rPr>
        <w:t>Conclusion</w:t>
      </w:r>
    </w:p>
    <w:p w:rsidR="00C47F7C" w:rsidRDefault="00000000" w14:paraId="5785703F" w14:textId="77777777">
      <w:pPr>
        <w:widowControl/>
        <w:spacing w:line="360" w:lineRule="auto" w:after="0"/>
      </w:pPr>
      <w:r>
        <w:rPr>
          <w:rFonts w:ascii="Arial" w:hAnsi="Arial" w:eastAsia="Arial" w:cs="Arial"/>
          <w:sz w:val="22"/>
          <w:szCs w:val="22"/>
        </w:rPr>
        <w:t>The development of community midwifery demonstrates why regulation and public provision matter, but the real test is what happens at an individual appointment. Reliable access, understandable choices and safe connections to specialist services are the means through which antenatal care can support wellbeing in Birmingham.</w:t>
      </w:r>
    </w:p>
    <w:p w:rsidRPr="00512883" w:rsidR="00C47F7C" w:rsidRDefault="00000000" w14:paraId="3530151A" w14:textId="77777777">
      <w:pPr>
        <w:pStyle w:val="Heading1"/>
        <w:keepNext/>
        <w:pageBreakBefore/>
        <w:widowControl/>
        <w:spacing w:line="360" w:lineRule="auto" w:before="100" w:after="80"/>
        <w:rPr>
          <w:color w:val="4F81BD" w:themeColor="accent1"/>
        </w:rPr>
      </w:pPr>
      <w:r w:rsidRPr="00512883">
        <w:rPr>
          <w:rFonts w:ascii="Arial" w:hAnsi="Arial" w:eastAsia="Arial" w:cs="Arial"/>
          <w:b/>
          <w:color w:val="4F81BD" w:themeColor="accent1"/>
          <w:sz w:val="22"/>
          <w:szCs w:val="22"/>
        </w:rPr>
        <w:lastRenderedPageBreak/>
        <w:t>References</w:t>
      </w:r>
    </w:p>
    <w:p w:rsidR="00C47F7C" w:rsidRDefault="00000000" w14:paraId="10A655B9" w14:textId="77777777">
      <w:pPr>
        <w:keepLines/>
        <w:widowControl/>
        <w:spacing w:line="360" w:lineRule="auto" w:after="0" w:before="0"/>
        <w:ind w:left="360" w:hanging="360"/>
      </w:pPr>
      <w:r>
        <w:rPr>
          <w:rFonts w:ascii="Arial" w:hAnsi="Arial" w:eastAsia="Arial" w:cs="Arial"/>
          <w:sz w:val="22"/>
          <w:szCs w:val="22"/>
        </w:rPr>
        <w:t xml:space="preserve">Birmingham City Council (2026) Councillor Nosheen Khalid. Available at: </w:t>
      </w:r>
      <w:hyperlink r:id="rId8">
        <w:r>
          <w:rPr>
            <w:rFonts w:ascii="Arial" w:hAnsi="Arial" w:eastAsia="Arial" w:cs="Arial"/>
            <w:sz w:val="22"/>
            <w:szCs w:val="22"/>
          </w:rPr>
          <w:t>https://www.birmingham.gov.uk/councillors/61/nosheen_khalid</w:t>
        </w:r>
      </w:hyperlink>
      <w:r>
        <w:rPr>
          <w:rFonts w:ascii="Arial" w:hAnsi="Arial" w:eastAsia="Arial" w:cs="Arial"/>
          <w:sz w:val="22"/>
          <w:szCs w:val="22"/>
        </w:rPr>
        <w:t xml:space="preserve"> (Accessed: 18 October 2026).</w:t>
      </w:r>
    </w:p>
    <w:p w:rsidR="00C47F7C" w:rsidRDefault="00000000" w14:paraId="5833546D" w14:textId="77777777">
      <w:pPr>
        <w:keepLines/>
        <w:widowControl/>
        <w:spacing w:line="360" w:lineRule="auto" w:after="0" w:before="0"/>
        <w:ind w:left="360" w:hanging="360"/>
      </w:pPr>
      <w:r>
        <w:rPr>
          <w:rFonts w:ascii="Arial" w:hAnsi="Arial" w:eastAsia="Arial" w:cs="Arial"/>
          <w:sz w:val="22"/>
          <w:szCs w:val="22"/>
        </w:rPr>
        <w:t xml:space="preserve">Birmingham Women’s and Children’s NHS Foundation Trust (n.d.) Community midwives. Available at: </w:t>
      </w:r>
      <w:hyperlink r:id="rId9">
        <w:r>
          <w:rPr>
            <w:rFonts w:ascii="Arial" w:hAnsi="Arial" w:eastAsia="Arial" w:cs="Arial"/>
            <w:sz w:val="22"/>
            <w:szCs w:val="22"/>
          </w:rPr>
          <w:t>https://bwc.nhs.uk/community-midwives</w:t>
        </w:r>
      </w:hyperlink>
      <w:r>
        <w:rPr>
          <w:rFonts w:ascii="Arial" w:hAnsi="Arial" w:eastAsia="Arial" w:cs="Arial"/>
          <w:sz w:val="22"/>
          <w:szCs w:val="22"/>
        </w:rPr>
        <w:t xml:space="preserve"> (Accessed: 18 October 2026).</w:t>
      </w:r>
    </w:p>
    <w:p w:rsidR="00C47F7C" w:rsidRDefault="00000000" w14:paraId="443AB89B" w14:textId="77777777">
      <w:pPr>
        <w:keepLines/>
        <w:widowControl/>
        <w:spacing w:line="360" w:lineRule="auto" w:after="0" w:before="0"/>
        <w:ind w:left="360" w:hanging="360"/>
      </w:pPr>
      <w:r>
        <w:rPr>
          <w:rFonts w:ascii="Arial" w:hAnsi="Arial" w:eastAsia="Arial" w:cs="Arial"/>
          <w:sz w:val="22"/>
          <w:szCs w:val="22"/>
        </w:rPr>
        <w:t xml:space="preserve">Care Act 2014, c. 23, Part 1. Available at: </w:t>
      </w:r>
      <w:hyperlink r:id="rId10">
        <w:r>
          <w:rPr>
            <w:rFonts w:ascii="Arial" w:hAnsi="Arial" w:eastAsia="Arial" w:cs="Arial"/>
            <w:sz w:val="22"/>
            <w:szCs w:val="22"/>
          </w:rPr>
          <w:t>https://www.legislation.gov.uk/ukpga/2014/23/part/1</w:t>
        </w:r>
      </w:hyperlink>
      <w:r>
        <w:rPr>
          <w:rFonts w:ascii="Arial" w:hAnsi="Arial" w:eastAsia="Arial" w:cs="Arial"/>
          <w:sz w:val="22"/>
          <w:szCs w:val="22"/>
        </w:rPr>
        <w:t xml:space="preserve"> (Accessed: 18 October 2026).</w:t>
      </w:r>
    </w:p>
    <w:p w:rsidR="00C47F7C" w:rsidRDefault="00000000" w14:paraId="1BC8F870" w14:textId="5A07B9C4">
      <w:pPr>
        <w:keepLines/>
        <w:widowControl/>
        <w:spacing w:line="360" w:lineRule="auto" w:after="0" w:before="0"/>
        <w:ind w:left="360" w:hanging="360"/>
      </w:pPr>
      <w:r>
        <w:rPr>
          <w:rFonts w:ascii="Arial" w:hAnsi="Arial" w:eastAsia="Arial" w:cs="Arial"/>
          <w:sz w:val="22"/>
          <w:szCs w:val="22"/>
        </w:rPr>
        <w:t xml:space="preserve">Care Quality Commission (2023) Birmingham City Council local authority assessment pilot: Overall summary. Available at: </w:t>
      </w:r>
      <w:hyperlink r:id="rId11">
        <w:r>
          <w:rPr>
            <w:rFonts w:ascii="Arial" w:hAnsi="Arial" w:eastAsia="Arial" w:cs="Arial"/>
            <w:sz w:val="22"/>
            <w:szCs w:val="22"/>
          </w:rPr>
          <w:t>https://www.cqc.org.uk/care-services/local-authority-assessment-reports/birmingham-cc/overall-summary</w:t>
        </w:r>
      </w:hyperlink>
      <w:r w:rsidR="00512883">
        <w:rPr>
          <w:rFonts w:ascii="Arial" w:hAnsi="Arial" w:eastAsia="Arial" w:cs="Arial"/>
          <w:sz w:val="22"/>
          <w:szCs w:val="22"/>
        </w:rPr>
      </w:r>
      <w:r>
        <w:rPr>
          <w:rFonts w:ascii="Arial" w:hAnsi="Arial" w:eastAsia="Arial" w:cs="Arial"/>
          <w:sz w:val="22"/>
          <w:szCs w:val="22"/>
        </w:rPr>
        <w:t xml:space="preserve"> (Accessed: 18 October 2026).</w:t>
      </w:r>
    </w:p>
    <w:p w:rsidR="00C47F7C" w:rsidRDefault="00000000" w14:paraId="07EFAA45" w14:textId="6B8B4CA1">
      <w:pPr>
        <w:keepLines/>
        <w:widowControl/>
        <w:spacing w:line="360" w:lineRule="auto" w:after="0" w:before="0"/>
        <w:ind w:left="360" w:hanging="360"/>
      </w:pPr>
      <w:r>
        <w:rPr>
          <w:rFonts w:ascii="Arial" w:hAnsi="Arial" w:eastAsia="Arial" w:cs="Arial"/>
          <w:sz w:val="22"/>
          <w:szCs w:val="22"/>
        </w:rPr>
        <w:t xml:space="preserve">Care Quality Commission (2026) Birmingham City Council local authority assessment: Overall summary. 13 May. Available at: </w:t>
      </w:r>
      <w:hyperlink r:id="rId12">
        <w:r>
          <w:rPr>
            <w:rFonts w:ascii="Arial" w:hAnsi="Arial" w:eastAsia="Arial" w:cs="Arial"/>
            <w:sz w:val="22"/>
            <w:szCs w:val="22"/>
          </w:rPr>
          <w:t>https://www.cqc.org.uk/care-services/local-authority-assessment-reports/birmingham-0526/summary</w:t>
        </w:r>
      </w:hyperlink>
      <w:r w:rsidR="00512883">
        <w:rPr>
          <w:rFonts w:ascii="Arial" w:hAnsi="Arial" w:eastAsia="Arial" w:cs="Arial"/>
          <w:sz w:val="22"/>
          <w:szCs w:val="22"/>
        </w:rPr>
      </w:r>
      <w:r>
        <w:rPr>
          <w:rFonts w:ascii="Arial" w:hAnsi="Arial" w:eastAsia="Arial" w:cs="Arial"/>
          <w:sz w:val="22"/>
          <w:szCs w:val="22"/>
        </w:rPr>
        <w:t xml:space="preserve"> (Accessed: 18 October 2026).</w:t>
      </w:r>
    </w:p>
    <w:p w:rsidR="00C47F7C" w:rsidRDefault="00000000" w14:paraId="1063DAC8" w14:textId="04FFFCA1">
      <w:pPr>
        <w:keepLines/>
        <w:widowControl/>
        <w:spacing w:line="360" w:lineRule="auto" w:after="0" w:before="0"/>
        <w:ind w:left="360" w:hanging="360"/>
      </w:pPr>
      <w:r>
        <w:rPr>
          <w:rFonts w:ascii="Arial" w:hAnsi="Arial" w:eastAsia="Arial" w:cs="Arial"/>
          <w:sz w:val="22"/>
          <w:szCs w:val="22"/>
        </w:rPr>
        <w:t xml:space="preserve">Gibb, F. (2022) 120 years of the Midwives Act in England and Wales. Royal College of Midwives, 31 July. Available at: </w:t>
      </w:r>
      <w:hyperlink r:id="rId13">
        <w:r>
          <w:rPr>
            <w:rFonts w:ascii="Arial" w:hAnsi="Arial" w:eastAsia="Arial" w:cs="Arial"/>
            <w:sz w:val="22"/>
            <w:szCs w:val="22"/>
          </w:rPr>
          <w:t>https://rcm.org.uk/blog/2022/07/120-years-of-the-midwives-act-in-england-and-wales/</w:t>
        </w:r>
      </w:hyperlink>
      <w:r w:rsidR="00512883">
        <w:rPr>
          <w:rFonts w:ascii="Arial" w:hAnsi="Arial" w:eastAsia="Arial" w:cs="Arial"/>
          <w:sz w:val="22"/>
          <w:szCs w:val="22"/>
        </w:rPr>
      </w:r>
      <w:r>
        <w:rPr>
          <w:rFonts w:ascii="Arial" w:hAnsi="Arial" w:eastAsia="Arial" w:cs="Arial"/>
          <w:sz w:val="22"/>
          <w:szCs w:val="22"/>
        </w:rPr>
        <w:t xml:space="preserve"> (Accessed: 18 October 2026).</w:t>
      </w:r>
    </w:p>
    <w:p w:rsidRPr="00512883" w:rsidR="00512883" w:rsidP="00512883" w:rsidRDefault="00512883" w14:paraId="2CDA1A16" w14:textId="77777777">
      <w:pPr>
        <w:keepLines/>
        <w:widowControl/>
        <w:spacing w:line="360" w:lineRule="auto" w:after="0" w:before="0"/>
        <w:ind w:left="360" w:hanging="360"/>
      </w:pPr>
      <w:r w:rsidRPr="00512883">
        <w:rPr>
          <w:rFonts w:ascii="Arial" w:hAnsi="Arial" w:eastAsia="Arial" w:cs="Arial"/>
          <w:sz w:val="22"/>
          <w:szCs w:val="22"/>
        </w:rPr>
        <w:t xml:space="preserve">House of Commons (1936) Midwives Bill. Hansard, 30 April. Available at: </w:t>
      </w:r>
      <w:hyperlink r:id="rId14">
        <w:r w:rsidRPr="00512883">
          <w:rPr>
            <w:rFonts w:ascii="Arial" w:hAnsi="Arial" w:eastAsia="Arial" w:cs="Arial"/>
            <w:rStyle w:val="Hyperlink"/>
            <w:sz w:val="22"/>
            <w:szCs w:val="22"/>
          </w:rPr>
          <w:t>https://hansard.parliament.uk/commons/1936-04-30/debates/1091b303-8de5-428d-84ab-7a50c6302407/MidwivesBill</w:t>
        </w:r>
      </w:hyperlink>
      <w:r>
        <w:rPr>
          <w:rFonts w:ascii="Arial" w:hAnsi="Arial" w:eastAsia="Arial" w:cs="Arial"/>
          <w:sz w:val="22"/>
          <w:szCs w:val="22"/>
        </w:rPr>
        <w:t xml:space="preserve"> (Accessed: 18 October 2026).</w:t>
      </w:r>
    </w:p>
    <w:p w:rsidRPr="00512883" w:rsidR="00512883" w:rsidP="00512883" w:rsidRDefault="00512883" w14:paraId="46277630" w14:textId="77777777">
      <w:pPr>
        <w:keepLines/>
        <w:widowControl/>
        <w:spacing w:line="360" w:lineRule="auto" w:after="0" w:before="0"/>
        <w:ind w:left="360" w:hanging="360"/>
      </w:pPr>
      <w:r w:rsidRPr="00512883">
        <w:rPr>
          <w:rFonts w:ascii="Arial" w:hAnsi="Arial" w:eastAsia="Arial" w:cs="Arial"/>
          <w:sz w:val="22"/>
          <w:szCs w:val="22"/>
        </w:rPr>
        <w:t xml:space="preserve">National Institute for Health and Care Excellence (2015) Home care: delivering personal care and practical support to older people living in their own homes. NG21. Available at: </w:t>
      </w:r>
      <w:hyperlink r:id="rId15">
        <w:r w:rsidRPr="00512883">
          <w:rPr>
            <w:rFonts w:ascii="Arial" w:hAnsi="Arial" w:eastAsia="Arial" w:cs="Arial"/>
            <w:rStyle w:val="Hyperlink"/>
            <w:sz w:val="22"/>
            <w:szCs w:val="22"/>
          </w:rPr>
          <w:t>https://www.nice.org.uk/guidance/ng21/chapter/recommendations</w:t>
        </w:r>
      </w:hyperlink>
      <w:r>
        <w:rPr>
          <w:rFonts w:ascii="Arial" w:hAnsi="Arial" w:eastAsia="Arial" w:cs="Arial"/>
          <w:sz w:val="22"/>
          <w:szCs w:val="22"/>
        </w:rPr>
        <w:t xml:space="preserve"> (Accessed: 18 October 2026).</w:t>
      </w:r>
    </w:p>
    <w:p w:rsidRPr="00512883" w:rsidR="00512883" w:rsidP="00512883" w:rsidRDefault="00512883" w14:paraId="72EDF21E" w14:textId="77777777">
      <w:pPr>
        <w:keepLines/>
        <w:widowControl/>
        <w:spacing w:line="360" w:lineRule="auto" w:after="0" w:before="0"/>
        <w:ind w:left="360" w:hanging="360"/>
      </w:pPr>
      <w:r w:rsidRPr="00512883">
        <w:rPr>
          <w:rFonts w:ascii="Arial" w:hAnsi="Arial" w:eastAsia="Arial" w:cs="Arial"/>
          <w:sz w:val="22"/>
          <w:szCs w:val="22"/>
        </w:rPr>
        <w:t xml:space="preserve">National Institute for Health and Care Excellence (2021) Antenatal care. NG201. Available at: </w:t>
      </w:r>
      <w:hyperlink r:id="rId16">
        <w:r w:rsidRPr="00512883">
          <w:rPr>
            <w:rFonts w:ascii="Arial" w:hAnsi="Arial" w:eastAsia="Arial" w:cs="Arial"/>
            <w:rStyle w:val="Hyperlink"/>
            <w:sz w:val="22"/>
            <w:szCs w:val="22"/>
          </w:rPr>
          <w:t>https://www.nice.org.uk/guidance/ng201/chapter/recommendations</w:t>
        </w:r>
      </w:hyperlink>
      <w:r>
        <w:rPr>
          <w:rFonts w:ascii="Arial" w:hAnsi="Arial" w:eastAsia="Arial" w:cs="Arial"/>
          <w:sz w:val="22"/>
          <w:szCs w:val="22"/>
        </w:rPr>
        <w:t xml:space="preserve"> (Accessed: 18 October 2026).</w:t>
      </w:r>
    </w:p>
    <w:p w:rsidRPr="00512883" w:rsidR="00512883" w:rsidP="00512883" w:rsidRDefault="00512883" w14:paraId="2D6E4B35" w14:textId="77777777">
      <w:pPr>
        <w:keepLines/>
        <w:widowControl/>
        <w:spacing w:line="360" w:lineRule="auto" w:after="0" w:before="0"/>
        <w:ind w:left="360" w:hanging="360"/>
      </w:pPr>
      <w:r w:rsidRPr="00512883">
        <w:rPr>
          <w:rFonts w:ascii="Arial" w:hAnsi="Arial" w:eastAsia="Arial" w:cs="Arial"/>
          <w:sz w:val="22"/>
          <w:szCs w:val="22"/>
        </w:rPr>
        <w:t xml:space="preserve">NHS England (2022) Midwifery continuity of carer. 21 September. Available at: </w:t>
      </w:r>
      <w:hyperlink r:id="rId17">
        <w:r w:rsidRPr="00512883">
          <w:rPr>
            <w:rFonts w:ascii="Arial" w:hAnsi="Arial" w:eastAsia="Arial" w:cs="Arial"/>
            <w:rStyle w:val="Hyperlink"/>
            <w:sz w:val="22"/>
            <w:szCs w:val="22"/>
          </w:rPr>
          <w:t>https://www.england.nhs.uk/publication/midwifery-continuity-of-carer/</w:t>
        </w:r>
      </w:hyperlink>
      <w:r>
        <w:rPr>
          <w:rFonts w:ascii="Arial" w:hAnsi="Arial" w:eastAsia="Arial" w:cs="Arial"/>
          <w:sz w:val="22"/>
          <w:szCs w:val="22"/>
        </w:rPr>
        <w:t xml:space="preserve"> (Accessed: 18 October 2026).</w:t>
      </w:r>
    </w:p>
    <w:p w:rsidRPr="00512883" w:rsidR="00512883" w:rsidP="00512883" w:rsidRDefault="00512883" w14:paraId="7B47EFB7" w14:textId="77777777">
      <w:pPr>
        <w:keepLines/>
        <w:widowControl/>
        <w:spacing w:line="360" w:lineRule="auto" w:after="0" w:before="0"/>
        <w:ind w:left="360" w:hanging="360"/>
      </w:pPr>
      <w:r w:rsidRPr="00512883">
        <w:rPr>
          <w:rFonts w:ascii="Arial" w:hAnsi="Arial" w:eastAsia="Arial" w:cs="Arial"/>
          <w:sz w:val="22"/>
          <w:szCs w:val="22"/>
        </w:rPr>
        <w:t xml:space="preserve">NHS England (2023) About NHS 75. Available at: </w:t>
      </w:r>
      <w:hyperlink r:id="rId18">
        <w:r w:rsidRPr="00512883">
          <w:rPr>
            <w:rFonts w:ascii="Arial" w:hAnsi="Arial" w:eastAsia="Arial" w:cs="Arial"/>
            <w:rStyle w:val="Hyperlink"/>
            <w:sz w:val="22"/>
            <w:szCs w:val="22"/>
          </w:rPr>
          <w:t>https://www.england.nhs.uk/nhsbirthday/about-the-nhs-birthday/</w:t>
        </w:r>
      </w:hyperlink>
      <w:r>
        <w:rPr>
          <w:rFonts w:ascii="Arial" w:hAnsi="Arial" w:eastAsia="Arial" w:cs="Arial"/>
          <w:sz w:val="22"/>
          <w:szCs w:val="22"/>
        </w:rPr>
        <w:t xml:space="preserve"> (Accessed: 18 October 2026).</w:t>
      </w:r>
    </w:p>
    <w:p w:rsidRPr="00512883" w:rsidR="00512883" w:rsidP="00512883" w:rsidRDefault="00512883" w14:paraId="11C439EB" w14:textId="77777777">
      <w:pPr>
        <w:keepLines/>
        <w:widowControl/>
        <w:spacing w:line="360" w:lineRule="auto" w:after="0" w:before="0"/>
        <w:ind w:left="360" w:hanging="360"/>
      </w:pPr>
      <w:r w:rsidRPr="00512883">
        <w:rPr>
          <w:rFonts w:ascii="Arial" w:hAnsi="Arial" w:eastAsia="Arial" w:cs="Arial"/>
          <w:sz w:val="22"/>
          <w:szCs w:val="22"/>
        </w:rPr>
        <w:t xml:space="preserve">Sandall, J., Fernandez Turienzo, C., Devane, D., Soltani, H., Gillespie, P., Gates, S., Jones, L.V., Shennan, A.H. and Rayment-Jones, H. (2024) Midwife continuity of care models versus other models of care for childbearing women. Cochrane Database of Systematic Reviews, 4, CD004667. Available at: </w:t>
      </w:r>
      <w:hyperlink r:id="rId19">
        <w:r w:rsidRPr="00512883">
          <w:rPr>
            <w:rFonts w:ascii="Arial" w:hAnsi="Arial" w:eastAsia="Arial" w:cs="Arial"/>
            <w:rStyle w:val="Hyperlink"/>
            <w:sz w:val="22"/>
            <w:szCs w:val="22"/>
          </w:rPr>
          <w:t>https://doi.org/10.1002/14651858.CD004667.pub6</w:t>
        </w:r>
      </w:hyperlink>
      <w:r>
        <w:rPr>
          <w:rFonts w:ascii="Arial" w:hAnsi="Arial" w:eastAsia="Arial" w:cs="Arial"/>
          <w:sz w:val="22"/>
          <w:szCs w:val="22"/>
        </w:rPr>
        <w:t xml:space="preserve"> (Accessed: 18 October 2026).</w:t>
      </w:r>
    </w:p>
    <w:p w:rsidR="00512883" w:rsidRDefault="00512883" w14:paraId="56352269" w14:textId="77777777">
      <w:pPr>
        <w:keepLines/>
        <w:widowControl/>
        <w:spacing w:line="360" w:lineRule="auto"/>
      </w:pPr>
    </w:p>
    <w:sectPr w:rsidR="00512883" w:rsidSect="00034616">
      <w:footerReference w:type="default" r:id="rId20"/>
      <w:headerReference w:type="default" r:id="rId23"/>
      <w:pgSz w:w="12240" w:h="15840" w:orient="portrait"/>
      <w:pgMar w:top="648" w:right="1152" w:bottom="648"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95549" w:rsidRDefault="00C95549" w14:paraId="3059EC61" w14:textId="77777777">
      <w:pPr>
        <w:spacing w:after="0" w:line="240" w:lineRule="auto"/>
      </w:pPr>
      <w:r>
        <w:separator/>
      </w:r>
    </w:p>
  </w:endnote>
  <w:endnote w:type="continuationSeparator" w:id="0">
    <w:p w:rsidR="00C95549" w:rsidRDefault="00C95549" w14:paraId="73447B9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47F7C" w:rsidRDefault="00000000" w14:paraId="694C6404" w14:textId="77777777">
    <w:pPr>
      <w:pStyle w:val="Footer"/>
      <w:widowControl/>
      <w:spacing w:line="360" w:lineRule="auto"/>
      <w:jc w:val="right"/>
    </w:pPr>
    <w:r>
      <w:rPr>
        <w:rFonts w:ascii="Arial" w:hAnsi="Arial" w:eastAsia="Arial" w:cs="Arial"/>
        <w:sz w:val="22"/>
        <w:szCs w:val="22"/>
      </w:rPr>
      <w:fldChar w:fldCharType="begin"/>
    </w:r>
    <w:r>
      <w:rPr>
        <w:rFonts w:ascii="Arial" w:hAnsi="Arial" w:eastAsia="Arial" w:cs="Arial"/>
        <w:sz w:val="22"/>
        <w:szCs w:val="22"/>
      </w:rPr>
      <w:instrText>PAGE</w:instrText>
    </w:r>
    <w:r>
      <w:rPr>
        <w:rFonts w:ascii="Arial" w:hAnsi="Arial" w:eastAsia="Arial" w:cs="Arial"/>
        <w:sz w:val="22"/>
        <w:szCs w:val="22"/>
      </w:rPr>
      <w:fldChar w:fldCharType="separate"/>
    </w:r>
    <w:r w:rsidR="00AE4650">
      <w:rPr>
        <w:rFonts w:ascii="Arial" w:hAnsi="Arial" w:eastAsia="Arial" w:cs="Arial"/>
        <w:noProof/>
        <w:sz w:val="22"/>
        <w:szCs w:val="22"/>
      </w:rPr>
      <w:t>1</w:t>
    </w:r>
    <w:r>
      <w:rPr>
        <w:rFonts w:ascii="Arial" w:hAnsi="Arial" w:eastAsia="Arial" w:cs="Arial"/>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95549" w:rsidRDefault="00C95549" w14:paraId="0F31DB88" w14:textId="77777777">
      <w:pPr>
        <w:spacing w:after="0" w:line="240" w:lineRule="auto"/>
      </w:pPr>
      <w:r>
        <w:separator/>
      </w:r>
    </w:p>
  </w:footnote>
  <w:footnote w:type="continuationSeparator" w:id="0">
    <w:p w:rsidR="00C95549" w:rsidRDefault="00C95549" w14:paraId="00D98875" w14:textId="77777777">
      <w:pPr>
        <w:spacing w:after="0" w:line="240" w:lineRule="auto"/>
      </w:pPr>
      <w:r>
        <w:continuationSeparator/>
      </w:r>
    </w:p>
  </w:footnote>
</w:footnote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widowControl/>
      <w:spacing w:line="36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16cid:durableId="891044223">
    <w:abstractNumId w:val="8"/>
  </w:num>
  <w:num w:numId="2" w16cid:durableId="1698390406">
    <w:abstractNumId w:val="6"/>
  </w:num>
  <w:num w:numId="3" w16cid:durableId="1183326288">
    <w:abstractNumId w:val="5"/>
  </w:num>
  <w:num w:numId="4" w16cid:durableId="1036930478">
    <w:abstractNumId w:val="4"/>
  </w:num>
  <w:num w:numId="5" w16cid:durableId="1804227338">
    <w:abstractNumId w:val="7"/>
  </w:num>
  <w:num w:numId="6" w16cid:durableId="1970815929">
    <w:abstractNumId w:val="3"/>
  </w:num>
  <w:num w:numId="7" w16cid:durableId="728576798">
    <w:abstractNumId w:val="2"/>
  </w:num>
  <w:num w:numId="8" w16cid:durableId="2063090969">
    <w:abstractNumId w:val="1"/>
  </w:num>
  <w:num w:numId="9" w16cid:durableId="20020810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0000"/>
    <w:rsid w:val="00034616"/>
    <w:rsid w:val="0006063C"/>
    <w:rsid w:val="0015074B"/>
    <w:rsid w:val="0029639D"/>
    <w:rsid w:val="00326F90"/>
    <w:rsid w:val="00512883"/>
    <w:rsid w:val="00873A2F"/>
    <w:rsid w:val="00AA1D8D"/>
    <w:rsid w:val="00AE4650"/>
    <w:rsid w:val="00B47730"/>
    <w:rsid w:val="00C47F7C"/>
    <w:rsid w:val="00C95549"/>
    <w:rsid w:val="00CB0664"/>
    <w:rsid w:val="00FC693F"/>
    <w:rsid w:val="6D84EE93"/>
    <w:rsid w:val="7CEC54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3239AC3"/>
  <w14:defaultImageDpi w14:val="330"/>
  <w15:docId w15:val="{3AA9766C-CF27-4E2A-839F-60B78ADF5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pPr>
      <w:spacing w:after="80" w:line="360" w:lineRule="auto"/>
    </w:pPr>
    <w:rPr>
      <w:rFonts w:ascii="Arial" w:hAnsi="Arial"/>
      <w:color w:val="000000"/>
      <w:sz w:val="22"/>
    </w:rPr>
  </w:style>
  <w:style w:type="paragraph" w:styleId="Heading1">
    <w:name w:val="heading 1"/>
    <w:basedOn w:val="Normal"/>
    <w:next w:val="Normal"/>
    <w:link w:val="Heading1Char"/>
    <w:uiPriority w:val="9"/>
    <w:qFormat/>
    <w:rsid w:val="00FC693F"/>
    <w:pPr>
      <w:keepNext/>
      <w:keepLines/>
      <w:spacing w:before="480" w:after="240" w:line="360" w:lineRule="auto"/>
      <w:outlineLvl w:val="0"/>
    </w:pPr>
    <w:rPr>
      <w:rFonts w:asciiTheme="majorHAnsi" w:hAnsiTheme="majorHAnsi" w:eastAsiaTheme="majorEastAsia" w:cstheme="majorBidi" w:ascii="Arial" w:hAnsi="Arial"/>
      <w:b/>
      <w:bCs/>
      <w:sz w:val="22"/>
      <w:szCs w:val="28"/>
    </w:rPr>
  </w:style>
  <w:style w:type="paragraph" w:styleId="Heading2">
    <w:name w:val="heading 2"/>
    <w:basedOn w:val="Normal"/>
    <w:next w:val="Normal"/>
    <w:link w:val="Heading2Char"/>
    <w:uiPriority w:val="9"/>
    <w:unhideWhenUsed/>
    <w:qFormat/>
    <w:rsid w:val="00FC693F"/>
    <w:pPr>
      <w:keepNext/>
      <w:keepLines/>
      <w:spacing w:before="180" w:after="0" w:line="360" w:lineRule="auto"/>
      <w:outlineLvl w:val="1"/>
    </w:pPr>
    <w:rPr>
      <w:rFonts w:asciiTheme="majorHAnsi" w:hAnsiTheme="majorHAnsi" w:eastAsiaTheme="majorEastAsia" w:cstheme="majorBidi" w:ascii="Arial" w:hAnsi="Arial"/>
      <w:b/>
      <w:bCs/>
      <w:sz w:val="22"/>
      <w:szCs w:val="26"/>
    </w:rPr>
  </w:style>
  <w:style w:type="paragraph" w:styleId="Heading3">
    <w:name w:val="heading 3"/>
    <w:basedOn w:val="Normal"/>
    <w:next w:val="Normal"/>
    <w:link w:val="Heading3Char"/>
    <w:uiPriority w:val="9"/>
    <w:unhideWhenUsed/>
    <w:qFormat/>
    <w:rsid w:val="00FC693F"/>
    <w:pPr>
      <w:keepNext/>
      <w:keepLines/>
      <w:spacing w:before="200" w:after="0" w:line="360" w:lineRule="auto"/>
      <w:outlineLvl w:val="2"/>
    </w:pPr>
    <w:rPr>
      <w:rFonts w:asciiTheme="majorHAnsi" w:hAnsiTheme="majorHAnsi" w:eastAsiaTheme="majorEastAsia" w:cstheme="majorBidi" w:ascii="Arial" w:hAnsi="Arial"/>
      <w:b/>
      <w:bCs/>
      <w:color w:val="4F81BD" w:themeColor="accent1"/>
      <w:sz w:val="22"/>
    </w:rPr>
  </w:style>
  <w:style w:type="paragraph" w:styleId="Heading4">
    <w:name w:val="heading 4"/>
    <w:basedOn w:val="Normal"/>
    <w:next w:val="Normal"/>
    <w:link w:val="Heading4Char"/>
    <w:uiPriority w:val="9"/>
    <w:semiHidden/>
    <w:unhideWhenUsed/>
    <w:qFormat/>
    <w:rsid w:val="00FC693F"/>
    <w:pPr>
      <w:keepNext/>
      <w:keepLines/>
      <w:spacing w:before="200" w:after="0" w:line="360" w:lineRule="auto"/>
      <w:outlineLvl w:val="3"/>
    </w:pPr>
    <w:rPr>
      <w:rFonts w:asciiTheme="majorHAnsi" w:hAnsiTheme="majorHAnsi" w:eastAsiaTheme="majorEastAsia" w:cstheme="majorBidi" w:ascii="Arial" w:hAnsi="Arial"/>
      <w:b/>
      <w:bCs/>
      <w:i/>
      <w:iCs/>
      <w:color w:val="4F81BD" w:themeColor="accent1"/>
      <w:sz w:val="22"/>
    </w:rPr>
  </w:style>
  <w:style w:type="paragraph" w:styleId="Heading5">
    <w:name w:val="heading 5"/>
    <w:basedOn w:val="Normal"/>
    <w:next w:val="Normal"/>
    <w:link w:val="Heading5Char"/>
    <w:uiPriority w:val="9"/>
    <w:semiHidden/>
    <w:unhideWhenUsed/>
    <w:qFormat/>
    <w:rsid w:val="00FC693F"/>
    <w:pPr>
      <w:keepNext/>
      <w:keepLines/>
      <w:spacing w:before="200" w:after="0" w:line="360" w:lineRule="auto"/>
      <w:outlineLvl w:val="4"/>
    </w:pPr>
    <w:rPr>
      <w:rFonts w:asciiTheme="majorHAnsi" w:hAnsiTheme="majorHAnsi" w:eastAsiaTheme="majorEastAsia" w:cstheme="majorBidi" w:ascii="Arial" w:hAnsi="Arial"/>
      <w:color w:val="243F60" w:themeColor="accent1" w:themeShade="7F"/>
      <w:sz w:val="22"/>
    </w:rPr>
  </w:style>
  <w:style w:type="paragraph" w:styleId="Heading6">
    <w:name w:val="heading 6"/>
    <w:basedOn w:val="Normal"/>
    <w:next w:val="Normal"/>
    <w:link w:val="Heading6Char"/>
    <w:uiPriority w:val="9"/>
    <w:semiHidden/>
    <w:unhideWhenUsed/>
    <w:qFormat/>
    <w:rsid w:val="00FC693F"/>
    <w:pPr>
      <w:keepNext/>
      <w:keepLines/>
      <w:spacing w:before="200" w:after="0" w:line="360" w:lineRule="auto"/>
      <w:outlineLvl w:val="5"/>
    </w:pPr>
    <w:rPr>
      <w:rFonts w:asciiTheme="majorHAnsi" w:hAnsiTheme="majorHAnsi" w:eastAsiaTheme="majorEastAsia" w:cstheme="majorBidi" w:ascii="Arial" w:hAnsi="Arial"/>
      <w:i/>
      <w:iCs/>
      <w:color w:val="243F60" w:themeColor="accent1" w:themeShade="7F"/>
      <w:sz w:val="22"/>
    </w:rPr>
  </w:style>
  <w:style w:type="paragraph" w:styleId="Heading7">
    <w:name w:val="heading 7"/>
    <w:basedOn w:val="Normal"/>
    <w:next w:val="Normal"/>
    <w:link w:val="Heading7Char"/>
    <w:uiPriority w:val="9"/>
    <w:semiHidden/>
    <w:unhideWhenUsed/>
    <w:qFormat/>
    <w:rsid w:val="00FC693F"/>
    <w:pPr>
      <w:keepNext/>
      <w:keepLines/>
      <w:spacing w:before="200" w:after="0" w:line="360" w:lineRule="auto"/>
      <w:outlineLvl w:val="6"/>
    </w:pPr>
    <w:rPr>
      <w:rFonts w:asciiTheme="majorHAnsi" w:hAnsiTheme="majorHAnsi" w:eastAsiaTheme="majorEastAsia" w:cstheme="majorBidi" w:ascii="Arial" w:hAnsi="Arial"/>
      <w:i/>
      <w:iCs/>
      <w:color w:val="404040" w:themeColor="text1" w:themeTint="BF"/>
      <w:sz w:val="22"/>
    </w:rPr>
  </w:style>
  <w:style w:type="paragraph" w:styleId="Heading8">
    <w:name w:val="heading 8"/>
    <w:basedOn w:val="Normal"/>
    <w:next w:val="Normal"/>
    <w:link w:val="Heading8Char"/>
    <w:uiPriority w:val="9"/>
    <w:semiHidden/>
    <w:unhideWhenUsed/>
    <w:qFormat/>
    <w:rsid w:val="00FC693F"/>
    <w:pPr>
      <w:keepNext/>
      <w:keepLines/>
      <w:spacing w:before="200" w:after="0" w:line="360" w:lineRule="auto"/>
      <w:outlineLvl w:val="7"/>
    </w:pPr>
    <w:rPr>
      <w:rFonts w:asciiTheme="majorHAnsi" w:hAnsiTheme="majorHAnsi" w:eastAsiaTheme="majorEastAsia" w:cstheme="majorBidi" w:ascii="Arial" w:hAnsi="Arial"/>
      <w:color w:val="4F81BD" w:themeColor="accent1"/>
      <w:sz w:val="22"/>
      <w:szCs w:val="20"/>
    </w:rPr>
  </w:style>
  <w:style w:type="paragraph" w:styleId="Heading9">
    <w:name w:val="heading 9"/>
    <w:basedOn w:val="Normal"/>
    <w:next w:val="Normal"/>
    <w:link w:val="Heading9Char"/>
    <w:uiPriority w:val="9"/>
    <w:semiHidden/>
    <w:unhideWhenUsed/>
    <w:qFormat/>
    <w:rsid w:val="00FC693F"/>
    <w:pPr>
      <w:keepNext/>
      <w:keepLines/>
      <w:spacing w:before="200" w:after="0" w:line="360" w:lineRule="auto"/>
      <w:outlineLvl w:val="8"/>
    </w:pPr>
    <w:rPr>
      <w:rFonts w:asciiTheme="majorHAnsi" w:hAnsiTheme="majorHAnsi" w:eastAsiaTheme="majorEastAsia" w:cstheme="majorBidi" w:ascii="Arial" w:hAnsi="Arial"/>
      <w:i/>
      <w:iCs/>
      <w:color w:val="404040" w:themeColor="text1" w:themeTint="BF"/>
      <w:sz w:val="22"/>
      <w:szCs w:val="20"/>
    </w:rPr>
  </w:style>
  <w:style w:type="character" w:styleId="DefaultParagraphFont" w:default="1">
    <w:name w:val="Default Paragraph Font"/>
    <w:uiPriority w:val="1"/>
    <w:unhideWhenUsed/>
    <w:rPr>
      <w:rFonts w:ascii="Arial" w:hAnsi="Arial"/>
      <w:sz w:val="22"/>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360" w:lineRule="auto"/>
    </w:pPr>
    <w:rPr>
      <w:rFonts w:ascii="Arial" w:hAnsi="Arial"/>
      <w:sz w:val="22"/>
    </w:rPr>
  </w:style>
  <w:style w:type="character" w:styleId="HeaderChar" w:customStyle="1">
    <w:name w:val="Header Char"/>
    <w:basedOn w:val="DefaultParagraphFont"/>
    <w:link w:val="Header"/>
    <w:uiPriority w:val="99"/>
    <w:rsid w:val="00E618BF"/>
    <w:rPr>
      <w:rFonts w:ascii="Arial" w:hAnsi="Arial"/>
      <w:sz w:val="22"/>
    </w:rPr>
  </w:style>
  <w:style w:type="paragraph" w:styleId="Footer">
    <w:name w:val="footer"/>
    <w:basedOn w:val="Normal"/>
    <w:link w:val="FooterChar"/>
    <w:uiPriority w:val="99"/>
    <w:unhideWhenUsed/>
    <w:rsid w:val="00E618BF"/>
    <w:pPr>
      <w:tabs>
        <w:tab w:val="center" w:pos="4680"/>
        <w:tab w:val="right" w:pos="9360"/>
      </w:tabs>
      <w:spacing w:after="0" w:line="360" w:lineRule="auto"/>
    </w:pPr>
    <w:rPr>
      <w:rFonts w:ascii="Arial" w:hAnsi="Arial"/>
      <w:sz w:val="22"/>
    </w:rPr>
  </w:style>
  <w:style w:type="character" w:styleId="FooterChar" w:customStyle="1">
    <w:name w:val="Footer Char"/>
    <w:basedOn w:val="DefaultParagraphFont"/>
    <w:link w:val="Footer"/>
    <w:uiPriority w:val="99"/>
    <w:rsid w:val="00E618BF"/>
    <w:rPr>
      <w:rFonts w:ascii="Arial" w:hAnsi="Arial"/>
      <w:sz w:val="22"/>
    </w:rPr>
  </w:style>
  <w:style w:type="paragraph" w:styleId="NoSpacing">
    <w:name w:val="No Spacing"/>
    <w:uiPriority w:val="1"/>
    <w:qFormat/>
    <w:rsid w:val="00FC693F"/>
    <w:pPr>
      <w:spacing w:after="0" w:line="360" w:lineRule="auto"/>
    </w:pPr>
    <w:rPr>
      <w:rFonts w:ascii="Arial" w:hAnsi="Arial"/>
      <w:sz w:val="22"/>
    </w:r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ascii="Arial" w:hAnsi="Arial"/>
      <w:b/>
      <w:bCs/>
      <w:color w:val="365F91" w:themeColor="accent1" w:themeShade="BF"/>
      <w:sz w:val="22"/>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ascii="Arial" w:hAnsi="Arial"/>
      <w:b/>
      <w:bCs/>
      <w:color w:val="4F81BD" w:themeColor="accent1"/>
      <w:sz w:val="22"/>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ascii="Arial" w:hAnsi="Arial"/>
      <w:b/>
      <w:bCs/>
      <w:color w:val="4F81BD" w:themeColor="accent1"/>
      <w:sz w:val="22"/>
    </w:rPr>
  </w:style>
  <w:style w:type="paragraph" w:styleId="Title">
    <w:name w:val="Title"/>
    <w:basedOn w:val="Normal"/>
    <w:next w:val="Normal"/>
    <w:link w:val="TitleChar"/>
    <w:uiPriority w:val="10"/>
    <w:qFormat/>
    <w:rsid w:val="00FC693F"/>
    <w:pPr>
      <w:spacing w:after="300" w:line="360" w:lineRule="auto"/>
      <w:contextualSpacing/>
    </w:pPr>
    <w:rPr>
      <w:rFonts w:asciiTheme="majorHAnsi" w:hAnsiTheme="majorHAnsi" w:eastAsiaTheme="majorEastAsia" w:cstheme="majorBidi" w:ascii="Arial" w:hAnsi="Arial"/>
      <w:b/>
      <w:spacing w:val="5"/>
      <w:kern w:val="28"/>
      <w:sz w:val="2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ascii="Arial" w:hAnsi="Arial"/>
      <w:color w:val="17365D" w:themeColor="text2" w:themeShade="BF"/>
      <w:spacing w:val="5"/>
      <w:kern w:val="28"/>
      <w:sz w:val="22"/>
      <w:szCs w:val="52"/>
    </w:rPr>
  </w:style>
  <w:style w:type="paragraph" w:styleId="Subtitle">
    <w:name w:val="Subtitle"/>
    <w:basedOn w:val="Normal"/>
    <w:next w:val="Normal"/>
    <w:link w:val="SubtitleChar"/>
    <w:uiPriority w:val="11"/>
    <w:qFormat/>
    <w:rsid w:val="00FC693F"/>
    <w:pPr>
      <w:numPr>
        <w:ilvl w:val="1"/>
      </w:numPr>
      <w:spacing w:line="360" w:lineRule="auto"/>
    </w:pPr>
    <w:rPr>
      <w:rFonts w:asciiTheme="majorHAnsi" w:hAnsiTheme="majorHAnsi" w:eastAsiaTheme="majorEastAsia" w:cstheme="majorBidi" w:ascii="Arial" w:hAnsi="Arial"/>
      <w:i/>
      <w:iCs/>
      <w:spacing w:val="15"/>
      <w:sz w:val="22"/>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ascii="Arial" w:hAnsi="Arial"/>
      <w:i/>
      <w:iCs/>
      <w:color w:val="4F81BD" w:themeColor="accent1"/>
      <w:spacing w:val="15"/>
      <w:sz w:val="22"/>
      <w:szCs w:val="24"/>
    </w:rPr>
  </w:style>
  <w:style w:type="paragraph" w:styleId="ListParagraph">
    <w:name w:val="List Paragraph"/>
    <w:basedOn w:val="Normal"/>
    <w:uiPriority w:val="34"/>
    <w:qFormat/>
    <w:rsid w:val="00FC693F"/>
    <w:pPr>
      <w:spacing w:line="360" w:lineRule="auto"/>
      <w:ind w:left="720"/>
      <w:contextualSpacing/>
    </w:pPr>
    <w:rPr>
      <w:rFonts w:ascii="Arial" w:hAnsi="Arial"/>
      <w:sz w:val="22"/>
    </w:rPr>
  </w:style>
  <w:style w:type="paragraph" w:styleId="BodyText">
    <w:name w:val="Body Text"/>
    <w:basedOn w:val="Normal"/>
    <w:link w:val="BodyTextChar"/>
    <w:uiPriority w:val="99"/>
    <w:unhideWhenUsed/>
    <w:rsid w:val="00AA1D8D"/>
    <w:pPr>
      <w:spacing w:after="120" w:line="360" w:lineRule="auto"/>
    </w:pPr>
    <w:rPr>
      <w:rFonts w:ascii="Arial" w:hAnsi="Arial"/>
      <w:sz w:val="22"/>
    </w:rPr>
  </w:style>
  <w:style w:type="character" w:styleId="BodyTextChar" w:customStyle="1">
    <w:name w:val="Body Text Char"/>
    <w:basedOn w:val="DefaultParagraphFont"/>
    <w:link w:val="BodyText"/>
    <w:uiPriority w:val="99"/>
    <w:rsid w:val="00AA1D8D"/>
    <w:rPr>
      <w:rFonts w:ascii="Arial" w:hAnsi="Arial"/>
      <w:sz w:val="22"/>
    </w:rPr>
  </w:style>
  <w:style w:type="paragraph" w:styleId="BodyText2">
    <w:name w:val="Body Text 2"/>
    <w:basedOn w:val="Normal"/>
    <w:link w:val="BodyText2Char"/>
    <w:uiPriority w:val="99"/>
    <w:unhideWhenUsed/>
    <w:rsid w:val="00AA1D8D"/>
    <w:pPr>
      <w:spacing w:after="120" w:line="360" w:lineRule="auto"/>
    </w:pPr>
    <w:rPr>
      <w:rFonts w:ascii="Arial" w:hAnsi="Arial"/>
      <w:sz w:val="22"/>
    </w:rPr>
  </w:style>
  <w:style w:type="character" w:styleId="BodyText2Char" w:customStyle="1">
    <w:name w:val="Body Text 2 Char"/>
    <w:basedOn w:val="DefaultParagraphFont"/>
    <w:link w:val="BodyText2"/>
    <w:uiPriority w:val="99"/>
    <w:rsid w:val="00AA1D8D"/>
    <w:rPr>
      <w:rFonts w:ascii="Arial" w:hAnsi="Arial"/>
      <w:sz w:val="22"/>
    </w:rPr>
  </w:style>
  <w:style w:type="paragraph" w:styleId="BodyText3">
    <w:name w:val="Body Text 3"/>
    <w:basedOn w:val="Normal"/>
    <w:link w:val="BodyText3Char"/>
    <w:uiPriority w:val="99"/>
    <w:unhideWhenUsed/>
    <w:rsid w:val="00AA1D8D"/>
    <w:pPr>
      <w:spacing w:after="120" w:line="360" w:lineRule="auto"/>
    </w:pPr>
    <w:rPr>
      <w:rFonts w:ascii="Arial" w:hAnsi="Arial"/>
      <w:sz w:val="22"/>
      <w:szCs w:val="16"/>
    </w:rPr>
  </w:style>
  <w:style w:type="character" w:styleId="BodyText3Char" w:customStyle="1">
    <w:name w:val="Body Text 3 Char"/>
    <w:basedOn w:val="DefaultParagraphFont"/>
    <w:link w:val="BodyText3"/>
    <w:uiPriority w:val="99"/>
    <w:rsid w:val="00AA1D8D"/>
    <w:rPr>
      <w:rFonts w:ascii="Arial" w:hAnsi="Arial"/>
      <w:sz w:val="22"/>
      <w:szCs w:val="16"/>
    </w:rPr>
  </w:style>
  <w:style w:type="paragraph" w:styleId="List">
    <w:name w:val="List"/>
    <w:basedOn w:val="Normal"/>
    <w:uiPriority w:val="99"/>
    <w:unhideWhenUsed/>
    <w:rsid w:val="00AA1D8D"/>
    <w:pPr>
      <w:spacing w:line="360" w:lineRule="auto"/>
      <w:ind w:left="360" w:hanging="360"/>
      <w:contextualSpacing/>
    </w:pPr>
    <w:rPr>
      <w:rFonts w:ascii="Arial" w:hAnsi="Arial"/>
      <w:sz w:val="22"/>
    </w:rPr>
  </w:style>
  <w:style w:type="paragraph" w:styleId="List2">
    <w:name w:val="List 2"/>
    <w:basedOn w:val="Normal"/>
    <w:uiPriority w:val="99"/>
    <w:unhideWhenUsed/>
    <w:rsid w:val="00326F90"/>
    <w:pPr>
      <w:spacing w:line="360" w:lineRule="auto"/>
      <w:ind w:left="720" w:hanging="360"/>
      <w:contextualSpacing/>
    </w:pPr>
    <w:rPr>
      <w:rFonts w:ascii="Arial" w:hAnsi="Arial"/>
      <w:sz w:val="22"/>
    </w:rPr>
  </w:style>
  <w:style w:type="paragraph" w:styleId="List3">
    <w:name w:val="List 3"/>
    <w:basedOn w:val="Normal"/>
    <w:uiPriority w:val="99"/>
    <w:unhideWhenUsed/>
    <w:rsid w:val="00326F90"/>
    <w:pPr>
      <w:spacing w:line="360" w:lineRule="auto"/>
      <w:ind w:left="1080" w:hanging="360"/>
      <w:contextualSpacing/>
    </w:pPr>
    <w:rPr>
      <w:rFonts w:ascii="Arial" w:hAnsi="Arial"/>
      <w:sz w:val="22"/>
    </w:rPr>
  </w:style>
  <w:style w:type="paragraph" w:styleId="ListBullet">
    <w:name w:val="List Bullet"/>
    <w:basedOn w:val="Normal"/>
    <w:uiPriority w:val="99"/>
    <w:unhideWhenUsed/>
    <w:rsid w:val="00326F90"/>
    <w:pPr>
      <w:numPr>
        <w:numId w:val="1"/>
      </w:numPr>
      <w:spacing w:line="360" w:lineRule="auto"/>
      <w:contextualSpacing/>
    </w:pPr>
    <w:rPr>
      <w:rFonts w:ascii="Arial" w:hAnsi="Arial"/>
      <w:sz w:val="22"/>
    </w:rPr>
  </w:style>
  <w:style w:type="paragraph" w:styleId="ListBullet2">
    <w:name w:val="List Bullet 2"/>
    <w:basedOn w:val="Normal"/>
    <w:uiPriority w:val="99"/>
    <w:unhideWhenUsed/>
    <w:rsid w:val="00326F90"/>
    <w:pPr>
      <w:numPr>
        <w:numId w:val="2"/>
      </w:numPr>
      <w:spacing w:line="360" w:lineRule="auto"/>
      <w:contextualSpacing/>
    </w:pPr>
    <w:rPr>
      <w:rFonts w:ascii="Arial" w:hAnsi="Arial"/>
      <w:sz w:val="22"/>
    </w:rPr>
  </w:style>
  <w:style w:type="paragraph" w:styleId="ListBullet3">
    <w:name w:val="List Bullet 3"/>
    <w:basedOn w:val="Normal"/>
    <w:uiPriority w:val="99"/>
    <w:unhideWhenUsed/>
    <w:rsid w:val="00326F90"/>
    <w:pPr>
      <w:numPr>
        <w:numId w:val="3"/>
      </w:numPr>
      <w:spacing w:line="360" w:lineRule="auto"/>
      <w:contextualSpacing/>
    </w:pPr>
    <w:rPr>
      <w:rFonts w:ascii="Arial" w:hAnsi="Arial"/>
      <w:sz w:val="22"/>
    </w:rPr>
  </w:style>
  <w:style w:type="paragraph" w:styleId="ListNumber">
    <w:name w:val="List Number"/>
    <w:basedOn w:val="Normal"/>
    <w:uiPriority w:val="99"/>
    <w:unhideWhenUsed/>
    <w:rsid w:val="00326F90"/>
    <w:pPr>
      <w:numPr>
        <w:numId w:val="5"/>
      </w:numPr>
      <w:spacing w:line="360" w:lineRule="auto"/>
      <w:contextualSpacing/>
    </w:pPr>
    <w:rPr>
      <w:rFonts w:ascii="Arial" w:hAnsi="Arial"/>
      <w:sz w:val="22"/>
    </w:rPr>
  </w:style>
  <w:style w:type="paragraph" w:styleId="ListNumber2">
    <w:name w:val="List Number 2"/>
    <w:basedOn w:val="Normal"/>
    <w:uiPriority w:val="99"/>
    <w:unhideWhenUsed/>
    <w:rsid w:val="0029639D"/>
    <w:pPr>
      <w:numPr>
        <w:numId w:val="6"/>
      </w:numPr>
      <w:spacing w:line="360" w:lineRule="auto"/>
      <w:contextualSpacing/>
    </w:pPr>
    <w:rPr>
      <w:rFonts w:ascii="Arial" w:hAnsi="Arial"/>
      <w:sz w:val="22"/>
    </w:rPr>
  </w:style>
  <w:style w:type="paragraph" w:styleId="ListNumber3">
    <w:name w:val="List Number 3"/>
    <w:basedOn w:val="Normal"/>
    <w:uiPriority w:val="99"/>
    <w:unhideWhenUsed/>
    <w:rsid w:val="0029639D"/>
    <w:pPr>
      <w:numPr>
        <w:numId w:val="7"/>
      </w:numPr>
      <w:spacing w:line="360" w:lineRule="auto"/>
      <w:contextualSpacing/>
    </w:pPr>
    <w:rPr>
      <w:rFonts w:ascii="Arial" w:hAnsi="Arial"/>
      <w:sz w:val="22"/>
    </w:rPr>
  </w:style>
  <w:style w:type="paragraph" w:styleId="ListContinue">
    <w:name w:val="List Continue"/>
    <w:basedOn w:val="Normal"/>
    <w:uiPriority w:val="99"/>
    <w:unhideWhenUsed/>
    <w:rsid w:val="0029639D"/>
    <w:pPr>
      <w:spacing w:after="120" w:line="360" w:lineRule="auto"/>
      <w:ind w:left="360"/>
      <w:contextualSpacing/>
    </w:pPr>
    <w:rPr>
      <w:rFonts w:ascii="Arial" w:hAnsi="Arial"/>
      <w:sz w:val="22"/>
    </w:rPr>
  </w:style>
  <w:style w:type="paragraph" w:styleId="ListContinue2">
    <w:name w:val="List Continue 2"/>
    <w:basedOn w:val="Normal"/>
    <w:uiPriority w:val="99"/>
    <w:unhideWhenUsed/>
    <w:rsid w:val="0029639D"/>
    <w:pPr>
      <w:spacing w:after="120" w:line="360" w:lineRule="auto"/>
      <w:ind w:left="720"/>
      <w:contextualSpacing/>
    </w:pPr>
    <w:rPr>
      <w:rFonts w:ascii="Arial" w:hAnsi="Arial"/>
      <w:sz w:val="22"/>
    </w:rPr>
  </w:style>
  <w:style w:type="paragraph" w:styleId="ListContinue3">
    <w:name w:val="List Continue 3"/>
    <w:basedOn w:val="Normal"/>
    <w:uiPriority w:val="99"/>
    <w:unhideWhenUsed/>
    <w:rsid w:val="0029639D"/>
    <w:pPr>
      <w:spacing w:after="120" w:line="360" w:lineRule="auto"/>
      <w:ind w:left="1080"/>
      <w:contextualSpacing/>
    </w:pPr>
    <w:rPr>
      <w:rFonts w:ascii="Arial" w:hAnsi="Arial"/>
      <w:sz w:val="22"/>
    </w:r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spacing w:line="360" w:lineRule="auto"/>
    </w:pPr>
    <w:rPr>
      <w:rFonts w:ascii="Arial" w:hAnsi="Arial"/>
      <w:sz w:val="22"/>
      <w:szCs w:val="20"/>
    </w:rPr>
  </w:style>
  <w:style w:type="character" w:styleId="MacroTextChar" w:customStyle="1">
    <w:name w:val="Macro Text Char"/>
    <w:basedOn w:val="DefaultParagraphFont"/>
    <w:link w:val="MacroText"/>
    <w:uiPriority w:val="99"/>
    <w:rsid w:val="0029639D"/>
    <w:rPr>
      <w:rFonts w:ascii="Arial" w:hAnsi="Arial"/>
      <w:sz w:val="22"/>
      <w:szCs w:val="20"/>
    </w:rPr>
  </w:style>
  <w:style w:type="paragraph" w:styleId="Quote">
    <w:name w:val="Quote"/>
    <w:basedOn w:val="Normal"/>
    <w:next w:val="Normal"/>
    <w:link w:val="QuoteChar"/>
    <w:uiPriority w:val="29"/>
    <w:qFormat/>
    <w:rsid w:val="00FC693F"/>
    <w:pPr>
      <w:spacing w:line="360" w:lineRule="auto"/>
    </w:pPr>
    <w:rPr>
      <w:rFonts w:ascii="Arial" w:hAnsi="Arial"/>
      <w:i/>
      <w:iCs/>
      <w:color w:val="000000" w:themeColor="text1"/>
      <w:sz w:val="22"/>
    </w:rPr>
  </w:style>
  <w:style w:type="character" w:styleId="QuoteChar" w:customStyle="1">
    <w:name w:val="Quote Char"/>
    <w:basedOn w:val="DefaultParagraphFont"/>
    <w:link w:val="Quote"/>
    <w:uiPriority w:val="29"/>
    <w:rsid w:val="00FC693F"/>
    <w:rPr>
      <w:rFonts w:ascii="Arial" w:hAnsi="Arial"/>
      <w:i/>
      <w:iCs/>
      <w:color w:val="000000" w:themeColor="text1"/>
      <w:sz w:val="22"/>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ascii="Arial" w:hAnsi="Arial"/>
      <w:b/>
      <w:bCs/>
      <w:i/>
      <w:iCs/>
      <w:color w:val="4F81BD" w:themeColor="accent1"/>
      <w:sz w:val="22"/>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ascii="Arial" w:hAnsi="Arial"/>
      <w:color w:val="243F60" w:themeColor="accent1" w:themeShade="7F"/>
      <w:sz w:val="22"/>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ascii="Arial" w:hAnsi="Arial"/>
      <w:i/>
      <w:iCs/>
      <w:color w:val="243F60" w:themeColor="accent1" w:themeShade="7F"/>
      <w:sz w:val="22"/>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ascii="Arial" w:hAnsi="Arial"/>
      <w:i/>
      <w:iCs/>
      <w:color w:val="404040" w:themeColor="text1" w:themeTint="BF"/>
      <w:sz w:val="22"/>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ascii="Arial" w:hAnsi="Arial"/>
      <w:color w:val="4F81BD" w:themeColor="accent1"/>
      <w:sz w:val="22"/>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ascii="Arial" w:hAnsi="Arial"/>
      <w:i/>
      <w:iCs/>
      <w:color w:val="404040" w:themeColor="text1" w:themeTint="BF"/>
      <w:sz w:val="22"/>
      <w:szCs w:val="20"/>
    </w:rPr>
  </w:style>
  <w:style w:type="paragraph" w:styleId="Caption">
    <w:name w:val="caption"/>
    <w:basedOn w:val="Normal"/>
    <w:next w:val="Normal"/>
    <w:uiPriority w:val="35"/>
    <w:semiHidden/>
    <w:unhideWhenUsed/>
    <w:qFormat/>
    <w:rsid w:val="00FC693F"/>
    <w:pPr>
      <w:spacing w:line="360" w:lineRule="auto"/>
    </w:pPr>
    <w:rPr>
      <w:rFonts w:ascii="Arial" w:hAnsi="Arial"/>
      <w:b/>
      <w:bCs/>
      <w:color w:val="4F81BD" w:themeColor="accent1"/>
      <w:sz w:val="22"/>
      <w:szCs w:val="18"/>
    </w:rPr>
  </w:style>
  <w:style w:type="character" w:styleId="Strong">
    <w:name w:val="Strong"/>
    <w:basedOn w:val="DefaultParagraphFont"/>
    <w:uiPriority w:val="22"/>
    <w:qFormat/>
    <w:rsid w:val="00FC693F"/>
    <w:rPr>
      <w:rFonts w:ascii="Arial" w:hAnsi="Arial"/>
      <w:b/>
      <w:bCs/>
      <w:sz w:val="22"/>
    </w:rPr>
  </w:style>
  <w:style w:type="character" w:styleId="Emphasis">
    <w:name w:val="Emphasis"/>
    <w:basedOn w:val="DefaultParagraphFont"/>
    <w:uiPriority w:val="20"/>
    <w:qFormat/>
    <w:rsid w:val="00FC693F"/>
    <w:rPr>
      <w:rFonts w:ascii="Arial" w:hAnsi="Arial"/>
      <w:i/>
      <w:iCs/>
      <w:sz w:val="22"/>
    </w:rPr>
  </w:style>
  <w:style w:type="paragraph" w:styleId="IntenseQuote">
    <w:name w:val="Intense Quote"/>
    <w:basedOn w:val="Normal"/>
    <w:next w:val="Normal"/>
    <w:link w:val="IntenseQuoteChar"/>
    <w:uiPriority w:val="30"/>
    <w:qFormat/>
    <w:rsid w:val="00FC693F"/>
    <w:pPr>
      <w:spacing w:before="200" w:after="280" w:line="360" w:lineRule="auto"/>
      <w:ind w:left="936" w:right="936"/>
    </w:pPr>
    <w:rPr>
      <w:rFonts w:ascii="Arial" w:hAnsi="Arial"/>
      <w:b/>
      <w:bCs/>
      <w:i/>
      <w:iCs/>
      <w:color w:val="4F81BD" w:themeColor="accent1"/>
      <w:sz w:val="22"/>
    </w:rPr>
  </w:style>
  <w:style w:type="character" w:styleId="IntenseQuoteChar" w:customStyle="1">
    <w:name w:val="Intense Quote Char"/>
    <w:basedOn w:val="DefaultParagraphFont"/>
    <w:link w:val="IntenseQuote"/>
    <w:uiPriority w:val="30"/>
    <w:rsid w:val="00FC693F"/>
    <w:rPr>
      <w:rFonts w:ascii="Arial" w:hAnsi="Arial"/>
      <w:b/>
      <w:bCs/>
      <w:i/>
      <w:iCs/>
      <w:color w:val="4F81BD" w:themeColor="accent1"/>
      <w:sz w:val="22"/>
    </w:rPr>
  </w:style>
  <w:style w:type="character" w:styleId="SubtleEmphasis">
    <w:name w:val="Subtle Emphasis"/>
    <w:basedOn w:val="DefaultParagraphFont"/>
    <w:uiPriority w:val="19"/>
    <w:qFormat/>
    <w:rsid w:val="00FC693F"/>
    <w:rPr>
      <w:rFonts w:ascii="Arial" w:hAnsi="Arial"/>
      <w:i/>
      <w:iCs/>
      <w:color w:val="808080" w:themeColor="text1" w:themeTint="7F"/>
      <w:sz w:val="22"/>
    </w:rPr>
  </w:style>
  <w:style w:type="character" w:styleId="IntenseEmphasis">
    <w:name w:val="Intense Emphasis"/>
    <w:basedOn w:val="DefaultParagraphFont"/>
    <w:uiPriority w:val="21"/>
    <w:qFormat/>
    <w:rsid w:val="00FC693F"/>
    <w:rPr>
      <w:rFonts w:ascii="Arial" w:hAnsi="Arial"/>
      <w:b/>
      <w:bCs/>
      <w:i/>
      <w:iCs/>
      <w:color w:val="4F81BD" w:themeColor="accent1"/>
      <w:sz w:val="22"/>
    </w:rPr>
  </w:style>
  <w:style w:type="character" w:styleId="SubtleReference">
    <w:name w:val="Subtle Reference"/>
    <w:basedOn w:val="DefaultParagraphFont"/>
    <w:uiPriority w:val="31"/>
    <w:qFormat/>
    <w:rsid w:val="00FC693F"/>
    <w:rPr>
      <w:rFonts w:ascii="Arial" w:hAnsi="Arial"/>
      <w:smallCaps/>
      <w:color w:val="C0504D" w:themeColor="accent2"/>
      <w:sz w:val="22"/>
      <w:u w:val="single"/>
    </w:rPr>
  </w:style>
  <w:style w:type="character" w:styleId="IntenseReference">
    <w:name w:val="Intense Reference"/>
    <w:basedOn w:val="DefaultParagraphFont"/>
    <w:uiPriority w:val="32"/>
    <w:qFormat/>
    <w:rsid w:val="00FC693F"/>
    <w:rPr>
      <w:rFonts w:ascii="Arial" w:hAnsi="Arial"/>
      <w:b/>
      <w:bCs/>
      <w:smallCaps/>
      <w:color w:val="C0504D" w:themeColor="accent2"/>
      <w:spacing w:val="5"/>
      <w:sz w:val="22"/>
      <w:u w:val="single"/>
    </w:rPr>
  </w:style>
  <w:style w:type="character" w:styleId="BookTitle">
    <w:name w:val="Book Title"/>
    <w:basedOn w:val="DefaultParagraphFont"/>
    <w:uiPriority w:val="33"/>
    <w:qFormat/>
    <w:rsid w:val="00FC693F"/>
    <w:rPr>
      <w:rFonts w:ascii="Arial" w:hAnsi="Arial"/>
      <w:b/>
      <w:bCs/>
      <w:smallCaps/>
      <w:spacing w:val="5"/>
      <w:sz w:val="22"/>
    </w:rPr>
  </w:style>
  <w:style w:type="paragraph" w:styleId="TOCHeading">
    <w:name w:val="TOC Heading"/>
    <w:basedOn w:val="Heading1"/>
    <w:next w:val="Normal"/>
    <w:uiPriority w:val="39"/>
    <w:semiHidden/>
    <w:unhideWhenUsed/>
    <w:qFormat/>
    <w:rsid w:val="00FC693F"/>
    <w:pPr>
      <w:spacing w:line="360" w:lineRule="auto"/>
      <w:outlineLvl w:val="9"/>
    </w:pPr>
    <w:rPr>
      <w:rFonts w:ascii="Arial" w:hAnsi="Arial"/>
      <w:sz w:val="22"/>
    </w:r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512883"/>
    <w:rPr>
      <w:rFonts w:ascii="Arial" w:hAnsi="Arial"/>
      <w:color w:val="0000FF" w:themeColor="hyperlink"/>
      <w:sz w:val="22"/>
      <w:u w:val="single"/>
    </w:rPr>
  </w:style>
  <w:style w:type="character" w:styleId="UnresolvedMention">
    <w:name w:val="Unresolved Mention"/>
    <w:basedOn w:val="DefaultParagraphFont"/>
    <w:uiPriority w:val="99"/>
    <w:semiHidden/>
    <w:unhideWhenUsed/>
    <w:rsid w:val="00512883"/>
    <w:rPr>
      <w:rFonts w:ascii="Arial" w:hAnsi="Arial"/>
      <w:color w:val="605E5C"/>
      <w:sz w:val="22"/>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rmingham.gov.uk/councillors/61/nosheen_khalid" TargetMode="External"/><Relationship Id="rId13" Type="http://schemas.openxmlformats.org/officeDocument/2006/relationships/hyperlink" Target="https://rcm.org.uk/blog/2022/07/120-years-of-the-midwives-act-in-england-and-wales/" TargetMode="External"/><Relationship Id="rId18" Type="http://schemas.openxmlformats.org/officeDocument/2006/relationships/hyperlink" Target="https://www.england.nhs.uk/nhsbirthday/about-the-nhs-birthday/"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qc.org.uk/care-services/local-authority-assessment-reports/birmingham-0526/summary" TargetMode="External"/><Relationship Id="rId17" Type="http://schemas.openxmlformats.org/officeDocument/2006/relationships/hyperlink" Target="https://www.england.nhs.uk/publication/midwifery-continuity-of-carer/" TargetMode="External"/><Relationship Id="rId2" Type="http://schemas.openxmlformats.org/officeDocument/2006/relationships/numbering" Target="numbering.xml"/><Relationship Id="rId16" Type="http://schemas.openxmlformats.org/officeDocument/2006/relationships/hyperlink" Target="https://www.nice.org.uk/guidance/ng201/chapter/recommendation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qc.org.uk/care-services/local-authority-assessment-reports/birmingham-cc/overall-summary" TargetMode="External"/><Relationship Id="rId5" Type="http://schemas.openxmlformats.org/officeDocument/2006/relationships/webSettings" Target="webSettings.xml"/><Relationship Id="rId15" Type="http://schemas.openxmlformats.org/officeDocument/2006/relationships/hyperlink" Target="https://www.nice.org.uk/guidance/ng21/chapter/recommendations" TargetMode="External"/><Relationship Id="rId10" Type="http://schemas.openxmlformats.org/officeDocument/2006/relationships/hyperlink" Target="https://www.legislation.gov.uk/ukpga/2014/23/part/1" TargetMode="External"/><Relationship Id="rId19" Type="http://schemas.openxmlformats.org/officeDocument/2006/relationships/hyperlink" Target="https://doi.org/10.1002/14651858.CD004667.pub6" TargetMode="External"/><Relationship Id="rId4" Type="http://schemas.openxmlformats.org/officeDocument/2006/relationships/settings" Target="settings.xml"/><Relationship Id="rId9" Type="http://schemas.openxmlformats.org/officeDocument/2006/relationships/hyperlink" Target="https://bwc.nhs.uk/community-midwives" TargetMode="External"/><Relationship Id="rId14" Type="http://schemas.openxmlformats.org/officeDocument/2006/relationships/hyperlink" Target="https://hansard.parliament.uk/commons/1936-04-30/debates/1091b303-8de5-428d-84ab-7a50c6302407/MidwivesBill" TargetMode="External"/><Relationship Id="rId22" Type="http://schemas.openxmlformats.org/officeDocument/2006/relationships/theme" Target="theme/theme1.xml"/><Relationship Id="rId23"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Domiciliary Care and Community Antenatal Midwifery – Coursework Portfolio</dc:title>
  <dc:subject>LCHS4003 Component 1</dc:subject>
  <dc:creator/>
  <keywords/>
  <dc:description>generated by python-docx</dc:description>
  <lastModifiedBy>Khazia Bi (2533712)</lastModifiedBy>
  <revision>3</revision>
  <dcterms:created xsi:type="dcterms:W3CDTF">2013-12-23T23:15:00.0000000Z</dcterms:created>
  <dcterms:modified xsi:type="dcterms:W3CDTF">2026-10-05T08:30:24.2913567Z</dcterms:modified>
  <category/>
</coreProperties>
</file>