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675DC" w14:textId="7E4BC57D" w:rsidR="00640ECD" w:rsidRPr="00F3717C" w:rsidRDefault="00640ECD" w:rsidP="006C5EB0">
      <w:pPr>
        <w:spacing w:line="360" w:lineRule="auto"/>
        <w:rPr>
          <w:rFonts w:ascii="Arial" w:hAnsi="Arial" w:cs="Arial"/>
        </w:rPr>
      </w:pPr>
    </w:p>
    <w:p w14:paraId="7047C5DB" w14:textId="048FBD2F" w:rsidR="00640ECD" w:rsidRPr="00F3717C" w:rsidRDefault="00640ECD" w:rsidP="006C5EB0">
      <w:pPr>
        <w:spacing w:line="360" w:lineRule="auto"/>
        <w:rPr>
          <w:rFonts w:ascii="Arial" w:hAnsi="Arial" w:cs="Arial"/>
        </w:rPr>
      </w:pPr>
    </w:p>
    <w:p w14:paraId="651321DE" w14:textId="0F6339D2" w:rsidR="00640ECD" w:rsidRPr="00F3717C" w:rsidRDefault="00640ECD" w:rsidP="006C5EB0">
      <w:pPr>
        <w:spacing w:line="360" w:lineRule="auto"/>
        <w:rPr>
          <w:rFonts w:ascii="Arial" w:hAnsi="Arial" w:cs="Arial"/>
        </w:rPr>
      </w:pPr>
    </w:p>
    <w:p w14:paraId="6FDB6361" w14:textId="77777777" w:rsidR="00640ECD" w:rsidRPr="00F3717C" w:rsidRDefault="00640ECD" w:rsidP="00157571">
      <w:pPr>
        <w:tabs>
          <w:tab w:val="left" w:pos="0"/>
        </w:tabs>
        <w:spacing w:line="360" w:lineRule="auto"/>
        <w:rPr>
          <w:rFonts w:ascii="Arial" w:hAnsi="Arial" w:cs="Arial"/>
        </w:rPr>
      </w:pPr>
    </w:p>
    <w:p w14:paraId="2FC143C5" w14:textId="4703A33C" w:rsidR="00640ECD" w:rsidRPr="00F3717C" w:rsidRDefault="00640ECD" w:rsidP="00157571">
      <w:pPr>
        <w:tabs>
          <w:tab w:val="left" w:pos="0"/>
        </w:tabs>
        <w:spacing w:line="360" w:lineRule="auto"/>
        <w:rPr>
          <w:rFonts w:ascii="Arial" w:hAnsi="Arial" w:cs="Arial"/>
        </w:rPr>
      </w:pPr>
    </w:p>
    <w:p w14:paraId="6E621EDB" w14:textId="77777777" w:rsidR="00640ECD" w:rsidRPr="00F3717C" w:rsidRDefault="00640ECD" w:rsidP="00157571">
      <w:pPr>
        <w:tabs>
          <w:tab w:val="left" w:pos="0"/>
        </w:tabs>
        <w:spacing w:line="360" w:lineRule="auto"/>
        <w:rPr>
          <w:rFonts w:ascii="Arial" w:hAnsi="Arial" w:cs="Arial"/>
        </w:rPr>
      </w:pPr>
    </w:p>
    <w:p w14:paraId="5CB1FFB9" w14:textId="77777777" w:rsidR="00640ECD" w:rsidRPr="00F3717C" w:rsidRDefault="00640ECD" w:rsidP="00157571">
      <w:pPr>
        <w:tabs>
          <w:tab w:val="left" w:pos="0"/>
        </w:tabs>
        <w:spacing w:line="360" w:lineRule="auto"/>
        <w:ind w:left="1440" w:hanging="1440"/>
        <w:jc w:val="center"/>
        <w:rPr>
          <w:rFonts w:ascii="Arial" w:hAnsi="Arial" w:cs="Arial"/>
          <w:sz w:val="56"/>
          <w:szCs w:val="56"/>
        </w:rPr>
      </w:pPr>
    </w:p>
    <w:p w14:paraId="71BBEF5B" w14:textId="48FD072F" w:rsidR="00640ECD" w:rsidRPr="00F3717C" w:rsidRDefault="00640ECD" w:rsidP="00157571">
      <w:pPr>
        <w:tabs>
          <w:tab w:val="left" w:pos="0"/>
        </w:tabs>
        <w:spacing w:line="360" w:lineRule="auto"/>
        <w:ind w:left="1440" w:hanging="1440"/>
        <w:jc w:val="center"/>
        <w:rPr>
          <w:rFonts w:ascii="Arial" w:hAnsi="Arial" w:cs="Arial"/>
          <w:sz w:val="56"/>
          <w:szCs w:val="56"/>
        </w:rPr>
      </w:pPr>
    </w:p>
    <w:p w14:paraId="2ABA55F9" w14:textId="49164112" w:rsidR="00640ECD" w:rsidRPr="00F3717C" w:rsidRDefault="00CB14C6" w:rsidP="00157571">
      <w:pPr>
        <w:tabs>
          <w:tab w:val="left" w:pos="0"/>
        </w:tabs>
        <w:spacing w:line="360" w:lineRule="auto"/>
        <w:ind w:left="1440" w:hanging="1440"/>
        <w:jc w:val="center"/>
        <w:rPr>
          <w:rFonts w:ascii="Arial" w:hAnsi="Arial" w:cs="Arial"/>
          <w:sz w:val="56"/>
          <w:szCs w:val="56"/>
        </w:rPr>
      </w:pPr>
      <w:r>
        <w:rPr>
          <w:rFonts w:ascii="Arial" w:hAnsi="Arial" w:cs="Arial"/>
          <w:sz w:val="56"/>
          <w:szCs w:val="56"/>
        </w:rPr>
        <w:t>Assignment 1</w:t>
      </w:r>
    </w:p>
    <w:p w14:paraId="49810AB2" w14:textId="29DD451C" w:rsidR="00640ECD" w:rsidRPr="00F3717C" w:rsidRDefault="00640ECD" w:rsidP="00157571">
      <w:pPr>
        <w:tabs>
          <w:tab w:val="left" w:pos="0"/>
        </w:tabs>
        <w:spacing w:line="360" w:lineRule="auto"/>
        <w:rPr>
          <w:rFonts w:ascii="Arial" w:hAnsi="Arial" w:cs="Arial"/>
          <w:sz w:val="32"/>
          <w:szCs w:val="32"/>
        </w:rPr>
      </w:pPr>
    </w:p>
    <w:p w14:paraId="76843550" w14:textId="3E7525BA" w:rsidR="00640ECD" w:rsidRPr="00F3717C" w:rsidRDefault="00640ECD" w:rsidP="00157571">
      <w:pPr>
        <w:tabs>
          <w:tab w:val="left" w:pos="0"/>
        </w:tabs>
        <w:spacing w:line="360" w:lineRule="auto"/>
        <w:rPr>
          <w:rFonts w:ascii="Arial" w:hAnsi="Arial" w:cs="Arial"/>
          <w:sz w:val="32"/>
          <w:szCs w:val="32"/>
        </w:rPr>
      </w:pPr>
    </w:p>
    <w:p w14:paraId="48FE386C" w14:textId="132DF512" w:rsidR="00640ECD" w:rsidRPr="00F3717C" w:rsidRDefault="00640ECD" w:rsidP="00157571">
      <w:pPr>
        <w:tabs>
          <w:tab w:val="left" w:pos="0"/>
        </w:tabs>
        <w:spacing w:line="360" w:lineRule="auto"/>
        <w:rPr>
          <w:rFonts w:ascii="Arial" w:hAnsi="Arial" w:cs="Arial"/>
          <w:sz w:val="32"/>
          <w:szCs w:val="32"/>
        </w:rPr>
      </w:pPr>
    </w:p>
    <w:p w14:paraId="41DE5DC8" w14:textId="77777777" w:rsidR="00640ECD" w:rsidRPr="00F3717C" w:rsidRDefault="00640ECD" w:rsidP="00157571">
      <w:pPr>
        <w:tabs>
          <w:tab w:val="left" w:pos="0"/>
        </w:tabs>
        <w:spacing w:line="360" w:lineRule="auto"/>
        <w:rPr>
          <w:rFonts w:ascii="Arial" w:hAnsi="Arial" w:cs="Arial"/>
          <w:sz w:val="32"/>
          <w:szCs w:val="32"/>
        </w:rPr>
      </w:pPr>
    </w:p>
    <w:p w14:paraId="659DF015" w14:textId="77777777" w:rsidR="00640ECD" w:rsidRDefault="00640ECD" w:rsidP="00157571">
      <w:pPr>
        <w:tabs>
          <w:tab w:val="left" w:pos="0"/>
        </w:tabs>
        <w:spacing w:line="360" w:lineRule="auto"/>
        <w:rPr>
          <w:rFonts w:ascii="Arial" w:hAnsi="Arial" w:cs="Arial"/>
          <w:sz w:val="32"/>
          <w:szCs w:val="32"/>
        </w:rPr>
      </w:pPr>
    </w:p>
    <w:p w14:paraId="4C1A0570" w14:textId="77777777" w:rsidR="00F3717C" w:rsidRPr="00F3717C" w:rsidRDefault="00F3717C" w:rsidP="00157571">
      <w:pPr>
        <w:tabs>
          <w:tab w:val="left" w:pos="0"/>
        </w:tabs>
        <w:spacing w:line="360" w:lineRule="auto"/>
        <w:rPr>
          <w:rFonts w:ascii="Arial" w:hAnsi="Arial" w:cs="Arial"/>
          <w:sz w:val="32"/>
          <w:szCs w:val="32"/>
        </w:rPr>
      </w:pPr>
    </w:p>
    <w:p w14:paraId="4469CFB6" w14:textId="3C0DEB9B" w:rsidR="00640ECD" w:rsidRPr="00F3717C" w:rsidRDefault="00C33F62" w:rsidP="00157571">
      <w:pPr>
        <w:tabs>
          <w:tab w:val="left" w:pos="0"/>
        </w:tabs>
        <w:spacing w:line="360" w:lineRule="auto"/>
        <w:rPr>
          <w:rFonts w:ascii="Arial" w:hAnsi="Arial" w:cs="Arial"/>
          <w:sz w:val="24"/>
          <w:szCs w:val="24"/>
        </w:rPr>
      </w:pPr>
      <w:r w:rsidRPr="00F3717C">
        <w:rPr>
          <w:rFonts w:ascii="Arial" w:hAnsi="Arial" w:cs="Arial"/>
          <w:sz w:val="24"/>
          <w:szCs w:val="24"/>
        </w:rPr>
        <w:t>Program of study: BA (Hons) Business Management</w:t>
      </w:r>
    </w:p>
    <w:p w14:paraId="3D8B0969" w14:textId="296CBF97" w:rsidR="00871FAB" w:rsidRPr="00F3717C" w:rsidRDefault="00871FAB" w:rsidP="00157571">
      <w:pPr>
        <w:tabs>
          <w:tab w:val="left" w:pos="0"/>
        </w:tabs>
        <w:spacing w:line="360" w:lineRule="auto"/>
        <w:rPr>
          <w:rFonts w:ascii="Arial" w:hAnsi="Arial" w:cs="Arial"/>
          <w:sz w:val="24"/>
          <w:szCs w:val="24"/>
        </w:rPr>
      </w:pPr>
      <w:r w:rsidRPr="00F3717C">
        <w:rPr>
          <w:rFonts w:ascii="Arial" w:hAnsi="Arial" w:cs="Arial"/>
          <w:sz w:val="24"/>
          <w:szCs w:val="24"/>
        </w:rPr>
        <w:t xml:space="preserve">Module </w:t>
      </w:r>
      <w:r w:rsidR="00891039" w:rsidRPr="00F3717C">
        <w:rPr>
          <w:rFonts w:ascii="Arial" w:hAnsi="Arial" w:cs="Arial"/>
          <w:sz w:val="24"/>
          <w:szCs w:val="24"/>
        </w:rPr>
        <w:t xml:space="preserve">name and </w:t>
      </w:r>
      <w:r w:rsidRPr="00F3717C">
        <w:rPr>
          <w:rFonts w:ascii="Arial" w:hAnsi="Arial" w:cs="Arial"/>
          <w:sz w:val="24"/>
          <w:szCs w:val="24"/>
        </w:rPr>
        <w:t xml:space="preserve">code: </w:t>
      </w:r>
      <w:r w:rsidR="006E49DF" w:rsidRPr="006E49DF">
        <w:rPr>
          <w:rFonts w:ascii="Arial" w:hAnsi="Arial" w:cs="Arial"/>
          <w:sz w:val="24"/>
          <w:szCs w:val="24"/>
        </w:rPr>
        <w:t>Strategic Management and Sustainability</w:t>
      </w:r>
      <w:r w:rsidR="00891039" w:rsidRPr="00F3717C">
        <w:rPr>
          <w:rFonts w:ascii="Arial" w:hAnsi="Arial" w:cs="Arial"/>
          <w:sz w:val="24"/>
          <w:szCs w:val="24"/>
        </w:rPr>
        <w:t xml:space="preserve"> </w:t>
      </w:r>
      <w:r w:rsidRPr="00F3717C">
        <w:rPr>
          <w:rFonts w:ascii="Arial" w:hAnsi="Arial" w:cs="Arial"/>
          <w:sz w:val="24"/>
          <w:szCs w:val="24"/>
        </w:rPr>
        <w:t>LCBB</w:t>
      </w:r>
      <w:r w:rsidR="00351DD4">
        <w:rPr>
          <w:rFonts w:ascii="Arial" w:hAnsi="Arial" w:cs="Arial"/>
          <w:sz w:val="24"/>
          <w:szCs w:val="24"/>
        </w:rPr>
        <w:t>600</w:t>
      </w:r>
      <w:r w:rsidR="006E49DF">
        <w:rPr>
          <w:rFonts w:ascii="Arial" w:hAnsi="Arial" w:cs="Arial"/>
          <w:sz w:val="24"/>
          <w:szCs w:val="24"/>
        </w:rPr>
        <w:t>4</w:t>
      </w:r>
    </w:p>
    <w:p w14:paraId="5BC75289" w14:textId="007F39D8" w:rsidR="00640ECD" w:rsidRPr="00F3717C" w:rsidRDefault="007F4693" w:rsidP="00157571">
      <w:pPr>
        <w:tabs>
          <w:tab w:val="left" w:pos="0"/>
        </w:tabs>
        <w:spacing w:line="360" w:lineRule="auto"/>
        <w:rPr>
          <w:rFonts w:ascii="Arial" w:hAnsi="Arial" w:cs="Arial"/>
          <w:sz w:val="24"/>
          <w:szCs w:val="24"/>
        </w:rPr>
      </w:pPr>
      <w:r w:rsidRPr="00F3717C">
        <w:rPr>
          <w:rFonts w:ascii="Arial" w:hAnsi="Arial" w:cs="Arial"/>
          <w:sz w:val="24"/>
          <w:szCs w:val="24"/>
        </w:rPr>
        <w:t xml:space="preserve">Student </w:t>
      </w:r>
      <w:r w:rsidR="007B0FD1" w:rsidRPr="00F3717C">
        <w:rPr>
          <w:rFonts w:ascii="Arial" w:hAnsi="Arial" w:cs="Arial"/>
          <w:sz w:val="24"/>
          <w:szCs w:val="24"/>
        </w:rPr>
        <w:t>n</w:t>
      </w:r>
      <w:r w:rsidR="00640ECD" w:rsidRPr="00F3717C">
        <w:rPr>
          <w:rFonts w:ascii="Arial" w:hAnsi="Arial" w:cs="Arial"/>
          <w:sz w:val="24"/>
          <w:szCs w:val="24"/>
        </w:rPr>
        <w:t>ame: Paul-Silvian Vornicescu</w:t>
      </w:r>
    </w:p>
    <w:p w14:paraId="08B640AB" w14:textId="5D6DDCE3" w:rsidR="00640ECD" w:rsidRPr="00F3717C" w:rsidRDefault="00640ECD" w:rsidP="00157571">
      <w:pPr>
        <w:tabs>
          <w:tab w:val="left" w:pos="0"/>
        </w:tabs>
        <w:spacing w:line="360" w:lineRule="auto"/>
        <w:rPr>
          <w:rFonts w:ascii="Arial" w:hAnsi="Arial" w:cs="Arial"/>
          <w:sz w:val="24"/>
          <w:szCs w:val="24"/>
        </w:rPr>
      </w:pPr>
      <w:r w:rsidRPr="00F3717C">
        <w:rPr>
          <w:rFonts w:ascii="Arial" w:hAnsi="Arial" w:cs="Arial"/>
          <w:sz w:val="24"/>
          <w:szCs w:val="24"/>
        </w:rPr>
        <w:t>Student ID: 2246785</w:t>
      </w:r>
    </w:p>
    <w:p w14:paraId="3425FEA0" w14:textId="6102A96B" w:rsidR="00640ECD" w:rsidRPr="00F3717C" w:rsidRDefault="00640ECD" w:rsidP="00157571">
      <w:pPr>
        <w:tabs>
          <w:tab w:val="left" w:pos="0"/>
        </w:tabs>
        <w:spacing w:line="360" w:lineRule="auto"/>
        <w:rPr>
          <w:rFonts w:ascii="Arial" w:hAnsi="Arial" w:cs="Arial"/>
          <w:sz w:val="32"/>
          <w:szCs w:val="32"/>
        </w:rPr>
      </w:pPr>
      <w:r w:rsidRPr="00F3717C">
        <w:rPr>
          <w:rFonts w:ascii="Arial" w:hAnsi="Arial" w:cs="Arial"/>
          <w:sz w:val="24"/>
          <w:szCs w:val="24"/>
        </w:rPr>
        <w:t xml:space="preserve">Lecturer: </w:t>
      </w:r>
      <w:r w:rsidR="006E49DF" w:rsidRPr="006E49DF">
        <w:rPr>
          <w:rFonts w:ascii="Arial" w:hAnsi="Arial" w:cs="Arial"/>
          <w:sz w:val="24"/>
          <w:szCs w:val="24"/>
        </w:rPr>
        <w:t xml:space="preserve">Dr </w:t>
      </w:r>
      <w:proofErr w:type="spellStart"/>
      <w:r w:rsidR="006E49DF" w:rsidRPr="006E49DF">
        <w:rPr>
          <w:rFonts w:ascii="Arial" w:hAnsi="Arial" w:cs="Arial"/>
          <w:sz w:val="24"/>
          <w:szCs w:val="24"/>
        </w:rPr>
        <w:t>Prithwa</w:t>
      </w:r>
      <w:proofErr w:type="spellEnd"/>
      <w:r w:rsidR="006E49DF" w:rsidRPr="006E49DF">
        <w:rPr>
          <w:rFonts w:ascii="Arial" w:hAnsi="Arial" w:cs="Arial"/>
          <w:sz w:val="24"/>
          <w:szCs w:val="24"/>
        </w:rPr>
        <w:t xml:space="preserve"> Bhattacharya</w:t>
      </w:r>
    </w:p>
    <w:p w14:paraId="7338D541" w14:textId="77777777" w:rsidR="001C3605" w:rsidRPr="00F3717C" w:rsidRDefault="001C3605" w:rsidP="00157571">
      <w:pPr>
        <w:tabs>
          <w:tab w:val="left" w:pos="0"/>
        </w:tabs>
        <w:spacing w:line="360" w:lineRule="auto"/>
        <w:jc w:val="center"/>
        <w:rPr>
          <w:rFonts w:ascii="Arial" w:hAnsi="Arial" w:cs="Arial"/>
          <w:b/>
          <w:bCs/>
          <w:sz w:val="48"/>
          <w:szCs w:val="48"/>
        </w:rPr>
      </w:pPr>
    </w:p>
    <w:p w14:paraId="6A44C2CB" w14:textId="1ABF5C1B" w:rsidR="003946FC" w:rsidRPr="00F3717C" w:rsidRDefault="003946FC" w:rsidP="00157571">
      <w:pPr>
        <w:tabs>
          <w:tab w:val="left" w:pos="0"/>
        </w:tabs>
        <w:spacing w:line="360" w:lineRule="auto"/>
        <w:jc w:val="center"/>
        <w:rPr>
          <w:rFonts w:ascii="Arial" w:hAnsi="Arial" w:cs="Arial"/>
          <w:b/>
          <w:bCs/>
          <w:sz w:val="48"/>
          <w:szCs w:val="48"/>
        </w:rPr>
      </w:pPr>
      <w:r w:rsidRPr="00F3717C">
        <w:rPr>
          <w:rFonts w:ascii="Arial" w:hAnsi="Arial" w:cs="Arial"/>
          <w:b/>
          <w:bCs/>
          <w:sz w:val="48"/>
          <w:szCs w:val="48"/>
        </w:rPr>
        <w:t>TABLE OF CONTENT</w:t>
      </w:r>
    </w:p>
    <w:p w14:paraId="34A9C2A4" w14:textId="343D867A" w:rsidR="00640ECD" w:rsidRPr="00F3717C" w:rsidRDefault="00640ECD" w:rsidP="00157571">
      <w:pPr>
        <w:tabs>
          <w:tab w:val="left" w:pos="0"/>
        </w:tabs>
        <w:spacing w:line="360" w:lineRule="auto"/>
        <w:rPr>
          <w:rFonts w:ascii="Arial" w:hAnsi="Arial" w:cs="Arial"/>
          <w:sz w:val="32"/>
          <w:szCs w:val="32"/>
        </w:rPr>
      </w:pPr>
    </w:p>
    <w:p w14:paraId="2C713C4C" w14:textId="77777777" w:rsidR="003946FC" w:rsidRPr="00F3717C" w:rsidRDefault="003946FC" w:rsidP="00157571">
      <w:pPr>
        <w:tabs>
          <w:tab w:val="left" w:pos="0"/>
        </w:tabs>
        <w:spacing w:line="360" w:lineRule="auto"/>
        <w:rPr>
          <w:rFonts w:ascii="Arial" w:hAnsi="Arial" w:cs="Arial"/>
          <w:sz w:val="32"/>
          <w:szCs w:val="32"/>
        </w:rPr>
      </w:pPr>
    </w:p>
    <w:p w14:paraId="2AE70377" w14:textId="77777777" w:rsidR="001C3605" w:rsidRPr="00F3717C" w:rsidRDefault="001C3605" w:rsidP="00157571">
      <w:pPr>
        <w:tabs>
          <w:tab w:val="left" w:pos="0"/>
        </w:tabs>
        <w:spacing w:line="360" w:lineRule="auto"/>
        <w:rPr>
          <w:rFonts w:ascii="Arial" w:hAnsi="Arial" w:cs="Arial"/>
          <w:sz w:val="32"/>
          <w:szCs w:val="32"/>
        </w:rPr>
      </w:pPr>
    </w:p>
    <w:p w14:paraId="4FE33507" w14:textId="77777777" w:rsidR="003946FC" w:rsidRPr="00F3717C" w:rsidRDefault="003946FC" w:rsidP="00157571">
      <w:pPr>
        <w:tabs>
          <w:tab w:val="left" w:pos="0"/>
        </w:tabs>
        <w:spacing w:line="360" w:lineRule="auto"/>
        <w:rPr>
          <w:rFonts w:ascii="Arial" w:hAnsi="Arial" w:cs="Arial"/>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55"/>
        <w:gridCol w:w="921"/>
      </w:tblGrid>
      <w:tr w:rsidR="002E3D20" w:rsidRPr="00F3717C" w14:paraId="43DC6C40" w14:textId="77777777" w:rsidTr="002E3D20">
        <w:tc>
          <w:tcPr>
            <w:tcW w:w="7555" w:type="dxa"/>
          </w:tcPr>
          <w:p w14:paraId="64C7D489" w14:textId="0D4CF8FD" w:rsidR="002E3D20" w:rsidRPr="00F3717C" w:rsidRDefault="002E3D20" w:rsidP="00157571">
            <w:pPr>
              <w:tabs>
                <w:tab w:val="left" w:pos="0"/>
              </w:tabs>
              <w:spacing w:line="360" w:lineRule="auto"/>
              <w:rPr>
                <w:rFonts w:ascii="Arial" w:hAnsi="Arial" w:cs="Arial"/>
                <w:sz w:val="24"/>
                <w:szCs w:val="24"/>
              </w:rPr>
            </w:pPr>
            <w:r>
              <w:rPr>
                <w:rFonts w:ascii="Arial" w:hAnsi="Arial" w:cs="Arial"/>
                <w:sz w:val="24"/>
                <w:szCs w:val="24"/>
              </w:rPr>
              <w:t>Introduction</w:t>
            </w:r>
          </w:p>
        </w:tc>
        <w:tc>
          <w:tcPr>
            <w:tcW w:w="921" w:type="dxa"/>
          </w:tcPr>
          <w:p w14:paraId="61318587" w14:textId="169BF149" w:rsidR="002E3D20" w:rsidRPr="00F3717C" w:rsidRDefault="002E3D20" w:rsidP="00157571">
            <w:pPr>
              <w:tabs>
                <w:tab w:val="left" w:pos="0"/>
              </w:tabs>
              <w:spacing w:line="360" w:lineRule="auto"/>
              <w:rPr>
                <w:rFonts w:ascii="Arial" w:hAnsi="Arial" w:cs="Arial"/>
                <w:sz w:val="24"/>
                <w:szCs w:val="24"/>
              </w:rPr>
            </w:pPr>
            <w:r w:rsidRPr="00F3717C">
              <w:rPr>
                <w:rFonts w:ascii="Arial" w:hAnsi="Arial" w:cs="Arial"/>
                <w:sz w:val="24"/>
                <w:szCs w:val="24"/>
              </w:rPr>
              <w:t>3</w:t>
            </w:r>
          </w:p>
        </w:tc>
      </w:tr>
      <w:tr w:rsidR="002E3D20" w:rsidRPr="00F3717C" w14:paraId="5107239E" w14:textId="77777777" w:rsidTr="002E3D20">
        <w:tc>
          <w:tcPr>
            <w:tcW w:w="7555" w:type="dxa"/>
          </w:tcPr>
          <w:p w14:paraId="7CE48BF3" w14:textId="5F43BB01" w:rsidR="002E3D20" w:rsidRPr="00F3717C" w:rsidRDefault="00190FDE" w:rsidP="00157571">
            <w:pPr>
              <w:tabs>
                <w:tab w:val="left" w:pos="0"/>
              </w:tabs>
              <w:spacing w:line="360" w:lineRule="auto"/>
              <w:rPr>
                <w:rFonts w:ascii="Arial" w:hAnsi="Arial" w:cs="Arial"/>
                <w:sz w:val="24"/>
                <w:szCs w:val="24"/>
              </w:rPr>
            </w:pPr>
            <w:r w:rsidRPr="00190FDE">
              <w:rPr>
                <w:rFonts w:ascii="Arial" w:hAnsi="Arial" w:cs="Arial"/>
                <w:sz w:val="24"/>
                <w:szCs w:val="24"/>
              </w:rPr>
              <w:t>PESTLE Analysis</w:t>
            </w:r>
          </w:p>
        </w:tc>
        <w:tc>
          <w:tcPr>
            <w:tcW w:w="921" w:type="dxa"/>
          </w:tcPr>
          <w:p w14:paraId="66D9EA87" w14:textId="700B29E7" w:rsidR="002E3D20" w:rsidRPr="00F3717C" w:rsidRDefault="00F0702B" w:rsidP="00157571">
            <w:pPr>
              <w:tabs>
                <w:tab w:val="left" w:pos="0"/>
              </w:tabs>
              <w:spacing w:line="360" w:lineRule="auto"/>
              <w:rPr>
                <w:rFonts w:ascii="Arial" w:hAnsi="Arial" w:cs="Arial"/>
                <w:sz w:val="24"/>
                <w:szCs w:val="24"/>
              </w:rPr>
            </w:pPr>
            <w:r>
              <w:rPr>
                <w:rFonts w:ascii="Arial" w:hAnsi="Arial" w:cs="Arial"/>
                <w:sz w:val="24"/>
                <w:szCs w:val="24"/>
              </w:rPr>
              <w:t>3</w:t>
            </w:r>
          </w:p>
        </w:tc>
      </w:tr>
      <w:tr w:rsidR="002E3D20" w:rsidRPr="00F3717C" w14:paraId="02B06A67" w14:textId="77777777" w:rsidTr="002E3D20">
        <w:tc>
          <w:tcPr>
            <w:tcW w:w="7555" w:type="dxa"/>
          </w:tcPr>
          <w:p w14:paraId="7A31B5C7" w14:textId="1FB1C243" w:rsidR="002E3D20" w:rsidRPr="00F3717C" w:rsidRDefault="00190FDE" w:rsidP="00157571">
            <w:pPr>
              <w:tabs>
                <w:tab w:val="left" w:pos="0"/>
              </w:tabs>
              <w:spacing w:line="360" w:lineRule="auto"/>
              <w:rPr>
                <w:rFonts w:ascii="Arial" w:hAnsi="Arial" w:cs="Arial"/>
                <w:sz w:val="24"/>
                <w:szCs w:val="24"/>
              </w:rPr>
            </w:pPr>
            <w:r w:rsidRPr="00190FDE">
              <w:rPr>
                <w:rFonts w:ascii="Arial" w:hAnsi="Arial" w:cs="Arial"/>
                <w:sz w:val="24"/>
                <w:szCs w:val="24"/>
              </w:rPr>
              <w:t>Porter’s Five Forces</w:t>
            </w:r>
          </w:p>
        </w:tc>
        <w:tc>
          <w:tcPr>
            <w:tcW w:w="921" w:type="dxa"/>
          </w:tcPr>
          <w:p w14:paraId="60178E06" w14:textId="57CC0599" w:rsidR="002E3D20" w:rsidRPr="00F3717C" w:rsidRDefault="00F0702B" w:rsidP="00157571">
            <w:pPr>
              <w:tabs>
                <w:tab w:val="left" w:pos="0"/>
              </w:tabs>
              <w:spacing w:line="360" w:lineRule="auto"/>
              <w:rPr>
                <w:rFonts w:ascii="Arial" w:hAnsi="Arial" w:cs="Arial"/>
                <w:sz w:val="24"/>
                <w:szCs w:val="24"/>
              </w:rPr>
            </w:pPr>
            <w:r>
              <w:rPr>
                <w:rFonts w:ascii="Arial" w:hAnsi="Arial" w:cs="Arial"/>
                <w:sz w:val="24"/>
                <w:szCs w:val="24"/>
              </w:rPr>
              <w:t>5</w:t>
            </w:r>
          </w:p>
        </w:tc>
      </w:tr>
      <w:tr w:rsidR="002E3D20" w:rsidRPr="00F3717C" w14:paraId="4A071FDA" w14:textId="77777777" w:rsidTr="002E3D20">
        <w:tc>
          <w:tcPr>
            <w:tcW w:w="7555" w:type="dxa"/>
          </w:tcPr>
          <w:p w14:paraId="44EEAC50" w14:textId="28373922" w:rsidR="002E3D20" w:rsidRPr="00F3717C" w:rsidRDefault="00190FDE" w:rsidP="00157571">
            <w:pPr>
              <w:tabs>
                <w:tab w:val="left" w:pos="0"/>
              </w:tabs>
              <w:spacing w:line="360" w:lineRule="auto"/>
              <w:rPr>
                <w:rFonts w:ascii="Arial" w:hAnsi="Arial" w:cs="Arial"/>
                <w:sz w:val="24"/>
                <w:szCs w:val="24"/>
              </w:rPr>
            </w:pPr>
            <w:r w:rsidRPr="00190FDE">
              <w:rPr>
                <w:rFonts w:ascii="Arial" w:hAnsi="Arial" w:cs="Arial"/>
                <w:sz w:val="24"/>
                <w:szCs w:val="24"/>
              </w:rPr>
              <w:t>Internal Analysis: Value Chain, RBV &amp; VRIO</w:t>
            </w:r>
          </w:p>
        </w:tc>
        <w:tc>
          <w:tcPr>
            <w:tcW w:w="921" w:type="dxa"/>
          </w:tcPr>
          <w:p w14:paraId="13554A11" w14:textId="14418DF9" w:rsidR="002E3D20" w:rsidRPr="00F3717C" w:rsidRDefault="00F0702B" w:rsidP="00157571">
            <w:pPr>
              <w:tabs>
                <w:tab w:val="left" w:pos="0"/>
              </w:tabs>
              <w:spacing w:line="360" w:lineRule="auto"/>
              <w:rPr>
                <w:rFonts w:ascii="Arial" w:hAnsi="Arial" w:cs="Arial"/>
                <w:sz w:val="24"/>
                <w:szCs w:val="24"/>
              </w:rPr>
            </w:pPr>
            <w:r>
              <w:rPr>
                <w:rFonts w:ascii="Arial" w:hAnsi="Arial" w:cs="Arial"/>
                <w:sz w:val="24"/>
                <w:szCs w:val="24"/>
              </w:rPr>
              <w:t>6</w:t>
            </w:r>
          </w:p>
        </w:tc>
      </w:tr>
      <w:tr w:rsidR="002E3D20" w:rsidRPr="00F3717C" w14:paraId="1C18D6FF" w14:textId="77777777" w:rsidTr="002E3D20">
        <w:tc>
          <w:tcPr>
            <w:tcW w:w="7555" w:type="dxa"/>
          </w:tcPr>
          <w:p w14:paraId="0E5DD872" w14:textId="02005CA2" w:rsidR="002E3D20" w:rsidRPr="00F3717C" w:rsidRDefault="00190FDE" w:rsidP="00157571">
            <w:pPr>
              <w:tabs>
                <w:tab w:val="left" w:pos="0"/>
              </w:tabs>
              <w:spacing w:line="360" w:lineRule="auto"/>
              <w:rPr>
                <w:rFonts w:ascii="Arial" w:hAnsi="Arial" w:cs="Arial"/>
                <w:sz w:val="24"/>
                <w:szCs w:val="24"/>
              </w:rPr>
            </w:pPr>
            <w:r w:rsidRPr="00190FDE">
              <w:rPr>
                <w:rFonts w:ascii="Arial" w:hAnsi="Arial" w:cs="Arial"/>
                <w:sz w:val="24"/>
                <w:szCs w:val="24"/>
              </w:rPr>
              <w:t>SWOT Analysis</w:t>
            </w:r>
          </w:p>
        </w:tc>
        <w:tc>
          <w:tcPr>
            <w:tcW w:w="921" w:type="dxa"/>
          </w:tcPr>
          <w:p w14:paraId="4145569F" w14:textId="6A3B9907" w:rsidR="002E3D20" w:rsidRPr="00F3717C" w:rsidRDefault="00F0702B" w:rsidP="00157571">
            <w:pPr>
              <w:tabs>
                <w:tab w:val="left" w:pos="0"/>
              </w:tabs>
              <w:spacing w:line="360" w:lineRule="auto"/>
              <w:rPr>
                <w:rFonts w:ascii="Arial" w:hAnsi="Arial" w:cs="Arial"/>
                <w:sz w:val="24"/>
                <w:szCs w:val="24"/>
              </w:rPr>
            </w:pPr>
            <w:r>
              <w:rPr>
                <w:rFonts w:ascii="Arial" w:hAnsi="Arial" w:cs="Arial"/>
                <w:sz w:val="24"/>
                <w:szCs w:val="24"/>
              </w:rPr>
              <w:t>7</w:t>
            </w:r>
          </w:p>
        </w:tc>
      </w:tr>
      <w:tr w:rsidR="00190FDE" w:rsidRPr="00F3717C" w14:paraId="5985EF4A" w14:textId="77777777" w:rsidTr="002E3D20">
        <w:tc>
          <w:tcPr>
            <w:tcW w:w="7555" w:type="dxa"/>
          </w:tcPr>
          <w:p w14:paraId="4A46768B" w14:textId="4007313D" w:rsidR="00190FDE" w:rsidRPr="00190FDE" w:rsidRDefault="00190FDE" w:rsidP="00157571">
            <w:pPr>
              <w:tabs>
                <w:tab w:val="left" w:pos="0"/>
              </w:tabs>
              <w:spacing w:line="360" w:lineRule="auto"/>
              <w:rPr>
                <w:rFonts w:ascii="Arial" w:hAnsi="Arial" w:cs="Arial"/>
                <w:sz w:val="24"/>
                <w:szCs w:val="24"/>
              </w:rPr>
            </w:pPr>
            <w:r w:rsidRPr="00190FDE">
              <w:rPr>
                <w:rFonts w:ascii="Arial" w:hAnsi="Arial" w:cs="Arial"/>
                <w:sz w:val="24"/>
                <w:szCs w:val="24"/>
              </w:rPr>
              <w:t>Strategy Formulation</w:t>
            </w:r>
          </w:p>
        </w:tc>
        <w:tc>
          <w:tcPr>
            <w:tcW w:w="921" w:type="dxa"/>
          </w:tcPr>
          <w:p w14:paraId="0C3E9FD2" w14:textId="0B6A8161" w:rsidR="00190FDE" w:rsidRDefault="00F0702B" w:rsidP="00157571">
            <w:pPr>
              <w:tabs>
                <w:tab w:val="left" w:pos="0"/>
              </w:tabs>
              <w:spacing w:line="360" w:lineRule="auto"/>
              <w:rPr>
                <w:rFonts w:ascii="Arial" w:hAnsi="Arial" w:cs="Arial"/>
                <w:sz w:val="24"/>
                <w:szCs w:val="24"/>
              </w:rPr>
            </w:pPr>
            <w:r>
              <w:rPr>
                <w:rFonts w:ascii="Arial" w:hAnsi="Arial" w:cs="Arial"/>
                <w:sz w:val="24"/>
                <w:szCs w:val="24"/>
              </w:rPr>
              <w:t>8</w:t>
            </w:r>
          </w:p>
        </w:tc>
      </w:tr>
      <w:tr w:rsidR="002E3D20" w:rsidRPr="00F3717C" w14:paraId="2322C802" w14:textId="77777777" w:rsidTr="002E3D20">
        <w:tc>
          <w:tcPr>
            <w:tcW w:w="7555" w:type="dxa"/>
          </w:tcPr>
          <w:p w14:paraId="37381AB8" w14:textId="44565AF5" w:rsidR="002E3D20" w:rsidRPr="002E3D20" w:rsidRDefault="002E3D20" w:rsidP="00157571">
            <w:pPr>
              <w:tabs>
                <w:tab w:val="left" w:pos="0"/>
              </w:tabs>
              <w:spacing w:line="360" w:lineRule="auto"/>
              <w:rPr>
                <w:rFonts w:ascii="Arial" w:hAnsi="Arial" w:cs="Arial"/>
                <w:sz w:val="24"/>
                <w:szCs w:val="24"/>
              </w:rPr>
            </w:pPr>
            <w:r>
              <w:rPr>
                <w:rFonts w:ascii="Arial" w:hAnsi="Arial" w:cs="Arial"/>
                <w:sz w:val="24"/>
                <w:szCs w:val="24"/>
              </w:rPr>
              <w:t>Conclusion</w:t>
            </w:r>
            <w:r w:rsidR="00190FDE">
              <w:rPr>
                <w:rFonts w:ascii="Arial" w:hAnsi="Arial" w:cs="Arial"/>
                <w:sz w:val="24"/>
                <w:szCs w:val="24"/>
              </w:rPr>
              <w:t xml:space="preserve"> and recommendations</w:t>
            </w:r>
          </w:p>
        </w:tc>
        <w:tc>
          <w:tcPr>
            <w:tcW w:w="921" w:type="dxa"/>
          </w:tcPr>
          <w:p w14:paraId="7E65D17E" w14:textId="5C0F9178" w:rsidR="002E3D20" w:rsidRDefault="00043749" w:rsidP="00157571">
            <w:pPr>
              <w:tabs>
                <w:tab w:val="left" w:pos="0"/>
              </w:tabs>
              <w:spacing w:line="360" w:lineRule="auto"/>
              <w:rPr>
                <w:rFonts w:ascii="Arial" w:hAnsi="Arial" w:cs="Arial"/>
                <w:sz w:val="24"/>
                <w:szCs w:val="24"/>
              </w:rPr>
            </w:pPr>
            <w:r>
              <w:rPr>
                <w:rFonts w:ascii="Arial" w:hAnsi="Arial" w:cs="Arial"/>
                <w:sz w:val="24"/>
                <w:szCs w:val="24"/>
              </w:rPr>
              <w:t>9</w:t>
            </w:r>
          </w:p>
        </w:tc>
      </w:tr>
      <w:tr w:rsidR="002E3D20" w:rsidRPr="00F3717C" w14:paraId="29FF832F" w14:textId="77777777" w:rsidTr="002E3D20">
        <w:tc>
          <w:tcPr>
            <w:tcW w:w="7555" w:type="dxa"/>
          </w:tcPr>
          <w:p w14:paraId="31490A64" w14:textId="76AF1236" w:rsidR="002E3D20" w:rsidRDefault="002E3D20" w:rsidP="00157571">
            <w:pPr>
              <w:tabs>
                <w:tab w:val="left" w:pos="0"/>
              </w:tabs>
              <w:spacing w:line="360" w:lineRule="auto"/>
              <w:rPr>
                <w:rFonts w:ascii="Arial" w:hAnsi="Arial" w:cs="Arial"/>
                <w:sz w:val="24"/>
                <w:szCs w:val="24"/>
              </w:rPr>
            </w:pPr>
            <w:r>
              <w:rPr>
                <w:rFonts w:ascii="Arial" w:hAnsi="Arial" w:cs="Arial"/>
                <w:sz w:val="24"/>
                <w:szCs w:val="24"/>
              </w:rPr>
              <w:t>References</w:t>
            </w:r>
          </w:p>
        </w:tc>
        <w:tc>
          <w:tcPr>
            <w:tcW w:w="921" w:type="dxa"/>
          </w:tcPr>
          <w:p w14:paraId="5A207398" w14:textId="3C801FD9" w:rsidR="002E3D20" w:rsidRDefault="00043749" w:rsidP="00157571">
            <w:pPr>
              <w:tabs>
                <w:tab w:val="left" w:pos="0"/>
              </w:tabs>
              <w:spacing w:line="360" w:lineRule="auto"/>
              <w:rPr>
                <w:rFonts w:ascii="Arial" w:hAnsi="Arial" w:cs="Arial"/>
                <w:sz w:val="24"/>
                <w:szCs w:val="24"/>
              </w:rPr>
            </w:pPr>
            <w:r>
              <w:rPr>
                <w:rFonts w:ascii="Arial" w:hAnsi="Arial" w:cs="Arial"/>
                <w:sz w:val="24"/>
                <w:szCs w:val="24"/>
              </w:rPr>
              <w:t>1</w:t>
            </w:r>
            <w:r w:rsidR="00F0702B">
              <w:rPr>
                <w:rFonts w:ascii="Arial" w:hAnsi="Arial" w:cs="Arial"/>
                <w:sz w:val="24"/>
                <w:szCs w:val="24"/>
              </w:rPr>
              <w:t>2</w:t>
            </w:r>
          </w:p>
        </w:tc>
      </w:tr>
    </w:tbl>
    <w:p w14:paraId="6F7E1B87" w14:textId="77777777" w:rsidR="00640ECD" w:rsidRPr="00F3717C" w:rsidRDefault="00640ECD" w:rsidP="00157571">
      <w:pPr>
        <w:tabs>
          <w:tab w:val="left" w:pos="0"/>
        </w:tabs>
        <w:spacing w:line="360" w:lineRule="auto"/>
        <w:rPr>
          <w:rFonts w:ascii="Arial" w:hAnsi="Arial" w:cs="Arial"/>
          <w:sz w:val="32"/>
          <w:szCs w:val="32"/>
        </w:rPr>
      </w:pPr>
    </w:p>
    <w:p w14:paraId="2E9241A9" w14:textId="2B70B492" w:rsidR="00472F4F" w:rsidRPr="00F3717C" w:rsidRDefault="00472F4F" w:rsidP="00157571">
      <w:pPr>
        <w:tabs>
          <w:tab w:val="left" w:pos="0"/>
        </w:tabs>
        <w:spacing w:line="360" w:lineRule="auto"/>
        <w:rPr>
          <w:rFonts w:ascii="Arial" w:hAnsi="Arial" w:cs="Arial"/>
        </w:rPr>
      </w:pPr>
    </w:p>
    <w:p w14:paraId="48F1B187" w14:textId="77777777" w:rsidR="003946FC" w:rsidRPr="00F3717C" w:rsidRDefault="003946FC" w:rsidP="00157571">
      <w:pPr>
        <w:tabs>
          <w:tab w:val="left" w:pos="0"/>
        </w:tabs>
        <w:spacing w:line="360" w:lineRule="auto"/>
        <w:rPr>
          <w:rFonts w:ascii="Arial" w:hAnsi="Arial" w:cs="Arial"/>
        </w:rPr>
      </w:pPr>
    </w:p>
    <w:p w14:paraId="250EBC18" w14:textId="77777777" w:rsidR="003946FC" w:rsidRPr="00F3717C" w:rsidRDefault="003946FC" w:rsidP="00157571">
      <w:pPr>
        <w:tabs>
          <w:tab w:val="left" w:pos="0"/>
        </w:tabs>
        <w:spacing w:line="360" w:lineRule="auto"/>
        <w:rPr>
          <w:rFonts w:ascii="Arial" w:hAnsi="Arial" w:cs="Arial"/>
        </w:rPr>
      </w:pPr>
    </w:p>
    <w:p w14:paraId="1968FF0B" w14:textId="77777777" w:rsidR="003946FC" w:rsidRPr="00F3717C" w:rsidRDefault="003946FC" w:rsidP="00157571">
      <w:pPr>
        <w:tabs>
          <w:tab w:val="left" w:pos="0"/>
        </w:tabs>
        <w:spacing w:line="360" w:lineRule="auto"/>
        <w:rPr>
          <w:rFonts w:ascii="Arial" w:hAnsi="Arial" w:cs="Arial"/>
        </w:rPr>
      </w:pPr>
    </w:p>
    <w:p w14:paraId="4D2C925D" w14:textId="77777777" w:rsidR="003946FC" w:rsidRPr="00F3717C" w:rsidRDefault="003946FC" w:rsidP="00157571">
      <w:pPr>
        <w:tabs>
          <w:tab w:val="left" w:pos="0"/>
        </w:tabs>
        <w:spacing w:line="360" w:lineRule="auto"/>
        <w:rPr>
          <w:rFonts w:ascii="Arial" w:hAnsi="Arial" w:cs="Arial"/>
        </w:rPr>
      </w:pPr>
    </w:p>
    <w:p w14:paraId="0F3ECED6" w14:textId="77777777" w:rsidR="00E96B9E" w:rsidRDefault="00E96B9E" w:rsidP="00157571">
      <w:pPr>
        <w:tabs>
          <w:tab w:val="left" w:pos="0"/>
        </w:tabs>
        <w:spacing w:line="360" w:lineRule="auto"/>
        <w:jc w:val="both"/>
        <w:rPr>
          <w:rFonts w:ascii="Arial" w:hAnsi="Arial" w:cs="Arial"/>
          <w:b/>
          <w:bCs/>
          <w:sz w:val="40"/>
          <w:szCs w:val="40"/>
        </w:rPr>
      </w:pPr>
    </w:p>
    <w:p w14:paraId="4123FCA0" w14:textId="77777777" w:rsidR="00B569BA" w:rsidRDefault="00B569BA" w:rsidP="00157571">
      <w:pPr>
        <w:tabs>
          <w:tab w:val="left" w:pos="0"/>
        </w:tabs>
        <w:spacing w:line="360" w:lineRule="auto"/>
        <w:jc w:val="both"/>
        <w:rPr>
          <w:rFonts w:ascii="Arial" w:hAnsi="Arial" w:cs="Arial"/>
          <w:b/>
          <w:bCs/>
          <w:sz w:val="40"/>
          <w:szCs w:val="40"/>
        </w:rPr>
      </w:pPr>
    </w:p>
    <w:p w14:paraId="29343846" w14:textId="77777777" w:rsidR="00B569BA" w:rsidRPr="00F3717C" w:rsidRDefault="00B569BA" w:rsidP="00157571">
      <w:pPr>
        <w:tabs>
          <w:tab w:val="left" w:pos="0"/>
        </w:tabs>
        <w:spacing w:line="360" w:lineRule="auto"/>
        <w:jc w:val="both"/>
        <w:rPr>
          <w:rFonts w:ascii="Arial" w:hAnsi="Arial" w:cs="Arial"/>
          <w:b/>
          <w:bCs/>
          <w:sz w:val="40"/>
          <w:szCs w:val="40"/>
        </w:rPr>
      </w:pPr>
    </w:p>
    <w:p w14:paraId="58E4ED19" w14:textId="487D455B" w:rsidR="00D07B07" w:rsidRDefault="006C5EB0" w:rsidP="00157571">
      <w:pPr>
        <w:tabs>
          <w:tab w:val="left" w:pos="0"/>
        </w:tabs>
        <w:spacing w:after="0" w:line="360" w:lineRule="auto"/>
        <w:ind w:left="360"/>
        <w:jc w:val="center"/>
        <w:rPr>
          <w:rFonts w:ascii="Arial" w:hAnsi="Arial" w:cs="Arial"/>
          <w:b/>
          <w:bCs/>
          <w:sz w:val="40"/>
          <w:szCs w:val="40"/>
        </w:rPr>
      </w:pPr>
      <w:bookmarkStart w:id="0" w:name="_Hlk204378307"/>
      <w:r>
        <w:rPr>
          <w:rFonts w:ascii="Arial" w:hAnsi="Arial" w:cs="Arial"/>
          <w:b/>
          <w:bCs/>
          <w:sz w:val="40"/>
          <w:szCs w:val="40"/>
        </w:rPr>
        <w:lastRenderedPageBreak/>
        <w:t>Introduction</w:t>
      </w:r>
    </w:p>
    <w:bookmarkEnd w:id="0"/>
    <w:p w14:paraId="3C12D8EF" w14:textId="77777777" w:rsidR="00F411D0" w:rsidRDefault="00F411D0" w:rsidP="00157571">
      <w:pPr>
        <w:tabs>
          <w:tab w:val="left" w:pos="0"/>
        </w:tabs>
        <w:spacing w:after="0" w:line="360" w:lineRule="auto"/>
        <w:ind w:firstLine="1134"/>
        <w:jc w:val="both"/>
        <w:rPr>
          <w:rFonts w:ascii="Arial" w:hAnsi="Arial" w:cs="Arial"/>
          <w:sz w:val="24"/>
          <w:szCs w:val="24"/>
        </w:rPr>
      </w:pPr>
    </w:p>
    <w:p w14:paraId="6B715360" w14:textId="3863E195"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Strategic management provides organisations with the frameworks needed to navigate rapidly changing and unpredictable environments. It enables firms to clarify long-term objectives, assess their competitive position, and allocate resources in ways that create sustainable advantage (Johnson</w:t>
      </w:r>
      <w:r w:rsidR="00CC0652">
        <w:rPr>
          <w:rFonts w:ascii="Arial" w:hAnsi="Arial" w:cs="Arial"/>
          <w:sz w:val="24"/>
          <w:szCs w:val="24"/>
        </w:rPr>
        <w:t xml:space="preserve"> et al.</w:t>
      </w:r>
      <w:r w:rsidRPr="00E026AF">
        <w:rPr>
          <w:rFonts w:ascii="Arial" w:hAnsi="Arial" w:cs="Arial"/>
          <w:sz w:val="24"/>
          <w:szCs w:val="24"/>
        </w:rPr>
        <w:t>, 2020). These capabilities are essential in sectors undergoing significant technological and regulatory transformation. The UK automotive industry is experiencing accelerated electrification, tightening emissions legislation, supply chain disruptions, and evolving mobility behaviours (SMMT, 2023). In this context, strategic analysis is critical for manufacturers seeking to remain competitive.</w:t>
      </w:r>
    </w:p>
    <w:p w14:paraId="75988A00"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The London Electric Vehicle Company (LEVC), owned by Zhejiang Geely Holding Group, is a specialist electric vehicle manufacturer known for producing the TX electric taxi and the VN5 electric van. LEVC’s mission focuses on delivering sustainable, zero-emission-capable mobility solutions for urban transport (Geely, 2023). Its strategic priorities include strengthening electric platforms, expanding into Europe, and diversifying its product offering (LEVC Annual Report, 2022). However, the company faces structural challenges, including limited production scale, a narrow product portfolio, and strong competitive pressure within the commercial EV sector. This report evaluates LEVC’s strategic position through PESTLE, Porter’s Five Forces, Value Chain analysis, the Resource-Based View (RBV), VRIO, and SWOT. The analysis supports the development of strategic alternatives to enhance LEVC’s competitiveness and long-term sustainability.</w:t>
      </w:r>
    </w:p>
    <w:p w14:paraId="50FA182F" w14:textId="131017E4" w:rsidR="00F411D0" w:rsidRDefault="00F411D0" w:rsidP="00F105EE">
      <w:pPr>
        <w:tabs>
          <w:tab w:val="left" w:pos="0"/>
        </w:tabs>
        <w:spacing w:after="0" w:line="360" w:lineRule="auto"/>
        <w:ind w:firstLine="1134"/>
        <w:jc w:val="both"/>
        <w:rPr>
          <w:rFonts w:ascii="Arial" w:hAnsi="Arial" w:cs="Arial"/>
          <w:sz w:val="24"/>
          <w:szCs w:val="24"/>
        </w:rPr>
      </w:pPr>
    </w:p>
    <w:p w14:paraId="7C914858" w14:textId="07E06435" w:rsidR="00157571" w:rsidRDefault="00C87361" w:rsidP="00157571">
      <w:pPr>
        <w:tabs>
          <w:tab w:val="left" w:pos="0"/>
        </w:tabs>
        <w:spacing w:after="0" w:line="360" w:lineRule="auto"/>
        <w:ind w:left="360"/>
        <w:jc w:val="center"/>
        <w:rPr>
          <w:rFonts w:ascii="Arial" w:hAnsi="Arial" w:cs="Arial"/>
          <w:b/>
          <w:bCs/>
          <w:sz w:val="40"/>
          <w:szCs w:val="40"/>
        </w:rPr>
      </w:pPr>
      <w:r>
        <w:rPr>
          <w:rFonts w:ascii="Arial" w:hAnsi="Arial" w:cs="Arial"/>
          <w:b/>
          <w:bCs/>
          <w:sz w:val="40"/>
          <w:szCs w:val="40"/>
        </w:rPr>
        <w:t>PESTLE Analysis</w:t>
      </w:r>
    </w:p>
    <w:p w14:paraId="0858EC06" w14:textId="77777777" w:rsidR="00F411D0" w:rsidRDefault="00F411D0" w:rsidP="00157571">
      <w:pPr>
        <w:tabs>
          <w:tab w:val="left" w:pos="0"/>
        </w:tabs>
        <w:spacing w:after="0" w:line="360" w:lineRule="auto"/>
        <w:jc w:val="center"/>
        <w:rPr>
          <w:rFonts w:ascii="Arial" w:hAnsi="Arial" w:cs="Arial"/>
          <w:sz w:val="24"/>
          <w:szCs w:val="24"/>
        </w:rPr>
      </w:pPr>
    </w:p>
    <w:p w14:paraId="2CA100C7" w14:textId="0FF055A8"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LEVC operates within a dynamic macro-environment shaped by regulatory pressures, technological change, and increasing competition. The PESTLE framework highlights the key external influences on its strategic direction.</w:t>
      </w:r>
    </w:p>
    <w:p w14:paraId="32C35138" w14:textId="6D55CEED"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 xml:space="preserve">Political factors play a substantial role in shaping demand for LEVC’s vehicles. UK policies such as the phased ban on internal combustion engines by 2035 and the expansion of London’s Ultra Low Emission Zone have stimulated adoption of </w:t>
      </w:r>
      <w:r w:rsidRPr="00E026AF">
        <w:rPr>
          <w:rFonts w:ascii="Arial" w:hAnsi="Arial" w:cs="Arial"/>
          <w:sz w:val="24"/>
          <w:szCs w:val="24"/>
        </w:rPr>
        <w:lastRenderedPageBreak/>
        <w:t>electric taxis (Department for Transport, 2022). However, reliance on government policy creates vulnerability. Policy reversals, such as delays to the ICE ban date, may reduce demand. LEVC’s Chinese ownership also positions the company within geopolitical tensions that could affect investment flows and battery supply relationships. Post-Brexit trade arrangements have increased administrative burdens and costs for imported components, impacting production efficiency.</w:t>
      </w:r>
    </w:p>
    <w:p w14:paraId="1563848B" w14:textId="0E51A5E4"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Economic factors also pose challenges. While EV demand is growing, the UK economy has experienced inflation, cost-of-living pressures, and supply chain disruptions (SMMT, 2023). High interest rates and weak business confidence limit investment in fleet upgrades. Larger competitors such as Ford and Stellantis can mitigate economic volatility through scale efficiencies, but LEVC’s low-volume production model results in high per-unit costs. Battery prices remain volatile due to fluctuations in global commodity markets. Sustainability-driven fleet electrification presents opportunities, but LEVC's higher prices may deter cost-sensitive customers.</w:t>
      </w:r>
    </w:p>
    <w:p w14:paraId="31AFFDBB" w14:textId="3F22182D"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Social factors generally support the transition to electric mobility. Public concern over air quality and climate change has strengthened acceptance of EVs, particularly within cities. Taxi drivers and fleet operators face social and reputational pressure to switch to low-emission vehicles. However, post-pandemic mobility trends</w:t>
      </w:r>
      <w:r w:rsidR="00CC4FB5">
        <w:rPr>
          <w:rFonts w:ascii="Arial" w:hAnsi="Arial" w:cs="Arial"/>
          <w:sz w:val="24"/>
          <w:szCs w:val="24"/>
        </w:rPr>
        <w:t xml:space="preserve"> </w:t>
      </w:r>
      <w:r w:rsidRPr="00E026AF">
        <w:rPr>
          <w:rFonts w:ascii="Arial" w:hAnsi="Arial" w:cs="Arial"/>
          <w:sz w:val="24"/>
          <w:szCs w:val="24"/>
        </w:rPr>
        <w:t>including increased remote working</w:t>
      </w:r>
      <w:r w:rsidR="00CC4FB5">
        <w:rPr>
          <w:rFonts w:ascii="Arial" w:hAnsi="Arial" w:cs="Arial"/>
          <w:sz w:val="24"/>
          <w:szCs w:val="24"/>
        </w:rPr>
        <w:t xml:space="preserve"> </w:t>
      </w:r>
      <w:r w:rsidRPr="00E026AF">
        <w:rPr>
          <w:rFonts w:ascii="Arial" w:hAnsi="Arial" w:cs="Arial"/>
          <w:sz w:val="24"/>
          <w:szCs w:val="24"/>
        </w:rPr>
        <w:t>have reduced urban taxi usage (Transport for London, 2022). Younger consumers increasingly use ride-hailing, car-sharing, and micro-mobility services, reducing reliance on traditional taxis. LEVC’s London taxi identity remains culturally strong, but the company must adapt this heritage to changing mobility preferences.</w:t>
      </w:r>
    </w:p>
    <w:p w14:paraId="3D5C2DE1" w14:textId="2FD279B3"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Technological factors represent both opportunity and risk. Rapid advances in battery chemistry, charging infrastructure, and digital connectivity enable LEVC to improve performance through Geely’s technology ecosystem (MarketLine, 2021). However, competition is intensifying as manufacturers scale production and deliver superior ranges and charging speeds. Chinese competitors such as BYD and SAIC increasingly offer affordable, technologically advanced EVs in Europe. LEVC risks losing technological relevance unless it accelerates platform sharing and invests in next-generation battery technology. Fast technological cycles also increase the risk of product obsolescence.</w:t>
      </w:r>
    </w:p>
    <w:p w14:paraId="3162CA7E" w14:textId="144B824D"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 xml:space="preserve">Legal factors strongly influence LEVC’s operations. London’s taxi licensing rules require zero-emission-capable vehicles, supporting TX sales. However, </w:t>
      </w:r>
      <w:r w:rsidRPr="00E026AF">
        <w:rPr>
          <w:rFonts w:ascii="Arial" w:hAnsi="Arial" w:cs="Arial"/>
          <w:sz w:val="24"/>
          <w:szCs w:val="24"/>
        </w:rPr>
        <w:lastRenderedPageBreak/>
        <w:t>increasingly stringent safety, cyber-security, and battery recycling regulations raise compliance costs (European Commission, 2023). Post-Brexit regulatory divergence complicates exports to Europe, affecting LEVC’s expansion plans.</w:t>
      </w:r>
    </w:p>
    <w:p w14:paraId="702354A8" w14:textId="35FF0ABB" w:rsidR="00F062D1"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Environmental factors underpin LEVC’s strategy but also impose new expectations. The UK’s net-zero emissions target and carbon budgets promote long-term demand for zero-emission vehicles. Nevertheless, environmental scrutiny has expanded beyond tailpipe emissions to include battery sourcing, production emissions, and end-of-life recycling (</w:t>
      </w:r>
      <w:proofErr w:type="spellStart"/>
      <w:r w:rsidRPr="00E026AF">
        <w:rPr>
          <w:rFonts w:ascii="Arial" w:hAnsi="Arial" w:cs="Arial"/>
          <w:sz w:val="24"/>
          <w:szCs w:val="24"/>
        </w:rPr>
        <w:t>GlobalData</w:t>
      </w:r>
      <w:proofErr w:type="spellEnd"/>
      <w:r w:rsidRPr="00E026AF">
        <w:rPr>
          <w:rFonts w:ascii="Arial" w:hAnsi="Arial" w:cs="Arial"/>
          <w:sz w:val="24"/>
          <w:szCs w:val="24"/>
        </w:rPr>
        <w:t>, 2022). LEVC relies heavily on imported battery cells, limiting control over the environmental footprint of its supply chain. Competitors with integrated battery production have stronger sustainability credentials. LEVC must therefore strengthen lifecycle sustainability reporting and supply chain transparency to remain competitive.</w:t>
      </w:r>
    </w:p>
    <w:p w14:paraId="239A3E97" w14:textId="477F9282" w:rsidR="00157571" w:rsidRDefault="001A49B7" w:rsidP="001A49B7">
      <w:pPr>
        <w:tabs>
          <w:tab w:val="left" w:pos="0"/>
        </w:tabs>
        <w:spacing w:after="0" w:line="360" w:lineRule="auto"/>
        <w:jc w:val="center"/>
        <w:rPr>
          <w:rFonts w:ascii="Arial" w:hAnsi="Arial" w:cs="Arial"/>
          <w:sz w:val="24"/>
          <w:szCs w:val="24"/>
        </w:rPr>
      </w:pPr>
      <w:r w:rsidRPr="001A49B7">
        <w:rPr>
          <w:rFonts w:ascii="Arial" w:hAnsi="Arial" w:cs="Arial"/>
          <w:b/>
          <w:bCs/>
          <w:sz w:val="40"/>
          <w:szCs w:val="40"/>
        </w:rPr>
        <w:t>Porter’s Five Forces</w:t>
      </w:r>
    </w:p>
    <w:p w14:paraId="77D79DAD" w14:textId="77777777" w:rsidR="008F0607" w:rsidRDefault="008F0607" w:rsidP="001A49B7">
      <w:pPr>
        <w:tabs>
          <w:tab w:val="left" w:pos="0"/>
        </w:tabs>
        <w:spacing w:after="0" w:line="360" w:lineRule="auto"/>
        <w:ind w:firstLine="1134"/>
        <w:jc w:val="both"/>
        <w:rPr>
          <w:rFonts w:ascii="Arial" w:hAnsi="Arial" w:cs="Arial"/>
          <w:sz w:val="24"/>
          <w:szCs w:val="24"/>
        </w:rPr>
      </w:pPr>
    </w:p>
    <w:p w14:paraId="0AAFFD31"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Porter’s Five Forces framework highlights the competitive pressures affecting LEVC within the UK electric taxi and commercial EV markets.</w:t>
      </w:r>
    </w:p>
    <w:p w14:paraId="1C90ECA3"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Competitive rivalry is extremely strong. LEVC competes with large automotive manufacturers such as Ford, Mercedes, Nissan and Stellantis, which produce electric vans at far higher volumes and lower costs. These firms also benefit from wide distribution networks and large marketing budgets. Although LEVC holds a strong position in the London taxi segment, ride-hailing platforms and declining taxi demand are eroding its traditional advantages. International competitors, particularly Chinese brands such as BYD, are rapidly expanding into Europe with advanced and competitively priced EVs, intensifying rivalry.</w:t>
      </w:r>
    </w:p>
    <w:p w14:paraId="7ED2E6A7"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The threat of new entrants is significant despite capital and regulatory requirements. Electrification has lowered barriers that once protected automotive incumbents. New firms can enter the EV sector by using contract manufacturing or shared platforms. Companies such as Arrival demonstrate how software-driven disruptors can enter urban mobility spaces with innovative business models. Chinese manufacturers scale quickly due to extensive state support (MarketLine, 2021). LEVC’s regulatory protection in the London taxi market does not extend to the commercial EV segment.</w:t>
      </w:r>
    </w:p>
    <w:p w14:paraId="7BE792C5"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lastRenderedPageBreak/>
        <w:t>Supplier power is high. LEVC depends heavily on imported batteries, electronic components and semiconductors. These inputs are produced by a small number of global suppliers, giving them considerable influence over pricing and availability. Battery and semiconductor shortages have repeatedly affected LEVC’s production capabilities. Although Geely membership provides some procurement advantages, LEVC’s small scale limits its bargaining power (</w:t>
      </w:r>
      <w:proofErr w:type="spellStart"/>
      <w:r w:rsidRPr="00E026AF">
        <w:rPr>
          <w:rFonts w:ascii="Arial" w:hAnsi="Arial" w:cs="Arial"/>
          <w:sz w:val="24"/>
          <w:szCs w:val="24"/>
        </w:rPr>
        <w:t>GlobalData</w:t>
      </w:r>
      <w:proofErr w:type="spellEnd"/>
      <w:r w:rsidRPr="00E026AF">
        <w:rPr>
          <w:rFonts w:ascii="Arial" w:hAnsi="Arial" w:cs="Arial"/>
          <w:sz w:val="24"/>
          <w:szCs w:val="24"/>
        </w:rPr>
        <w:t>, 2022).</w:t>
      </w:r>
    </w:p>
    <w:p w14:paraId="7DF68460"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Buyer power is also strong. Fleet operators, taxi drivers and commercial buyers are highly sensitive to total cost of ownership, including charging time, vehicle range, price and after-sales support. With many alternatives available from established brands, buyers can easily switch. LEVC’s higher prices, resulting from low-volume production, weaken its competitive position.</w:t>
      </w:r>
    </w:p>
    <w:p w14:paraId="75415DF8"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The threat of substitutes is moderate but increasingly relevant. Changes in urban mobility, including the growth of ride-hailing, micro-mobility, and shared transport, reduce reliance on taxis. In commercial transport, hybrid vans and renewable-fuel technologies provide alternative solutions. Autonomous vehicles present a long-term disruptive risk but remain years away from mass adoption.</w:t>
      </w:r>
    </w:p>
    <w:p w14:paraId="67BEE01D" w14:textId="77777777" w:rsidR="00E026AF" w:rsidRPr="00E026AF" w:rsidRDefault="00E026AF" w:rsidP="00E026AF">
      <w:pPr>
        <w:tabs>
          <w:tab w:val="left" w:pos="0"/>
        </w:tabs>
        <w:spacing w:after="0" w:line="360" w:lineRule="auto"/>
        <w:ind w:firstLine="1134"/>
        <w:jc w:val="both"/>
        <w:rPr>
          <w:rFonts w:ascii="Arial" w:hAnsi="Arial" w:cs="Arial"/>
          <w:sz w:val="24"/>
          <w:szCs w:val="24"/>
        </w:rPr>
      </w:pPr>
      <w:r w:rsidRPr="00E026AF">
        <w:rPr>
          <w:rFonts w:ascii="Arial" w:hAnsi="Arial" w:cs="Arial"/>
          <w:sz w:val="24"/>
          <w:szCs w:val="24"/>
        </w:rPr>
        <w:t>Overall, the five forces indicate an unfavourable industry structure. LEVC faces significant cost pressures, strong buyer and supplier power, and intense competition. Sustained competitiveness will require improved cost structures, rapid technological upgrading and strategic use of Geely’s capabilities.</w:t>
      </w:r>
    </w:p>
    <w:p w14:paraId="29B13156" w14:textId="6BD94EC6" w:rsidR="00095D34" w:rsidRDefault="00095D34" w:rsidP="00095D34">
      <w:pPr>
        <w:tabs>
          <w:tab w:val="left" w:pos="0"/>
        </w:tabs>
        <w:spacing w:after="0" w:line="360" w:lineRule="auto"/>
        <w:ind w:firstLine="1134"/>
        <w:jc w:val="both"/>
        <w:rPr>
          <w:rFonts w:ascii="Arial" w:hAnsi="Arial" w:cs="Arial"/>
          <w:sz w:val="24"/>
          <w:szCs w:val="24"/>
        </w:rPr>
      </w:pPr>
    </w:p>
    <w:p w14:paraId="0B7ECDAA" w14:textId="77777777" w:rsidR="00215CC5" w:rsidRDefault="00215CC5" w:rsidP="00095D34">
      <w:pPr>
        <w:tabs>
          <w:tab w:val="left" w:pos="0"/>
        </w:tabs>
        <w:spacing w:after="0" w:line="360" w:lineRule="auto"/>
        <w:jc w:val="center"/>
        <w:rPr>
          <w:rFonts w:ascii="Arial" w:hAnsi="Arial" w:cs="Arial"/>
          <w:b/>
          <w:bCs/>
          <w:sz w:val="40"/>
          <w:szCs w:val="40"/>
        </w:rPr>
      </w:pPr>
    </w:p>
    <w:p w14:paraId="213463C3" w14:textId="369BA111" w:rsidR="003C7B9D" w:rsidRDefault="008F0607" w:rsidP="00095D34">
      <w:pPr>
        <w:tabs>
          <w:tab w:val="left" w:pos="0"/>
        </w:tabs>
        <w:spacing w:after="0" w:line="360" w:lineRule="auto"/>
        <w:jc w:val="center"/>
        <w:rPr>
          <w:rFonts w:ascii="Arial" w:hAnsi="Arial" w:cs="Arial"/>
          <w:sz w:val="24"/>
          <w:szCs w:val="24"/>
        </w:rPr>
      </w:pPr>
      <w:r w:rsidRPr="008F0607">
        <w:rPr>
          <w:rFonts w:ascii="Arial" w:hAnsi="Arial" w:cs="Arial"/>
          <w:b/>
          <w:bCs/>
          <w:sz w:val="40"/>
          <w:szCs w:val="40"/>
        </w:rPr>
        <w:t>Internal Analysis: Value Chain, RBV &amp; VRIO</w:t>
      </w:r>
    </w:p>
    <w:p w14:paraId="24839513" w14:textId="77777777" w:rsidR="00157571" w:rsidRDefault="00157571" w:rsidP="00157571">
      <w:pPr>
        <w:tabs>
          <w:tab w:val="left" w:pos="0"/>
        </w:tabs>
        <w:spacing w:after="0" w:line="360" w:lineRule="auto"/>
        <w:jc w:val="both"/>
        <w:rPr>
          <w:rFonts w:ascii="Arial" w:hAnsi="Arial" w:cs="Arial"/>
          <w:sz w:val="24"/>
          <w:szCs w:val="24"/>
        </w:rPr>
      </w:pPr>
    </w:p>
    <w:p w14:paraId="5C97B0A6" w14:textId="54EAE4C6" w:rsidR="00FE3BAC" w:rsidRPr="00FE3BAC" w:rsidRDefault="00FE3BAC" w:rsidP="00C336C9">
      <w:pPr>
        <w:spacing w:after="0" w:line="360" w:lineRule="auto"/>
        <w:ind w:firstLine="1134"/>
        <w:jc w:val="both"/>
        <w:rPr>
          <w:rFonts w:ascii="Arial" w:hAnsi="Arial" w:cs="Arial"/>
          <w:sz w:val="24"/>
          <w:szCs w:val="24"/>
        </w:rPr>
      </w:pPr>
      <w:r w:rsidRPr="00FE3BAC">
        <w:rPr>
          <w:rFonts w:ascii="Arial" w:hAnsi="Arial" w:cs="Arial"/>
          <w:sz w:val="24"/>
          <w:szCs w:val="24"/>
        </w:rPr>
        <w:t>Internal analysis allows deeper insight into LEVC’s resources, capabilities and operational limitations.</w:t>
      </w:r>
    </w:p>
    <w:p w14:paraId="141B2035" w14:textId="7A1D78AF" w:rsidR="00FE3BAC" w:rsidRPr="00FE3BAC" w:rsidRDefault="00FE3BAC" w:rsidP="00C336C9">
      <w:pPr>
        <w:spacing w:after="0" w:line="360" w:lineRule="auto"/>
        <w:ind w:firstLine="1134"/>
        <w:jc w:val="both"/>
        <w:rPr>
          <w:rFonts w:ascii="Arial" w:hAnsi="Arial" w:cs="Arial"/>
          <w:sz w:val="24"/>
          <w:szCs w:val="24"/>
        </w:rPr>
      </w:pPr>
      <w:r w:rsidRPr="00FE3BAC">
        <w:rPr>
          <w:rFonts w:ascii="Arial" w:hAnsi="Arial" w:cs="Arial"/>
          <w:sz w:val="24"/>
          <w:szCs w:val="24"/>
        </w:rPr>
        <w:t xml:space="preserve">The value chain shows that LEVC creates value through its specialised manufacturing processes, brand reputation and regulatory alignment. However, inbound logistics are constrained by reliance on imported battery cells and electronics, resulting in high component costs and supply risks. Operations at the Ansty facility are tailored to electric vehicle production but constrained by low utilisation, reducing efficiency. Outbound logistics are limited by a narrow distribution network, particularly </w:t>
      </w:r>
      <w:r w:rsidRPr="00FE3BAC">
        <w:rPr>
          <w:rFonts w:ascii="Arial" w:hAnsi="Arial" w:cs="Arial"/>
          <w:sz w:val="24"/>
          <w:szCs w:val="24"/>
        </w:rPr>
        <w:lastRenderedPageBreak/>
        <w:t>in Europe. Marketing relies heavily on the London taxi identity, which is effective for taxis but less persuasive for commercial customers. After-sales service is strong within London but limited nationally, reducing appeal for large fleets.</w:t>
      </w:r>
    </w:p>
    <w:p w14:paraId="33BB56C9" w14:textId="6555A05B" w:rsidR="00FE3BAC" w:rsidRPr="00FE3BAC" w:rsidRDefault="00FE3BAC" w:rsidP="00C336C9">
      <w:pPr>
        <w:spacing w:after="0" w:line="360" w:lineRule="auto"/>
        <w:ind w:firstLine="1134"/>
        <w:jc w:val="both"/>
        <w:rPr>
          <w:rFonts w:ascii="Arial" w:hAnsi="Arial" w:cs="Arial"/>
          <w:sz w:val="24"/>
          <w:szCs w:val="24"/>
        </w:rPr>
      </w:pPr>
      <w:r w:rsidRPr="00FE3BAC">
        <w:rPr>
          <w:rFonts w:ascii="Arial" w:hAnsi="Arial" w:cs="Arial"/>
          <w:sz w:val="24"/>
          <w:szCs w:val="24"/>
        </w:rPr>
        <w:t xml:space="preserve">The Resource-Based View identifies valuable resources, including LEVC’s brand heritage, engineering expertise, and access to Geely’s platforms, capital and R&amp;D. The London taxi brand carries strong associations with durability and professionalism, supporting differentiation in the taxi segment. However, this resource is less transferable to the van market, where cost efficiency dominates purchasing decisions. Geely support provides technological and financial resources that are valuable but not rare, limiting the potential for sustained competitive advantage (Barney, 1991). LEVC’s early innovation with the </w:t>
      </w:r>
      <w:proofErr w:type="spellStart"/>
      <w:r w:rsidRPr="00FE3BAC">
        <w:rPr>
          <w:rFonts w:ascii="Arial" w:hAnsi="Arial" w:cs="Arial"/>
          <w:sz w:val="24"/>
          <w:szCs w:val="24"/>
        </w:rPr>
        <w:t>eCity</w:t>
      </w:r>
      <w:proofErr w:type="spellEnd"/>
      <w:r w:rsidRPr="00FE3BAC">
        <w:rPr>
          <w:rFonts w:ascii="Arial" w:hAnsi="Arial" w:cs="Arial"/>
          <w:sz w:val="24"/>
          <w:szCs w:val="24"/>
        </w:rPr>
        <w:t xml:space="preserve"> range-extender system has weakened as competitors advance battery technology. Engineering skills remain a strength but are difficult to scale due to high labour competition.</w:t>
      </w:r>
    </w:p>
    <w:p w14:paraId="6F6DFBC4" w14:textId="72F24FC3" w:rsidR="00FE3BAC" w:rsidRPr="00FE3BAC" w:rsidRDefault="00FE3BAC" w:rsidP="00C336C9">
      <w:pPr>
        <w:spacing w:after="0" w:line="360" w:lineRule="auto"/>
        <w:ind w:firstLine="1134"/>
        <w:jc w:val="both"/>
        <w:rPr>
          <w:rFonts w:ascii="Arial" w:hAnsi="Arial" w:cs="Arial"/>
          <w:sz w:val="24"/>
          <w:szCs w:val="24"/>
        </w:rPr>
      </w:pPr>
      <w:r w:rsidRPr="00FE3BAC">
        <w:rPr>
          <w:rFonts w:ascii="Arial" w:hAnsi="Arial" w:cs="Arial"/>
          <w:sz w:val="24"/>
          <w:szCs w:val="24"/>
        </w:rPr>
        <w:t>The VRIO analysis shows that LEVC’s brand heritage is valuable and rare within the taxi sector, but not difficult for competitors to imitate outside that niche. Access to Geely platforms and financial support is valuable but not rare. LEVC’s production facility is technologically advanced but underutilised, reducing overall value. Sustainability practices are becoming more important, yet LEVC lacks robust lifecycle emissions reporting and strong control over battery sourcing. Competitors with vertically integrated production have an advantage in this area.</w:t>
      </w:r>
    </w:p>
    <w:p w14:paraId="35FF1647" w14:textId="696084AA" w:rsidR="00157571" w:rsidRDefault="00FE3BAC" w:rsidP="00FE3BAC">
      <w:pPr>
        <w:spacing w:after="0" w:line="360" w:lineRule="auto"/>
        <w:ind w:firstLine="1134"/>
        <w:jc w:val="both"/>
        <w:rPr>
          <w:rFonts w:ascii="Arial" w:hAnsi="Arial" w:cs="Arial"/>
          <w:sz w:val="24"/>
          <w:szCs w:val="24"/>
        </w:rPr>
      </w:pPr>
      <w:r w:rsidRPr="00FE3BAC">
        <w:rPr>
          <w:rFonts w:ascii="Arial" w:hAnsi="Arial" w:cs="Arial"/>
          <w:sz w:val="24"/>
          <w:szCs w:val="24"/>
        </w:rPr>
        <w:t>Overall, LEVC possesses several important strengths but also significant structural weaknesses. Limited scale, high production costs, restricted distribution networks and declining technological distinctiveness weigh heavily on its competitiveness.</w:t>
      </w:r>
    </w:p>
    <w:p w14:paraId="337A529E" w14:textId="295D95ED" w:rsidR="006A18D5" w:rsidRDefault="00BB6214" w:rsidP="006A18D5">
      <w:pPr>
        <w:tabs>
          <w:tab w:val="left" w:pos="0"/>
        </w:tabs>
        <w:spacing w:after="0" w:line="360" w:lineRule="auto"/>
        <w:jc w:val="center"/>
        <w:rPr>
          <w:rFonts w:ascii="Arial" w:hAnsi="Arial" w:cs="Arial"/>
          <w:sz w:val="24"/>
          <w:szCs w:val="24"/>
        </w:rPr>
      </w:pPr>
      <w:r>
        <w:rPr>
          <w:rFonts w:ascii="Arial" w:hAnsi="Arial" w:cs="Arial"/>
          <w:b/>
          <w:bCs/>
          <w:sz w:val="40"/>
          <w:szCs w:val="40"/>
        </w:rPr>
        <w:t>SWOT Analysis</w:t>
      </w:r>
    </w:p>
    <w:p w14:paraId="22E82BF6" w14:textId="77777777" w:rsidR="00157571" w:rsidRDefault="00157571" w:rsidP="00157571">
      <w:pPr>
        <w:spacing w:after="0" w:line="360" w:lineRule="auto"/>
        <w:jc w:val="both"/>
        <w:rPr>
          <w:rFonts w:ascii="Arial" w:hAnsi="Arial" w:cs="Arial"/>
          <w:sz w:val="24"/>
          <w:szCs w:val="24"/>
        </w:rPr>
      </w:pPr>
    </w:p>
    <w:p w14:paraId="5DA43081" w14:textId="10207BC1" w:rsidR="00C336C9" w:rsidRPr="00C336C9" w:rsidRDefault="00C336C9" w:rsidP="00C336C9">
      <w:pPr>
        <w:spacing w:after="0" w:line="360" w:lineRule="auto"/>
        <w:ind w:firstLine="1134"/>
        <w:jc w:val="both"/>
        <w:rPr>
          <w:rFonts w:ascii="Arial" w:hAnsi="Arial" w:cs="Arial"/>
          <w:sz w:val="24"/>
          <w:szCs w:val="24"/>
        </w:rPr>
      </w:pPr>
      <w:r w:rsidRPr="00C336C9">
        <w:rPr>
          <w:rFonts w:ascii="Arial" w:hAnsi="Arial" w:cs="Arial"/>
          <w:sz w:val="24"/>
          <w:szCs w:val="24"/>
        </w:rPr>
        <w:t>The SWOT analysis integrates internal and external insights to evaluate LEVC’s overall strategic position.</w:t>
      </w:r>
    </w:p>
    <w:p w14:paraId="4A8D4AFC" w14:textId="479DE9D5" w:rsidR="00C336C9" w:rsidRPr="00C336C9" w:rsidRDefault="00C336C9" w:rsidP="00C336C9">
      <w:pPr>
        <w:spacing w:after="0" w:line="360" w:lineRule="auto"/>
        <w:ind w:firstLine="1134"/>
        <w:jc w:val="both"/>
        <w:rPr>
          <w:rFonts w:ascii="Arial" w:hAnsi="Arial" w:cs="Arial"/>
          <w:sz w:val="24"/>
          <w:szCs w:val="24"/>
        </w:rPr>
      </w:pPr>
      <w:r w:rsidRPr="00C336C9">
        <w:rPr>
          <w:rFonts w:ascii="Arial" w:hAnsi="Arial" w:cs="Arial"/>
          <w:sz w:val="24"/>
          <w:szCs w:val="24"/>
        </w:rPr>
        <w:t>Strengths include strong brand heritage, engineering expertise and alignment with regulatory priorities. LEVC’s association with the London taxi enhances trust and credibility. Access to Geely’s R&amp;D, platforms and capital provides technological capability and financial resilience. The company’s exclusive focus on low-emission mobility aligns well with tightening environmental regulation.</w:t>
      </w:r>
    </w:p>
    <w:p w14:paraId="0E078E85" w14:textId="67126447" w:rsidR="00C336C9" w:rsidRPr="00C336C9" w:rsidRDefault="00C336C9" w:rsidP="00C336C9">
      <w:pPr>
        <w:spacing w:after="0" w:line="360" w:lineRule="auto"/>
        <w:ind w:firstLine="1134"/>
        <w:jc w:val="both"/>
        <w:rPr>
          <w:rFonts w:ascii="Arial" w:hAnsi="Arial" w:cs="Arial"/>
          <w:sz w:val="24"/>
          <w:szCs w:val="24"/>
        </w:rPr>
      </w:pPr>
      <w:r w:rsidRPr="00C336C9">
        <w:rPr>
          <w:rFonts w:ascii="Arial" w:hAnsi="Arial" w:cs="Arial"/>
          <w:sz w:val="24"/>
          <w:szCs w:val="24"/>
        </w:rPr>
        <w:lastRenderedPageBreak/>
        <w:t>Weaknesses include limited production scale, high unit costs and a narrow product portfolio. Distribution and service networks remain underdeveloped, particularly in Europe. Brand recognition outside the taxi market is limited. Some technological features have become outdated, reducing differentiation.</w:t>
      </w:r>
    </w:p>
    <w:p w14:paraId="58E6AA73" w14:textId="5D06C076" w:rsidR="00C336C9" w:rsidRPr="00C336C9" w:rsidRDefault="00C336C9" w:rsidP="00C336C9">
      <w:pPr>
        <w:spacing w:after="0" w:line="360" w:lineRule="auto"/>
        <w:ind w:firstLine="1134"/>
        <w:jc w:val="both"/>
        <w:rPr>
          <w:rFonts w:ascii="Arial" w:hAnsi="Arial" w:cs="Arial"/>
          <w:sz w:val="24"/>
          <w:szCs w:val="24"/>
        </w:rPr>
      </w:pPr>
      <w:r w:rsidRPr="00C336C9">
        <w:rPr>
          <w:rFonts w:ascii="Arial" w:hAnsi="Arial" w:cs="Arial"/>
          <w:sz w:val="24"/>
          <w:szCs w:val="24"/>
        </w:rPr>
        <w:t>Opportunities include growth in Low Emission Zones, increasing fleet electrification, and rising demand for sustainable urban mobility solutions. Deeper integration with Geely could reduce costs and accelerate innovation. European markets with strong environmental policies present further opportunities for expansion.</w:t>
      </w:r>
    </w:p>
    <w:p w14:paraId="06E809A3" w14:textId="2425E674" w:rsidR="003C6732" w:rsidRDefault="00C336C9" w:rsidP="00C336C9">
      <w:pPr>
        <w:spacing w:after="0" w:line="360" w:lineRule="auto"/>
        <w:ind w:firstLine="1134"/>
        <w:jc w:val="both"/>
        <w:rPr>
          <w:rFonts w:ascii="Arial" w:hAnsi="Arial" w:cs="Arial"/>
          <w:sz w:val="24"/>
          <w:szCs w:val="24"/>
        </w:rPr>
      </w:pPr>
      <w:r w:rsidRPr="00C336C9">
        <w:rPr>
          <w:rFonts w:ascii="Arial" w:hAnsi="Arial" w:cs="Arial"/>
          <w:sz w:val="24"/>
          <w:szCs w:val="24"/>
        </w:rPr>
        <w:t>Threats include intensifying competition from global manufacturers and emerging Chinese firms. Supply chain instability, economic uncertainty, and changing mobility behaviours pose additional risks. Rising expectations for sustainability transparency may disadvantage LEVC if competitors demonstrate stronger lifecycle credentials.</w:t>
      </w:r>
    </w:p>
    <w:p w14:paraId="4E219685" w14:textId="77777777" w:rsidR="00ED4BAF" w:rsidRDefault="00ED4BAF" w:rsidP="006A18D5">
      <w:pPr>
        <w:spacing w:after="0" w:line="360" w:lineRule="auto"/>
        <w:jc w:val="both"/>
        <w:rPr>
          <w:rFonts w:ascii="Arial" w:hAnsi="Arial" w:cs="Arial"/>
          <w:sz w:val="24"/>
          <w:szCs w:val="24"/>
        </w:rPr>
      </w:pPr>
    </w:p>
    <w:p w14:paraId="3C67C76F" w14:textId="76158AF4" w:rsidR="00ED4BAF" w:rsidRDefault="00ED4BAF" w:rsidP="00ED4BAF">
      <w:pPr>
        <w:tabs>
          <w:tab w:val="left" w:pos="0"/>
        </w:tabs>
        <w:spacing w:after="0" w:line="360" w:lineRule="auto"/>
        <w:jc w:val="center"/>
        <w:rPr>
          <w:rFonts w:ascii="Arial" w:hAnsi="Arial" w:cs="Arial"/>
          <w:sz w:val="24"/>
          <w:szCs w:val="24"/>
        </w:rPr>
      </w:pPr>
      <w:r>
        <w:rPr>
          <w:rFonts w:ascii="Arial" w:hAnsi="Arial" w:cs="Arial"/>
          <w:b/>
          <w:bCs/>
          <w:sz w:val="40"/>
          <w:szCs w:val="40"/>
        </w:rPr>
        <w:t>S</w:t>
      </w:r>
      <w:r w:rsidR="006B2AAB">
        <w:rPr>
          <w:rFonts w:ascii="Arial" w:hAnsi="Arial" w:cs="Arial"/>
          <w:b/>
          <w:bCs/>
          <w:sz w:val="40"/>
          <w:szCs w:val="40"/>
        </w:rPr>
        <w:t>trategy formulation</w:t>
      </w:r>
    </w:p>
    <w:p w14:paraId="62499862" w14:textId="77777777" w:rsidR="00ED4BAF" w:rsidRDefault="00ED4BAF" w:rsidP="006A18D5">
      <w:pPr>
        <w:spacing w:after="0" w:line="360" w:lineRule="auto"/>
        <w:jc w:val="both"/>
        <w:rPr>
          <w:rFonts w:ascii="Arial" w:hAnsi="Arial" w:cs="Arial"/>
          <w:sz w:val="24"/>
          <w:szCs w:val="24"/>
        </w:rPr>
      </w:pPr>
    </w:p>
    <w:p w14:paraId="38244DBF" w14:textId="4B5F2F24" w:rsidR="00ED4BAF" w:rsidRPr="00ED4BAF" w:rsidRDefault="00ED4BAF" w:rsidP="00ED4BAF">
      <w:pPr>
        <w:spacing w:after="0" w:line="360" w:lineRule="auto"/>
        <w:ind w:firstLine="1134"/>
        <w:jc w:val="both"/>
        <w:rPr>
          <w:rFonts w:ascii="Arial" w:hAnsi="Arial" w:cs="Arial"/>
          <w:sz w:val="24"/>
          <w:szCs w:val="24"/>
        </w:rPr>
      </w:pPr>
      <w:r w:rsidRPr="00ED4BAF">
        <w:rPr>
          <w:rFonts w:ascii="Arial" w:hAnsi="Arial" w:cs="Arial"/>
          <w:sz w:val="24"/>
          <w:szCs w:val="24"/>
        </w:rPr>
        <w:t>Formulating strategic alternatives for LEVC requires aligning its internal capabilities with the external forces shaping the UK and European electric vehicle markets. Using the principles of strategic choice and competitive positioning (Johnson et al., 2020), along with the resource-based perspective that emphasises building upon distinctive capabilities (Barney, 1991), three forward-looking strategic options emerge as the most credible and potentially advantageous: platform-sharing expansion with Geely to enhance economies of scale, product diversification into new electric mobility segments, and geographic expansion into European markets with strong sustainability policies. Each option presents different feasibility challenges, levels of risk, and alignment with LEVC’s existing resource base.</w:t>
      </w:r>
    </w:p>
    <w:p w14:paraId="79B2A52B" w14:textId="71EA4ED3" w:rsidR="00CF3DB0" w:rsidRPr="00CF3DB0" w:rsidRDefault="00CF3DB0" w:rsidP="00CF3DB0">
      <w:pPr>
        <w:spacing w:after="0" w:line="360" w:lineRule="auto"/>
        <w:ind w:firstLine="1134"/>
        <w:jc w:val="both"/>
        <w:rPr>
          <w:rFonts w:ascii="Arial" w:hAnsi="Arial" w:cs="Arial"/>
          <w:sz w:val="24"/>
          <w:szCs w:val="24"/>
        </w:rPr>
      </w:pPr>
      <w:r w:rsidRPr="00CF3DB0">
        <w:rPr>
          <w:rFonts w:ascii="Arial" w:hAnsi="Arial" w:cs="Arial"/>
          <w:sz w:val="24"/>
          <w:szCs w:val="24"/>
        </w:rPr>
        <w:t>The first is deeper platform sharing and technological integration with Geely. This would enable LEVC to reduce production costs, improve battery performance and accelerate model updates. Increased scale would allow more efficient procurement and shorter innovation cycles. Although deeper integration may reduce brand independence, it offers strong advantages in addressing LEVC’s structural cost challenges.</w:t>
      </w:r>
    </w:p>
    <w:p w14:paraId="60B80328" w14:textId="4597F6F8" w:rsidR="00CF3DB0" w:rsidRPr="00CF3DB0" w:rsidRDefault="00CF3DB0" w:rsidP="00CF3DB0">
      <w:pPr>
        <w:spacing w:after="0" w:line="360" w:lineRule="auto"/>
        <w:ind w:firstLine="1134"/>
        <w:jc w:val="both"/>
        <w:rPr>
          <w:rFonts w:ascii="Arial" w:hAnsi="Arial" w:cs="Arial"/>
          <w:sz w:val="24"/>
          <w:szCs w:val="24"/>
        </w:rPr>
      </w:pPr>
      <w:r w:rsidRPr="00CF3DB0">
        <w:rPr>
          <w:rFonts w:ascii="Arial" w:hAnsi="Arial" w:cs="Arial"/>
          <w:sz w:val="24"/>
          <w:szCs w:val="24"/>
        </w:rPr>
        <w:lastRenderedPageBreak/>
        <w:t>The second option is product portfolio diversification. LEVC’s narrow focus on taxis and a single commercial van limits resilience. Developing new electric mobility solutions, such as compact delivery vehicles or accessible transport shuttles, would enable LEVC to capture emerging market niches. Diversification should be phased, prioritising segments where demand is growing and where Geely platforms can support development.</w:t>
      </w:r>
    </w:p>
    <w:p w14:paraId="37AE4AE0" w14:textId="77777777" w:rsidR="0004233C" w:rsidRDefault="00CF3DB0" w:rsidP="00CF3DB0">
      <w:pPr>
        <w:spacing w:after="0" w:line="360" w:lineRule="auto"/>
        <w:ind w:firstLine="1134"/>
        <w:jc w:val="both"/>
        <w:rPr>
          <w:rFonts w:ascii="Arial" w:hAnsi="Arial" w:cs="Arial"/>
          <w:sz w:val="24"/>
          <w:szCs w:val="24"/>
        </w:rPr>
      </w:pPr>
      <w:r w:rsidRPr="00CF3DB0">
        <w:rPr>
          <w:rFonts w:ascii="Arial" w:hAnsi="Arial" w:cs="Arial"/>
          <w:sz w:val="24"/>
          <w:szCs w:val="24"/>
        </w:rPr>
        <w:t>The third option is selective European expansion. Cities in Germany, France, the Netherlands and Scandinavia have strong zero-emission policies that support demand for electric taxis and commercial EVs. Targeted partnerships with fleet operators, municipalities and dealers would support market entry. Expansion should focus on cities where LEVC’s vehicles align closely with regulatory requirements and customer needs.</w:t>
      </w:r>
      <w:r w:rsidR="002923AF">
        <w:rPr>
          <w:rFonts w:ascii="Arial" w:hAnsi="Arial" w:cs="Arial"/>
          <w:sz w:val="24"/>
          <w:szCs w:val="24"/>
        </w:rPr>
        <w:t xml:space="preserve"> </w:t>
      </w:r>
    </w:p>
    <w:p w14:paraId="5B6BF2D9" w14:textId="17F3D3FD" w:rsidR="00ED4BAF" w:rsidRDefault="00ED4BAF" w:rsidP="00CF3DB0">
      <w:pPr>
        <w:spacing w:after="0" w:line="360" w:lineRule="auto"/>
        <w:ind w:firstLine="1134"/>
        <w:jc w:val="both"/>
        <w:rPr>
          <w:rFonts w:ascii="Arial" w:hAnsi="Arial" w:cs="Arial"/>
          <w:sz w:val="24"/>
          <w:szCs w:val="24"/>
        </w:rPr>
      </w:pPr>
      <w:r w:rsidRPr="00ED4BAF">
        <w:rPr>
          <w:rFonts w:ascii="Arial" w:hAnsi="Arial" w:cs="Arial"/>
          <w:sz w:val="24"/>
          <w:szCs w:val="24"/>
        </w:rPr>
        <w:t>Taken together, these three strategies offer a coherent path toward strengthening LEVC’s competitive position. Platform-sharing enhances technological competitiveness and reduces costs; diversification broadens revenue streams and reduces exposure to sector volatility; and European expansion captures growing demand for sustainable urban mobility solutions. Evaluated through the lens of suitability, acceptability, and feasibility, all three strategies demonstrate strong alignment with LEVC’s capabilities and market context, though each requires careful sequencing and coordinated resource allocation. Ultimately, a combined approach</w:t>
      </w:r>
      <w:r w:rsidR="007C4823">
        <w:rPr>
          <w:rFonts w:ascii="Arial" w:hAnsi="Arial" w:cs="Arial"/>
          <w:sz w:val="24"/>
          <w:szCs w:val="24"/>
        </w:rPr>
        <w:t xml:space="preserve"> </w:t>
      </w:r>
      <w:r w:rsidRPr="00ED4BAF">
        <w:rPr>
          <w:rFonts w:ascii="Arial" w:hAnsi="Arial" w:cs="Arial"/>
          <w:sz w:val="24"/>
          <w:szCs w:val="24"/>
        </w:rPr>
        <w:t>beginning with deeper platform integration, followed by phased diversification and selective market expansion</w:t>
      </w:r>
      <w:r w:rsidR="007C4823">
        <w:rPr>
          <w:rFonts w:ascii="Arial" w:hAnsi="Arial" w:cs="Arial"/>
          <w:sz w:val="24"/>
          <w:szCs w:val="24"/>
        </w:rPr>
        <w:t xml:space="preserve">, </w:t>
      </w:r>
      <w:r w:rsidRPr="00ED4BAF">
        <w:rPr>
          <w:rFonts w:ascii="Arial" w:hAnsi="Arial" w:cs="Arial"/>
          <w:sz w:val="24"/>
          <w:szCs w:val="24"/>
        </w:rPr>
        <w:t>offers the most balanced and sustainable trajectory for LEVC’s long-term growth.</w:t>
      </w:r>
    </w:p>
    <w:p w14:paraId="40C3E058" w14:textId="77777777" w:rsidR="00ED4BAF" w:rsidRDefault="00ED4BAF" w:rsidP="006A18D5">
      <w:pPr>
        <w:spacing w:after="0" w:line="360" w:lineRule="auto"/>
        <w:jc w:val="both"/>
        <w:rPr>
          <w:rFonts w:ascii="Arial" w:hAnsi="Arial" w:cs="Arial"/>
          <w:sz w:val="24"/>
          <w:szCs w:val="24"/>
        </w:rPr>
      </w:pPr>
    </w:p>
    <w:p w14:paraId="07092294" w14:textId="130086EE" w:rsidR="003C6732" w:rsidRDefault="003C6732" w:rsidP="003C6732">
      <w:pPr>
        <w:tabs>
          <w:tab w:val="left" w:pos="0"/>
        </w:tabs>
        <w:spacing w:after="0" w:line="360" w:lineRule="auto"/>
        <w:jc w:val="center"/>
        <w:rPr>
          <w:rFonts w:ascii="Arial" w:hAnsi="Arial" w:cs="Arial"/>
          <w:sz w:val="24"/>
          <w:szCs w:val="24"/>
        </w:rPr>
      </w:pPr>
      <w:r>
        <w:rPr>
          <w:rFonts w:ascii="Arial" w:hAnsi="Arial" w:cs="Arial"/>
          <w:b/>
          <w:bCs/>
          <w:sz w:val="40"/>
          <w:szCs w:val="40"/>
        </w:rPr>
        <w:t>Conclusion</w:t>
      </w:r>
      <w:r w:rsidR="007C40D4">
        <w:rPr>
          <w:rFonts w:ascii="Arial" w:hAnsi="Arial" w:cs="Arial"/>
          <w:b/>
          <w:bCs/>
          <w:sz w:val="40"/>
          <w:szCs w:val="40"/>
        </w:rPr>
        <w:t xml:space="preserve"> and recommendations</w:t>
      </w:r>
    </w:p>
    <w:p w14:paraId="46E49079" w14:textId="77777777" w:rsidR="002151A6" w:rsidRDefault="002151A6" w:rsidP="007C40D4">
      <w:pPr>
        <w:spacing w:after="0" w:line="360" w:lineRule="auto"/>
        <w:ind w:firstLine="1134"/>
        <w:jc w:val="both"/>
        <w:rPr>
          <w:rFonts w:ascii="Arial" w:hAnsi="Arial" w:cs="Arial"/>
          <w:sz w:val="24"/>
          <w:szCs w:val="24"/>
        </w:rPr>
      </w:pPr>
    </w:p>
    <w:p w14:paraId="07F3FADD"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 xml:space="preserve">The analysis of LEVC’s strategic position shows that the company operates in a difficult yet opportunity-rich environment within the UK’s rapidly evolving automotive sector. External conditions are largely favourable to electrification, which supports LEVC’s identity as a provider of zero-emission vehicles. At the same time, competition from global automotive firms with significantly greater scale continues to place pressure on LEVC’s costs and its ability to differentiate. Internally, the company benefits from strong brand heritage, specialist engineering capabilities and access to </w:t>
      </w:r>
      <w:r w:rsidRPr="002151A6">
        <w:rPr>
          <w:rFonts w:ascii="Arial" w:hAnsi="Arial" w:cs="Arial"/>
          <w:sz w:val="24"/>
          <w:szCs w:val="24"/>
        </w:rPr>
        <w:lastRenderedPageBreak/>
        <w:t>Geely’s technological and financial support. However, these advantages are not fully exploited because LEVC’s limited production scale, restricted market reach and increasingly outdated technology reduce their impact. The company’s long-term viability depends on transforming these conditions into competitive advantage through operational improvements, innovation and market expansion.</w:t>
      </w:r>
    </w:p>
    <w:p w14:paraId="35EB929A"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Findings from the PESTLE, Five Forces and internal analyses highlight the need for an integrated strategy that addresses efficiency and growth simultaneously. LEVC’s core weaknesses, including high production costs, limited distribution and a narrow product range, stem from its small scale. In contrast, opportunities linked to urban mobility, fleet electrification and European low-emission markets are expanding, particularly as governments intensify decarbonisation efforts. To remain competitive, LEVC must focus on enhancing operational performance, improving product competitiveness and expanding its presence in strategically aligned markets.</w:t>
      </w:r>
    </w:p>
    <w:p w14:paraId="2963FF21"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The first recommendation is to increase platform-sharing and technological collaboration with Geely. This approach offers the strongest and most achievable route to lowering production costs, improving vehicle performance and accelerating innovation. Greater use of Geely’s electric vehicle architectures would allow LEVC to update models more rapidly, strengthen battery capabilities and reduce reliance on imported components. It would also help stabilise supply chains, particularly for critical items such as batteries and semiconductors. This recommendation directly addresses the company’s cost challenges while maintaining alignment with its parent group.</w:t>
      </w:r>
    </w:p>
    <w:p w14:paraId="7C3F5F04"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The second recommendation is to diversify the product portfolio to include new forms of electric mobility, particularly those suited to last-mile delivery, accessible transport and urban commercial operations. Dependence on the TX taxi and the VN5 van limits revenue stability and prevents LEVC from capitalising on new market opportunities. Diversification should prioritise segments where LEVC’s engineering strengths, including durability and urban suitability, can create the greatest advantage. A broader product range would reduce the risks associated with shifts in taxi demand and strengthen the company’s ability to compete in the wider electric commercial vehicle sector.</w:t>
      </w:r>
    </w:p>
    <w:p w14:paraId="262D07FA"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 xml:space="preserve">The third recommendation is to undertake selective expansion into European markets where zero-emission requirements are firmly established. Partnerships with municipal authorities, fleet operators and local distributors would help overcome limited brand recognition and support market entry. Expansion should </w:t>
      </w:r>
      <w:r w:rsidRPr="002151A6">
        <w:rPr>
          <w:rFonts w:ascii="Arial" w:hAnsi="Arial" w:cs="Arial"/>
          <w:sz w:val="24"/>
          <w:szCs w:val="24"/>
        </w:rPr>
        <w:lastRenderedPageBreak/>
        <w:t>focus on cities where LEVC’s vehicles can meet specific regulatory and operational needs, particularly in taxi services and municipal transport. This targeted approach would allow LEVC to access high-potential markets while managing risk.</w:t>
      </w:r>
    </w:p>
    <w:p w14:paraId="2897CE79" w14:textId="77777777" w:rsidR="002151A6" w:rsidRPr="002151A6" w:rsidRDefault="002151A6" w:rsidP="002151A6">
      <w:pPr>
        <w:spacing w:after="0" w:line="360" w:lineRule="auto"/>
        <w:ind w:firstLine="1134"/>
        <w:jc w:val="both"/>
        <w:rPr>
          <w:rFonts w:ascii="Arial" w:hAnsi="Arial" w:cs="Arial"/>
          <w:sz w:val="24"/>
          <w:szCs w:val="24"/>
        </w:rPr>
      </w:pPr>
      <w:r w:rsidRPr="002151A6">
        <w:rPr>
          <w:rFonts w:ascii="Arial" w:hAnsi="Arial" w:cs="Arial"/>
          <w:sz w:val="24"/>
          <w:szCs w:val="24"/>
        </w:rPr>
        <w:t>In summary, LEVC’s long-term success depends on its ability to utilise Geely’s capabilities more effectively, broaden its product range and pursue growth in markets where environmental regulation and urban mobility trends are most favourable. By combining platform-sharing, diversification and selective European expansion, the company can strengthen its competitive position and build a stable foundation for future growth in an increasingly electrified automotive industry.</w:t>
      </w:r>
    </w:p>
    <w:p w14:paraId="07AC66A2" w14:textId="696FFAC3" w:rsidR="00157571" w:rsidRDefault="00157571" w:rsidP="007C40D4">
      <w:pPr>
        <w:spacing w:after="0" w:line="360" w:lineRule="auto"/>
        <w:ind w:firstLine="1134"/>
        <w:jc w:val="both"/>
        <w:rPr>
          <w:rFonts w:ascii="Arial" w:hAnsi="Arial" w:cs="Arial"/>
          <w:sz w:val="24"/>
          <w:szCs w:val="24"/>
        </w:rPr>
      </w:pPr>
    </w:p>
    <w:p w14:paraId="77F03344" w14:textId="77777777" w:rsidR="00C45DC0" w:rsidRDefault="00C45DC0" w:rsidP="00774C32">
      <w:pPr>
        <w:spacing w:after="0" w:line="360" w:lineRule="auto"/>
        <w:ind w:left="360"/>
        <w:jc w:val="center"/>
        <w:rPr>
          <w:rFonts w:ascii="Arial" w:hAnsi="Arial" w:cs="Arial"/>
          <w:sz w:val="24"/>
          <w:szCs w:val="24"/>
        </w:rPr>
      </w:pPr>
    </w:p>
    <w:p w14:paraId="5DDBBB88" w14:textId="77777777" w:rsidR="00B81DA1" w:rsidRDefault="00B81DA1" w:rsidP="00774C32">
      <w:pPr>
        <w:spacing w:after="0" w:line="360" w:lineRule="auto"/>
        <w:ind w:left="360"/>
        <w:jc w:val="center"/>
        <w:rPr>
          <w:rFonts w:ascii="Arial" w:hAnsi="Arial" w:cs="Arial"/>
          <w:b/>
          <w:bCs/>
          <w:sz w:val="40"/>
          <w:szCs w:val="40"/>
        </w:rPr>
      </w:pPr>
    </w:p>
    <w:p w14:paraId="56A1ABFC" w14:textId="77777777" w:rsidR="00B81DA1" w:rsidRDefault="00B81DA1" w:rsidP="00774C32">
      <w:pPr>
        <w:spacing w:after="0" w:line="360" w:lineRule="auto"/>
        <w:ind w:left="360"/>
        <w:jc w:val="center"/>
        <w:rPr>
          <w:rFonts w:ascii="Arial" w:hAnsi="Arial" w:cs="Arial"/>
          <w:b/>
          <w:bCs/>
          <w:sz w:val="40"/>
          <w:szCs w:val="40"/>
        </w:rPr>
      </w:pPr>
    </w:p>
    <w:p w14:paraId="784DCD5A" w14:textId="77777777" w:rsidR="00B81DA1" w:rsidRDefault="00B81DA1" w:rsidP="008E25C3">
      <w:pPr>
        <w:spacing w:after="0" w:line="360" w:lineRule="auto"/>
        <w:ind w:left="360"/>
        <w:rPr>
          <w:rFonts w:ascii="Arial" w:hAnsi="Arial" w:cs="Arial"/>
          <w:b/>
          <w:bCs/>
          <w:sz w:val="40"/>
          <w:szCs w:val="40"/>
        </w:rPr>
      </w:pPr>
    </w:p>
    <w:p w14:paraId="24368F1B" w14:textId="77777777" w:rsidR="008E25C3" w:rsidRDefault="008E25C3" w:rsidP="008E25C3">
      <w:pPr>
        <w:spacing w:after="0" w:line="360" w:lineRule="auto"/>
        <w:ind w:left="360"/>
        <w:rPr>
          <w:rFonts w:ascii="Arial" w:hAnsi="Arial" w:cs="Arial"/>
          <w:b/>
          <w:bCs/>
          <w:sz w:val="40"/>
          <w:szCs w:val="40"/>
        </w:rPr>
      </w:pPr>
    </w:p>
    <w:p w14:paraId="54B9A323" w14:textId="77777777" w:rsidR="008E25C3" w:rsidRDefault="008E25C3" w:rsidP="008E25C3">
      <w:pPr>
        <w:spacing w:after="0" w:line="360" w:lineRule="auto"/>
        <w:ind w:left="360"/>
        <w:rPr>
          <w:rFonts w:ascii="Arial" w:hAnsi="Arial" w:cs="Arial"/>
          <w:b/>
          <w:bCs/>
          <w:sz w:val="40"/>
          <w:szCs w:val="40"/>
        </w:rPr>
      </w:pPr>
    </w:p>
    <w:p w14:paraId="530EAD38" w14:textId="77777777" w:rsidR="008E25C3" w:rsidRDefault="008E25C3" w:rsidP="008E25C3">
      <w:pPr>
        <w:spacing w:after="0" w:line="360" w:lineRule="auto"/>
        <w:ind w:left="360"/>
        <w:rPr>
          <w:rFonts w:ascii="Arial" w:hAnsi="Arial" w:cs="Arial"/>
          <w:b/>
          <w:bCs/>
          <w:sz w:val="40"/>
          <w:szCs w:val="40"/>
        </w:rPr>
      </w:pPr>
    </w:p>
    <w:p w14:paraId="3974A9C8" w14:textId="77777777" w:rsidR="008E25C3" w:rsidRDefault="008E25C3" w:rsidP="008E25C3">
      <w:pPr>
        <w:spacing w:after="0" w:line="360" w:lineRule="auto"/>
        <w:ind w:left="360"/>
        <w:rPr>
          <w:rFonts w:ascii="Arial" w:hAnsi="Arial" w:cs="Arial"/>
          <w:b/>
          <w:bCs/>
          <w:sz w:val="40"/>
          <w:szCs w:val="40"/>
        </w:rPr>
      </w:pPr>
    </w:p>
    <w:p w14:paraId="25B6FD29" w14:textId="77777777" w:rsidR="008E25C3" w:rsidRDefault="008E25C3" w:rsidP="008E25C3">
      <w:pPr>
        <w:spacing w:after="0" w:line="360" w:lineRule="auto"/>
        <w:ind w:left="360"/>
        <w:rPr>
          <w:rFonts w:ascii="Arial" w:hAnsi="Arial" w:cs="Arial"/>
          <w:b/>
          <w:bCs/>
          <w:sz w:val="40"/>
          <w:szCs w:val="40"/>
        </w:rPr>
      </w:pPr>
    </w:p>
    <w:p w14:paraId="385EC9D1" w14:textId="77777777" w:rsidR="008E25C3" w:rsidRDefault="008E25C3" w:rsidP="008E25C3">
      <w:pPr>
        <w:spacing w:after="0" w:line="360" w:lineRule="auto"/>
        <w:ind w:left="360"/>
        <w:rPr>
          <w:rFonts w:ascii="Arial" w:hAnsi="Arial" w:cs="Arial"/>
          <w:b/>
          <w:bCs/>
          <w:sz w:val="40"/>
          <w:szCs w:val="40"/>
        </w:rPr>
      </w:pPr>
    </w:p>
    <w:p w14:paraId="3DFB0EC5" w14:textId="77777777" w:rsidR="008E25C3" w:rsidRDefault="008E25C3" w:rsidP="008E25C3">
      <w:pPr>
        <w:spacing w:after="0" w:line="360" w:lineRule="auto"/>
        <w:ind w:left="360"/>
        <w:rPr>
          <w:rFonts w:ascii="Arial" w:hAnsi="Arial" w:cs="Arial"/>
          <w:b/>
          <w:bCs/>
          <w:sz w:val="40"/>
          <w:szCs w:val="40"/>
        </w:rPr>
      </w:pPr>
    </w:p>
    <w:p w14:paraId="38C42BD1" w14:textId="77777777" w:rsidR="008E25C3" w:rsidRDefault="008E25C3" w:rsidP="008E25C3">
      <w:pPr>
        <w:spacing w:after="0" w:line="360" w:lineRule="auto"/>
        <w:ind w:left="360"/>
        <w:rPr>
          <w:rFonts w:ascii="Arial" w:hAnsi="Arial" w:cs="Arial"/>
          <w:b/>
          <w:bCs/>
          <w:sz w:val="40"/>
          <w:szCs w:val="40"/>
        </w:rPr>
      </w:pPr>
    </w:p>
    <w:p w14:paraId="021AA15D" w14:textId="77777777" w:rsidR="008E25C3" w:rsidRDefault="008E25C3" w:rsidP="008E25C3">
      <w:pPr>
        <w:spacing w:after="0" w:line="360" w:lineRule="auto"/>
        <w:ind w:left="360"/>
        <w:rPr>
          <w:rFonts w:ascii="Arial" w:hAnsi="Arial" w:cs="Arial"/>
          <w:b/>
          <w:bCs/>
          <w:sz w:val="40"/>
          <w:szCs w:val="40"/>
        </w:rPr>
      </w:pPr>
    </w:p>
    <w:p w14:paraId="56D83AB8" w14:textId="77777777" w:rsidR="008E25C3" w:rsidRDefault="008E25C3" w:rsidP="008E25C3">
      <w:pPr>
        <w:spacing w:after="0" w:line="360" w:lineRule="auto"/>
        <w:ind w:left="360"/>
        <w:rPr>
          <w:rFonts w:ascii="Arial" w:hAnsi="Arial" w:cs="Arial"/>
          <w:b/>
          <w:bCs/>
          <w:sz w:val="40"/>
          <w:szCs w:val="40"/>
        </w:rPr>
      </w:pPr>
    </w:p>
    <w:p w14:paraId="744877AE" w14:textId="134FD291" w:rsidR="00142B9E" w:rsidRDefault="00EC1465" w:rsidP="00774C32">
      <w:pPr>
        <w:spacing w:after="0" w:line="360" w:lineRule="auto"/>
        <w:ind w:left="360"/>
        <w:jc w:val="center"/>
        <w:rPr>
          <w:rFonts w:ascii="Arial" w:hAnsi="Arial" w:cs="Arial"/>
          <w:b/>
          <w:bCs/>
          <w:sz w:val="40"/>
          <w:szCs w:val="40"/>
        </w:rPr>
      </w:pPr>
      <w:r>
        <w:rPr>
          <w:rFonts w:ascii="Arial" w:hAnsi="Arial" w:cs="Arial"/>
          <w:b/>
          <w:bCs/>
          <w:sz w:val="40"/>
          <w:szCs w:val="40"/>
        </w:rPr>
        <w:lastRenderedPageBreak/>
        <w:t>References</w:t>
      </w:r>
    </w:p>
    <w:p w14:paraId="2A7D77B7" w14:textId="77777777" w:rsidR="00A515A0" w:rsidRDefault="00A515A0" w:rsidP="00774C32">
      <w:pPr>
        <w:spacing w:after="0" w:line="360" w:lineRule="auto"/>
        <w:ind w:left="360"/>
        <w:jc w:val="center"/>
        <w:rPr>
          <w:rFonts w:ascii="Arial" w:hAnsi="Arial" w:cs="Arial"/>
          <w:b/>
          <w:bCs/>
          <w:sz w:val="40"/>
          <w:szCs w:val="40"/>
        </w:rPr>
      </w:pPr>
    </w:p>
    <w:p w14:paraId="7FF3480A"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Barney, J. (1991) ‘Firm resources and sustained competitive advantage’, </w:t>
      </w:r>
      <w:r w:rsidRPr="00A515A0">
        <w:rPr>
          <w:rFonts w:ascii="Arial" w:hAnsi="Arial" w:cs="Arial"/>
          <w:i/>
          <w:iCs/>
          <w:sz w:val="24"/>
          <w:szCs w:val="24"/>
        </w:rPr>
        <w:t>Journal of Management</w:t>
      </w:r>
      <w:r w:rsidRPr="00A515A0">
        <w:rPr>
          <w:rFonts w:ascii="Arial" w:hAnsi="Arial" w:cs="Arial"/>
          <w:sz w:val="24"/>
          <w:szCs w:val="24"/>
        </w:rPr>
        <w:t>, 17(1), pp. 99–120.</w:t>
      </w:r>
    </w:p>
    <w:p w14:paraId="331FA36A"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Department for Transport (2022) </w:t>
      </w:r>
      <w:r w:rsidRPr="00A515A0">
        <w:rPr>
          <w:rFonts w:ascii="Arial" w:hAnsi="Arial" w:cs="Arial"/>
          <w:i/>
          <w:iCs/>
          <w:sz w:val="24"/>
          <w:szCs w:val="24"/>
        </w:rPr>
        <w:t>Decarbonising Transport: Zero Emission Vehicle</w:t>
      </w:r>
      <w:r w:rsidRPr="00A515A0">
        <w:rPr>
          <w:rFonts w:ascii="Arial" w:hAnsi="Arial" w:cs="Arial"/>
          <w:sz w:val="24"/>
          <w:szCs w:val="24"/>
        </w:rPr>
        <w:t xml:space="preserve"> Strategy. London: </w:t>
      </w:r>
      <w:proofErr w:type="spellStart"/>
      <w:r w:rsidRPr="00A515A0">
        <w:rPr>
          <w:rFonts w:ascii="Arial" w:hAnsi="Arial" w:cs="Arial"/>
          <w:sz w:val="24"/>
          <w:szCs w:val="24"/>
        </w:rPr>
        <w:t>DfT.</w:t>
      </w:r>
      <w:proofErr w:type="spellEnd"/>
    </w:p>
    <w:p w14:paraId="5FCCF60B"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European Commission (2023) </w:t>
      </w:r>
      <w:r w:rsidRPr="005E6DFB">
        <w:rPr>
          <w:rFonts w:ascii="Arial" w:hAnsi="Arial" w:cs="Arial"/>
          <w:i/>
          <w:iCs/>
          <w:sz w:val="24"/>
          <w:szCs w:val="24"/>
        </w:rPr>
        <w:t>Battery Regulation Framework</w:t>
      </w:r>
      <w:r w:rsidRPr="00A515A0">
        <w:rPr>
          <w:rFonts w:ascii="Arial" w:hAnsi="Arial" w:cs="Arial"/>
          <w:sz w:val="24"/>
          <w:szCs w:val="24"/>
        </w:rPr>
        <w:t>. Brussels: EC.</w:t>
      </w:r>
    </w:p>
    <w:p w14:paraId="5507EA59"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Geely (2023) </w:t>
      </w:r>
      <w:r w:rsidRPr="005E6DFB">
        <w:rPr>
          <w:rFonts w:ascii="Arial" w:hAnsi="Arial" w:cs="Arial"/>
          <w:i/>
          <w:iCs/>
          <w:sz w:val="24"/>
          <w:szCs w:val="24"/>
        </w:rPr>
        <w:t>Corporate Sustainability Report</w:t>
      </w:r>
      <w:r w:rsidRPr="00A515A0">
        <w:rPr>
          <w:rFonts w:ascii="Arial" w:hAnsi="Arial" w:cs="Arial"/>
          <w:sz w:val="24"/>
          <w:szCs w:val="24"/>
        </w:rPr>
        <w:t>. Zhejiang Geely Holding Group.</w:t>
      </w:r>
    </w:p>
    <w:p w14:paraId="2BB636D1" w14:textId="77777777" w:rsidR="00A515A0" w:rsidRPr="00A515A0" w:rsidRDefault="00A515A0" w:rsidP="00A515A0">
      <w:pPr>
        <w:spacing w:after="0" w:line="360" w:lineRule="auto"/>
        <w:jc w:val="both"/>
        <w:rPr>
          <w:rFonts w:ascii="Arial" w:hAnsi="Arial" w:cs="Arial"/>
          <w:sz w:val="24"/>
          <w:szCs w:val="24"/>
        </w:rPr>
      </w:pPr>
      <w:proofErr w:type="spellStart"/>
      <w:r w:rsidRPr="00A515A0">
        <w:rPr>
          <w:rFonts w:ascii="Arial" w:hAnsi="Arial" w:cs="Arial"/>
          <w:sz w:val="24"/>
          <w:szCs w:val="24"/>
        </w:rPr>
        <w:t>GlobalData</w:t>
      </w:r>
      <w:proofErr w:type="spellEnd"/>
      <w:r w:rsidRPr="00A515A0">
        <w:rPr>
          <w:rFonts w:ascii="Arial" w:hAnsi="Arial" w:cs="Arial"/>
          <w:sz w:val="24"/>
          <w:szCs w:val="24"/>
        </w:rPr>
        <w:t xml:space="preserve"> (2022) </w:t>
      </w:r>
      <w:r w:rsidRPr="005E6DFB">
        <w:rPr>
          <w:rFonts w:ascii="Arial" w:hAnsi="Arial" w:cs="Arial"/>
          <w:i/>
          <w:iCs/>
          <w:sz w:val="24"/>
          <w:szCs w:val="24"/>
        </w:rPr>
        <w:t>Electric Vehicle Supply Chain Analysis</w:t>
      </w:r>
      <w:r w:rsidRPr="00A515A0">
        <w:rPr>
          <w:rFonts w:ascii="Arial" w:hAnsi="Arial" w:cs="Arial"/>
          <w:sz w:val="24"/>
          <w:szCs w:val="24"/>
        </w:rPr>
        <w:t xml:space="preserve">. </w:t>
      </w:r>
      <w:proofErr w:type="spellStart"/>
      <w:r w:rsidRPr="00A515A0">
        <w:rPr>
          <w:rFonts w:ascii="Arial" w:hAnsi="Arial" w:cs="Arial"/>
          <w:sz w:val="24"/>
          <w:szCs w:val="24"/>
        </w:rPr>
        <w:t>GlobalData</w:t>
      </w:r>
      <w:proofErr w:type="spellEnd"/>
      <w:r w:rsidRPr="00A515A0">
        <w:rPr>
          <w:rFonts w:ascii="Arial" w:hAnsi="Arial" w:cs="Arial"/>
          <w:sz w:val="24"/>
          <w:szCs w:val="24"/>
        </w:rPr>
        <w:t xml:space="preserve"> Automotive.</w:t>
      </w:r>
    </w:p>
    <w:p w14:paraId="0861CBA4"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Johnson, G., Whittington, R. and Scholes, K. (2020) </w:t>
      </w:r>
      <w:r w:rsidRPr="005E6DFB">
        <w:rPr>
          <w:rFonts w:ascii="Arial" w:hAnsi="Arial" w:cs="Arial"/>
          <w:i/>
          <w:iCs/>
          <w:sz w:val="24"/>
          <w:szCs w:val="24"/>
        </w:rPr>
        <w:t>Exploring Strategy</w:t>
      </w:r>
      <w:r w:rsidRPr="00A515A0">
        <w:rPr>
          <w:rFonts w:ascii="Arial" w:hAnsi="Arial" w:cs="Arial"/>
          <w:sz w:val="24"/>
          <w:szCs w:val="24"/>
        </w:rPr>
        <w:t xml:space="preserve">. 12th </w:t>
      </w:r>
      <w:proofErr w:type="spellStart"/>
      <w:r w:rsidRPr="00A515A0">
        <w:rPr>
          <w:rFonts w:ascii="Arial" w:hAnsi="Arial" w:cs="Arial"/>
          <w:sz w:val="24"/>
          <w:szCs w:val="24"/>
        </w:rPr>
        <w:t>edn</w:t>
      </w:r>
      <w:proofErr w:type="spellEnd"/>
      <w:r w:rsidRPr="00A515A0">
        <w:rPr>
          <w:rFonts w:ascii="Arial" w:hAnsi="Arial" w:cs="Arial"/>
          <w:sz w:val="24"/>
          <w:szCs w:val="24"/>
        </w:rPr>
        <w:t>. Pearson.</w:t>
      </w:r>
    </w:p>
    <w:p w14:paraId="2ACE12A5"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LEVC (2022) </w:t>
      </w:r>
      <w:r w:rsidRPr="005E6DFB">
        <w:rPr>
          <w:rFonts w:ascii="Arial" w:hAnsi="Arial" w:cs="Arial"/>
          <w:i/>
          <w:iCs/>
          <w:sz w:val="24"/>
          <w:szCs w:val="24"/>
        </w:rPr>
        <w:t>Annual Report and Financial Statements</w:t>
      </w:r>
      <w:r w:rsidRPr="00A515A0">
        <w:rPr>
          <w:rFonts w:ascii="Arial" w:hAnsi="Arial" w:cs="Arial"/>
          <w:sz w:val="24"/>
          <w:szCs w:val="24"/>
        </w:rPr>
        <w:t>. Coventry: London EV Company Ltd.</w:t>
      </w:r>
    </w:p>
    <w:p w14:paraId="3EAE0308"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MarketLine (2021) </w:t>
      </w:r>
      <w:r w:rsidRPr="005E6DFB">
        <w:rPr>
          <w:rFonts w:ascii="Arial" w:hAnsi="Arial" w:cs="Arial"/>
          <w:i/>
          <w:iCs/>
          <w:sz w:val="24"/>
          <w:szCs w:val="24"/>
        </w:rPr>
        <w:t>Automotive Industry Profile: Global Electric Vehicle Market</w:t>
      </w:r>
      <w:r w:rsidRPr="00A515A0">
        <w:rPr>
          <w:rFonts w:ascii="Arial" w:hAnsi="Arial" w:cs="Arial"/>
          <w:sz w:val="24"/>
          <w:szCs w:val="24"/>
        </w:rPr>
        <w:t>. MarketLine Research.</w:t>
      </w:r>
    </w:p>
    <w:p w14:paraId="34B72180"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SMMT (2023) </w:t>
      </w:r>
      <w:r w:rsidRPr="005E6DFB">
        <w:rPr>
          <w:rFonts w:ascii="Arial" w:hAnsi="Arial" w:cs="Arial"/>
          <w:i/>
          <w:iCs/>
          <w:sz w:val="24"/>
          <w:szCs w:val="24"/>
        </w:rPr>
        <w:t>UK Automotive Industry Outlook</w:t>
      </w:r>
      <w:r w:rsidRPr="00A515A0">
        <w:rPr>
          <w:rFonts w:ascii="Arial" w:hAnsi="Arial" w:cs="Arial"/>
          <w:sz w:val="24"/>
          <w:szCs w:val="24"/>
        </w:rPr>
        <w:t>. Society of Motor Manufacturers and Traders.</w:t>
      </w:r>
    </w:p>
    <w:p w14:paraId="708CEBF0"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Transport for London (2022) </w:t>
      </w:r>
      <w:r w:rsidRPr="005E6DFB">
        <w:rPr>
          <w:rFonts w:ascii="Arial" w:hAnsi="Arial" w:cs="Arial"/>
          <w:i/>
          <w:iCs/>
          <w:sz w:val="24"/>
          <w:szCs w:val="24"/>
        </w:rPr>
        <w:t>Taxi and Private Hire Demand Report</w:t>
      </w:r>
      <w:r w:rsidRPr="00A515A0">
        <w:rPr>
          <w:rFonts w:ascii="Arial" w:hAnsi="Arial" w:cs="Arial"/>
          <w:sz w:val="24"/>
          <w:szCs w:val="24"/>
        </w:rPr>
        <w:t>. TfL.</w:t>
      </w:r>
    </w:p>
    <w:p w14:paraId="6944381E"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ACEA (2022) </w:t>
      </w:r>
      <w:r w:rsidRPr="005E6DFB">
        <w:rPr>
          <w:rFonts w:ascii="Arial" w:hAnsi="Arial" w:cs="Arial"/>
          <w:i/>
          <w:iCs/>
          <w:sz w:val="24"/>
          <w:szCs w:val="24"/>
        </w:rPr>
        <w:t>European Vehicle Market Statistics</w:t>
      </w:r>
      <w:r w:rsidRPr="00A515A0">
        <w:rPr>
          <w:rFonts w:ascii="Arial" w:hAnsi="Arial" w:cs="Arial"/>
          <w:sz w:val="24"/>
          <w:szCs w:val="24"/>
        </w:rPr>
        <w:t>. European Automobile Manufacturers Association.</w:t>
      </w:r>
    </w:p>
    <w:p w14:paraId="7929C052" w14:textId="77777777" w:rsidR="00A515A0" w:rsidRPr="00A515A0" w:rsidRDefault="00A515A0" w:rsidP="00A515A0">
      <w:pPr>
        <w:spacing w:after="0" w:line="360" w:lineRule="auto"/>
        <w:jc w:val="both"/>
        <w:rPr>
          <w:rFonts w:ascii="Arial" w:hAnsi="Arial" w:cs="Arial"/>
          <w:sz w:val="24"/>
          <w:szCs w:val="24"/>
        </w:rPr>
      </w:pPr>
      <w:proofErr w:type="spellStart"/>
      <w:r w:rsidRPr="00A515A0">
        <w:rPr>
          <w:rFonts w:ascii="Arial" w:hAnsi="Arial" w:cs="Arial"/>
          <w:sz w:val="24"/>
          <w:szCs w:val="24"/>
        </w:rPr>
        <w:t>BloombergNEF</w:t>
      </w:r>
      <w:proofErr w:type="spellEnd"/>
      <w:r w:rsidRPr="00A515A0">
        <w:rPr>
          <w:rFonts w:ascii="Arial" w:hAnsi="Arial" w:cs="Arial"/>
          <w:sz w:val="24"/>
          <w:szCs w:val="24"/>
        </w:rPr>
        <w:t xml:space="preserve"> (2023) </w:t>
      </w:r>
      <w:r w:rsidRPr="005E6DFB">
        <w:rPr>
          <w:rFonts w:ascii="Arial" w:hAnsi="Arial" w:cs="Arial"/>
          <w:i/>
          <w:iCs/>
          <w:sz w:val="24"/>
          <w:szCs w:val="24"/>
        </w:rPr>
        <w:t>EV Outlook Report</w:t>
      </w:r>
      <w:r w:rsidRPr="00A515A0">
        <w:rPr>
          <w:rFonts w:ascii="Arial" w:hAnsi="Arial" w:cs="Arial"/>
          <w:sz w:val="24"/>
          <w:szCs w:val="24"/>
        </w:rPr>
        <w:t>. Bloomberg New Energy Finance.</w:t>
      </w:r>
    </w:p>
    <w:p w14:paraId="51C3F96E"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McKinsey &amp; Company (2022) </w:t>
      </w:r>
      <w:r w:rsidRPr="005E6DFB">
        <w:rPr>
          <w:rFonts w:ascii="Arial" w:hAnsi="Arial" w:cs="Arial"/>
          <w:i/>
          <w:iCs/>
          <w:sz w:val="24"/>
          <w:szCs w:val="24"/>
        </w:rPr>
        <w:t>The Future of Mobility: Urban Transport in Transition</w:t>
      </w:r>
      <w:r w:rsidRPr="00A515A0">
        <w:rPr>
          <w:rFonts w:ascii="Arial" w:hAnsi="Arial" w:cs="Arial"/>
          <w:sz w:val="24"/>
          <w:szCs w:val="24"/>
        </w:rPr>
        <w:t>. McKinsey Mobility Insights.</w:t>
      </w:r>
    </w:p>
    <w:p w14:paraId="6644E3AD" w14:textId="77777777"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PwC (2023) </w:t>
      </w:r>
      <w:r w:rsidRPr="005E6DFB">
        <w:rPr>
          <w:rFonts w:ascii="Arial" w:hAnsi="Arial" w:cs="Arial"/>
          <w:i/>
          <w:iCs/>
          <w:sz w:val="24"/>
          <w:szCs w:val="24"/>
        </w:rPr>
        <w:t>Electric Vehicle Manufacturing Cost Trends</w:t>
      </w:r>
      <w:r w:rsidRPr="00A515A0">
        <w:rPr>
          <w:rFonts w:ascii="Arial" w:hAnsi="Arial" w:cs="Arial"/>
          <w:sz w:val="24"/>
          <w:szCs w:val="24"/>
        </w:rPr>
        <w:t>. PricewaterhouseCoopers.</w:t>
      </w:r>
    </w:p>
    <w:p w14:paraId="273331CC" w14:textId="7BDF4134" w:rsidR="00A515A0" w:rsidRPr="00A515A0" w:rsidRDefault="00A515A0" w:rsidP="00A515A0">
      <w:pPr>
        <w:spacing w:after="0" w:line="360" w:lineRule="auto"/>
        <w:jc w:val="both"/>
        <w:rPr>
          <w:rFonts w:ascii="Arial" w:hAnsi="Arial" w:cs="Arial"/>
          <w:sz w:val="24"/>
          <w:szCs w:val="24"/>
        </w:rPr>
      </w:pPr>
      <w:r w:rsidRPr="00A515A0">
        <w:rPr>
          <w:rFonts w:ascii="Arial" w:hAnsi="Arial" w:cs="Arial"/>
          <w:sz w:val="24"/>
          <w:szCs w:val="24"/>
        </w:rPr>
        <w:t xml:space="preserve">KPMG (2022) </w:t>
      </w:r>
      <w:r w:rsidRPr="005E6DFB">
        <w:rPr>
          <w:rFonts w:ascii="Arial" w:hAnsi="Arial" w:cs="Arial"/>
          <w:i/>
          <w:iCs/>
          <w:sz w:val="24"/>
          <w:szCs w:val="24"/>
        </w:rPr>
        <w:t>Global Automotive Executive Survey</w:t>
      </w:r>
      <w:r w:rsidRPr="00A515A0">
        <w:rPr>
          <w:rFonts w:ascii="Arial" w:hAnsi="Arial" w:cs="Arial"/>
          <w:sz w:val="24"/>
          <w:szCs w:val="24"/>
        </w:rPr>
        <w:t>. KPMG International.</w:t>
      </w:r>
    </w:p>
    <w:p w14:paraId="397638B8" w14:textId="77777777" w:rsidR="00A515A0" w:rsidRPr="00774C32" w:rsidRDefault="00A515A0" w:rsidP="00A515A0">
      <w:pPr>
        <w:spacing w:after="0" w:line="360" w:lineRule="auto"/>
        <w:jc w:val="center"/>
        <w:rPr>
          <w:rFonts w:ascii="Arial" w:hAnsi="Arial" w:cs="Arial"/>
          <w:b/>
          <w:bCs/>
          <w:sz w:val="40"/>
          <w:szCs w:val="40"/>
        </w:rPr>
      </w:pPr>
    </w:p>
    <w:sectPr w:rsidR="00A515A0" w:rsidRPr="00774C32" w:rsidSect="00A8048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F7945" w14:textId="77777777" w:rsidR="0067214E" w:rsidRDefault="0067214E" w:rsidP="000B25A3">
      <w:pPr>
        <w:spacing w:after="0" w:line="240" w:lineRule="auto"/>
      </w:pPr>
      <w:r>
        <w:separator/>
      </w:r>
    </w:p>
  </w:endnote>
  <w:endnote w:type="continuationSeparator" w:id="0">
    <w:p w14:paraId="67BF5BD8" w14:textId="77777777" w:rsidR="0067214E" w:rsidRDefault="0067214E"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3A2A7" w14:textId="77777777" w:rsidR="0067214E" w:rsidRDefault="0067214E" w:rsidP="000B25A3">
      <w:pPr>
        <w:spacing w:after="0" w:line="240" w:lineRule="auto"/>
      </w:pPr>
      <w:r>
        <w:separator/>
      </w:r>
    </w:p>
  </w:footnote>
  <w:footnote w:type="continuationSeparator" w:id="0">
    <w:p w14:paraId="730E9A8E" w14:textId="77777777" w:rsidR="0067214E" w:rsidRDefault="0067214E"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FF502B"/>
    <w:multiLevelType w:val="hybridMultilevel"/>
    <w:tmpl w:val="2700B5D8"/>
    <w:lvl w:ilvl="0" w:tplc="F01ACD94">
      <w:numFmt w:val="bullet"/>
      <w:lvlText w:val="-"/>
      <w:lvlJc w:val="left"/>
      <w:pPr>
        <w:ind w:left="1494" w:hanging="360"/>
      </w:pPr>
      <w:rPr>
        <w:rFonts w:ascii="Arial" w:eastAsiaTheme="minorEastAsia" w:hAnsi="Aria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1"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1"/>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2"/>
  </w:num>
  <w:num w:numId="10" w16cid:durableId="1252592525">
    <w:abstractNumId w:val="3"/>
  </w:num>
  <w:num w:numId="11" w16cid:durableId="339698175">
    <w:abstractNumId w:val="4"/>
  </w:num>
  <w:num w:numId="12" w16cid:durableId="286544261">
    <w:abstractNumId w:val="1"/>
  </w:num>
  <w:num w:numId="13" w16cid:durableId="154762779">
    <w:abstractNumId w:val="2"/>
  </w:num>
  <w:num w:numId="14" w16cid:durableId="4980841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0532D"/>
    <w:rsid w:val="00006D05"/>
    <w:rsid w:val="00011F01"/>
    <w:rsid w:val="00022CDD"/>
    <w:rsid w:val="00027630"/>
    <w:rsid w:val="00041709"/>
    <w:rsid w:val="0004233C"/>
    <w:rsid w:val="00043065"/>
    <w:rsid w:val="0004326B"/>
    <w:rsid w:val="00043749"/>
    <w:rsid w:val="00047B20"/>
    <w:rsid w:val="000505DB"/>
    <w:rsid w:val="00055708"/>
    <w:rsid w:val="00055EAE"/>
    <w:rsid w:val="0006011E"/>
    <w:rsid w:val="000621A7"/>
    <w:rsid w:val="0006505C"/>
    <w:rsid w:val="0006556B"/>
    <w:rsid w:val="00082895"/>
    <w:rsid w:val="00084B02"/>
    <w:rsid w:val="00087E55"/>
    <w:rsid w:val="00093826"/>
    <w:rsid w:val="00095D34"/>
    <w:rsid w:val="000A01EF"/>
    <w:rsid w:val="000A5F15"/>
    <w:rsid w:val="000B044F"/>
    <w:rsid w:val="000B25A3"/>
    <w:rsid w:val="000B3F86"/>
    <w:rsid w:val="000B67C4"/>
    <w:rsid w:val="000C3A93"/>
    <w:rsid w:val="000C438C"/>
    <w:rsid w:val="000D7EE8"/>
    <w:rsid w:val="000E450A"/>
    <w:rsid w:val="000E5BDB"/>
    <w:rsid w:val="000F0B97"/>
    <w:rsid w:val="000F1353"/>
    <w:rsid w:val="000F4FED"/>
    <w:rsid w:val="000F788A"/>
    <w:rsid w:val="00106043"/>
    <w:rsid w:val="00114764"/>
    <w:rsid w:val="001167C9"/>
    <w:rsid w:val="00116FA2"/>
    <w:rsid w:val="0012199F"/>
    <w:rsid w:val="00127C28"/>
    <w:rsid w:val="001329B5"/>
    <w:rsid w:val="00142B9E"/>
    <w:rsid w:val="001531B6"/>
    <w:rsid w:val="00157571"/>
    <w:rsid w:val="00160C90"/>
    <w:rsid w:val="0017025F"/>
    <w:rsid w:val="00170735"/>
    <w:rsid w:val="00180342"/>
    <w:rsid w:val="0018229A"/>
    <w:rsid w:val="0018267C"/>
    <w:rsid w:val="00184CA2"/>
    <w:rsid w:val="00190FDE"/>
    <w:rsid w:val="001A37BE"/>
    <w:rsid w:val="001A49B7"/>
    <w:rsid w:val="001A51C3"/>
    <w:rsid w:val="001C12E0"/>
    <w:rsid w:val="001C3605"/>
    <w:rsid w:val="001D68E8"/>
    <w:rsid w:val="001E7CDB"/>
    <w:rsid w:val="001F5C73"/>
    <w:rsid w:val="0020034D"/>
    <w:rsid w:val="00214ECF"/>
    <w:rsid w:val="00214F1C"/>
    <w:rsid w:val="002151A6"/>
    <w:rsid w:val="00215CC5"/>
    <w:rsid w:val="0022463B"/>
    <w:rsid w:val="002506B0"/>
    <w:rsid w:val="0025309C"/>
    <w:rsid w:val="00271779"/>
    <w:rsid w:val="002923AF"/>
    <w:rsid w:val="002A3D40"/>
    <w:rsid w:val="002B0660"/>
    <w:rsid w:val="002B1E69"/>
    <w:rsid w:val="002C139E"/>
    <w:rsid w:val="002C3716"/>
    <w:rsid w:val="002D0D9D"/>
    <w:rsid w:val="002D0E83"/>
    <w:rsid w:val="002E3D20"/>
    <w:rsid w:val="002F7DFB"/>
    <w:rsid w:val="00304F62"/>
    <w:rsid w:val="0030510F"/>
    <w:rsid w:val="003124B0"/>
    <w:rsid w:val="00312936"/>
    <w:rsid w:val="00315FD8"/>
    <w:rsid w:val="00327DD7"/>
    <w:rsid w:val="003438B6"/>
    <w:rsid w:val="003448EB"/>
    <w:rsid w:val="00350674"/>
    <w:rsid w:val="00351DD4"/>
    <w:rsid w:val="00356F41"/>
    <w:rsid w:val="00363D60"/>
    <w:rsid w:val="00365891"/>
    <w:rsid w:val="00381DBE"/>
    <w:rsid w:val="003877E1"/>
    <w:rsid w:val="00391107"/>
    <w:rsid w:val="003927F3"/>
    <w:rsid w:val="003946FC"/>
    <w:rsid w:val="003A2ACD"/>
    <w:rsid w:val="003A783D"/>
    <w:rsid w:val="003B4875"/>
    <w:rsid w:val="003B7944"/>
    <w:rsid w:val="003C6732"/>
    <w:rsid w:val="003C7B9D"/>
    <w:rsid w:val="003E0AA0"/>
    <w:rsid w:val="00402870"/>
    <w:rsid w:val="004053AC"/>
    <w:rsid w:val="004061DF"/>
    <w:rsid w:val="0042126B"/>
    <w:rsid w:val="004223C7"/>
    <w:rsid w:val="00424CDA"/>
    <w:rsid w:val="004279ED"/>
    <w:rsid w:val="00427D45"/>
    <w:rsid w:val="00443069"/>
    <w:rsid w:val="0045374C"/>
    <w:rsid w:val="00453FCC"/>
    <w:rsid w:val="00454A8C"/>
    <w:rsid w:val="0046282B"/>
    <w:rsid w:val="004673B4"/>
    <w:rsid w:val="004720A9"/>
    <w:rsid w:val="00472F4F"/>
    <w:rsid w:val="00472FA6"/>
    <w:rsid w:val="00473629"/>
    <w:rsid w:val="0048114E"/>
    <w:rsid w:val="00481A7B"/>
    <w:rsid w:val="004920E9"/>
    <w:rsid w:val="00492784"/>
    <w:rsid w:val="00495DF7"/>
    <w:rsid w:val="00497366"/>
    <w:rsid w:val="00497658"/>
    <w:rsid w:val="004A28C0"/>
    <w:rsid w:val="004B152A"/>
    <w:rsid w:val="004C1C10"/>
    <w:rsid w:val="004C7F0F"/>
    <w:rsid w:val="004D06B7"/>
    <w:rsid w:val="004D5FB4"/>
    <w:rsid w:val="004E6333"/>
    <w:rsid w:val="004F22F4"/>
    <w:rsid w:val="004F6BD6"/>
    <w:rsid w:val="004F6C47"/>
    <w:rsid w:val="00504043"/>
    <w:rsid w:val="005164B9"/>
    <w:rsid w:val="005179D2"/>
    <w:rsid w:val="00537776"/>
    <w:rsid w:val="00540E3D"/>
    <w:rsid w:val="00542E89"/>
    <w:rsid w:val="00562BE6"/>
    <w:rsid w:val="005665E6"/>
    <w:rsid w:val="00570D4A"/>
    <w:rsid w:val="0057109F"/>
    <w:rsid w:val="005844C4"/>
    <w:rsid w:val="00590D3D"/>
    <w:rsid w:val="005931D7"/>
    <w:rsid w:val="005A00FF"/>
    <w:rsid w:val="005A49D7"/>
    <w:rsid w:val="005B3E6D"/>
    <w:rsid w:val="005B751C"/>
    <w:rsid w:val="005C6B7F"/>
    <w:rsid w:val="005E01B2"/>
    <w:rsid w:val="005E0A6E"/>
    <w:rsid w:val="005E47F4"/>
    <w:rsid w:val="005E56A8"/>
    <w:rsid w:val="005E6434"/>
    <w:rsid w:val="005E6DFB"/>
    <w:rsid w:val="00601FA4"/>
    <w:rsid w:val="00610105"/>
    <w:rsid w:val="0061268E"/>
    <w:rsid w:val="00614465"/>
    <w:rsid w:val="0061499F"/>
    <w:rsid w:val="0061781E"/>
    <w:rsid w:val="00621976"/>
    <w:rsid w:val="00630F90"/>
    <w:rsid w:val="00634541"/>
    <w:rsid w:val="006356F8"/>
    <w:rsid w:val="006361D4"/>
    <w:rsid w:val="00640ECD"/>
    <w:rsid w:val="00643572"/>
    <w:rsid w:val="006451E8"/>
    <w:rsid w:val="0065734F"/>
    <w:rsid w:val="00657E4E"/>
    <w:rsid w:val="0066015C"/>
    <w:rsid w:val="006716BA"/>
    <w:rsid w:val="0067214E"/>
    <w:rsid w:val="0068646C"/>
    <w:rsid w:val="00687422"/>
    <w:rsid w:val="006A18D5"/>
    <w:rsid w:val="006A5CA0"/>
    <w:rsid w:val="006B2AAB"/>
    <w:rsid w:val="006C151E"/>
    <w:rsid w:val="006C5EB0"/>
    <w:rsid w:val="006C62FF"/>
    <w:rsid w:val="006C76DF"/>
    <w:rsid w:val="006D639D"/>
    <w:rsid w:val="006D63ED"/>
    <w:rsid w:val="006E49DF"/>
    <w:rsid w:val="006E4E30"/>
    <w:rsid w:val="006E59CB"/>
    <w:rsid w:val="006E7240"/>
    <w:rsid w:val="006F3BEB"/>
    <w:rsid w:val="00700209"/>
    <w:rsid w:val="007076A3"/>
    <w:rsid w:val="00717584"/>
    <w:rsid w:val="00725C3C"/>
    <w:rsid w:val="0072631A"/>
    <w:rsid w:val="007308D3"/>
    <w:rsid w:val="0073314E"/>
    <w:rsid w:val="00735602"/>
    <w:rsid w:val="0073683E"/>
    <w:rsid w:val="00740D21"/>
    <w:rsid w:val="007410D6"/>
    <w:rsid w:val="00745107"/>
    <w:rsid w:val="0075053C"/>
    <w:rsid w:val="00754412"/>
    <w:rsid w:val="00764873"/>
    <w:rsid w:val="00774C32"/>
    <w:rsid w:val="0078063F"/>
    <w:rsid w:val="00780732"/>
    <w:rsid w:val="007849F7"/>
    <w:rsid w:val="007B0FD1"/>
    <w:rsid w:val="007C0795"/>
    <w:rsid w:val="007C3070"/>
    <w:rsid w:val="007C40D4"/>
    <w:rsid w:val="007C4823"/>
    <w:rsid w:val="007D0F5C"/>
    <w:rsid w:val="007D3879"/>
    <w:rsid w:val="007D4A42"/>
    <w:rsid w:val="007E15C7"/>
    <w:rsid w:val="007E3951"/>
    <w:rsid w:val="007E6A0D"/>
    <w:rsid w:val="007E706A"/>
    <w:rsid w:val="007E7813"/>
    <w:rsid w:val="007E7CB8"/>
    <w:rsid w:val="007F032E"/>
    <w:rsid w:val="007F1321"/>
    <w:rsid w:val="007F3ED9"/>
    <w:rsid w:val="007F4693"/>
    <w:rsid w:val="007F7B21"/>
    <w:rsid w:val="00801C1C"/>
    <w:rsid w:val="00816AFF"/>
    <w:rsid w:val="00844948"/>
    <w:rsid w:val="00845481"/>
    <w:rsid w:val="008703E6"/>
    <w:rsid w:val="00871FAB"/>
    <w:rsid w:val="00876F10"/>
    <w:rsid w:val="00891039"/>
    <w:rsid w:val="00891117"/>
    <w:rsid w:val="00892567"/>
    <w:rsid w:val="008A0E9E"/>
    <w:rsid w:val="008A4BE7"/>
    <w:rsid w:val="008A5ACA"/>
    <w:rsid w:val="008A72B2"/>
    <w:rsid w:val="008B3DEE"/>
    <w:rsid w:val="008C0767"/>
    <w:rsid w:val="008C47BE"/>
    <w:rsid w:val="008C6FB9"/>
    <w:rsid w:val="008C719F"/>
    <w:rsid w:val="008D253A"/>
    <w:rsid w:val="008D4478"/>
    <w:rsid w:val="008E25C3"/>
    <w:rsid w:val="008E3AC3"/>
    <w:rsid w:val="008E3DF5"/>
    <w:rsid w:val="008F0607"/>
    <w:rsid w:val="008F225F"/>
    <w:rsid w:val="008F2B00"/>
    <w:rsid w:val="008F71D7"/>
    <w:rsid w:val="008F7580"/>
    <w:rsid w:val="0090055E"/>
    <w:rsid w:val="00903DA2"/>
    <w:rsid w:val="00924FB5"/>
    <w:rsid w:val="0093043C"/>
    <w:rsid w:val="009417C4"/>
    <w:rsid w:val="00943787"/>
    <w:rsid w:val="00951408"/>
    <w:rsid w:val="0097365B"/>
    <w:rsid w:val="00977E08"/>
    <w:rsid w:val="009864D1"/>
    <w:rsid w:val="009947FC"/>
    <w:rsid w:val="009B0159"/>
    <w:rsid w:val="009B2FC8"/>
    <w:rsid w:val="009B3000"/>
    <w:rsid w:val="009C2914"/>
    <w:rsid w:val="009C3083"/>
    <w:rsid w:val="009C647E"/>
    <w:rsid w:val="009C7A63"/>
    <w:rsid w:val="009D583F"/>
    <w:rsid w:val="009E68CD"/>
    <w:rsid w:val="009E7E67"/>
    <w:rsid w:val="009E7E97"/>
    <w:rsid w:val="009F20EB"/>
    <w:rsid w:val="009F760D"/>
    <w:rsid w:val="00A028DD"/>
    <w:rsid w:val="00A02AFB"/>
    <w:rsid w:val="00A04A75"/>
    <w:rsid w:val="00A20F1D"/>
    <w:rsid w:val="00A22FC8"/>
    <w:rsid w:val="00A31745"/>
    <w:rsid w:val="00A41FE8"/>
    <w:rsid w:val="00A50B99"/>
    <w:rsid w:val="00A515A0"/>
    <w:rsid w:val="00A51A08"/>
    <w:rsid w:val="00A80482"/>
    <w:rsid w:val="00A92B9B"/>
    <w:rsid w:val="00A9685C"/>
    <w:rsid w:val="00A97750"/>
    <w:rsid w:val="00AA6449"/>
    <w:rsid w:val="00AB2579"/>
    <w:rsid w:val="00AB7D39"/>
    <w:rsid w:val="00AD0028"/>
    <w:rsid w:val="00AD2EC4"/>
    <w:rsid w:val="00AD37B4"/>
    <w:rsid w:val="00AD3DF4"/>
    <w:rsid w:val="00AE4564"/>
    <w:rsid w:val="00B0458E"/>
    <w:rsid w:val="00B0483D"/>
    <w:rsid w:val="00B26D65"/>
    <w:rsid w:val="00B40C51"/>
    <w:rsid w:val="00B40FF5"/>
    <w:rsid w:val="00B4254A"/>
    <w:rsid w:val="00B524C9"/>
    <w:rsid w:val="00B56826"/>
    <w:rsid w:val="00B569BA"/>
    <w:rsid w:val="00B66BBE"/>
    <w:rsid w:val="00B73ADF"/>
    <w:rsid w:val="00B7726F"/>
    <w:rsid w:val="00B77A99"/>
    <w:rsid w:val="00B81DA1"/>
    <w:rsid w:val="00B9247C"/>
    <w:rsid w:val="00BA696E"/>
    <w:rsid w:val="00BB6214"/>
    <w:rsid w:val="00BC041C"/>
    <w:rsid w:val="00BC3834"/>
    <w:rsid w:val="00BD0E95"/>
    <w:rsid w:val="00BE3EED"/>
    <w:rsid w:val="00BE7C44"/>
    <w:rsid w:val="00BF1FE7"/>
    <w:rsid w:val="00C226E6"/>
    <w:rsid w:val="00C25BFB"/>
    <w:rsid w:val="00C27C86"/>
    <w:rsid w:val="00C32BAE"/>
    <w:rsid w:val="00C336C9"/>
    <w:rsid w:val="00C33F62"/>
    <w:rsid w:val="00C34A04"/>
    <w:rsid w:val="00C34CBA"/>
    <w:rsid w:val="00C44DBE"/>
    <w:rsid w:val="00C45DC0"/>
    <w:rsid w:val="00C521B2"/>
    <w:rsid w:val="00C633B8"/>
    <w:rsid w:val="00C72DA4"/>
    <w:rsid w:val="00C76DF1"/>
    <w:rsid w:val="00C87361"/>
    <w:rsid w:val="00C94C4C"/>
    <w:rsid w:val="00C951DB"/>
    <w:rsid w:val="00CA0EE1"/>
    <w:rsid w:val="00CA1F09"/>
    <w:rsid w:val="00CA3112"/>
    <w:rsid w:val="00CB14C6"/>
    <w:rsid w:val="00CB50AA"/>
    <w:rsid w:val="00CC0652"/>
    <w:rsid w:val="00CC20AB"/>
    <w:rsid w:val="00CC4FB5"/>
    <w:rsid w:val="00CD24BD"/>
    <w:rsid w:val="00CF2944"/>
    <w:rsid w:val="00CF3DB0"/>
    <w:rsid w:val="00CF605F"/>
    <w:rsid w:val="00D03B6F"/>
    <w:rsid w:val="00D073A6"/>
    <w:rsid w:val="00D07B07"/>
    <w:rsid w:val="00D1656E"/>
    <w:rsid w:val="00D27A2A"/>
    <w:rsid w:val="00D34452"/>
    <w:rsid w:val="00D36521"/>
    <w:rsid w:val="00D42847"/>
    <w:rsid w:val="00D5436B"/>
    <w:rsid w:val="00D55185"/>
    <w:rsid w:val="00D56CF5"/>
    <w:rsid w:val="00D66282"/>
    <w:rsid w:val="00D676EE"/>
    <w:rsid w:val="00D7219A"/>
    <w:rsid w:val="00D738DC"/>
    <w:rsid w:val="00D73BAE"/>
    <w:rsid w:val="00D77D7F"/>
    <w:rsid w:val="00D8479A"/>
    <w:rsid w:val="00D90527"/>
    <w:rsid w:val="00D9707C"/>
    <w:rsid w:val="00DA3F1B"/>
    <w:rsid w:val="00DB521C"/>
    <w:rsid w:val="00DC40A4"/>
    <w:rsid w:val="00DC58A0"/>
    <w:rsid w:val="00DC6598"/>
    <w:rsid w:val="00DD6916"/>
    <w:rsid w:val="00DE0C93"/>
    <w:rsid w:val="00E026AF"/>
    <w:rsid w:val="00E07262"/>
    <w:rsid w:val="00E139AD"/>
    <w:rsid w:val="00E27F20"/>
    <w:rsid w:val="00E34DF3"/>
    <w:rsid w:val="00E368E7"/>
    <w:rsid w:val="00E522D4"/>
    <w:rsid w:val="00E67BB5"/>
    <w:rsid w:val="00E74029"/>
    <w:rsid w:val="00E825B6"/>
    <w:rsid w:val="00E9324C"/>
    <w:rsid w:val="00E93BF3"/>
    <w:rsid w:val="00E96B9E"/>
    <w:rsid w:val="00EA34C1"/>
    <w:rsid w:val="00EA6915"/>
    <w:rsid w:val="00EB1333"/>
    <w:rsid w:val="00EB19DA"/>
    <w:rsid w:val="00EB265C"/>
    <w:rsid w:val="00EB7FBE"/>
    <w:rsid w:val="00EC1465"/>
    <w:rsid w:val="00EC1C01"/>
    <w:rsid w:val="00EC1D00"/>
    <w:rsid w:val="00EC35BC"/>
    <w:rsid w:val="00EC6ABA"/>
    <w:rsid w:val="00ED0FAE"/>
    <w:rsid w:val="00ED4BAF"/>
    <w:rsid w:val="00ED70A0"/>
    <w:rsid w:val="00ED71E1"/>
    <w:rsid w:val="00EE161E"/>
    <w:rsid w:val="00EE1896"/>
    <w:rsid w:val="00EE750E"/>
    <w:rsid w:val="00EF44D3"/>
    <w:rsid w:val="00F062D1"/>
    <w:rsid w:val="00F0702B"/>
    <w:rsid w:val="00F105EE"/>
    <w:rsid w:val="00F10CEE"/>
    <w:rsid w:val="00F13263"/>
    <w:rsid w:val="00F3587D"/>
    <w:rsid w:val="00F3717C"/>
    <w:rsid w:val="00F411D0"/>
    <w:rsid w:val="00F41361"/>
    <w:rsid w:val="00F52F85"/>
    <w:rsid w:val="00F574E0"/>
    <w:rsid w:val="00F86F1D"/>
    <w:rsid w:val="00FA4E1B"/>
    <w:rsid w:val="00FB716A"/>
    <w:rsid w:val="00FE3BAC"/>
    <w:rsid w:val="00FE3F81"/>
    <w:rsid w:val="00FE6A44"/>
    <w:rsid w:val="00FE714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571"/>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91584067">
      <w:bodyDiv w:val="1"/>
      <w:marLeft w:val="0"/>
      <w:marRight w:val="0"/>
      <w:marTop w:val="0"/>
      <w:marBottom w:val="0"/>
      <w:divBdr>
        <w:top w:val="none" w:sz="0" w:space="0" w:color="auto"/>
        <w:left w:val="none" w:sz="0" w:space="0" w:color="auto"/>
        <w:bottom w:val="none" w:sz="0" w:space="0" w:color="auto"/>
        <w:right w:val="none" w:sz="0" w:space="0" w:color="auto"/>
      </w:divBdr>
      <w:divsChild>
        <w:div w:id="693267467">
          <w:marLeft w:val="0"/>
          <w:marRight w:val="0"/>
          <w:marTop w:val="0"/>
          <w:marBottom w:val="0"/>
          <w:divBdr>
            <w:top w:val="none" w:sz="0" w:space="0" w:color="auto"/>
            <w:left w:val="none" w:sz="0" w:space="0" w:color="auto"/>
            <w:bottom w:val="none" w:sz="0" w:space="0" w:color="auto"/>
            <w:right w:val="none" w:sz="0" w:space="0" w:color="auto"/>
          </w:divBdr>
          <w:divsChild>
            <w:div w:id="9397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0251">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21601507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2297123">
      <w:bodyDiv w:val="1"/>
      <w:marLeft w:val="0"/>
      <w:marRight w:val="0"/>
      <w:marTop w:val="0"/>
      <w:marBottom w:val="0"/>
      <w:divBdr>
        <w:top w:val="none" w:sz="0" w:space="0" w:color="auto"/>
        <w:left w:val="none" w:sz="0" w:space="0" w:color="auto"/>
        <w:bottom w:val="none" w:sz="0" w:space="0" w:color="auto"/>
        <w:right w:val="none" w:sz="0" w:space="0" w:color="auto"/>
      </w:divBdr>
      <w:divsChild>
        <w:div w:id="992685720">
          <w:marLeft w:val="0"/>
          <w:marRight w:val="0"/>
          <w:marTop w:val="0"/>
          <w:marBottom w:val="0"/>
          <w:divBdr>
            <w:top w:val="none" w:sz="0" w:space="0" w:color="auto"/>
            <w:left w:val="none" w:sz="0" w:space="0" w:color="auto"/>
            <w:bottom w:val="none" w:sz="0" w:space="0" w:color="auto"/>
            <w:right w:val="none" w:sz="0" w:space="0" w:color="auto"/>
          </w:divBdr>
          <w:divsChild>
            <w:div w:id="1601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42363754">
      <w:bodyDiv w:val="1"/>
      <w:marLeft w:val="0"/>
      <w:marRight w:val="0"/>
      <w:marTop w:val="0"/>
      <w:marBottom w:val="0"/>
      <w:divBdr>
        <w:top w:val="none" w:sz="0" w:space="0" w:color="auto"/>
        <w:left w:val="none" w:sz="0" w:space="0" w:color="auto"/>
        <w:bottom w:val="none" w:sz="0" w:space="0" w:color="auto"/>
        <w:right w:val="none" w:sz="0" w:space="0" w:color="auto"/>
      </w:divBdr>
    </w:div>
    <w:div w:id="360280568">
      <w:bodyDiv w:val="1"/>
      <w:marLeft w:val="0"/>
      <w:marRight w:val="0"/>
      <w:marTop w:val="0"/>
      <w:marBottom w:val="0"/>
      <w:divBdr>
        <w:top w:val="none" w:sz="0" w:space="0" w:color="auto"/>
        <w:left w:val="none" w:sz="0" w:space="0" w:color="auto"/>
        <w:bottom w:val="none" w:sz="0" w:space="0" w:color="auto"/>
        <w:right w:val="none" w:sz="0" w:space="0" w:color="auto"/>
      </w:divBdr>
      <w:divsChild>
        <w:div w:id="2119979358">
          <w:marLeft w:val="-720"/>
          <w:marRight w:val="0"/>
          <w:marTop w:val="0"/>
          <w:marBottom w:val="0"/>
          <w:divBdr>
            <w:top w:val="none" w:sz="0" w:space="0" w:color="auto"/>
            <w:left w:val="none" w:sz="0" w:space="0" w:color="auto"/>
            <w:bottom w:val="none" w:sz="0" w:space="0" w:color="auto"/>
            <w:right w:val="none" w:sz="0" w:space="0" w:color="auto"/>
          </w:divBdr>
        </w:div>
      </w:divsChild>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369308454">
      <w:bodyDiv w:val="1"/>
      <w:marLeft w:val="0"/>
      <w:marRight w:val="0"/>
      <w:marTop w:val="0"/>
      <w:marBottom w:val="0"/>
      <w:divBdr>
        <w:top w:val="none" w:sz="0" w:space="0" w:color="auto"/>
        <w:left w:val="none" w:sz="0" w:space="0" w:color="auto"/>
        <w:bottom w:val="none" w:sz="0" w:space="0" w:color="auto"/>
        <w:right w:val="none" w:sz="0" w:space="0" w:color="auto"/>
      </w:divBdr>
      <w:divsChild>
        <w:div w:id="401564369">
          <w:marLeft w:val="-720"/>
          <w:marRight w:val="0"/>
          <w:marTop w:val="0"/>
          <w:marBottom w:val="0"/>
          <w:divBdr>
            <w:top w:val="none" w:sz="0" w:space="0" w:color="auto"/>
            <w:left w:val="none" w:sz="0" w:space="0" w:color="auto"/>
            <w:bottom w:val="none" w:sz="0" w:space="0" w:color="auto"/>
            <w:right w:val="none" w:sz="0" w:space="0" w:color="auto"/>
          </w:divBdr>
        </w:div>
      </w:divsChild>
    </w:div>
    <w:div w:id="389811048">
      <w:bodyDiv w:val="1"/>
      <w:marLeft w:val="0"/>
      <w:marRight w:val="0"/>
      <w:marTop w:val="0"/>
      <w:marBottom w:val="0"/>
      <w:divBdr>
        <w:top w:val="none" w:sz="0" w:space="0" w:color="auto"/>
        <w:left w:val="none" w:sz="0" w:space="0" w:color="auto"/>
        <w:bottom w:val="none" w:sz="0" w:space="0" w:color="auto"/>
        <w:right w:val="none" w:sz="0" w:space="0" w:color="auto"/>
      </w:divBdr>
      <w:divsChild>
        <w:div w:id="1670255618">
          <w:marLeft w:val="0"/>
          <w:marRight w:val="0"/>
          <w:marTop w:val="0"/>
          <w:marBottom w:val="0"/>
          <w:divBdr>
            <w:top w:val="none" w:sz="0" w:space="0" w:color="auto"/>
            <w:left w:val="none" w:sz="0" w:space="0" w:color="auto"/>
            <w:bottom w:val="none" w:sz="0" w:space="0" w:color="auto"/>
            <w:right w:val="none" w:sz="0" w:space="0" w:color="auto"/>
          </w:divBdr>
          <w:divsChild>
            <w:div w:id="162241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3893">
      <w:bodyDiv w:val="1"/>
      <w:marLeft w:val="0"/>
      <w:marRight w:val="0"/>
      <w:marTop w:val="0"/>
      <w:marBottom w:val="0"/>
      <w:divBdr>
        <w:top w:val="none" w:sz="0" w:space="0" w:color="auto"/>
        <w:left w:val="none" w:sz="0" w:space="0" w:color="auto"/>
        <w:bottom w:val="none" w:sz="0" w:space="0" w:color="auto"/>
        <w:right w:val="none" w:sz="0" w:space="0" w:color="auto"/>
      </w:divBdr>
      <w:divsChild>
        <w:div w:id="829173090">
          <w:marLeft w:val="-720"/>
          <w:marRight w:val="0"/>
          <w:marTop w:val="0"/>
          <w:marBottom w:val="0"/>
          <w:divBdr>
            <w:top w:val="none" w:sz="0" w:space="0" w:color="auto"/>
            <w:left w:val="none" w:sz="0" w:space="0" w:color="auto"/>
            <w:bottom w:val="none" w:sz="0" w:space="0" w:color="auto"/>
            <w:right w:val="none" w:sz="0" w:space="0" w:color="auto"/>
          </w:divBdr>
        </w:div>
      </w:divsChild>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472524963">
      <w:bodyDiv w:val="1"/>
      <w:marLeft w:val="0"/>
      <w:marRight w:val="0"/>
      <w:marTop w:val="0"/>
      <w:marBottom w:val="0"/>
      <w:divBdr>
        <w:top w:val="none" w:sz="0" w:space="0" w:color="auto"/>
        <w:left w:val="none" w:sz="0" w:space="0" w:color="auto"/>
        <w:bottom w:val="none" w:sz="0" w:space="0" w:color="auto"/>
        <w:right w:val="none" w:sz="0" w:space="0" w:color="auto"/>
      </w:divBdr>
    </w:div>
    <w:div w:id="492793082">
      <w:bodyDiv w:val="1"/>
      <w:marLeft w:val="0"/>
      <w:marRight w:val="0"/>
      <w:marTop w:val="0"/>
      <w:marBottom w:val="0"/>
      <w:divBdr>
        <w:top w:val="none" w:sz="0" w:space="0" w:color="auto"/>
        <w:left w:val="none" w:sz="0" w:space="0" w:color="auto"/>
        <w:bottom w:val="none" w:sz="0" w:space="0" w:color="auto"/>
        <w:right w:val="none" w:sz="0" w:space="0" w:color="auto"/>
      </w:divBdr>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1811071">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028600523">
      <w:bodyDiv w:val="1"/>
      <w:marLeft w:val="0"/>
      <w:marRight w:val="0"/>
      <w:marTop w:val="0"/>
      <w:marBottom w:val="0"/>
      <w:divBdr>
        <w:top w:val="none" w:sz="0" w:space="0" w:color="auto"/>
        <w:left w:val="none" w:sz="0" w:space="0" w:color="auto"/>
        <w:bottom w:val="none" w:sz="0" w:space="0" w:color="auto"/>
        <w:right w:val="none" w:sz="0" w:space="0" w:color="auto"/>
      </w:divBdr>
      <w:divsChild>
        <w:div w:id="1503932377">
          <w:marLeft w:val="-720"/>
          <w:marRight w:val="0"/>
          <w:marTop w:val="0"/>
          <w:marBottom w:val="0"/>
          <w:divBdr>
            <w:top w:val="none" w:sz="0" w:space="0" w:color="auto"/>
            <w:left w:val="none" w:sz="0" w:space="0" w:color="auto"/>
            <w:bottom w:val="none" w:sz="0" w:space="0" w:color="auto"/>
            <w:right w:val="none" w:sz="0" w:space="0" w:color="auto"/>
          </w:divBdr>
        </w:div>
      </w:divsChild>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152595785">
      <w:bodyDiv w:val="1"/>
      <w:marLeft w:val="0"/>
      <w:marRight w:val="0"/>
      <w:marTop w:val="0"/>
      <w:marBottom w:val="0"/>
      <w:divBdr>
        <w:top w:val="none" w:sz="0" w:space="0" w:color="auto"/>
        <w:left w:val="none" w:sz="0" w:space="0" w:color="auto"/>
        <w:bottom w:val="none" w:sz="0" w:space="0" w:color="auto"/>
        <w:right w:val="none" w:sz="0" w:space="0" w:color="auto"/>
      </w:divBdr>
      <w:divsChild>
        <w:div w:id="308100105">
          <w:marLeft w:val="-720"/>
          <w:marRight w:val="0"/>
          <w:marTop w:val="0"/>
          <w:marBottom w:val="0"/>
          <w:divBdr>
            <w:top w:val="none" w:sz="0" w:space="0" w:color="auto"/>
            <w:left w:val="none" w:sz="0" w:space="0" w:color="auto"/>
            <w:bottom w:val="none" w:sz="0" w:space="0" w:color="auto"/>
            <w:right w:val="none" w:sz="0" w:space="0" w:color="auto"/>
          </w:divBdr>
        </w:div>
      </w:divsChild>
    </w:div>
    <w:div w:id="1173958709">
      <w:bodyDiv w:val="1"/>
      <w:marLeft w:val="0"/>
      <w:marRight w:val="0"/>
      <w:marTop w:val="0"/>
      <w:marBottom w:val="0"/>
      <w:divBdr>
        <w:top w:val="none" w:sz="0" w:space="0" w:color="auto"/>
        <w:left w:val="none" w:sz="0" w:space="0" w:color="auto"/>
        <w:bottom w:val="none" w:sz="0" w:space="0" w:color="auto"/>
        <w:right w:val="none" w:sz="0" w:space="0" w:color="auto"/>
      </w:divBdr>
      <w:divsChild>
        <w:div w:id="675423526">
          <w:marLeft w:val="-720"/>
          <w:marRight w:val="0"/>
          <w:marTop w:val="0"/>
          <w:marBottom w:val="0"/>
          <w:divBdr>
            <w:top w:val="none" w:sz="0" w:space="0" w:color="auto"/>
            <w:left w:val="none" w:sz="0" w:space="0" w:color="auto"/>
            <w:bottom w:val="none" w:sz="0" w:space="0" w:color="auto"/>
            <w:right w:val="none" w:sz="0" w:space="0" w:color="auto"/>
          </w:divBdr>
        </w:div>
      </w:divsChild>
    </w:div>
    <w:div w:id="1222792197">
      <w:bodyDiv w:val="1"/>
      <w:marLeft w:val="0"/>
      <w:marRight w:val="0"/>
      <w:marTop w:val="0"/>
      <w:marBottom w:val="0"/>
      <w:divBdr>
        <w:top w:val="none" w:sz="0" w:space="0" w:color="auto"/>
        <w:left w:val="none" w:sz="0" w:space="0" w:color="auto"/>
        <w:bottom w:val="none" w:sz="0" w:space="0" w:color="auto"/>
        <w:right w:val="none" w:sz="0" w:space="0" w:color="auto"/>
      </w:divBdr>
      <w:divsChild>
        <w:div w:id="1773549250">
          <w:marLeft w:val="-720"/>
          <w:marRight w:val="0"/>
          <w:marTop w:val="0"/>
          <w:marBottom w:val="0"/>
          <w:divBdr>
            <w:top w:val="none" w:sz="0" w:space="0" w:color="auto"/>
            <w:left w:val="none" w:sz="0" w:space="0" w:color="auto"/>
            <w:bottom w:val="none" w:sz="0" w:space="0" w:color="auto"/>
            <w:right w:val="none" w:sz="0" w:space="0" w:color="auto"/>
          </w:divBdr>
        </w:div>
      </w:divsChild>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33605584">
      <w:bodyDiv w:val="1"/>
      <w:marLeft w:val="0"/>
      <w:marRight w:val="0"/>
      <w:marTop w:val="0"/>
      <w:marBottom w:val="0"/>
      <w:divBdr>
        <w:top w:val="none" w:sz="0" w:space="0" w:color="auto"/>
        <w:left w:val="none" w:sz="0" w:space="0" w:color="auto"/>
        <w:bottom w:val="none" w:sz="0" w:space="0" w:color="auto"/>
        <w:right w:val="none" w:sz="0" w:space="0" w:color="auto"/>
      </w:divBdr>
      <w:divsChild>
        <w:div w:id="758867720">
          <w:marLeft w:val="0"/>
          <w:marRight w:val="0"/>
          <w:marTop w:val="0"/>
          <w:marBottom w:val="0"/>
          <w:divBdr>
            <w:top w:val="none" w:sz="0" w:space="0" w:color="auto"/>
            <w:left w:val="none" w:sz="0" w:space="0" w:color="auto"/>
            <w:bottom w:val="none" w:sz="0" w:space="0" w:color="auto"/>
            <w:right w:val="none" w:sz="0" w:space="0" w:color="auto"/>
          </w:divBdr>
          <w:divsChild>
            <w:div w:id="24715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32302616">
      <w:bodyDiv w:val="1"/>
      <w:marLeft w:val="0"/>
      <w:marRight w:val="0"/>
      <w:marTop w:val="0"/>
      <w:marBottom w:val="0"/>
      <w:divBdr>
        <w:top w:val="none" w:sz="0" w:space="0" w:color="auto"/>
        <w:left w:val="none" w:sz="0" w:space="0" w:color="auto"/>
        <w:bottom w:val="none" w:sz="0" w:space="0" w:color="auto"/>
        <w:right w:val="none" w:sz="0" w:space="0" w:color="auto"/>
      </w:divBdr>
      <w:divsChild>
        <w:div w:id="951211009">
          <w:marLeft w:val="-720"/>
          <w:marRight w:val="0"/>
          <w:marTop w:val="0"/>
          <w:marBottom w:val="0"/>
          <w:divBdr>
            <w:top w:val="none" w:sz="0" w:space="0" w:color="auto"/>
            <w:left w:val="none" w:sz="0" w:space="0" w:color="auto"/>
            <w:bottom w:val="none" w:sz="0" w:space="0" w:color="auto"/>
            <w:right w:val="none" w:sz="0" w:space="0" w:color="auto"/>
          </w:divBdr>
        </w:div>
      </w:divsChild>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670018506">
      <w:bodyDiv w:val="1"/>
      <w:marLeft w:val="0"/>
      <w:marRight w:val="0"/>
      <w:marTop w:val="0"/>
      <w:marBottom w:val="0"/>
      <w:divBdr>
        <w:top w:val="none" w:sz="0" w:space="0" w:color="auto"/>
        <w:left w:val="none" w:sz="0" w:space="0" w:color="auto"/>
        <w:bottom w:val="none" w:sz="0" w:space="0" w:color="auto"/>
        <w:right w:val="none" w:sz="0" w:space="0" w:color="auto"/>
      </w:divBdr>
    </w:div>
    <w:div w:id="1672293360">
      <w:bodyDiv w:val="1"/>
      <w:marLeft w:val="0"/>
      <w:marRight w:val="0"/>
      <w:marTop w:val="0"/>
      <w:marBottom w:val="0"/>
      <w:divBdr>
        <w:top w:val="none" w:sz="0" w:space="0" w:color="auto"/>
        <w:left w:val="none" w:sz="0" w:space="0" w:color="auto"/>
        <w:bottom w:val="none" w:sz="0" w:space="0" w:color="auto"/>
        <w:right w:val="none" w:sz="0" w:space="0" w:color="auto"/>
      </w:divBdr>
      <w:divsChild>
        <w:div w:id="1345353045">
          <w:marLeft w:val="-720"/>
          <w:marRight w:val="0"/>
          <w:marTop w:val="0"/>
          <w:marBottom w:val="0"/>
          <w:divBdr>
            <w:top w:val="none" w:sz="0" w:space="0" w:color="auto"/>
            <w:left w:val="none" w:sz="0" w:space="0" w:color="auto"/>
            <w:bottom w:val="none" w:sz="0" w:space="0" w:color="auto"/>
            <w:right w:val="none" w:sz="0" w:space="0" w:color="auto"/>
          </w:divBdr>
        </w:div>
      </w:divsChild>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 w:id="1816795857">
      <w:bodyDiv w:val="1"/>
      <w:marLeft w:val="0"/>
      <w:marRight w:val="0"/>
      <w:marTop w:val="0"/>
      <w:marBottom w:val="0"/>
      <w:divBdr>
        <w:top w:val="none" w:sz="0" w:space="0" w:color="auto"/>
        <w:left w:val="none" w:sz="0" w:space="0" w:color="auto"/>
        <w:bottom w:val="none" w:sz="0" w:space="0" w:color="auto"/>
        <w:right w:val="none" w:sz="0" w:space="0" w:color="auto"/>
      </w:divBdr>
    </w:div>
    <w:div w:id="1973710498">
      <w:bodyDiv w:val="1"/>
      <w:marLeft w:val="0"/>
      <w:marRight w:val="0"/>
      <w:marTop w:val="0"/>
      <w:marBottom w:val="0"/>
      <w:divBdr>
        <w:top w:val="none" w:sz="0" w:space="0" w:color="auto"/>
        <w:left w:val="none" w:sz="0" w:space="0" w:color="auto"/>
        <w:bottom w:val="none" w:sz="0" w:space="0" w:color="auto"/>
        <w:right w:val="none" w:sz="0" w:space="0" w:color="auto"/>
      </w:divBdr>
    </w:div>
    <w:div w:id="2069958039">
      <w:bodyDiv w:val="1"/>
      <w:marLeft w:val="0"/>
      <w:marRight w:val="0"/>
      <w:marTop w:val="0"/>
      <w:marBottom w:val="0"/>
      <w:divBdr>
        <w:top w:val="none" w:sz="0" w:space="0" w:color="auto"/>
        <w:left w:val="none" w:sz="0" w:space="0" w:color="auto"/>
        <w:bottom w:val="none" w:sz="0" w:space="0" w:color="auto"/>
        <w:right w:val="none" w:sz="0" w:space="0" w:color="auto"/>
      </w:divBdr>
    </w:div>
    <w:div w:id="2101439871">
      <w:bodyDiv w:val="1"/>
      <w:marLeft w:val="0"/>
      <w:marRight w:val="0"/>
      <w:marTop w:val="0"/>
      <w:marBottom w:val="0"/>
      <w:divBdr>
        <w:top w:val="none" w:sz="0" w:space="0" w:color="auto"/>
        <w:left w:val="none" w:sz="0" w:space="0" w:color="auto"/>
        <w:bottom w:val="none" w:sz="0" w:space="0" w:color="auto"/>
        <w:right w:val="none" w:sz="0" w:space="0" w:color="auto"/>
      </w:divBdr>
      <w:divsChild>
        <w:div w:id="222941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6272-E0F4-4E22-A8AD-633798B7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5556</TotalTime>
  <Pages>12</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 Vornicescu</cp:lastModifiedBy>
  <cp:revision>372</cp:revision>
  <dcterms:created xsi:type="dcterms:W3CDTF">2024-08-23T12:11:00Z</dcterms:created>
  <dcterms:modified xsi:type="dcterms:W3CDTF">2025-11-29T09:15:00Z</dcterms:modified>
</cp:coreProperties>
</file>