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64B067" w14:textId="7A677441" w:rsidR="00B93329" w:rsidRPr="0097166E" w:rsidRDefault="00155354" w:rsidP="00155354">
      <w:pPr>
        <w:spacing w:after="0"/>
        <w:contextualSpacing/>
        <w:jc w:val="center"/>
        <w:rPr>
          <w:rFonts w:ascii="Times New Roman" w:eastAsia="標楷體" w:hAnsi="Times New Roman" w:cs="Times New Roman"/>
          <w:b/>
          <w:sz w:val="40"/>
          <w:lang w:eastAsia="zh-TW"/>
        </w:rPr>
      </w:pPr>
      <w:r w:rsidRPr="0097166E">
        <w:rPr>
          <w:rFonts w:ascii="Times New Roman" w:eastAsia="標楷體" w:hAnsi="Times New Roman" w:cs="Times New Roman"/>
          <w:b/>
          <w:sz w:val="40"/>
          <w:lang w:eastAsia="zh-TW"/>
        </w:rPr>
        <w:t>學術指導英文翻譯與表述相關內容匯總</w:t>
      </w:r>
    </w:p>
    <w:p w14:paraId="5B557E35" w14:textId="5D720AFE" w:rsidR="00155354" w:rsidRPr="0097166E" w:rsidRDefault="00155354" w:rsidP="00AA5EB3">
      <w:pPr>
        <w:spacing w:after="0"/>
        <w:contextualSpacing/>
        <w:jc w:val="both"/>
        <w:rPr>
          <w:rFonts w:ascii="Times New Roman" w:eastAsia="標楷體" w:hAnsi="Times New Roman" w:cs="Times New Roman"/>
          <w:b/>
          <w:color w:val="7030A0"/>
          <w:sz w:val="32"/>
          <w:lang w:eastAsia="zh-TW"/>
        </w:rPr>
      </w:pPr>
    </w:p>
    <w:p w14:paraId="7B1C8DFB" w14:textId="036CDDDA" w:rsidR="00BF2681" w:rsidRPr="0097166E" w:rsidRDefault="0097166E" w:rsidP="00AA5EB3">
      <w:pPr>
        <w:spacing w:after="0"/>
        <w:jc w:val="both"/>
        <w:rPr>
          <w:rFonts w:ascii="Times New Roman" w:eastAsia="標楷體" w:hAnsi="Times New Roman" w:cs="Times New Roman"/>
          <w:sz w:val="36"/>
          <w:shd w:val="pct15" w:color="auto" w:fill="FFFFFF"/>
        </w:rPr>
      </w:pPr>
      <w:r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一、普遍</w:t>
      </w:r>
      <w:r w:rsidR="00BF2681"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問題</w:t>
      </w:r>
      <w:r w:rsidR="00BF2681"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 xml:space="preserve"> </w:t>
      </w:r>
    </w:p>
    <w:p w14:paraId="5F5606D6" w14:textId="77777777" w:rsidR="00155354" w:rsidRPr="0097166E" w:rsidRDefault="00155354" w:rsidP="00AA5EB3">
      <w:pPr>
        <w:spacing w:after="0"/>
        <w:contextualSpacing/>
        <w:jc w:val="both"/>
        <w:rPr>
          <w:rFonts w:ascii="Times New Roman" w:eastAsia="標楷體" w:hAnsi="Times New Roman" w:cs="Times New Roman"/>
          <w:b/>
          <w:color w:val="7030A0"/>
          <w:sz w:val="32"/>
          <w:lang w:eastAsia="zh-TW"/>
        </w:rPr>
      </w:pPr>
    </w:p>
    <w:p w14:paraId="2B90D96A" w14:textId="2F645D86" w:rsidR="00AA5EB3" w:rsidRPr="0097166E" w:rsidRDefault="00AA5EB3" w:rsidP="00AA5EB3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聖人、祖師大德說的話，可以用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teach,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12"/>
        </w:rPr>
        <w:t xml:space="preserve">  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offer, set out (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羅列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), advocate (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主張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), state, indicate…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不用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argue, warn us, remind us</w:t>
      </w:r>
      <w:bookmarkStart w:id="0" w:name="_GoBack"/>
      <w:bookmarkEnd w:id="0"/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，因為語氣不恰當，這些詞可以用於</w:t>
      </w:r>
      <w:r w:rsidR="0034267E"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其他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學者</w:t>
      </w:r>
      <w:r w:rsidR="0034267E"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，其他學者還可以用</w:t>
      </w:r>
      <w:r w:rsidR="0034267E"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say, write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。</w:t>
      </w:r>
    </w:p>
    <w:p w14:paraId="6EF17878" w14:textId="77777777" w:rsidR="00AA5EB3" w:rsidRPr="0097166E" w:rsidRDefault="00AA5EB3" w:rsidP="00AA5EB3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經典中說，可以用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teac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h us an important lesson/offer important teachings</w:t>
      </w:r>
    </w:p>
    <w:p w14:paraId="0ACD6674" w14:textId="77777777" w:rsidR="00663C8F" w:rsidRPr="0097166E" w:rsidRDefault="00663C8F" w:rsidP="00663C8F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鼓勵分辨與使用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argue, suggest, state, claim, expound, show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等各類表述用詞</w:t>
      </w:r>
    </w:p>
    <w:p w14:paraId="74E40D33" w14:textId="77777777" w:rsidR="00AA5EB3" w:rsidRPr="0097166E" w:rsidRDefault="00AA5EB3" w:rsidP="00AA5EB3">
      <w:pPr>
        <w:spacing w:after="0"/>
        <w:jc w:val="both"/>
        <w:rPr>
          <w:rFonts w:ascii="Times New Roman" w:eastAsia="標楷體" w:hAnsi="Times New Roman" w:cs="Times New Roman"/>
          <w:color w:val="1F3864" w:themeColor="accent1" w:themeShade="80"/>
          <w:sz w:val="32"/>
          <w:szCs w:val="24"/>
          <w:lang w:eastAsia="zh-TW"/>
        </w:rPr>
      </w:pPr>
    </w:p>
    <w:p w14:paraId="6BDB56C2" w14:textId="77777777" w:rsidR="00AA5EB3" w:rsidRPr="0097166E" w:rsidRDefault="00917817" w:rsidP="00AA5EB3">
      <w:pPr>
        <w:spacing w:after="0"/>
        <w:jc w:val="both"/>
        <w:rPr>
          <w:rFonts w:ascii="Times New Roman" w:eastAsia="標楷體" w:hAnsi="Times New Roman" w:cs="Times New Roman"/>
          <w:color w:val="000000" w:themeColor="text1"/>
          <w:sz w:val="28"/>
          <w:szCs w:val="24"/>
          <w:vertAlign w:val="superscript"/>
        </w:rPr>
      </w:pPr>
      <w:r w:rsidRPr="0097166E">
        <w:rPr>
          <w:rFonts w:ascii="Times New Roman" w:eastAsia="標楷體" w:hAnsi="Times New Roman" w:cs="Times New Roman"/>
          <w:b/>
          <w:color w:val="000000" w:themeColor="text1"/>
          <w:sz w:val="28"/>
          <w:szCs w:val="24"/>
        </w:rPr>
        <w:t>例如：</w:t>
      </w:r>
      <w:commentRangeStart w:id="1"/>
      <w:r w:rsidR="00AA5EB3" w:rsidRPr="0097166E">
        <w:rPr>
          <w:rFonts w:ascii="Times New Roman" w:eastAsia="標楷體" w:hAnsi="Times New Roman" w:cs="Times New Roman"/>
          <w:color w:val="000000" w:themeColor="text1"/>
          <w:sz w:val="28"/>
          <w:szCs w:val="24"/>
        </w:rPr>
        <w:t>Confucius</w:t>
      </w:r>
      <w:commentRangeEnd w:id="1"/>
      <w:r w:rsidR="00AA5EB3" w:rsidRPr="0097166E">
        <w:rPr>
          <w:rStyle w:val="a6"/>
          <w:rFonts w:ascii="Times New Roman" w:eastAsia="標楷體" w:hAnsi="Times New Roman" w:cs="Times New Roman"/>
          <w:color w:val="000000" w:themeColor="text1"/>
          <w:sz w:val="14"/>
        </w:rPr>
        <w:commentReference w:id="1"/>
      </w:r>
      <w:r w:rsidR="00AA5EB3" w:rsidRPr="0097166E">
        <w:rPr>
          <w:rFonts w:ascii="Times New Roman" w:eastAsia="標楷體" w:hAnsi="Times New Roman" w:cs="Times New Roman"/>
          <w:color w:val="000000" w:themeColor="text1"/>
          <w:sz w:val="28"/>
          <w:szCs w:val="24"/>
        </w:rPr>
        <w:t xml:space="preserve"> taught, ‘One who does not plan ahead, will inevitably experience worries.’</w:t>
      </w:r>
      <w:r w:rsidR="00AA5EB3" w:rsidRPr="0097166E">
        <w:rPr>
          <w:rFonts w:ascii="Times New Roman" w:eastAsia="標楷體" w:hAnsi="Times New Roman" w:cs="Times New Roman"/>
          <w:color w:val="000000" w:themeColor="text1"/>
          <w:sz w:val="24"/>
        </w:rPr>
        <w:t xml:space="preserve"> </w:t>
      </w:r>
      <w:r w:rsidR="00AA5EB3" w:rsidRPr="0097166E">
        <w:rPr>
          <w:rFonts w:ascii="Times New Roman" w:eastAsia="標楷體" w:hAnsi="Times New Roman" w:cs="Times New Roman"/>
          <w:color w:val="000000" w:themeColor="text1"/>
          <w:sz w:val="28"/>
          <w:szCs w:val="24"/>
        </w:rPr>
        <w:t>(</w:t>
      </w:r>
      <w:commentRangeStart w:id="2"/>
      <w:r w:rsidR="00AA5EB3" w:rsidRPr="0097166E">
        <w:rPr>
          <w:rFonts w:ascii="Times New Roman" w:eastAsia="標楷體" w:hAnsi="Times New Roman" w:cs="Times New Roman"/>
          <w:i/>
          <w:color w:val="000000" w:themeColor="text1"/>
          <w:sz w:val="28"/>
          <w:szCs w:val="24"/>
        </w:rPr>
        <w:t>Analects</w:t>
      </w:r>
      <w:commentRangeEnd w:id="2"/>
      <w:r w:rsidR="00AA5EB3" w:rsidRPr="0097166E">
        <w:rPr>
          <w:rStyle w:val="a6"/>
          <w:rFonts w:ascii="Times New Roman" w:eastAsia="標楷體" w:hAnsi="Times New Roman" w:cs="Times New Roman"/>
          <w:color w:val="000000" w:themeColor="text1"/>
          <w:sz w:val="14"/>
        </w:rPr>
        <w:commentReference w:id="2"/>
      </w:r>
      <w:r w:rsidR="00AA5EB3" w:rsidRPr="0097166E">
        <w:rPr>
          <w:rFonts w:ascii="Times New Roman" w:eastAsia="標楷體" w:hAnsi="Times New Roman" w:cs="Times New Roman"/>
          <w:color w:val="000000" w:themeColor="text1"/>
          <w:sz w:val="28"/>
          <w:szCs w:val="24"/>
        </w:rPr>
        <w:t>, XV:11)</w:t>
      </w:r>
      <w:commentRangeStart w:id="3"/>
      <w:r w:rsidR="00AA5EB3" w:rsidRPr="0097166E">
        <w:rPr>
          <w:rFonts w:ascii="Times New Roman" w:eastAsia="標楷體" w:hAnsi="Times New Roman" w:cs="Times New Roman"/>
          <w:color w:val="000000" w:themeColor="text1"/>
          <w:sz w:val="28"/>
          <w:szCs w:val="24"/>
          <w:vertAlign w:val="superscript"/>
        </w:rPr>
        <w:t>1</w:t>
      </w:r>
      <w:commentRangeEnd w:id="3"/>
      <w:r w:rsidR="00AA5EB3" w:rsidRPr="0097166E">
        <w:rPr>
          <w:rStyle w:val="a6"/>
          <w:rFonts w:ascii="Times New Roman" w:eastAsia="標楷體" w:hAnsi="Times New Roman" w:cs="Times New Roman"/>
          <w:color w:val="000000" w:themeColor="text1"/>
          <w:sz w:val="14"/>
        </w:rPr>
        <w:commentReference w:id="3"/>
      </w:r>
    </w:p>
    <w:p w14:paraId="589C4CC8" w14:textId="77777777" w:rsidR="00917817" w:rsidRPr="0097166E" w:rsidRDefault="00917817" w:rsidP="00AA5EB3">
      <w:pPr>
        <w:spacing w:after="0"/>
        <w:jc w:val="both"/>
        <w:rPr>
          <w:rFonts w:ascii="Times New Roman" w:eastAsia="標楷體" w:hAnsi="Times New Roman" w:cs="Times New Roman"/>
          <w:color w:val="2F5496" w:themeColor="accent1" w:themeShade="BF"/>
          <w:sz w:val="32"/>
          <w:szCs w:val="24"/>
        </w:rPr>
      </w:pPr>
    </w:p>
    <w:p w14:paraId="7F3A7BAE" w14:textId="77777777" w:rsidR="00917817" w:rsidRPr="0097166E" w:rsidRDefault="00917817" w:rsidP="00AA5EB3">
      <w:pPr>
        <w:spacing w:after="0"/>
        <w:jc w:val="both"/>
        <w:rPr>
          <w:rFonts w:ascii="Times New Roman" w:eastAsia="標楷體" w:hAnsi="Times New Roman" w:cs="Times New Roman"/>
          <w:sz w:val="32"/>
          <w:szCs w:val="24"/>
        </w:rPr>
      </w:pPr>
    </w:p>
    <w:p w14:paraId="01A7B90D" w14:textId="77777777" w:rsidR="00917817" w:rsidRPr="0097166E" w:rsidRDefault="00917817" w:rsidP="00917817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如果某某是複數的，在表示「某某的什麽」時，不用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sb.’s sth.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的形式，而是用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sth.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 xml:space="preserve"> 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of sb.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。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</w:rPr>
        <w:t>例如：</w:t>
      </w:r>
      <w:r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 xml:space="preserve"> </w:t>
      </w:r>
    </w:p>
    <w:p w14:paraId="1A72DE7F" w14:textId="77777777" w:rsidR="00AA5EB3" w:rsidRPr="0097166E" w:rsidRDefault="00917817" w:rsidP="00917817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7030A0"/>
          <w:sz w:val="32"/>
        </w:rPr>
      </w:pPr>
      <w:r w:rsidRPr="0097166E">
        <w:rPr>
          <w:rFonts w:ascii="Times New Roman" w:eastAsia="標楷體" w:hAnsi="Times New Roman" w:cs="Times New Roman"/>
          <w:b/>
          <w:color w:val="FF0000"/>
          <w:sz w:val="32"/>
          <w:lang w:eastAsia="zh-TW"/>
        </w:rPr>
        <w:t>ancient sages’ wisdom</w:t>
      </w:r>
      <w:r w:rsidRPr="0097166E">
        <w:rPr>
          <w:rFonts w:ascii="Times New Roman" w:eastAsia="標楷體" w:hAnsi="Times New Roman" w:cs="Times New Roman"/>
          <w:b/>
          <w:sz w:val="32"/>
          <w:highlight w:val="yellow"/>
        </w:rPr>
        <w:t>（不好）</w:t>
      </w:r>
      <w:r w:rsidRPr="0097166E">
        <w:rPr>
          <w:rFonts w:ascii="Times New Roman" w:eastAsia="標楷體" w:hAnsi="Times New Roman" w:cs="Times New Roman"/>
          <w:b/>
          <w:sz w:val="32"/>
          <w:lang w:eastAsia="zh-TW"/>
        </w:rPr>
        <w:t xml:space="preserve">  </w:t>
      </w:r>
      <w:r w:rsidRPr="0097166E">
        <w:rPr>
          <w:rFonts w:ascii="Times New Roman" w:eastAsia="標楷體" w:hAnsi="Times New Roman" w:cs="Times New Roman"/>
          <w:b/>
          <w:color w:val="000000" w:themeColor="text1"/>
          <w:sz w:val="32"/>
        </w:rPr>
        <w:t>改為</w:t>
      </w:r>
      <w:r w:rsidRPr="0097166E">
        <w:rPr>
          <w:rFonts w:ascii="Times New Roman" w:eastAsia="標楷體" w:hAnsi="Times New Roman" w:cs="Times New Roman"/>
          <w:b/>
          <w:color w:val="7030A0"/>
          <w:sz w:val="32"/>
        </w:rPr>
        <w:t xml:space="preserve"> </w:t>
      </w:r>
      <w:r w:rsidRPr="0097166E">
        <w:rPr>
          <w:rFonts w:ascii="Times New Roman" w:eastAsia="標楷體" w:hAnsi="Times New Roman" w:cs="Times New Roman"/>
          <w:b/>
          <w:color w:val="538135" w:themeColor="accent6" w:themeShade="BF"/>
          <w:sz w:val="32"/>
          <w:lang w:eastAsia="zh-TW"/>
        </w:rPr>
        <w:t xml:space="preserve">wisdom of ancient sages </w:t>
      </w:r>
      <w:r w:rsidRPr="0097166E">
        <w:rPr>
          <w:rFonts w:ascii="Times New Roman" w:eastAsia="標楷體" w:hAnsi="Times New Roman" w:cs="Times New Roman"/>
          <w:b/>
          <w:sz w:val="32"/>
          <w:highlight w:val="yellow"/>
        </w:rPr>
        <w:t>（好）</w:t>
      </w:r>
    </w:p>
    <w:p w14:paraId="43CE7F83" w14:textId="0ADD8087" w:rsidR="00917817" w:rsidRPr="0097166E" w:rsidRDefault="00917817" w:rsidP="00AA5EB3">
      <w:pPr>
        <w:spacing w:after="0"/>
        <w:jc w:val="both"/>
        <w:rPr>
          <w:rFonts w:ascii="Times New Roman" w:eastAsia="標楷體" w:hAnsi="Times New Roman" w:cs="Times New Roman"/>
          <w:sz w:val="52"/>
        </w:rPr>
      </w:pPr>
    </w:p>
    <w:p w14:paraId="3A874734" w14:textId="543DE48D" w:rsidR="00FD3F46" w:rsidRPr="0097166E" w:rsidRDefault="00FD3F46" w:rsidP="00FD3F46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確定自己所用的是「已經約定俗成的翻譯」。例如：</w:t>
      </w:r>
    </w:p>
    <w:p w14:paraId="6E9870B0" w14:textId="6F6A15C2" w:rsidR="00FD3F46" w:rsidRPr="0097166E" w:rsidRDefault="00FD3F46" w:rsidP="00FD3F46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>Shen Nong (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>神農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 xml:space="preserve">), 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>英文翻譯應該是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 xml:space="preserve">God Farmer 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</w:rPr>
        <w:t>還是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28"/>
          <w:lang w:eastAsia="zh-TW"/>
        </w:rPr>
        <w:t xml:space="preserve"> the God for farming?</w:t>
      </w:r>
    </w:p>
    <w:p w14:paraId="506B7740" w14:textId="09C28E33" w:rsidR="004C6E9D" w:rsidRPr="009A63D8" w:rsidRDefault="004C6E9D" w:rsidP="009A63D8">
      <w:pPr>
        <w:spacing w:after="0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0491604A" w14:textId="4C41F724" w:rsidR="004C6E9D" w:rsidRPr="0097166E" w:rsidRDefault="00D078F5" w:rsidP="004C6E9D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>
        <w:rPr>
          <w:rFonts w:ascii="Times New Roman" w:eastAsia="標楷體" w:hAnsi="Times New Roman" w:cs="Times New Roman" w:hint="eastAsia"/>
          <w:b/>
          <w:color w:val="1F3864" w:themeColor="accent1" w:themeShade="80"/>
          <w:sz w:val="32"/>
          <w:lang w:eastAsia="zh-TW"/>
        </w:rPr>
        <w:t>漢學院</w:t>
      </w:r>
      <w:r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最好能有一</w:t>
      </w:r>
      <w:r>
        <w:rPr>
          <w:rFonts w:ascii="Times New Roman" w:eastAsia="標楷體" w:hAnsi="Times New Roman" w:cs="Times New Roman" w:hint="eastAsia"/>
          <w:b/>
          <w:color w:val="1F3864" w:themeColor="accent1" w:themeShade="80"/>
          <w:sz w:val="32"/>
          <w:lang w:eastAsia="zh-TW"/>
        </w:rPr>
        <w:t>份統一的</w:t>
      </w:r>
      <w:r w:rsidR="004C6E9D"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《詞彙索引清單》，列出所有漢學名詞的中文、拼音、對應英文（可以不止一個英文備選單詞）以及簡單的釋義</w:t>
      </w:r>
      <w:r>
        <w:rPr>
          <w:rFonts w:ascii="Times New Roman" w:eastAsia="標楷體" w:hAnsi="Times New Roman" w:cs="Times New Roman" w:hint="eastAsia"/>
          <w:b/>
          <w:color w:val="1F3864" w:themeColor="accent1" w:themeShade="80"/>
          <w:sz w:val="32"/>
          <w:lang w:eastAsia="zh-TW"/>
        </w:rPr>
        <w:t>，以便讀者理解</w:t>
      </w:r>
      <w:r w:rsidR="004C6E9D"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。</w:t>
      </w:r>
    </w:p>
    <w:p w14:paraId="7B655A0A" w14:textId="77777777" w:rsidR="008C1755" w:rsidRPr="0097166E" w:rsidRDefault="008C1755" w:rsidP="008C1755">
      <w:pPr>
        <w:pStyle w:val="a9"/>
        <w:rPr>
          <w:rFonts w:ascii="Times New Roman" w:eastAsia="標楷體" w:hAnsi="Times New Roman" w:cs="Times New Roman"/>
          <w:b/>
          <w:color w:val="1F3864" w:themeColor="accent1" w:themeShade="80"/>
          <w:sz w:val="32"/>
          <w:highlight w:val="lightGray"/>
          <w:lang w:eastAsia="zh-TW"/>
        </w:rPr>
      </w:pPr>
    </w:p>
    <w:p w14:paraId="3C54916A" w14:textId="77777777" w:rsidR="008C1755" w:rsidRPr="0097166E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在一個中國概念的字詞後面要加括號，例如：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awakening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（覺悟）</w:t>
      </w:r>
    </w:p>
    <w:p w14:paraId="3E4C18E2" w14:textId="249D51B5" w:rsidR="008C1755" w:rsidRPr="0097166E" w:rsidRDefault="008C1755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如果引用祖師大德等人的話，要在後面稍加解釋。例如：引用蕅益大師的話，要在蕅益大師加註介紹。</w:t>
      </w:r>
    </w:p>
    <w:p w14:paraId="42544E8B" w14:textId="77777777" w:rsidR="006D141F" w:rsidRPr="0097166E" w:rsidRDefault="006D141F" w:rsidP="008C1755">
      <w:pPr>
        <w:pStyle w:val="a9"/>
        <w:spacing w:after="0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08635C17" w14:textId="3755F068" w:rsidR="008C1755" w:rsidRPr="0097166E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lastRenderedPageBreak/>
        <w:t>在寫學術論文時，用詞要嚴謹務實，不要大量使用感情過於豐富的單詞。忌吹牛。辭藻勿過於華麗。勿使用浮誇單詞。</w:t>
      </w:r>
    </w:p>
    <w:p w14:paraId="76F48B50" w14:textId="77777777" w:rsidR="006D141F" w:rsidRPr="0097166E" w:rsidRDefault="006D141F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6877C112" w14:textId="1E916B7C" w:rsidR="008C1755" w:rsidRPr="0097166E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對單詞和句子的取捨要把握好，不要貪多，一個句子不要包含太多內容，把要表達的意思一句一句表達。</w:t>
      </w:r>
    </w:p>
    <w:p w14:paraId="4BD52B6B" w14:textId="2728416A" w:rsidR="006D141F" w:rsidRPr="0097166E" w:rsidRDefault="006D141F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5536AD93" w14:textId="31F59F2B" w:rsidR="008C1755" w:rsidRPr="0097166E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善用連接詞：</w:t>
      </w:r>
    </w:p>
    <w:p w14:paraId="7C9250E8" w14:textId="1133DC97" w:rsidR="008C1755" w:rsidRPr="0097166E" w:rsidRDefault="008C1755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中文語法習慣用眾多意思相近的單詞來表示同一個概念，而英語表達方式只需簡潔明瞭讓人清楚我們欲表達意思即刻，切勿詞藻堆砌。例如：他個性成熟穩重，在英文當中只需表達出成熟即可，不需逐字翻譯。</w:t>
      </w:r>
    </w:p>
    <w:p w14:paraId="0DA23B2A" w14:textId="77777777" w:rsidR="0097166E" w:rsidRPr="0097166E" w:rsidRDefault="0097166E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17E9BA8E" w14:textId="23C4777A" w:rsidR="008C1755" w:rsidRPr="0097166E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連接詞後要加主詞。例如：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 xml:space="preserve">This is Alice’s first job, after </w:t>
      </w:r>
      <w:r w:rsidRPr="00FA7966">
        <w:rPr>
          <w:rFonts w:ascii="Times New Roman" w:eastAsia="標楷體" w:hAnsi="Times New Roman" w:cs="Times New Roman"/>
          <w:b/>
          <w:color w:val="FF0000"/>
          <w:sz w:val="32"/>
          <w:lang w:eastAsia="zh-TW"/>
        </w:rPr>
        <w:t>she</w:t>
      </w: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 xml:space="preserve"> graduated.</w:t>
      </w:r>
    </w:p>
    <w:p w14:paraId="43284628" w14:textId="77777777" w:rsidR="0097166E" w:rsidRPr="0097166E" w:rsidRDefault="0097166E" w:rsidP="007C4F72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</w:p>
    <w:p w14:paraId="7CA6A290" w14:textId="77777777" w:rsidR="008C1755" w:rsidRPr="007C4F72" w:rsidRDefault="008C1755" w:rsidP="007C4F72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1F3864" w:themeColor="accent1" w:themeShade="80"/>
          <w:sz w:val="32"/>
          <w:lang w:eastAsia="zh-TW"/>
        </w:rPr>
        <w:t>注意時態，尤其在引用例子的時候。</w:t>
      </w:r>
    </w:p>
    <w:p w14:paraId="1AD345A7" w14:textId="77777777" w:rsidR="008C1755" w:rsidRPr="0097166E" w:rsidRDefault="008C1755" w:rsidP="008C1755">
      <w:pPr>
        <w:pStyle w:val="a9"/>
        <w:spacing w:after="0"/>
        <w:ind w:left="284"/>
        <w:jc w:val="both"/>
        <w:rPr>
          <w:rFonts w:ascii="Times New Roman" w:eastAsia="標楷體" w:hAnsi="Times New Roman" w:cs="Times New Roman"/>
          <w:b/>
          <w:color w:val="000000" w:themeColor="text1"/>
          <w:sz w:val="32"/>
          <w:highlight w:val="lightGray"/>
          <w:lang w:eastAsia="zh-TW"/>
        </w:rPr>
      </w:pPr>
    </w:p>
    <w:p w14:paraId="16110966" w14:textId="104CFB5D" w:rsidR="006C063E" w:rsidRPr="0097166E" w:rsidRDefault="006C063E" w:rsidP="006C063E">
      <w:pPr>
        <w:spacing w:after="0"/>
        <w:jc w:val="both"/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</w:pPr>
    </w:p>
    <w:p w14:paraId="4D993408" w14:textId="64B9AA37" w:rsidR="006C063E" w:rsidRPr="0097166E" w:rsidRDefault="006C063E" w:rsidP="006C063E">
      <w:pPr>
        <w:pStyle w:val="a9"/>
        <w:numPr>
          <w:ilvl w:val="0"/>
          <w:numId w:val="1"/>
        </w:numPr>
        <w:spacing w:after="0"/>
        <w:ind w:left="284" w:hanging="284"/>
        <w:jc w:val="both"/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</w:pPr>
      <w:r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>注意</w:t>
      </w:r>
      <w:r w:rsidR="00A839F0"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>辨別</w:t>
      </w:r>
      <w:r w:rsidR="00B93329"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>英式</w:t>
      </w:r>
      <w:r w:rsidR="00A839F0"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>、</w:t>
      </w:r>
      <w:r w:rsidRPr="0097166E">
        <w:rPr>
          <w:rFonts w:ascii="Times New Roman" w:eastAsia="標楷體" w:hAnsi="Times New Roman" w:cs="Times New Roman"/>
          <w:b/>
          <w:color w:val="000000" w:themeColor="text1"/>
          <w:sz w:val="32"/>
          <w:lang w:eastAsia="zh-TW"/>
        </w:rPr>
        <w:t>美式拼寫。</w:t>
      </w:r>
    </w:p>
    <w:tbl>
      <w:tblPr>
        <w:tblStyle w:val="ae"/>
        <w:tblW w:w="0" w:type="auto"/>
        <w:jc w:val="center"/>
        <w:tblLook w:val="04A0" w:firstRow="1" w:lastRow="0" w:firstColumn="1" w:lastColumn="0" w:noHBand="0" w:noVBand="1"/>
      </w:tblPr>
      <w:tblGrid>
        <w:gridCol w:w="3245"/>
        <w:gridCol w:w="3245"/>
        <w:gridCol w:w="3246"/>
      </w:tblGrid>
      <w:tr w:rsidR="0074720A" w:rsidRPr="0097166E" w14:paraId="28776E41" w14:textId="77777777" w:rsidTr="0074720A">
        <w:trPr>
          <w:jc w:val="center"/>
        </w:trPr>
        <w:tc>
          <w:tcPr>
            <w:tcW w:w="3245" w:type="dxa"/>
            <w:vAlign w:val="center"/>
          </w:tcPr>
          <w:p w14:paraId="44FB687C" w14:textId="7872978A" w:rsidR="00FB2021" w:rsidRPr="0097166E" w:rsidRDefault="00FB2021" w:rsidP="0074720A">
            <w:pPr>
              <w:jc w:val="center"/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  <w:t>總結</w:t>
            </w:r>
          </w:p>
        </w:tc>
        <w:tc>
          <w:tcPr>
            <w:tcW w:w="3245" w:type="dxa"/>
            <w:vAlign w:val="center"/>
          </w:tcPr>
          <w:p w14:paraId="7BE42BDE" w14:textId="205CA804" w:rsidR="00FB2021" w:rsidRPr="0097166E" w:rsidRDefault="00FB2021" w:rsidP="0074720A">
            <w:pPr>
              <w:jc w:val="center"/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  <w:t>英式</w:t>
            </w:r>
          </w:p>
        </w:tc>
        <w:tc>
          <w:tcPr>
            <w:tcW w:w="3246" w:type="dxa"/>
            <w:vAlign w:val="center"/>
          </w:tcPr>
          <w:p w14:paraId="7B73E725" w14:textId="4392307A" w:rsidR="00FB2021" w:rsidRPr="0097166E" w:rsidRDefault="00FB2021" w:rsidP="0074720A">
            <w:pPr>
              <w:jc w:val="center"/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36"/>
                <w:szCs w:val="28"/>
              </w:rPr>
              <w:t>美式</w:t>
            </w:r>
          </w:p>
        </w:tc>
      </w:tr>
      <w:tr w:rsidR="0074720A" w:rsidRPr="0097166E" w14:paraId="76A6A547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08CD782D" w14:textId="12D1B2F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-re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-er</w:t>
            </w:r>
          </w:p>
        </w:tc>
        <w:tc>
          <w:tcPr>
            <w:tcW w:w="3245" w:type="dxa"/>
            <w:vAlign w:val="center"/>
          </w:tcPr>
          <w:p w14:paraId="4D88118A" w14:textId="2F0F9F4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centre</w:t>
            </w:r>
          </w:p>
        </w:tc>
        <w:tc>
          <w:tcPr>
            <w:tcW w:w="3246" w:type="dxa"/>
            <w:vAlign w:val="center"/>
          </w:tcPr>
          <w:p w14:paraId="7815C800" w14:textId="31DC5A78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center</w:t>
            </w:r>
          </w:p>
        </w:tc>
      </w:tr>
      <w:tr w:rsidR="0074720A" w:rsidRPr="0097166E" w14:paraId="78590785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721F899A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3EEEE00B" w14:textId="3380B04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fibre</w:t>
            </w:r>
          </w:p>
        </w:tc>
        <w:tc>
          <w:tcPr>
            <w:tcW w:w="3246" w:type="dxa"/>
            <w:vAlign w:val="center"/>
          </w:tcPr>
          <w:p w14:paraId="6D15CCA7" w14:textId="332AF10A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fiber</w:t>
            </w:r>
          </w:p>
        </w:tc>
      </w:tr>
      <w:tr w:rsidR="0074720A" w:rsidRPr="0097166E" w14:paraId="4B76EC47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44B94B4E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138ABE2A" w14:textId="79E7458C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litre</w:t>
            </w:r>
          </w:p>
        </w:tc>
        <w:tc>
          <w:tcPr>
            <w:tcW w:w="3246" w:type="dxa"/>
            <w:vAlign w:val="center"/>
          </w:tcPr>
          <w:p w14:paraId="4CAE0808" w14:textId="5EE79671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liter</w:t>
            </w:r>
          </w:p>
        </w:tc>
      </w:tr>
      <w:tr w:rsidR="0074720A" w:rsidRPr="0097166E" w14:paraId="1725A3B2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222DFC97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59400498" w14:textId="4CCB1AC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theatre</w:t>
            </w:r>
          </w:p>
        </w:tc>
        <w:tc>
          <w:tcPr>
            <w:tcW w:w="3246" w:type="dxa"/>
            <w:vAlign w:val="center"/>
          </w:tcPr>
          <w:p w14:paraId="07FD2FF6" w14:textId="3CA1FEDC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theater</w:t>
            </w:r>
          </w:p>
        </w:tc>
      </w:tr>
      <w:tr w:rsidR="0074720A" w:rsidRPr="0097166E" w14:paraId="730D785E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0A82660A" w14:textId="69725F01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-our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-or</w:t>
            </w:r>
          </w:p>
        </w:tc>
        <w:tc>
          <w:tcPr>
            <w:tcW w:w="3245" w:type="dxa"/>
            <w:vAlign w:val="center"/>
          </w:tcPr>
          <w:p w14:paraId="479156B0" w14:textId="7946870B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colour</w:t>
            </w:r>
          </w:p>
        </w:tc>
        <w:tc>
          <w:tcPr>
            <w:tcW w:w="3246" w:type="dxa"/>
            <w:vAlign w:val="center"/>
          </w:tcPr>
          <w:p w14:paraId="2DB77B99" w14:textId="685F3DE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Color</w:t>
            </w:r>
          </w:p>
        </w:tc>
      </w:tr>
      <w:tr w:rsidR="0074720A" w:rsidRPr="0097166E" w14:paraId="48CD5077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66CF9B8B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458F04D4" w14:textId="340483E9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flavour</w:t>
            </w:r>
          </w:p>
        </w:tc>
        <w:tc>
          <w:tcPr>
            <w:tcW w:w="3246" w:type="dxa"/>
            <w:vAlign w:val="center"/>
          </w:tcPr>
          <w:p w14:paraId="1AB910FC" w14:textId="2C4551BF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Flavor</w:t>
            </w:r>
          </w:p>
        </w:tc>
      </w:tr>
      <w:tr w:rsidR="0074720A" w:rsidRPr="0097166E" w14:paraId="5E68B53D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0794B28F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6E92DCCE" w14:textId="2165BD3E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labour</w:t>
            </w:r>
          </w:p>
        </w:tc>
        <w:tc>
          <w:tcPr>
            <w:tcW w:w="3246" w:type="dxa"/>
            <w:vAlign w:val="center"/>
          </w:tcPr>
          <w:p w14:paraId="132DC845" w14:textId="3BBC149B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Labor</w:t>
            </w:r>
          </w:p>
        </w:tc>
      </w:tr>
      <w:tr w:rsidR="0074720A" w:rsidRPr="0097166E" w14:paraId="61252855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71FDCB82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30753F13" w14:textId="0E4109CE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humour</w:t>
            </w:r>
          </w:p>
        </w:tc>
        <w:tc>
          <w:tcPr>
            <w:tcW w:w="3246" w:type="dxa"/>
            <w:vAlign w:val="center"/>
          </w:tcPr>
          <w:p w14:paraId="1D0197B1" w14:textId="6500E366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humor</w:t>
            </w:r>
          </w:p>
        </w:tc>
      </w:tr>
      <w:tr w:rsidR="0074720A" w:rsidRPr="0097166E" w14:paraId="4151E979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69892635" w14:textId="2708A7B6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-se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-ze</w:t>
            </w:r>
          </w:p>
        </w:tc>
        <w:tc>
          <w:tcPr>
            <w:tcW w:w="3245" w:type="dxa"/>
            <w:vAlign w:val="center"/>
          </w:tcPr>
          <w:p w14:paraId="4D8BBD95" w14:textId="3FF98F03" w:rsidR="00FB2021" w:rsidRPr="0097166E" w:rsidRDefault="0074720A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</w:t>
            </w:r>
            <w:r w:rsidR="00FB2021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pologise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or apologize</w:t>
            </w:r>
          </w:p>
        </w:tc>
        <w:tc>
          <w:tcPr>
            <w:tcW w:w="3246" w:type="dxa"/>
            <w:vAlign w:val="center"/>
          </w:tcPr>
          <w:p w14:paraId="04F4E06A" w14:textId="4DEB2E6D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apologize</w:t>
            </w:r>
          </w:p>
        </w:tc>
      </w:tr>
      <w:tr w:rsidR="0074720A" w:rsidRPr="0097166E" w14:paraId="3134B577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258DF2BA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51A596F8" w14:textId="2E634D2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organise</w:t>
            </w:r>
            <w:r w:rsidR="0074720A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or organize</w:t>
            </w:r>
          </w:p>
        </w:tc>
        <w:tc>
          <w:tcPr>
            <w:tcW w:w="3246" w:type="dxa"/>
            <w:vAlign w:val="center"/>
          </w:tcPr>
          <w:p w14:paraId="589D9A49" w14:textId="52332835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organize</w:t>
            </w:r>
          </w:p>
        </w:tc>
      </w:tr>
      <w:tr w:rsidR="0074720A" w:rsidRPr="0097166E" w14:paraId="5564A753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591625EA" w14:textId="77777777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41B971BA" w14:textId="2DD5A06D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recognise</w:t>
            </w:r>
            <w:r w:rsidR="0074720A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or recognize</w:t>
            </w:r>
          </w:p>
        </w:tc>
        <w:tc>
          <w:tcPr>
            <w:tcW w:w="3246" w:type="dxa"/>
            <w:vAlign w:val="center"/>
          </w:tcPr>
          <w:p w14:paraId="024CBFBF" w14:textId="6308A508" w:rsidR="00FB2021" w:rsidRPr="0097166E" w:rsidRDefault="00FB2021" w:rsidP="006C063E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recognize</w:t>
            </w:r>
          </w:p>
        </w:tc>
      </w:tr>
      <w:tr w:rsidR="0074720A" w:rsidRPr="0097166E" w14:paraId="63F7BFD7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16B11C47" w14:textId="697891F9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-yse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-yze</w:t>
            </w:r>
          </w:p>
        </w:tc>
        <w:tc>
          <w:tcPr>
            <w:tcW w:w="3245" w:type="dxa"/>
            <w:vAlign w:val="center"/>
          </w:tcPr>
          <w:p w14:paraId="23969B66" w14:textId="03FBF53A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analyse</w:t>
            </w:r>
          </w:p>
        </w:tc>
        <w:tc>
          <w:tcPr>
            <w:tcW w:w="3246" w:type="dxa"/>
            <w:vAlign w:val="center"/>
          </w:tcPr>
          <w:p w14:paraId="63D45618" w14:textId="73FB767A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analyze</w:t>
            </w:r>
          </w:p>
        </w:tc>
      </w:tr>
      <w:tr w:rsidR="0074720A" w:rsidRPr="0097166E" w14:paraId="0E8FEAF1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504EDB32" w14:textId="77777777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7C3BF131" w14:textId="10FD204F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breathalyse</w:t>
            </w:r>
          </w:p>
        </w:tc>
        <w:tc>
          <w:tcPr>
            <w:tcW w:w="3246" w:type="dxa"/>
            <w:vAlign w:val="center"/>
          </w:tcPr>
          <w:p w14:paraId="22A0D173" w14:textId="59CD1F16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breathalyze</w:t>
            </w:r>
          </w:p>
        </w:tc>
      </w:tr>
      <w:tr w:rsidR="0074720A" w:rsidRPr="0097166E" w14:paraId="30A6AF1A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392A2B17" w14:textId="77777777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21C3E9D9" w14:textId="2D2E6529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paralyse</w:t>
            </w:r>
          </w:p>
        </w:tc>
        <w:tc>
          <w:tcPr>
            <w:tcW w:w="3246" w:type="dxa"/>
            <w:vAlign w:val="center"/>
          </w:tcPr>
          <w:p w14:paraId="73EEF129" w14:textId="67EBAB63" w:rsidR="0074720A" w:rsidRPr="0097166E" w:rsidRDefault="0074720A" w:rsidP="00FB202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paralyze</w:t>
            </w:r>
          </w:p>
        </w:tc>
      </w:tr>
      <w:tr w:rsidR="0074720A" w:rsidRPr="0097166E" w14:paraId="4C0B01C2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78E12F04" w14:textId="459A5F78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元音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+l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結尾，英式雙寫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，美式不雙寫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</w:t>
            </w:r>
          </w:p>
        </w:tc>
        <w:tc>
          <w:tcPr>
            <w:tcW w:w="3245" w:type="dxa"/>
            <w:vAlign w:val="center"/>
          </w:tcPr>
          <w:p w14:paraId="71D5974C" w14:textId="0D59A32B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travelled</w:t>
            </w:r>
          </w:p>
        </w:tc>
        <w:tc>
          <w:tcPr>
            <w:tcW w:w="3246" w:type="dxa"/>
            <w:vAlign w:val="center"/>
          </w:tcPr>
          <w:p w14:paraId="2A1A3FB6" w14:textId="42D569E2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traveled</w:t>
            </w:r>
          </w:p>
        </w:tc>
      </w:tr>
      <w:tr w:rsidR="0074720A" w:rsidRPr="0097166E" w14:paraId="034637BD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0A94D5D1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0ADB6F52" w14:textId="104BE4F6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traveller</w:t>
            </w:r>
          </w:p>
        </w:tc>
        <w:tc>
          <w:tcPr>
            <w:tcW w:w="3246" w:type="dxa"/>
            <w:vAlign w:val="center"/>
          </w:tcPr>
          <w:p w14:paraId="1F4A5FB4" w14:textId="4A9B6D62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traveler</w:t>
            </w:r>
          </w:p>
        </w:tc>
      </w:tr>
      <w:tr w:rsidR="0074720A" w:rsidRPr="0097166E" w14:paraId="5DC91C5B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4964731B" w14:textId="26EA3CDE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兩個元音在一起時英美拼寫的區別</w:t>
            </w:r>
          </w:p>
        </w:tc>
        <w:tc>
          <w:tcPr>
            <w:tcW w:w="3245" w:type="dxa"/>
            <w:vAlign w:val="center"/>
          </w:tcPr>
          <w:p w14:paraId="2DA0BC4F" w14:textId="5237E73F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leukaemia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白血病</w:t>
            </w:r>
          </w:p>
        </w:tc>
        <w:tc>
          <w:tcPr>
            <w:tcW w:w="3246" w:type="dxa"/>
            <w:vAlign w:val="center"/>
          </w:tcPr>
          <w:p w14:paraId="0A64F2F3" w14:textId="1FBBD1DA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leukemia</w:t>
            </w:r>
          </w:p>
        </w:tc>
      </w:tr>
      <w:tr w:rsidR="0074720A" w:rsidRPr="0097166E" w14:paraId="00292118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22F9A4BD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5E31BDF3" w14:textId="22BA8C2E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manoeuvre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演習</w:t>
            </w:r>
          </w:p>
        </w:tc>
        <w:tc>
          <w:tcPr>
            <w:tcW w:w="3246" w:type="dxa"/>
            <w:vAlign w:val="center"/>
          </w:tcPr>
          <w:p w14:paraId="35510492" w14:textId="3D284B51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maneuver</w:t>
            </w:r>
          </w:p>
        </w:tc>
      </w:tr>
      <w:tr w:rsidR="0074720A" w:rsidRPr="0097166E" w14:paraId="11AB71AE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76FD36A9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6B26EB86" w14:textId="7553E8CC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oestrogen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雌激素</w:t>
            </w:r>
          </w:p>
        </w:tc>
        <w:tc>
          <w:tcPr>
            <w:tcW w:w="3246" w:type="dxa"/>
            <w:vAlign w:val="center"/>
          </w:tcPr>
          <w:p w14:paraId="4F2676E1" w14:textId="5F454AB2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estrogen</w:t>
            </w:r>
          </w:p>
        </w:tc>
      </w:tr>
      <w:tr w:rsidR="0074720A" w:rsidRPr="0097166E" w14:paraId="721311F6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5D4960CD" w14:textId="2086032D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名詞，英式結尾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-ence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，美式結尾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-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ense</w:t>
            </w:r>
          </w:p>
        </w:tc>
        <w:tc>
          <w:tcPr>
            <w:tcW w:w="3245" w:type="dxa"/>
            <w:vAlign w:val="center"/>
          </w:tcPr>
          <w:p w14:paraId="63138C29" w14:textId="5718939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defence</w:t>
            </w:r>
          </w:p>
        </w:tc>
        <w:tc>
          <w:tcPr>
            <w:tcW w:w="3246" w:type="dxa"/>
            <w:vAlign w:val="center"/>
          </w:tcPr>
          <w:p w14:paraId="7FF4EC1D" w14:textId="64E2E29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defense</w:t>
            </w:r>
          </w:p>
        </w:tc>
      </w:tr>
      <w:tr w:rsidR="0074720A" w:rsidRPr="0097166E" w14:paraId="0F3FE160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11B704C0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353DF997" w14:textId="6F1BB9C8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licence</w:t>
            </w:r>
          </w:p>
        </w:tc>
        <w:tc>
          <w:tcPr>
            <w:tcW w:w="3246" w:type="dxa"/>
            <w:vAlign w:val="center"/>
          </w:tcPr>
          <w:p w14:paraId="259CE668" w14:textId="15B32253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license</w:t>
            </w:r>
          </w:p>
        </w:tc>
      </w:tr>
      <w:tr w:rsidR="0074720A" w:rsidRPr="0097166E" w14:paraId="19307463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7B202C77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1C56DD59" w14:textId="14387696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offence</w:t>
            </w:r>
          </w:p>
        </w:tc>
        <w:tc>
          <w:tcPr>
            <w:tcW w:w="3246" w:type="dxa"/>
            <w:vAlign w:val="center"/>
          </w:tcPr>
          <w:p w14:paraId="4B766C95" w14:textId="552A2751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offense</w:t>
            </w:r>
          </w:p>
        </w:tc>
      </w:tr>
      <w:tr w:rsidR="0074720A" w:rsidRPr="0097166E" w14:paraId="511F4B0F" w14:textId="77777777" w:rsidTr="0074720A">
        <w:trPr>
          <w:jc w:val="center"/>
        </w:trPr>
        <w:tc>
          <w:tcPr>
            <w:tcW w:w="3245" w:type="dxa"/>
            <w:vMerge w:val="restart"/>
            <w:vAlign w:val="center"/>
          </w:tcPr>
          <w:p w14:paraId="3FD28A75" w14:textId="25435064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英式結尾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-ogue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，美式有可能以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-og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結尾</w:t>
            </w:r>
          </w:p>
        </w:tc>
        <w:tc>
          <w:tcPr>
            <w:tcW w:w="3245" w:type="dxa"/>
            <w:vAlign w:val="center"/>
          </w:tcPr>
          <w:p w14:paraId="0B168399" w14:textId="75A47ED0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analogue</w:t>
            </w:r>
          </w:p>
        </w:tc>
        <w:tc>
          <w:tcPr>
            <w:tcW w:w="3246" w:type="dxa"/>
            <w:vAlign w:val="center"/>
          </w:tcPr>
          <w:p w14:paraId="79C336EE" w14:textId="42A1E5B4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analog or analogue</w:t>
            </w:r>
          </w:p>
        </w:tc>
      </w:tr>
      <w:tr w:rsidR="0074720A" w:rsidRPr="0097166E" w14:paraId="18444740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22C24393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11A726A3" w14:textId="57F5F2D8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catalogue</w:t>
            </w:r>
          </w:p>
        </w:tc>
        <w:tc>
          <w:tcPr>
            <w:tcW w:w="3246" w:type="dxa"/>
            <w:vAlign w:val="center"/>
          </w:tcPr>
          <w:p w14:paraId="5481F296" w14:textId="11723B1D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catalog or catalogue</w:t>
            </w:r>
          </w:p>
        </w:tc>
      </w:tr>
      <w:tr w:rsidR="0074720A" w:rsidRPr="0097166E" w14:paraId="024D2ACC" w14:textId="77777777" w:rsidTr="0074720A">
        <w:trPr>
          <w:jc w:val="center"/>
        </w:trPr>
        <w:tc>
          <w:tcPr>
            <w:tcW w:w="3245" w:type="dxa"/>
            <w:vMerge/>
            <w:vAlign w:val="center"/>
          </w:tcPr>
          <w:p w14:paraId="782F4CBB" w14:textId="7777777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3245" w:type="dxa"/>
            <w:vAlign w:val="center"/>
          </w:tcPr>
          <w:p w14:paraId="499FAC07" w14:textId="66527790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dialogue</w:t>
            </w:r>
          </w:p>
        </w:tc>
        <w:tc>
          <w:tcPr>
            <w:tcW w:w="3246" w:type="dxa"/>
            <w:vAlign w:val="center"/>
          </w:tcPr>
          <w:p w14:paraId="0D975965" w14:textId="04C1B9B7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dialog or dialogue</w:t>
            </w:r>
          </w:p>
        </w:tc>
      </w:tr>
      <w:tr w:rsidR="0074720A" w:rsidRPr="0097166E" w14:paraId="27D68938" w14:textId="77777777" w:rsidTr="0074720A">
        <w:trPr>
          <w:jc w:val="center"/>
        </w:trPr>
        <w:tc>
          <w:tcPr>
            <w:tcW w:w="9736" w:type="dxa"/>
            <w:gridSpan w:val="3"/>
            <w:vAlign w:val="center"/>
          </w:tcPr>
          <w:p w14:paraId="55333073" w14:textId="37D32252" w:rsidR="0074720A" w:rsidRPr="0097166E" w:rsidRDefault="0074720A" w:rsidP="0074720A">
            <w:pPr>
              <w:jc w:val="both"/>
              <w:rPr>
                <w:rFonts w:ascii="Times New Roman" w:eastAsia="標楷體" w:hAnsi="Times New Roman" w:cs="Times New Roman"/>
                <w:color w:val="C00000"/>
                <w:sz w:val="28"/>
                <w:szCs w:val="28"/>
                <w:highlight w:val="green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C00000"/>
                <w:sz w:val="28"/>
                <w:szCs w:val="28"/>
                <w:lang w:eastAsia="zh-TW"/>
              </w:rPr>
              <w:t>備註：以上原則並非一定，可提供方便，但仍建議謹慎辨別。</w:t>
            </w:r>
          </w:p>
        </w:tc>
      </w:tr>
    </w:tbl>
    <w:p w14:paraId="79C45AEB" w14:textId="77777777" w:rsidR="00FB2021" w:rsidRPr="0097166E" w:rsidRDefault="00FB2021" w:rsidP="006C063E">
      <w:pPr>
        <w:spacing w:after="0"/>
        <w:jc w:val="both"/>
        <w:rPr>
          <w:rFonts w:ascii="Times New Roman" w:eastAsia="標楷體" w:hAnsi="Times New Roman" w:cs="Times New Roman"/>
          <w:b/>
          <w:color w:val="7030A0"/>
          <w:sz w:val="32"/>
          <w:lang w:eastAsia="zh-TW"/>
        </w:rPr>
      </w:pPr>
    </w:p>
    <w:p w14:paraId="42399AE9" w14:textId="36F8B403" w:rsidR="009C31AB" w:rsidRPr="0097166E" w:rsidRDefault="009C31AB" w:rsidP="006C063E">
      <w:pPr>
        <w:spacing w:after="0"/>
        <w:jc w:val="both"/>
        <w:rPr>
          <w:rFonts w:ascii="Times New Roman" w:eastAsia="標楷體" w:hAnsi="Times New Roman" w:cs="Times New Roman"/>
          <w:b/>
          <w:color w:val="7030A0"/>
          <w:sz w:val="32"/>
        </w:rPr>
      </w:pPr>
    </w:p>
    <w:p w14:paraId="7E1EA8FC" w14:textId="77777777" w:rsidR="009C31AB" w:rsidRPr="0097166E" w:rsidRDefault="009C31AB" w:rsidP="006C063E">
      <w:pPr>
        <w:spacing w:after="0"/>
        <w:jc w:val="both"/>
        <w:rPr>
          <w:rFonts w:ascii="Times New Roman" w:eastAsia="標楷體" w:hAnsi="Times New Roman" w:cs="Times New Roman"/>
          <w:b/>
          <w:color w:val="7030A0"/>
          <w:sz w:val="32"/>
        </w:rPr>
        <w:sectPr w:rsidR="009C31AB" w:rsidRPr="0097166E" w:rsidSect="00AA5EB3">
          <w:pgSz w:w="11906" w:h="16838"/>
          <w:pgMar w:top="1440" w:right="1080" w:bottom="1440" w:left="1080" w:header="708" w:footer="708" w:gutter="0"/>
          <w:cols w:space="708"/>
          <w:docGrid w:linePitch="360"/>
        </w:sectPr>
      </w:pPr>
    </w:p>
    <w:p w14:paraId="4BEBD69F" w14:textId="6CDFD394" w:rsidR="00FD3F46" w:rsidRPr="0097166E" w:rsidRDefault="00BF2681" w:rsidP="00AA5EB3">
      <w:pPr>
        <w:spacing w:after="0"/>
        <w:jc w:val="both"/>
        <w:rPr>
          <w:rFonts w:ascii="Times New Roman" w:eastAsia="標楷體" w:hAnsi="Times New Roman" w:cs="Times New Roman"/>
          <w:sz w:val="36"/>
          <w:shd w:val="pct15" w:color="auto" w:fill="FFFFFF"/>
        </w:rPr>
      </w:pPr>
      <w:r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lastRenderedPageBreak/>
        <w:t>二、</w:t>
      </w:r>
      <w:r w:rsidR="00056B12"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用詞</w:t>
      </w:r>
      <w:r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問題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3114"/>
        <w:gridCol w:w="2268"/>
        <w:gridCol w:w="4354"/>
      </w:tblGrid>
      <w:tr w:rsidR="00FD3F46" w:rsidRPr="0097166E" w14:paraId="60236367" w14:textId="77777777" w:rsidTr="006D141F">
        <w:tc>
          <w:tcPr>
            <w:tcW w:w="3114" w:type="dxa"/>
            <w:vAlign w:val="center"/>
          </w:tcPr>
          <w:p w14:paraId="495B4F19" w14:textId="0E7162DD" w:rsidR="00FD3F46" w:rsidRPr="0097166E" w:rsidRDefault="00FD3F46" w:rsidP="00FD3F46">
            <w:pPr>
              <w:jc w:val="center"/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  <w:t>英文</w:t>
            </w:r>
          </w:p>
        </w:tc>
        <w:tc>
          <w:tcPr>
            <w:tcW w:w="2268" w:type="dxa"/>
            <w:vAlign w:val="center"/>
          </w:tcPr>
          <w:p w14:paraId="4EF65164" w14:textId="2EEA6432" w:rsidR="00FD3F46" w:rsidRPr="0097166E" w:rsidRDefault="00FD3F46" w:rsidP="00FD3F46">
            <w:pPr>
              <w:jc w:val="center"/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  <w:t>中文</w:t>
            </w:r>
          </w:p>
        </w:tc>
        <w:tc>
          <w:tcPr>
            <w:tcW w:w="4354" w:type="dxa"/>
            <w:vAlign w:val="center"/>
          </w:tcPr>
          <w:p w14:paraId="5A9D506E" w14:textId="71129692" w:rsidR="00FD3F46" w:rsidRPr="0097166E" w:rsidRDefault="00FD3F46" w:rsidP="00FD3F46">
            <w:pPr>
              <w:jc w:val="center"/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  <w:t>備註</w:t>
            </w:r>
          </w:p>
        </w:tc>
      </w:tr>
      <w:tr w:rsidR="00C63B5F" w:rsidRPr="0097166E" w14:paraId="054D232D" w14:textId="77777777" w:rsidTr="006D141F">
        <w:tc>
          <w:tcPr>
            <w:tcW w:w="3114" w:type="dxa"/>
            <w:vAlign w:val="center"/>
          </w:tcPr>
          <w:p w14:paraId="63FE8D9B" w14:textId="78E409F4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Saints</w:t>
            </w:r>
            <w:r w:rsidR="00C16C39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and sages</w:t>
            </w:r>
          </w:p>
        </w:tc>
        <w:tc>
          <w:tcPr>
            <w:tcW w:w="2268" w:type="dxa"/>
            <w:vAlign w:val="center"/>
          </w:tcPr>
          <w:p w14:paraId="378B60B4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聖賢</w:t>
            </w:r>
          </w:p>
        </w:tc>
        <w:tc>
          <w:tcPr>
            <w:tcW w:w="4354" w:type="dxa"/>
            <w:vAlign w:val="center"/>
          </w:tcPr>
          <w:p w14:paraId="7909BAB8" w14:textId="36F7F94A" w:rsidR="00C63B5F" w:rsidRPr="0097166E" w:rsidRDefault="00C16C39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saint</w:t>
            </w:r>
            <w:r w:rsidR="00C63B5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有宗教色彩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，統一用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sage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/ancient sages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代替，並在其後用括號注明中文，如：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ancient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sages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古聖先賢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）</w:t>
            </w:r>
          </w:p>
        </w:tc>
      </w:tr>
      <w:tr w:rsidR="00C63B5F" w:rsidRPr="0097166E" w14:paraId="26A0B96B" w14:textId="77777777" w:rsidTr="006D141F">
        <w:tc>
          <w:tcPr>
            <w:tcW w:w="3114" w:type="dxa"/>
            <w:vAlign w:val="center"/>
          </w:tcPr>
          <w:p w14:paraId="7B4B3269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Forefathers</w:t>
            </w:r>
          </w:p>
        </w:tc>
        <w:tc>
          <w:tcPr>
            <w:tcW w:w="2268" w:type="dxa"/>
            <w:vAlign w:val="center"/>
          </w:tcPr>
          <w:p w14:paraId="0ED9E7C6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祖先</w:t>
            </w:r>
          </w:p>
        </w:tc>
        <w:tc>
          <w:tcPr>
            <w:tcW w:w="4354" w:type="dxa"/>
            <w:vAlign w:val="center"/>
          </w:tcPr>
          <w:p w14:paraId="589D53B2" w14:textId="52A07782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美國式用法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，可使用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ancient sages(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古聖先賢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) 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來代替</w:t>
            </w:r>
          </w:p>
        </w:tc>
      </w:tr>
      <w:tr w:rsidR="00C63B5F" w:rsidRPr="0097166E" w14:paraId="75D69FAE" w14:textId="77777777" w:rsidTr="006D141F">
        <w:tc>
          <w:tcPr>
            <w:tcW w:w="3114" w:type="dxa"/>
            <w:vAlign w:val="center"/>
          </w:tcPr>
          <w:p w14:paraId="7EF60AF8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Ruler</w:t>
            </w:r>
          </w:p>
        </w:tc>
        <w:tc>
          <w:tcPr>
            <w:tcW w:w="2268" w:type="dxa"/>
            <w:vAlign w:val="center"/>
          </w:tcPr>
          <w:p w14:paraId="400FC8C6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統治者，君主</w:t>
            </w:r>
          </w:p>
        </w:tc>
        <w:tc>
          <w:tcPr>
            <w:tcW w:w="4354" w:type="dxa"/>
            <w:vAlign w:val="center"/>
          </w:tcPr>
          <w:p w14:paraId="3896375C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適用於過去的君主</w:t>
            </w:r>
          </w:p>
        </w:tc>
      </w:tr>
      <w:tr w:rsidR="00C63B5F" w:rsidRPr="0097166E" w14:paraId="4C4EDE4C" w14:textId="77777777" w:rsidTr="006D141F">
        <w:tc>
          <w:tcPr>
            <w:tcW w:w="3114" w:type="dxa"/>
            <w:vAlign w:val="center"/>
          </w:tcPr>
          <w:p w14:paraId="45B8DF8E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Leader</w:t>
            </w:r>
          </w:p>
        </w:tc>
        <w:tc>
          <w:tcPr>
            <w:tcW w:w="2268" w:type="dxa"/>
            <w:vAlign w:val="center"/>
          </w:tcPr>
          <w:p w14:paraId="6065227A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領導人</w:t>
            </w:r>
          </w:p>
        </w:tc>
        <w:tc>
          <w:tcPr>
            <w:tcW w:w="4354" w:type="dxa"/>
            <w:vAlign w:val="center"/>
          </w:tcPr>
          <w:p w14:paraId="22E87EA2" w14:textId="77777777" w:rsidR="00917817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適用於現代的領導</w:t>
            </w:r>
          </w:p>
        </w:tc>
      </w:tr>
      <w:tr w:rsidR="00917817" w:rsidRPr="0097166E" w14:paraId="0BD1A2E1" w14:textId="77777777" w:rsidTr="006D141F">
        <w:tc>
          <w:tcPr>
            <w:tcW w:w="3114" w:type="dxa"/>
            <w:vAlign w:val="center"/>
          </w:tcPr>
          <w:p w14:paraId="08B2F476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sovereign</w:t>
            </w:r>
          </w:p>
        </w:tc>
        <w:tc>
          <w:tcPr>
            <w:tcW w:w="2268" w:type="dxa"/>
            <w:vAlign w:val="center"/>
          </w:tcPr>
          <w:p w14:paraId="54590717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統治者</w:t>
            </w:r>
          </w:p>
        </w:tc>
        <w:tc>
          <w:tcPr>
            <w:tcW w:w="4354" w:type="dxa"/>
            <w:vAlign w:val="center"/>
          </w:tcPr>
          <w:p w14:paraId="7671EE58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不太常用</w:t>
            </w:r>
          </w:p>
        </w:tc>
      </w:tr>
      <w:tr w:rsidR="00C63B5F" w:rsidRPr="0097166E" w14:paraId="7B7FF895" w14:textId="77777777" w:rsidTr="006D141F">
        <w:tc>
          <w:tcPr>
            <w:tcW w:w="3114" w:type="dxa"/>
            <w:vAlign w:val="center"/>
          </w:tcPr>
          <w:p w14:paraId="04623D6D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Country, nation</w:t>
            </w:r>
          </w:p>
        </w:tc>
        <w:tc>
          <w:tcPr>
            <w:tcW w:w="2268" w:type="dxa"/>
            <w:vAlign w:val="center"/>
          </w:tcPr>
          <w:p w14:paraId="47DB2E1A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國家</w:t>
            </w:r>
          </w:p>
        </w:tc>
        <w:tc>
          <w:tcPr>
            <w:tcW w:w="4354" w:type="dxa"/>
            <w:vAlign w:val="center"/>
          </w:tcPr>
          <w:p w14:paraId="3E847B6E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形容近現代的國家</w:t>
            </w:r>
          </w:p>
        </w:tc>
      </w:tr>
      <w:tr w:rsidR="00C63B5F" w:rsidRPr="0097166E" w14:paraId="63C6DDAD" w14:textId="77777777" w:rsidTr="006D141F">
        <w:tc>
          <w:tcPr>
            <w:tcW w:w="3114" w:type="dxa"/>
            <w:vAlign w:val="center"/>
          </w:tcPr>
          <w:p w14:paraId="77707339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State</w:t>
            </w:r>
          </w:p>
        </w:tc>
        <w:tc>
          <w:tcPr>
            <w:tcW w:w="2268" w:type="dxa"/>
            <w:vAlign w:val="center"/>
          </w:tcPr>
          <w:p w14:paraId="30013EBB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國家，諸侯國</w:t>
            </w:r>
          </w:p>
        </w:tc>
        <w:tc>
          <w:tcPr>
            <w:tcW w:w="4354" w:type="dxa"/>
            <w:vAlign w:val="center"/>
          </w:tcPr>
          <w:p w14:paraId="3AD04A80" w14:textId="77777777" w:rsidR="00C63B5F" w:rsidRPr="0097166E" w:rsidRDefault="00C63B5F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形容古代的國家</w:t>
            </w:r>
          </w:p>
        </w:tc>
      </w:tr>
      <w:tr w:rsidR="00C63B5F" w:rsidRPr="0097166E" w14:paraId="5C34735D" w14:textId="77777777" w:rsidTr="006D141F">
        <w:tc>
          <w:tcPr>
            <w:tcW w:w="3114" w:type="dxa"/>
            <w:vAlign w:val="center"/>
          </w:tcPr>
          <w:p w14:paraId="5F331322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Sincere heart</w:t>
            </w:r>
          </w:p>
        </w:tc>
        <w:tc>
          <w:tcPr>
            <w:tcW w:w="2268" w:type="dxa"/>
            <w:vAlign w:val="center"/>
          </w:tcPr>
          <w:p w14:paraId="4571DEA9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真誠心</w:t>
            </w:r>
          </w:p>
        </w:tc>
        <w:tc>
          <w:tcPr>
            <w:tcW w:w="4354" w:type="dxa"/>
            <w:vAlign w:val="center"/>
          </w:tcPr>
          <w:p w14:paraId="3C77D508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比較好</w:t>
            </w:r>
          </w:p>
        </w:tc>
      </w:tr>
      <w:tr w:rsidR="00C63B5F" w:rsidRPr="0097166E" w14:paraId="6FC8D94E" w14:textId="77777777" w:rsidTr="006D141F">
        <w:tc>
          <w:tcPr>
            <w:tcW w:w="3114" w:type="dxa"/>
            <w:vAlign w:val="center"/>
          </w:tcPr>
          <w:p w14:paraId="633AA05B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True nature, innate virtue, true mind</w:t>
            </w:r>
          </w:p>
        </w:tc>
        <w:tc>
          <w:tcPr>
            <w:tcW w:w="2268" w:type="dxa"/>
            <w:vAlign w:val="center"/>
          </w:tcPr>
          <w:p w14:paraId="5B26C0A3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自性，真心</w:t>
            </w:r>
          </w:p>
        </w:tc>
        <w:tc>
          <w:tcPr>
            <w:tcW w:w="4354" w:type="dxa"/>
            <w:vAlign w:val="center"/>
          </w:tcPr>
          <w:p w14:paraId="78B91789" w14:textId="77777777" w:rsidR="00C63B5F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具有特殊含義，第一次使用時需要注明中文</w:t>
            </w:r>
          </w:p>
        </w:tc>
      </w:tr>
      <w:tr w:rsidR="00917817" w:rsidRPr="0097166E" w14:paraId="081A4EAF" w14:textId="77777777" w:rsidTr="006D141F">
        <w:tc>
          <w:tcPr>
            <w:tcW w:w="3114" w:type="dxa"/>
            <w:vAlign w:val="center"/>
          </w:tcPr>
          <w:p w14:paraId="07456CF7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Music</w:t>
            </w:r>
          </w:p>
        </w:tc>
        <w:tc>
          <w:tcPr>
            <w:tcW w:w="2268" w:type="dxa"/>
            <w:vAlign w:val="center"/>
          </w:tcPr>
          <w:p w14:paraId="0D71FB4D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樂</w:t>
            </w:r>
          </w:p>
        </w:tc>
        <w:tc>
          <w:tcPr>
            <w:tcW w:w="4354" w:type="dxa"/>
            <w:vAlign w:val="center"/>
          </w:tcPr>
          <w:p w14:paraId="68C27BF5" w14:textId="77777777" w:rsidR="00917817" w:rsidRPr="0097166E" w:rsidRDefault="0091781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在中文中詞義廣大，第一次使用時要注明中文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(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樂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yue)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，最好在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footnote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中用一句話進行解釋</w:t>
            </w:r>
          </w:p>
        </w:tc>
      </w:tr>
      <w:tr w:rsidR="00917817" w:rsidRPr="0097166E" w14:paraId="14DBC8FA" w14:textId="77777777" w:rsidTr="006D141F">
        <w:tc>
          <w:tcPr>
            <w:tcW w:w="3114" w:type="dxa"/>
            <w:vAlign w:val="center"/>
          </w:tcPr>
          <w:p w14:paraId="74493988" w14:textId="22DBC6DD" w:rsidR="00F925D0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humanism, humanistic spirit</w:t>
            </w:r>
          </w:p>
        </w:tc>
        <w:tc>
          <w:tcPr>
            <w:tcW w:w="2268" w:type="dxa"/>
            <w:vAlign w:val="center"/>
          </w:tcPr>
          <w:p w14:paraId="38310BD2" w14:textId="52E10160" w:rsidR="00917817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人道主義</w:t>
            </w:r>
          </w:p>
        </w:tc>
        <w:tc>
          <w:tcPr>
            <w:tcW w:w="4354" w:type="dxa"/>
            <w:vAlign w:val="center"/>
          </w:tcPr>
          <w:p w14:paraId="4C9F430B" w14:textId="6468CE12" w:rsidR="00917817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不能用來翻譯「人文精神」</w:t>
            </w:r>
          </w:p>
        </w:tc>
      </w:tr>
      <w:tr w:rsidR="00A37F1B" w:rsidRPr="0097166E" w14:paraId="20B78837" w14:textId="77777777" w:rsidTr="006D141F">
        <w:tc>
          <w:tcPr>
            <w:tcW w:w="3114" w:type="dxa"/>
            <w:vAlign w:val="center"/>
          </w:tcPr>
          <w:p w14:paraId="3F6C1BBA" w14:textId="63B4A2B4" w:rsidR="00A37F1B" w:rsidRPr="0097166E" w:rsidRDefault="00A37F1B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Compassion</w:t>
            </w:r>
          </w:p>
        </w:tc>
        <w:tc>
          <w:tcPr>
            <w:tcW w:w="2268" w:type="dxa"/>
            <w:vAlign w:val="center"/>
          </w:tcPr>
          <w:p w14:paraId="31709214" w14:textId="23D2B94C" w:rsidR="00A37F1B" w:rsidRPr="0097166E" w:rsidRDefault="00A37F1B" w:rsidP="00A37F1B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德澤</w:t>
            </w:r>
          </w:p>
        </w:tc>
        <w:tc>
          <w:tcPr>
            <w:tcW w:w="4354" w:type="dxa"/>
            <w:vAlign w:val="center"/>
          </w:tcPr>
          <w:p w14:paraId="46A0C522" w14:textId="4479A155" w:rsidR="00A37F1B" w:rsidRPr="0097166E" w:rsidRDefault="00A37F1B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由於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mercy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有上賦予下，帶有赦免性質，不建議用以翻譯德澤，可考慮使用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compassion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mercy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定義：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Compassion or forgiveness shown towards someone whom it is within one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’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 power to punish or harm. – Oxford Dictionary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）</w:t>
            </w:r>
          </w:p>
        </w:tc>
      </w:tr>
      <w:tr w:rsidR="00663C8F" w:rsidRPr="0097166E" w14:paraId="11F0F752" w14:textId="77777777" w:rsidTr="006D141F">
        <w:tc>
          <w:tcPr>
            <w:tcW w:w="3114" w:type="dxa"/>
            <w:vAlign w:val="center"/>
          </w:tcPr>
          <w:p w14:paraId="35275D4D" w14:textId="644CAE39" w:rsidR="00663C8F" w:rsidRPr="0097166E" w:rsidRDefault="00663C8F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sacred text, scripture, classic</w:t>
            </w:r>
          </w:p>
        </w:tc>
        <w:tc>
          <w:tcPr>
            <w:tcW w:w="2268" w:type="dxa"/>
            <w:vAlign w:val="center"/>
          </w:tcPr>
          <w:p w14:paraId="4233161C" w14:textId="6CC4ABB4" w:rsidR="00663C8F" w:rsidRPr="0097166E" w:rsidRDefault="00663C8F" w:rsidP="00A37F1B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經典</w:t>
            </w:r>
          </w:p>
        </w:tc>
        <w:tc>
          <w:tcPr>
            <w:tcW w:w="4354" w:type="dxa"/>
            <w:vAlign w:val="center"/>
          </w:tcPr>
          <w:p w14:paraId="3CE4006C" w14:textId="2B76DB20" w:rsidR="00663C8F" w:rsidRPr="0097166E" w:rsidRDefault="00054226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highlight w:val="yellow"/>
                <w:lang w:eastAsia="zh-TW"/>
              </w:rPr>
              <w:t>對於「經典」一詞的翻譯在漢學領域中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highlight w:val="yellow"/>
                <w:lang w:eastAsia="zh-TW"/>
              </w:rPr>
              <w:t>可以考慮統一</w:t>
            </w:r>
          </w:p>
        </w:tc>
      </w:tr>
      <w:tr w:rsidR="00105EA9" w:rsidRPr="0097166E" w14:paraId="25A85703" w14:textId="77777777" w:rsidTr="006D141F">
        <w:tc>
          <w:tcPr>
            <w:tcW w:w="3114" w:type="dxa"/>
            <w:vAlign w:val="center"/>
          </w:tcPr>
          <w:p w14:paraId="287546D7" w14:textId="03B42D63" w:rsidR="00105EA9" w:rsidRPr="0097166E" w:rsidRDefault="00105EA9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Du</w:t>
            </w:r>
            <w:r w:rsidR="00080AC8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ty</w:t>
            </w:r>
          </w:p>
        </w:tc>
        <w:tc>
          <w:tcPr>
            <w:tcW w:w="2268" w:type="dxa"/>
            <w:vAlign w:val="center"/>
          </w:tcPr>
          <w:p w14:paraId="362B693E" w14:textId="323DD1CF" w:rsidR="00105EA9" w:rsidRPr="0097166E" w:rsidRDefault="00080AC8" w:rsidP="00A37F1B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責任</w:t>
            </w:r>
          </w:p>
        </w:tc>
        <w:tc>
          <w:tcPr>
            <w:tcW w:w="4354" w:type="dxa"/>
            <w:vAlign w:val="center"/>
          </w:tcPr>
          <w:p w14:paraId="3A713FC6" w14:textId="24D64F3D" w:rsidR="00105EA9" w:rsidRPr="0097166E" w:rsidRDefault="00080AC8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在英文中是含義很廣的詞，使用時可以用括號注明想表達的中文含義</w:t>
            </w:r>
          </w:p>
        </w:tc>
      </w:tr>
      <w:tr w:rsidR="00080AC8" w:rsidRPr="0097166E" w14:paraId="38D050A6" w14:textId="77777777" w:rsidTr="006D141F">
        <w:tc>
          <w:tcPr>
            <w:tcW w:w="3114" w:type="dxa"/>
            <w:vAlign w:val="center"/>
          </w:tcPr>
          <w:p w14:paraId="7F761C95" w14:textId="79DD16C9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Ethics and morality</w:t>
            </w:r>
          </w:p>
        </w:tc>
        <w:tc>
          <w:tcPr>
            <w:tcW w:w="2268" w:type="dxa"/>
            <w:vAlign w:val="center"/>
          </w:tcPr>
          <w:p w14:paraId="71338CB1" w14:textId="3A806DEF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倫理道德</w:t>
            </w:r>
          </w:p>
        </w:tc>
        <w:tc>
          <w:tcPr>
            <w:tcW w:w="4354" w:type="dxa"/>
            <w:vAlign w:val="center"/>
          </w:tcPr>
          <w:p w14:paraId="61A95936" w14:textId="4E248C3C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需要用括號注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明中文</w:t>
            </w:r>
          </w:p>
        </w:tc>
      </w:tr>
      <w:tr w:rsidR="00080AC8" w:rsidRPr="0097166E" w14:paraId="6AE8E5AA" w14:textId="77777777" w:rsidTr="006D141F">
        <w:tc>
          <w:tcPr>
            <w:tcW w:w="3114" w:type="dxa"/>
            <w:vAlign w:val="center"/>
          </w:tcPr>
          <w:p w14:paraId="52C20DC9" w14:textId="20E12587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4"/>
                <w:szCs w:val="24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4"/>
                <w:szCs w:val="24"/>
                <w:lang w:eastAsia="zh-TW"/>
              </w:rPr>
              <w:t>In subsequent centuries</w:t>
            </w:r>
          </w:p>
        </w:tc>
        <w:tc>
          <w:tcPr>
            <w:tcW w:w="2268" w:type="dxa"/>
            <w:vAlign w:val="center"/>
          </w:tcPr>
          <w:p w14:paraId="7997B12E" w14:textId="6DBCCE86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4"/>
                <w:szCs w:val="24"/>
              </w:rPr>
            </w:pPr>
            <w:r w:rsidRPr="0097166E">
              <w:rPr>
                <w:rFonts w:ascii="Times New Roman" w:eastAsia="標楷體" w:hAnsi="Times New Roman" w:cs="Times New Roman"/>
                <w:sz w:val="24"/>
                <w:szCs w:val="24"/>
              </w:rPr>
              <w:t>在接下來的幾百年中</w:t>
            </w:r>
          </w:p>
        </w:tc>
        <w:tc>
          <w:tcPr>
            <w:tcW w:w="4354" w:type="dxa"/>
            <w:vAlign w:val="center"/>
          </w:tcPr>
          <w:p w14:paraId="4B7537C2" w14:textId="77777777" w:rsidR="00080AC8" w:rsidRPr="0097166E" w:rsidRDefault="00080AC8" w:rsidP="00A37F1B">
            <w:pPr>
              <w:rPr>
                <w:rFonts w:ascii="Times New Roman" w:eastAsia="標楷體" w:hAnsi="Times New Roman" w:cs="Times New Roman"/>
                <w:sz w:val="24"/>
                <w:szCs w:val="24"/>
                <w:lang w:eastAsia="zh-TW"/>
              </w:rPr>
            </w:pPr>
          </w:p>
        </w:tc>
      </w:tr>
      <w:tr w:rsidR="00E32327" w:rsidRPr="0097166E" w14:paraId="1B9A5CBA" w14:textId="77777777" w:rsidTr="006D141F">
        <w:tc>
          <w:tcPr>
            <w:tcW w:w="3114" w:type="dxa"/>
            <w:vAlign w:val="center"/>
          </w:tcPr>
          <w:p w14:paraId="3475BFE0" w14:textId="318FCADF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ruler</w:t>
            </w:r>
          </w:p>
        </w:tc>
        <w:tc>
          <w:tcPr>
            <w:tcW w:w="2268" w:type="dxa"/>
            <w:vAlign w:val="center"/>
          </w:tcPr>
          <w:p w14:paraId="244EC4DA" w14:textId="105B2335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君</w:t>
            </w:r>
          </w:p>
        </w:tc>
        <w:tc>
          <w:tcPr>
            <w:tcW w:w="4354" w:type="dxa"/>
            <w:vAlign w:val="center"/>
          </w:tcPr>
          <w:p w14:paraId="042FFB51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King /emperor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是特指某幾位帝王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;</w:t>
            </w:r>
          </w:p>
          <w:p w14:paraId="3FC8F20C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lastRenderedPageBreak/>
              <w:t>sovereign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是君主（有點貶義的色彩）</w:t>
            </w:r>
          </w:p>
          <w:p w14:paraId="1AFA82DD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leader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主要是指小團體的領導（單位領導）</w:t>
            </w:r>
          </w:p>
          <w:p w14:paraId="7CE295D1" w14:textId="177B1D39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ruler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則可以用來指代普通的帝王君主，推薦使用</w:t>
            </w:r>
          </w:p>
        </w:tc>
      </w:tr>
      <w:tr w:rsidR="00E32327" w:rsidRPr="0097166E" w14:paraId="7553D61A" w14:textId="77777777" w:rsidTr="006D141F">
        <w:tc>
          <w:tcPr>
            <w:tcW w:w="3114" w:type="dxa"/>
            <w:vAlign w:val="center"/>
          </w:tcPr>
          <w:p w14:paraId="1C830850" w14:textId="74669829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lastRenderedPageBreak/>
              <w:t>wise ruler</w:t>
            </w:r>
          </w:p>
        </w:tc>
        <w:tc>
          <w:tcPr>
            <w:tcW w:w="2268" w:type="dxa"/>
            <w:vAlign w:val="center"/>
          </w:tcPr>
          <w:p w14:paraId="69E2A187" w14:textId="13626925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明君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/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賢君</w:t>
            </w:r>
          </w:p>
        </w:tc>
        <w:tc>
          <w:tcPr>
            <w:tcW w:w="4354" w:type="dxa"/>
            <w:vAlign w:val="center"/>
          </w:tcPr>
          <w:p w14:paraId="691CCB60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smart/intelligent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這些詞是指天賦上的優秀，</w:t>
            </w:r>
          </w:p>
          <w:p w14:paraId="365BA849" w14:textId="10B32082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暴君也可以有這些品質</w:t>
            </w:r>
          </w:p>
        </w:tc>
      </w:tr>
      <w:tr w:rsidR="00E32327" w:rsidRPr="0097166E" w14:paraId="591102FF" w14:textId="77777777" w:rsidTr="006D141F">
        <w:tc>
          <w:tcPr>
            <w:tcW w:w="3114" w:type="dxa"/>
            <w:vAlign w:val="center"/>
          </w:tcPr>
          <w:p w14:paraId="08502043" w14:textId="1EE86438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bring the benefits to the people</w:t>
            </w:r>
          </w:p>
        </w:tc>
        <w:tc>
          <w:tcPr>
            <w:tcW w:w="2268" w:type="dxa"/>
            <w:vAlign w:val="center"/>
          </w:tcPr>
          <w:p w14:paraId="04F25594" w14:textId="41686F75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為天下</w:t>
            </w:r>
          </w:p>
        </w:tc>
        <w:tc>
          <w:tcPr>
            <w:tcW w:w="4354" w:type="dxa"/>
            <w:vAlign w:val="center"/>
          </w:tcPr>
          <w:p w14:paraId="5FC9BAD2" w14:textId="42F2CDA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本文重心在於為民，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people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比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world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更合適</w:t>
            </w:r>
          </w:p>
        </w:tc>
      </w:tr>
      <w:tr w:rsidR="00E32327" w:rsidRPr="0097166E" w14:paraId="7A655088" w14:textId="77777777" w:rsidTr="006D141F">
        <w:tc>
          <w:tcPr>
            <w:tcW w:w="3114" w:type="dxa"/>
            <w:vAlign w:val="center"/>
          </w:tcPr>
          <w:p w14:paraId="7CACE260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2268" w:type="dxa"/>
            <w:vAlign w:val="center"/>
          </w:tcPr>
          <w:p w14:paraId="0F7572BE" w14:textId="5E88AC20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《尚書》</w:t>
            </w:r>
          </w:p>
        </w:tc>
        <w:tc>
          <w:tcPr>
            <w:tcW w:w="4354" w:type="dxa"/>
            <w:vAlign w:val="center"/>
          </w:tcPr>
          <w:p w14:paraId="27BF8BDC" w14:textId="77C862DF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多本古籍的翻譯都是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“The Ancient Chinese Book”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，要更準確</w:t>
            </w:r>
          </w:p>
        </w:tc>
      </w:tr>
      <w:tr w:rsidR="00E32327" w:rsidRPr="0097166E" w14:paraId="5C8D31A7" w14:textId="77777777" w:rsidTr="006D141F">
        <w:tc>
          <w:tcPr>
            <w:tcW w:w="3114" w:type="dxa"/>
            <w:vAlign w:val="center"/>
          </w:tcPr>
          <w:p w14:paraId="6CCD96AE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2268" w:type="dxa"/>
            <w:vAlign w:val="center"/>
          </w:tcPr>
          <w:p w14:paraId="261A8C03" w14:textId="3C40328C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FF0000"/>
                <w:sz w:val="28"/>
                <w:szCs w:val="28"/>
              </w:rPr>
              <w:t>天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佑下民</w:t>
            </w:r>
          </w:p>
        </w:tc>
        <w:tc>
          <w:tcPr>
            <w:tcW w:w="4354" w:type="dxa"/>
            <w:vAlign w:val="center"/>
          </w:tcPr>
          <w:p w14:paraId="637A0E8D" w14:textId="5D85F1BB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God/Heaven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有歧義，謹慎使用。更準確的翻譯用詞還有待斟酌</w:t>
            </w:r>
          </w:p>
        </w:tc>
      </w:tr>
      <w:tr w:rsidR="00E32327" w:rsidRPr="0097166E" w14:paraId="5EAAA246" w14:textId="77777777" w:rsidTr="006D141F">
        <w:tc>
          <w:tcPr>
            <w:tcW w:w="3114" w:type="dxa"/>
            <w:vAlign w:val="center"/>
          </w:tcPr>
          <w:p w14:paraId="2FB6CC3B" w14:textId="736B0603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Four Quarters</w:t>
            </w:r>
          </w:p>
        </w:tc>
        <w:tc>
          <w:tcPr>
            <w:tcW w:w="2268" w:type="dxa"/>
            <w:vAlign w:val="center"/>
          </w:tcPr>
          <w:p w14:paraId="12C5B0E1" w14:textId="05E0066B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四海</w:t>
            </w:r>
          </w:p>
        </w:tc>
        <w:tc>
          <w:tcPr>
            <w:tcW w:w="4354" w:type="dxa"/>
            <w:vAlign w:val="center"/>
          </w:tcPr>
          <w:p w14:paraId="451F591E" w14:textId="76978259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首字母大寫</w:t>
            </w:r>
          </w:p>
        </w:tc>
      </w:tr>
      <w:tr w:rsidR="00E32327" w:rsidRPr="0097166E" w14:paraId="10B2478C" w14:textId="77777777" w:rsidTr="006D141F">
        <w:tc>
          <w:tcPr>
            <w:tcW w:w="3114" w:type="dxa"/>
            <w:vAlign w:val="center"/>
          </w:tcPr>
          <w:p w14:paraId="6D92798A" w14:textId="6BD284E4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filial piety(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孝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xiao)</w:t>
            </w:r>
          </w:p>
        </w:tc>
        <w:tc>
          <w:tcPr>
            <w:tcW w:w="2268" w:type="dxa"/>
            <w:vAlign w:val="center"/>
          </w:tcPr>
          <w:p w14:paraId="274D9C4B" w14:textId="7E62FD60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孝</w:t>
            </w:r>
          </w:p>
        </w:tc>
        <w:tc>
          <w:tcPr>
            <w:tcW w:w="4354" w:type="dxa"/>
            <w:vAlign w:val="center"/>
          </w:tcPr>
          <w:p w14:paraId="6771B825" w14:textId="2D70945B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單詞后需要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“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（）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”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註明，代表這在中國是一個概念性的詞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,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中文可加可不加，中文與拼音的順序自己統一即可</w:t>
            </w:r>
          </w:p>
        </w:tc>
      </w:tr>
      <w:tr w:rsidR="00E32327" w:rsidRPr="0097166E" w14:paraId="11939009" w14:textId="77777777" w:rsidTr="006D141F">
        <w:tc>
          <w:tcPr>
            <w:tcW w:w="3114" w:type="dxa"/>
            <w:vAlign w:val="center"/>
          </w:tcPr>
          <w:p w14:paraId="226F931D" w14:textId="06411CF0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be prosperous</w:t>
            </w:r>
          </w:p>
        </w:tc>
        <w:tc>
          <w:tcPr>
            <w:tcW w:w="2268" w:type="dxa"/>
            <w:vAlign w:val="center"/>
          </w:tcPr>
          <w:p w14:paraId="2D6B7D6D" w14:textId="369F4928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盛世</w:t>
            </w:r>
          </w:p>
        </w:tc>
        <w:tc>
          <w:tcPr>
            <w:tcW w:w="4354" w:type="dxa"/>
            <w:vAlign w:val="center"/>
          </w:tcPr>
          <w:p w14:paraId="0FB799CA" w14:textId="52F842FF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原翻譯為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be prosperous and populous,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中國人認為人丁興旺是繁榮的表現，但是西方人不認為子孫多很好（無大家族的概念）</w:t>
            </w:r>
          </w:p>
        </w:tc>
      </w:tr>
      <w:tr w:rsidR="00E32327" w:rsidRPr="0097166E" w14:paraId="7E984B5E" w14:textId="77777777" w:rsidTr="006D141F">
        <w:tc>
          <w:tcPr>
            <w:tcW w:w="3114" w:type="dxa"/>
            <w:vAlign w:val="center"/>
          </w:tcPr>
          <w:p w14:paraId="61970902" w14:textId="0AFFCB4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be circumvent</w:t>
            </w:r>
          </w:p>
        </w:tc>
        <w:tc>
          <w:tcPr>
            <w:tcW w:w="2268" w:type="dxa"/>
            <w:vAlign w:val="center"/>
          </w:tcPr>
          <w:p w14:paraId="7A416DF6" w14:textId="17C651FC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權變</w:t>
            </w:r>
          </w:p>
        </w:tc>
        <w:tc>
          <w:tcPr>
            <w:tcW w:w="4354" w:type="dxa"/>
            <w:vAlign w:val="center"/>
          </w:tcPr>
          <w:p w14:paraId="3B246736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</w:tr>
      <w:tr w:rsidR="00E32327" w:rsidRPr="0097166E" w14:paraId="7E57E0DD" w14:textId="77777777" w:rsidTr="006D141F">
        <w:tc>
          <w:tcPr>
            <w:tcW w:w="3114" w:type="dxa"/>
            <w:vAlign w:val="center"/>
          </w:tcPr>
          <w:p w14:paraId="339063AA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  <w:tc>
          <w:tcPr>
            <w:tcW w:w="2268" w:type="dxa"/>
            <w:vAlign w:val="center"/>
          </w:tcPr>
          <w:p w14:paraId="454C36D1" w14:textId="2E43EAD8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民為邦本</w:t>
            </w:r>
          </w:p>
        </w:tc>
        <w:tc>
          <w:tcPr>
            <w:tcW w:w="4354" w:type="dxa"/>
            <w:vAlign w:val="center"/>
          </w:tcPr>
          <w:p w14:paraId="4D5B147A" w14:textId="7777777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理雅戈的翻譯為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“the people are the root of the country”,</w:t>
            </w:r>
          </w:p>
          <w:p w14:paraId="17DFC366" w14:textId="3A2D5A06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但被認為表達不清晰。因為百年前的英語與現代英語也有差異。如何改進有待商榷</w:t>
            </w:r>
          </w:p>
        </w:tc>
      </w:tr>
      <w:tr w:rsidR="00E32327" w:rsidRPr="0097166E" w14:paraId="2CF97869" w14:textId="77777777" w:rsidTr="006D141F">
        <w:tc>
          <w:tcPr>
            <w:tcW w:w="3114" w:type="dxa"/>
            <w:vAlign w:val="center"/>
          </w:tcPr>
          <w:p w14:paraId="0C5A8310" w14:textId="2C2CC38B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Many years</w:t>
            </w:r>
          </w:p>
        </w:tc>
        <w:tc>
          <w:tcPr>
            <w:tcW w:w="2268" w:type="dxa"/>
            <w:vAlign w:val="center"/>
          </w:tcPr>
          <w:p w14:paraId="0762AB32" w14:textId="7E952014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很多年</w:t>
            </w:r>
          </w:p>
        </w:tc>
        <w:tc>
          <w:tcPr>
            <w:tcW w:w="4354" w:type="dxa"/>
            <w:vAlign w:val="center"/>
          </w:tcPr>
          <w:p w14:paraId="6F4E6159" w14:textId="78E35984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一般用於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10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年以上</w:t>
            </w:r>
          </w:p>
        </w:tc>
      </w:tr>
      <w:tr w:rsidR="00E32327" w:rsidRPr="0097166E" w14:paraId="73EDA52B" w14:textId="77777777" w:rsidTr="006D141F">
        <w:tc>
          <w:tcPr>
            <w:tcW w:w="3114" w:type="dxa"/>
            <w:vAlign w:val="center"/>
          </w:tcPr>
          <w:p w14:paraId="798D2F54" w14:textId="4C5664F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Few years</w:t>
            </w:r>
          </w:p>
        </w:tc>
        <w:tc>
          <w:tcPr>
            <w:tcW w:w="2268" w:type="dxa"/>
            <w:vAlign w:val="center"/>
          </w:tcPr>
          <w:p w14:paraId="385DABE4" w14:textId="39FCA7A3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很多年</w:t>
            </w:r>
          </w:p>
        </w:tc>
        <w:tc>
          <w:tcPr>
            <w:tcW w:w="4354" w:type="dxa"/>
            <w:vAlign w:val="center"/>
          </w:tcPr>
          <w:p w14:paraId="7C9825C3" w14:textId="44EE05C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一般用於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10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年以下</w:t>
            </w:r>
          </w:p>
        </w:tc>
      </w:tr>
      <w:tr w:rsidR="00E32327" w:rsidRPr="0097166E" w14:paraId="79B1C9DB" w14:textId="77777777" w:rsidTr="006D141F">
        <w:tc>
          <w:tcPr>
            <w:tcW w:w="3114" w:type="dxa"/>
            <w:vAlign w:val="center"/>
          </w:tcPr>
          <w:p w14:paraId="7EE66238" w14:textId="296C3DC9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promote</w:t>
            </w:r>
          </w:p>
        </w:tc>
        <w:tc>
          <w:tcPr>
            <w:tcW w:w="2268" w:type="dxa"/>
            <w:vAlign w:val="center"/>
          </w:tcPr>
          <w:p w14:paraId="67530B6F" w14:textId="2CB7E22C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弘揚文化</w:t>
            </w:r>
          </w:p>
        </w:tc>
        <w:tc>
          <w:tcPr>
            <w:tcW w:w="4354" w:type="dxa"/>
            <w:vAlign w:val="center"/>
          </w:tcPr>
          <w:p w14:paraId="77EA7C5C" w14:textId="7A6081A0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spreading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不適合表示弘揚文化</w:t>
            </w:r>
          </w:p>
        </w:tc>
      </w:tr>
      <w:tr w:rsidR="00E32327" w:rsidRPr="0097166E" w14:paraId="6FB20BAF" w14:textId="77777777" w:rsidTr="006D141F">
        <w:tc>
          <w:tcPr>
            <w:tcW w:w="3114" w:type="dxa"/>
            <w:vAlign w:val="center"/>
          </w:tcPr>
          <w:p w14:paraId="3499E140" w14:textId="388B0AA2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prejudice</w:t>
            </w:r>
          </w:p>
        </w:tc>
        <w:tc>
          <w:tcPr>
            <w:tcW w:w="2268" w:type="dxa"/>
            <w:vAlign w:val="center"/>
          </w:tcPr>
          <w:p w14:paraId="0E63367C" w14:textId="256C702D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分別</w:t>
            </w:r>
          </w:p>
        </w:tc>
        <w:tc>
          <w:tcPr>
            <w:tcW w:w="4354" w:type="dxa"/>
            <w:vAlign w:val="center"/>
          </w:tcPr>
          <w:p w14:paraId="0F2DEB8C" w14:textId="5FFB2842" w:rsidR="00E32327" w:rsidRPr="0097166E" w:rsidRDefault="0097166E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="00E32327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discrimination</w:t>
            </w:r>
          </w:p>
        </w:tc>
      </w:tr>
      <w:tr w:rsidR="00E32327" w:rsidRPr="0097166E" w14:paraId="47FC49CA" w14:textId="77777777" w:rsidTr="006D141F">
        <w:tc>
          <w:tcPr>
            <w:tcW w:w="3114" w:type="dxa"/>
            <w:vAlign w:val="center"/>
          </w:tcPr>
          <w:p w14:paraId="1C7730C3" w14:textId="4923AEAF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Qing dynasty</w:t>
            </w:r>
          </w:p>
        </w:tc>
        <w:tc>
          <w:tcPr>
            <w:tcW w:w="2268" w:type="dxa"/>
            <w:vAlign w:val="center"/>
          </w:tcPr>
          <w:p w14:paraId="239669CE" w14:textId="4C183F0C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清朝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</w:t>
            </w:r>
          </w:p>
        </w:tc>
        <w:tc>
          <w:tcPr>
            <w:tcW w:w="4354" w:type="dxa"/>
            <w:vAlign w:val="center"/>
          </w:tcPr>
          <w:p w14:paraId="5C65C9D1" w14:textId="06D7B82A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替代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Manchu Dynasty</w:t>
            </w:r>
          </w:p>
        </w:tc>
      </w:tr>
      <w:tr w:rsidR="00E32327" w:rsidRPr="0097166E" w14:paraId="5D2FF7F5" w14:textId="77777777" w:rsidTr="006D141F">
        <w:tc>
          <w:tcPr>
            <w:tcW w:w="3114" w:type="dxa"/>
            <w:vAlign w:val="center"/>
          </w:tcPr>
          <w:p w14:paraId="34A7B5AE" w14:textId="78F15480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to recover our innate virtues</w:t>
            </w:r>
          </w:p>
        </w:tc>
        <w:tc>
          <w:tcPr>
            <w:tcW w:w="2268" w:type="dxa"/>
            <w:vAlign w:val="center"/>
          </w:tcPr>
          <w:p w14:paraId="20F1B240" w14:textId="59377AE3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明明德</w:t>
            </w:r>
          </w:p>
        </w:tc>
        <w:tc>
          <w:tcPr>
            <w:tcW w:w="4354" w:type="dxa"/>
            <w:vAlign w:val="center"/>
          </w:tcPr>
          <w:p w14:paraId="1CC0C92D" w14:textId="742E6979" w:rsidR="00E32327" w:rsidRPr="0097166E" w:rsidRDefault="00E32327" w:rsidP="00E32327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用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to recover our innate virtues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to illustrate illustrious virtue</w:t>
            </w:r>
          </w:p>
          <w:p w14:paraId="734FF326" w14:textId="2AF27361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感覺李亞格中的翻譯可以再修正</w:t>
            </w:r>
          </w:p>
        </w:tc>
      </w:tr>
      <w:tr w:rsidR="00E32327" w:rsidRPr="0097166E" w14:paraId="0C602BA5" w14:textId="77777777" w:rsidTr="006D141F">
        <w:tc>
          <w:tcPr>
            <w:tcW w:w="3114" w:type="dxa"/>
            <w:vAlign w:val="center"/>
          </w:tcPr>
          <w:p w14:paraId="6C07C655" w14:textId="5D43A60A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lastRenderedPageBreak/>
              <w:t>degree of resilience to stress</w:t>
            </w:r>
          </w:p>
        </w:tc>
        <w:tc>
          <w:tcPr>
            <w:tcW w:w="2268" w:type="dxa"/>
            <w:vAlign w:val="center"/>
          </w:tcPr>
          <w:p w14:paraId="01509787" w14:textId="407233E7" w:rsidR="00E32327" w:rsidRPr="0097166E" w:rsidRDefault="00E32327" w:rsidP="00E32327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抗壓性</w:t>
            </w:r>
          </w:p>
        </w:tc>
        <w:tc>
          <w:tcPr>
            <w:tcW w:w="4354" w:type="dxa"/>
            <w:vAlign w:val="center"/>
          </w:tcPr>
          <w:p w14:paraId="0BD1D835" w14:textId="65F3D231" w:rsidR="00E32327" w:rsidRPr="0097166E" w:rsidRDefault="0097166E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="00E32327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stress- resistance</w:t>
            </w:r>
          </w:p>
        </w:tc>
      </w:tr>
      <w:tr w:rsidR="00E32327" w:rsidRPr="0097166E" w14:paraId="7EAA2DE8" w14:textId="77777777" w:rsidTr="006D141F">
        <w:tc>
          <w:tcPr>
            <w:tcW w:w="3114" w:type="dxa"/>
            <w:vAlign w:val="center"/>
          </w:tcPr>
          <w:p w14:paraId="7355D2B3" w14:textId="0745AB12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coordinate </w:t>
            </w:r>
          </w:p>
        </w:tc>
        <w:tc>
          <w:tcPr>
            <w:tcW w:w="2268" w:type="dxa"/>
            <w:vAlign w:val="center"/>
          </w:tcPr>
          <w:p w14:paraId="3E811B48" w14:textId="783DEBCC" w:rsidR="00E32327" w:rsidRPr="0097166E" w:rsidRDefault="00E32327" w:rsidP="00E32327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多方協調</w:t>
            </w:r>
          </w:p>
        </w:tc>
        <w:tc>
          <w:tcPr>
            <w:tcW w:w="4354" w:type="dxa"/>
            <w:vAlign w:val="center"/>
          </w:tcPr>
          <w:p w14:paraId="7A00758A" w14:textId="3284F757" w:rsidR="00E32327" w:rsidRPr="0097166E" w:rsidRDefault="00E32327" w:rsidP="00E32327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多方協調建議使用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coordinate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negotiate</w:t>
            </w:r>
          </w:p>
        </w:tc>
      </w:tr>
    </w:tbl>
    <w:p w14:paraId="4EB9D957" w14:textId="769B0429" w:rsidR="003A16FF" w:rsidRPr="0097166E" w:rsidRDefault="003A16FF">
      <w:pPr>
        <w:rPr>
          <w:rFonts w:ascii="Times New Roman" w:eastAsia="標楷體" w:hAnsi="Times New Roman" w:cs="Times New Roman"/>
          <w:lang w:eastAsia="zh-TW"/>
        </w:rPr>
      </w:pPr>
    </w:p>
    <w:p w14:paraId="33FB8F6F" w14:textId="54BA5696" w:rsidR="00056B12" w:rsidRPr="0097166E" w:rsidRDefault="00056B12">
      <w:pPr>
        <w:rPr>
          <w:rFonts w:ascii="Times New Roman" w:eastAsia="標楷體" w:hAnsi="Times New Roman" w:cs="Times New Roman"/>
          <w:lang w:eastAsia="zh-TW"/>
        </w:rPr>
      </w:pPr>
    </w:p>
    <w:p w14:paraId="0B989A5A" w14:textId="6D238D7C" w:rsidR="00056B12" w:rsidRPr="0097166E" w:rsidRDefault="00BF2681" w:rsidP="00056B12">
      <w:pPr>
        <w:spacing w:after="0"/>
        <w:jc w:val="both"/>
        <w:rPr>
          <w:rFonts w:ascii="Times New Roman" w:eastAsia="標楷體" w:hAnsi="Times New Roman" w:cs="Times New Roman"/>
          <w:sz w:val="16"/>
          <w:shd w:val="pct15" w:color="auto" w:fill="FFFFFF"/>
          <w:lang w:eastAsia="zh-TW"/>
        </w:rPr>
      </w:pPr>
      <w:r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三、</w:t>
      </w:r>
      <w:r w:rsidR="00056B12"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翻譯</w:t>
      </w:r>
      <w:r w:rsidRPr="0097166E">
        <w:rPr>
          <w:rFonts w:ascii="Times New Roman" w:eastAsia="標楷體" w:hAnsi="Times New Roman" w:cs="Times New Roman"/>
          <w:sz w:val="36"/>
          <w:shd w:val="pct15" w:color="auto" w:fill="FFFFFF"/>
        </w:rPr>
        <w:t>問題</w:t>
      </w:r>
    </w:p>
    <w:tbl>
      <w:tblPr>
        <w:tblStyle w:val="ae"/>
        <w:tblW w:w="0" w:type="auto"/>
        <w:tblLook w:val="04A0" w:firstRow="1" w:lastRow="0" w:firstColumn="1" w:lastColumn="0" w:noHBand="0" w:noVBand="1"/>
      </w:tblPr>
      <w:tblGrid>
        <w:gridCol w:w="4868"/>
        <w:gridCol w:w="4868"/>
      </w:tblGrid>
      <w:tr w:rsidR="000675FF" w:rsidRPr="0097166E" w14:paraId="1F65CBA1" w14:textId="77777777" w:rsidTr="006D141F">
        <w:tc>
          <w:tcPr>
            <w:tcW w:w="4868" w:type="dxa"/>
            <w:vAlign w:val="center"/>
          </w:tcPr>
          <w:p w14:paraId="617E14FF" w14:textId="3D4128BA" w:rsidR="000675FF" w:rsidRPr="0097166E" w:rsidRDefault="00056B12" w:rsidP="00056B12">
            <w:pPr>
              <w:jc w:val="center"/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  <w:t>翻譯</w:t>
            </w:r>
          </w:p>
        </w:tc>
        <w:tc>
          <w:tcPr>
            <w:tcW w:w="4868" w:type="dxa"/>
            <w:vAlign w:val="center"/>
          </w:tcPr>
          <w:p w14:paraId="3CF85F1E" w14:textId="07C44C94" w:rsidR="000675FF" w:rsidRPr="0097166E" w:rsidRDefault="00056B12" w:rsidP="00056B12">
            <w:pPr>
              <w:jc w:val="center"/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</w:pPr>
            <w:r w:rsidRPr="0097166E">
              <w:rPr>
                <w:rFonts w:ascii="Times New Roman" w:eastAsia="標楷體" w:hAnsi="Times New Roman" w:cs="Times New Roman"/>
                <w:b/>
                <w:sz w:val="28"/>
                <w:szCs w:val="28"/>
                <w:u w:val="single"/>
              </w:rPr>
              <w:t>注解</w:t>
            </w:r>
          </w:p>
        </w:tc>
      </w:tr>
      <w:tr w:rsidR="000675FF" w:rsidRPr="0097166E" w14:paraId="3A85D2B3" w14:textId="77777777" w:rsidTr="006D141F">
        <w:tc>
          <w:tcPr>
            <w:tcW w:w="4868" w:type="dxa"/>
            <w:vAlign w:val="center"/>
          </w:tcPr>
          <w:p w14:paraId="751A3A28" w14:textId="77777777" w:rsidR="00056B12" w:rsidRPr="0097166E" w:rsidRDefault="00056B12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  <w:lang w:eastAsia="zh-TW"/>
              </w:rPr>
              <w:t>In the tenth year of Duke Zhuang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1F41AF24" w14:textId="0A35F7C9" w:rsidR="000675FF" w:rsidRPr="0097166E" w:rsidRDefault="00056B12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In Year Ten of Duke Zhuang</w:t>
            </w:r>
          </w:p>
        </w:tc>
        <w:tc>
          <w:tcPr>
            <w:tcW w:w="4868" w:type="dxa"/>
            <w:vAlign w:val="center"/>
          </w:tcPr>
          <w:p w14:paraId="35E8AEC7" w14:textId="341416CA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莊公十年</w:t>
            </w:r>
          </w:p>
        </w:tc>
      </w:tr>
      <w:tr w:rsidR="000675FF" w:rsidRPr="0097166E" w14:paraId="6612AC7E" w14:textId="77777777" w:rsidTr="006D141F">
        <w:tc>
          <w:tcPr>
            <w:tcW w:w="4868" w:type="dxa"/>
            <w:vAlign w:val="center"/>
          </w:tcPr>
          <w:p w14:paraId="3AF0DEAA" w14:textId="3613D423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hold their nation and the world at heart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心系家國天下</w:t>
            </w:r>
          </w:p>
        </w:tc>
        <w:tc>
          <w:tcPr>
            <w:tcW w:w="4868" w:type="dxa"/>
            <w:vAlign w:val="center"/>
          </w:tcPr>
          <w:p w14:paraId="459AFE18" w14:textId="28624A3B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雖能理解，但非常見用法</w:t>
            </w:r>
          </w:p>
        </w:tc>
      </w:tr>
      <w:tr w:rsidR="000675FF" w:rsidRPr="0097166E" w14:paraId="33991DC0" w14:textId="77777777" w:rsidTr="006D141F">
        <w:tc>
          <w:tcPr>
            <w:tcW w:w="4868" w:type="dxa"/>
            <w:vAlign w:val="center"/>
          </w:tcPr>
          <w:p w14:paraId="75704C71" w14:textId="41066277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bearing righteousness at heart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可考慮改為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with righteous hearts</w:t>
            </w:r>
          </w:p>
        </w:tc>
        <w:tc>
          <w:tcPr>
            <w:tcW w:w="4868" w:type="dxa"/>
            <w:vAlign w:val="center"/>
          </w:tcPr>
          <w:p w14:paraId="70316FC0" w14:textId="02D6A252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懷仁</w:t>
            </w:r>
          </w:p>
        </w:tc>
      </w:tr>
      <w:tr w:rsidR="000675FF" w:rsidRPr="0097166E" w14:paraId="361FCF3C" w14:textId="77777777" w:rsidTr="006D141F">
        <w:tc>
          <w:tcPr>
            <w:tcW w:w="4868" w:type="dxa"/>
            <w:vAlign w:val="center"/>
          </w:tcPr>
          <w:p w14:paraId="1417121D" w14:textId="788011EA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for this reason, therefore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比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as such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更能強調因果關係</w:t>
            </w:r>
          </w:p>
        </w:tc>
        <w:tc>
          <w:tcPr>
            <w:tcW w:w="4868" w:type="dxa"/>
            <w:vAlign w:val="center"/>
          </w:tcPr>
          <w:p w14:paraId="541EA153" w14:textId="643C28EE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因此</w:t>
            </w:r>
          </w:p>
        </w:tc>
      </w:tr>
      <w:tr w:rsidR="000675FF" w:rsidRPr="0097166E" w14:paraId="0E6704F2" w14:textId="77777777" w:rsidTr="006D141F">
        <w:tc>
          <w:tcPr>
            <w:tcW w:w="4868" w:type="dxa"/>
            <w:vAlign w:val="center"/>
          </w:tcPr>
          <w:p w14:paraId="7D5E01B7" w14:textId="4737D688" w:rsidR="000675FF" w:rsidRPr="0097166E" w:rsidRDefault="00AD5056" w:rsidP="00056B12">
            <w:pPr>
              <w:rPr>
                <w:rFonts w:ascii="Times New Roman" w:eastAsia="標楷體" w:hAnsi="Times New Roman" w:cs="Times New Roman"/>
                <w:color w:val="FF0000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避免使用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etc.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，可以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用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‘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and so forth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’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或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‘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; however, in spite of this…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’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代替</w:t>
            </w:r>
          </w:p>
        </w:tc>
        <w:tc>
          <w:tcPr>
            <w:tcW w:w="4868" w:type="dxa"/>
            <w:vAlign w:val="center"/>
          </w:tcPr>
          <w:p w14:paraId="1A74D047" w14:textId="7759BA1F" w:rsidR="000675FF" w:rsidRPr="0097166E" w:rsidRDefault="00AD5056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Etc.</w:t>
            </w:r>
            <w:r w:rsidR="00056B12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等等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and so forth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等等，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however, in spite of this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然而，除此之外還有</w:t>
            </w:r>
            <w:r w:rsidR="00054226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…</w:t>
            </w:r>
          </w:p>
        </w:tc>
      </w:tr>
      <w:tr w:rsidR="000675FF" w:rsidRPr="0097166E" w14:paraId="36BCCB05" w14:textId="77777777" w:rsidTr="006D141F">
        <w:tc>
          <w:tcPr>
            <w:tcW w:w="4868" w:type="dxa"/>
            <w:vAlign w:val="center"/>
          </w:tcPr>
          <w:p w14:paraId="0D510728" w14:textId="7299BA24" w:rsidR="000675FF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避免斷定的說法，如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The cultural heritage of the Chinese has survived without change to this day.</w:t>
            </w:r>
          </w:p>
        </w:tc>
        <w:tc>
          <w:tcPr>
            <w:tcW w:w="4868" w:type="dxa"/>
            <w:vAlign w:val="center"/>
          </w:tcPr>
          <w:p w14:paraId="788C3AE8" w14:textId="77777777" w:rsidR="000675FF" w:rsidRPr="0097166E" w:rsidRDefault="000675F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</w:tr>
      <w:tr w:rsidR="00056B12" w:rsidRPr="0097166E" w14:paraId="2E7DD53F" w14:textId="77777777" w:rsidTr="006D141F">
        <w:tc>
          <w:tcPr>
            <w:tcW w:w="4868" w:type="dxa"/>
            <w:vAlign w:val="center"/>
          </w:tcPr>
          <w:p w14:paraId="74E12763" w14:textId="6223F301" w:rsidR="00056B12" w:rsidRPr="0097166E" w:rsidRDefault="00056B12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mercy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（德澤）」、「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filial piety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（孝）」、「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Foremost Teacher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（至聖先師）」、「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music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（樂）」</w:t>
            </w:r>
          </w:p>
        </w:tc>
        <w:tc>
          <w:tcPr>
            <w:tcW w:w="4868" w:type="dxa"/>
            <w:vAlign w:val="center"/>
          </w:tcPr>
          <w:p w14:paraId="7CB1079C" w14:textId="2B5B02AB" w:rsidR="00056B12" w:rsidRPr="0097166E" w:rsidRDefault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翻譯過程若有特殊的專有名詞無法與現有的英文翻譯完全呼應，應附上中文以表明。</w:t>
            </w:r>
          </w:p>
        </w:tc>
      </w:tr>
      <w:tr w:rsidR="00A37F1B" w:rsidRPr="0097166E" w14:paraId="4B8FFDF3" w14:textId="77777777" w:rsidTr="006D141F">
        <w:tc>
          <w:tcPr>
            <w:tcW w:w="4868" w:type="dxa"/>
            <w:vAlign w:val="center"/>
          </w:tcPr>
          <w:p w14:paraId="4798573D" w14:textId="6BE6A49A" w:rsidR="00A37F1B" w:rsidRPr="0097166E" w:rsidRDefault="00054226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ince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與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after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的差異性，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since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較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after</w:t>
            </w:r>
            <w:r w:rsidR="00663C8F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有針對性</w:t>
            </w:r>
          </w:p>
        </w:tc>
        <w:tc>
          <w:tcPr>
            <w:tcW w:w="4868" w:type="dxa"/>
            <w:vAlign w:val="center"/>
          </w:tcPr>
          <w:p w14:paraId="3A578B83" w14:textId="7C157302" w:rsidR="00A37F1B" w:rsidRPr="0097166E" w:rsidRDefault="00663C8F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如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Since the Qing dynasty, the Chinese lost their confidence in traditional culture.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此處意指清朝對中國人失去文化自信心負有責任。若使用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after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則只表示在清朝（時間點）以後，中國人開始失去文化自信心。</w:t>
            </w:r>
          </w:p>
        </w:tc>
      </w:tr>
      <w:tr w:rsidR="00663C8F" w:rsidRPr="0097166E" w14:paraId="17A31DE1" w14:textId="77777777" w:rsidTr="006D141F">
        <w:tc>
          <w:tcPr>
            <w:tcW w:w="4868" w:type="dxa"/>
            <w:vAlign w:val="center"/>
          </w:tcPr>
          <w:p w14:paraId="1F2357C0" w14:textId="3627D8F0" w:rsidR="00663C8F" w:rsidRPr="0097166E" w:rsidRDefault="00054226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All nations are rapidly becoming one entity.</w:t>
            </w:r>
          </w:p>
        </w:tc>
        <w:tc>
          <w:tcPr>
            <w:tcW w:w="4868" w:type="dxa"/>
            <w:vAlign w:val="center"/>
          </w:tcPr>
          <w:p w14:paraId="29EA2BE8" w14:textId="03DF6267" w:rsidR="00663C8F" w:rsidRPr="0097166E" w:rsidRDefault="00054226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所有國家正快速成為命運共同體。</w:t>
            </w:r>
          </w:p>
        </w:tc>
      </w:tr>
      <w:tr w:rsidR="00054226" w:rsidRPr="0097166E" w14:paraId="26CB2DC7" w14:textId="77777777" w:rsidTr="006D141F">
        <w:tc>
          <w:tcPr>
            <w:tcW w:w="4868" w:type="dxa"/>
            <w:vAlign w:val="center"/>
          </w:tcPr>
          <w:p w14:paraId="01F9EEE7" w14:textId="1933831B" w:rsidR="00054226" w:rsidRPr="0097166E" w:rsidRDefault="00054226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Righteousness and self-gain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義利</w:t>
            </w:r>
          </w:p>
        </w:tc>
        <w:tc>
          <w:tcPr>
            <w:tcW w:w="4868" w:type="dxa"/>
            <w:vAlign w:val="center"/>
          </w:tcPr>
          <w:p w14:paraId="6C4ED195" w14:textId="26DFC338" w:rsidR="00054226" w:rsidRPr="0097166E" w:rsidRDefault="00054226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不要用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material gain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表示「利」，含義太廣泛；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self-gain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可表示「私利」的含義</w:t>
            </w:r>
          </w:p>
        </w:tc>
      </w:tr>
      <w:tr w:rsidR="00054226" w:rsidRPr="0097166E" w14:paraId="65F6DD70" w14:textId="77777777" w:rsidTr="006D141F">
        <w:tc>
          <w:tcPr>
            <w:tcW w:w="4868" w:type="dxa"/>
            <w:vAlign w:val="center"/>
          </w:tcPr>
          <w:p w14:paraId="69FF56A2" w14:textId="313AFE9C" w:rsidR="00054226" w:rsidRPr="0097166E" w:rsidRDefault="00054226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Cultivate </w:t>
            </w:r>
            <w:r w:rsidR="00105EA9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one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’s quali</w:t>
            </w:r>
            <w:r w:rsidR="00105EA9"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ty of righteousness</w:t>
            </w:r>
          </w:p>
        </w:tc>
        <w:tc>
          <w:tcPr>
            <w:tcW w:w="4868" w:type="dxa"/>
            <w:vAlign w:val="center"/>
          </w:tcPr>
          <w:p w14:paraId="03AB8415" w14:textId="011A7B6C" w:rsidR="00054226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義以為質</w:t>
            </w:r>
          </w:p>
        </w:tc>
      </w:tr>
      <w:tr w:rsidR="00105EA9" w:rsidRPr="0097166E" w14:paraId="1E5A5ED7" w14:textId="77777777" w:rsidTr="006D141F">
        <w:tc>
          <w:tcPr>
            <w:tcW w:w="4868" w:type="dxa"/>
            <w:vAlign w:val="center"/>
          </w:tcPr>
          <w:p w14:paraId="334A7591" w14:textId="78C3FE1C" w:rsidR="00105EA9" w:rsidRPr="0097166E" w:rsidRDefault="00105EA9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He neglected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…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He had never concerned about…</w:t>
            </w:r>
          </w:p>
        </w:tc>
        <w:tc>
          <w:tcPr>
            <w:tcW w:w="4868" w:type="dxa"/>
            <w:vAlign w:val="center"/>
          </w:tcPr>
          <w:p w14:paraId="4A8D0089" w14:textId="76738282" w:rsidR="00105EA9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他從不關心，他忽視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…</w:t>
            </w:r>
          </w:p>
        </w:tc>
      </w:tr>
      <w:tr w:rsidR="00105EA9" w:rsidRPr="0097166E" w14:paraId="00AA061A" w14:textId="77777777" w:rsidTr="006D141F">
        <w:tc>
          <w:tcPr>
            <w:tcW w:w="4868" w:type="dxa"/>
            <w:vAlign w:val="center"/>
          </w:tcPr>
          <w:p w14:paraId="17F08CAB" w14:textId="2FEF427A" w:rsidR="00105EA9" w:rsidRPr="0097166E" w:rsidRDefault="00105EA9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lastRenderedPageBreak/>
              <w:t>Strengthen military force</w:t>
            </w:r>
          </w:p>
        </w:tc>
        <w:tc>
          <w:tcPr>
            <w:tcW w:w="4868" w:type="dxa"/>
            <w:vAlign w:val="center"/>
          </w:tcPr>
          <w:p w14:paraId="025136A5" w14:textId="6B1F9001" w:rsidR="00105EA9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強軍</w:t>
            </w:r>
          </w:p>
        </w:tc>
      </w:tr>
      <w:tr w:rsidR="00105EA9" w:rsidRPr="0097166E" w14:paraId="0E347432" w14:textId="77777777" w:rsidTr="006D141F">
        <w:tc>
          <w:tcPr>
            <w:tcW w:w="4868" w:type="dxa"/>
            <w:vAlign w:val="center"/>
          </w:tcPr>
          <w:p w14:paraId="3CCC33FD" w14:textId="635FF00A" w:rsidR="00105EA9" w:rsidRPr="0097166E" w:rsidRDefault="00105EA9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姜太公建議周武王時的表述用詞可用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argue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或者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discuss</w:t>
            </w:r>
          </w:p>
        </w:tc>
        <w:tc>
          <w:tcPr>
            <w:tcW w:w="4868" w:type="dxa"/>
            <w:vAlign w:val="center"/>
          </w:tcPr>
          <w:p w14:paraId="00F33B3E" w14:textId="77777777" w:rsidR="00105EA9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</w:p>
        </w:tc>
      </w:tr>
      <w:tr w:rsidR="00105EA9" w:rsidRPr="0097166E" w14:paraId="05A5CC55" w14:textId="77777777" w:rsidTr="006D141F">
        <w:tc>
          <w:tcPr>
            <w:tcW w:w="4868" w:type="dxa"/>
            <w:vAlign w:val="center"/>
          </w:tcPr>
          <w:p w14:paraId="4F74D8D9" w14:textId="64BA2736" w:rsidR="00105EA9" w:rsidRPr="0097166E" w:rsidRDefault="00105EA9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Possessing it on his own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改為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keeping it to himself</w:t>
            </w:r>
          </w:p>
        </w:tc>
        <w:tc>
          <w:tcPr>
            <w:tcW w:w="4868" w:type="dxa"/>
            <w:vAlign w:val="center"/>
          </w:tcPr>
          <w:p w14:paraId="50AFDC5D" w14:textId="547F2BE4" w:rsidR="00105EA9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占為己有</w:t>
            </w:r>
          </w:p>
        </w:tc>
      </w:tr>
      <w:tr w:rsidR="00105EA9" w:rsidRPr="0097166E" w14:paraId="3EBF100C" w14:textId="77777777" w:rsidTr="006D141F">
        <w:tc>
          <w:tcPr>
            <w:tcW w:w="4868" w:type="dxa"/>
            <w:vAlign w:val="center"/>
          </w:tcPr>
          <w:p w14:paraId="62BBBBA7" w14:textId="6E72F14A" w:rsidR="00105EA9" w:rsidRPr="0097166E" w:rsidRDefault="00105EA9" w:rsidP="00056B12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Fulfil their duty and obligations to their people</w:t>
            </w:r>
          </w:p>
        </w:tc>
        <w:tc>
          <w:tcPr>
            <w:tcW w:w="4868" w:type="dxa"/>
            <w:vAlign w:val="center"/>
          </w:tcPr>
          <w:p w14:paraId="571AEB3B" w14:textId="06031F2E" w:rsidR="00105EA9" w:rsidRPr="0097166E" w:rsidRDefault="00105EA9">
            <w:pPr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履行對百姓的責任和義務</w:t>
            </w:r>
          </w:p>
        </w:tc>
      </w:tr>
      <w:tr w:rsidR="00080AC8" w:rsidRPr="0097166E" w14:paraId="03936D7F" w14:textId="77777777" w:rsidTr="006D141F">
        <w:tc>
          <w:tcPr>
            <w:tcW w:w="4868" w:type="dxa"/>
            <w:vAlign w:val="center"/>
          </w:tcPr>
          <w:p w14:paraId="27AA8CE6" w14:textId="183031E9" w:rsidR="00080AC8" w:rsidRPr="0097166E" w:rsidRDefault="00080AC8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>What on earth…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究竟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……</w:t>
            </w:r>
          </w:p>
        </w:tc>
        <w:tc>
          <w:tcPr>
            <w:tcW w:w="4868" w:type="dxa"/>
            <w:vAlign w:val="center"/>
          </w:tcPr>
          <w:p w14:paraId="54EC2D51" w14:textId="0BF77FF4" w:rsidR="00080AC8" w:rsidRPr="0097166E" w:rsidRDefault="00080AC8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太口語</w:t>
            </w:r>
          </w:p>
        </w:tc>
      </w:tr>
      <w:tr w:rsidR="00080AC8" w:rsidRPr="0097166E" w14:paraId="5E38DCAC" w14:textId="77777777" w:rsidTr="006D141F">
        <w:tc>
          <w:tcPr>
            <w:tcW w:w="4868" w:type="dxa"/>
            <w:vAlign w:val="center"/>
          </w:tcPr>
          <w:p w14:paraId="5FE971B5" w14:textId="1D80F4D3" w:rsidR="00080AC8" w:rsidRPr="0097166E" w:rsidRDefault="00080AC8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  <w:lang w:eastAsia="zh-TW"/>
              </w:rPr>
              <w:t>Faced with dangers and crisis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不是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Facing with…</w:t>
            </w:r>
          </w:p>
        </w:tc>
        <w:tc>
          <w:tcPr>
            <w:tcW w:w="4868" w:type="dxa"/>
            <w:vAlign w:val="center"/>
          </w:tcPr>
          <w:p w14:paraId="19BC0C84" w14:textId="721FA21A" w:rsidR="00080AC8" w:rsidRPr="0097166E" w:rsidRDefault="00FB202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面對危機</w:t>
            </w:r>
          </w:p>
        </w:tc>
      </w:tr>
      <w:tr w:rsidR="00FB2021" w:rsidRPr="0097166E" w14:paraId="796AAD94" w14:textId="77777777" w:rsidTr="006D141F">
        <w:tc>
          <w:tcPr>
            <w:tcW w:w="4868" w:type="dxa"/>
            <w:vAlign w:val="center"/>
          </w:tcPr>
          <w:p w14:paraId="37C54A42" w14:textId="43D07500" w:rsidR="00FB2021" w:rsidRPr="0097166E" w:rsidRDefault="00FB2021" w:rsidP="00056B12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  <w:lang w:eastAsia="zh-TW"/>
              </w:rPr>
              <w:t>Bear heavy responsibility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  <w:lang w:eastAsia="zh-TW"/>
              </w:rPr>
              <w:t xml:space="preserve">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burden responsibility</w:t>
            </w:r>
          </w:p>
        </w:tc>
        <w:tc>
          <w:tcPr>
            <w:tcW w:w="4868" w:type="dxa"/>
            <w:vAlign w:val="center"/>
          </w:tcPr>
          <w:p w14:paraId="26BE9BC5" w14:textId="46010874" w:rsidR="00FB2021" w:rsidRPr="0097166E" w:rsidRDefault="00FB202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肩負責任</w:t>
            </w:r>
          </w:p>
        </w:tc>
      </w:tr>
      <w:tr w:rsidR="001F7D95" w:rsidRPr="0097166E" w14:paraId="046E0290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6C535DD5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a short period of time</w:t>
            </w:r>
          </w:p>
          <w:p w14:paraId="5543ADFD" w14:textId="224A8994" w:rsidR="001F7D95" w:rsidRPr="0097166E" w:rsidRDefault="0097166E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20769542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 short amount of time</w:t>
            </w:r>
          </w:p>
        </w:tc>
        <w:tc>
          <w:tcPr>
            <w:tcW w:w="4868" w:type="dxa"/>
            <w:vAlign w:val="center"/>
          </w:tcPr>
          <w:p w14:paraId="0048D05C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表達在短時間之內</w:t>
            </w:r>
          </w:p>
        </w:tc>
      </w:tr>
      <w:tr w:rsidR="001F7D95" w:rsidRPr="0097166E" w14:paraId="5DAD63CA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0B64F714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proactively shouldered the workload</w:t>
            </w:r>
          </w:p>
          <w:p w14:paraId="3B6774EC" w14:textId="540DEDEE" w:rsidR="001F7D95" w:rsidRPr="0097166E" w:rsidRDefault="0097166E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0AFD4D4E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actively shared the workload</w:t>
            </w:r>
          </w:p>
        </w:tc>
        <w:tc>
          <w:tcPr>
            <w:tcW w:w="4868" w:type="dxa"/>
            <w:vAlign w:val="center"/>
          </w:tcPr>
          <w:p w14:paraId="328B50C0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積極用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proactively</w:t>
            </w:r>
          </w:p>
          <w:p w14:paraId="25A59E0F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分擔工作量的分擔應為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shoulder</w:t>
            </w:r>
          </w:p>
        </w:tc>
      </w:tr>
      <w:tr w:rsidR="001F7D95" w:rsidRPr="0097166E" w14:paraId="042739DA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5FDA1B04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practice the traditional culture</w:t>
            </w:r>
          </w:p>
          <w:p w14:paraId="4D4B521A" w14:textId="48D0E94D" w:rsidR="001F7D95" w:rsidRPr="0097166E" w:rsidRDefault="0097166E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5D998DA1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Implement the traditional culture</w:t>
            </w:r>
          </w:p>
        </w:tc>
        <w:tc>
          <w:tcPr>
            <w:tcW w:w="4868" w:type="dxa"/>
            <w:vAlign w:val="center"/>
          </w:tcPr>
          <w:p w14:paraId="66DB3FB0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落實傳統文化</w:t>
            </w:r>
          </w:p>
        </w:tc>
      </w:tr>
      <w:tr w:rsidR="001F7D95" w:rsidRPr="0097166E" w14:paraId="2E3C6EB2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6FE31DC9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share the same sense of mission as …</w:t>
            </w:r>
          </w:p>
          <w:p w14:paraId="76FA8DB2" w14:textId="4FF12ECE" w:rsidR="001F7D95" w:rsidRPr="0097166E" w:rsidRDefault="0097166E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051AD23D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has the same commitment with…</w:t>
            </w:r>
          </w:p>
        </w:tc>
        <w:tc>
          <w:tcPr>
            <w:tcW w:w="4868" w:type="dxa"/>
            <w:vAlign w:val="center"/>
          </w:tcPr>
          <w:p w14:paraId="71002947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有共同理念</w:t>
            </w:r>
          </w:p>
        </w:tc>
      </w:tr>
      <w:tr w:rsidR="001F7D95" w:rsidRPr="0097166E" w14:paraId="60EE2968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5F6F7DB3" w14:textId="1C4FB8A9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scared mission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Holy field </w:t>
            </w:r>
          </w:p>
        </w:tc>
        <w:tc>
          <w:tcPr>
            <w:tcW w:w="4868" w:type="dxa"/>
            <w:vAlign w:val="center"/>
          </w:tcPr>
          <w:p w14:paraId="53363077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holy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一般指聖經一類，盡量不要用於形容其他類別的句子裡。</w:t>
            </w:r>
          </w:p>
        </w:tc>
      </w:tr>
      <w:tr w:rsidR="001F7D95" w:rsidRPr="0097166E" w14:paraId="7E1322EE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2BB7755E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Chinese culture transmitter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 </w:t>
            </w:r>
          </w:p>
        </w:tc>
        <w:tc>
          <w:tcPr>
            <w:tcW w:w="4868" w:type="dxa"/>
            <w:vAlign w:val="center"/>
          </w:tcPr>
          <w:p w14:paraId="381E50EB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transimitter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不適合表示文化傳播者</w:t>
            </w:r>
          </w:p>
        </w:tc>
      </w:tr>
      <w:tr w:rsidR="001F7D95" w:rsidRPr="0097166E" w14:paraId="71DF2630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3F300351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Place…emphasis on</w:t>
            </w:r>
          </w:p>
        </w:tc>
        <w:tc>
          <w:tcPr>
            <w:tcW w:w="4868" w:type="dxa"/>
            <w:vAlign w:val="center"/>
          </w:tcPr>
          <w:p w14:paraId="2FFC01D5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這是英文慣用法</w:t>
            </w:r>
          </w:p>
        </w:tc>
      </w:tr>
      <w:tr w:rsidR="001F7D95" w:rsidRPr="0097166E" w14:paraId="653C214F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18C8E92A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Attach×emphasis</w:t>
            </w:r>
          </w:p>
        </w:tc>
        <w:tc>
          <w:tcPr>
            <w:tcW w:w="4868" w:type="dxa"/>
            <w:vAlign w:val="center"/>
          </w:tcPr>
          <w:p w14:paraId="6EA5AF1F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兩者不要連用，取一即可。</w:t>
            </w:r>
          </w:p>
        </w:tc>
      </w:tr>
      <w:tr w:rsidR="001F7D95" w:rsidRPr="0097166E" w14:paraId="5BFC530D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4ED6C703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the Bible</w:t>
            </w:r>
          </w:p>
        </w:tc>
        <w:tc>
          <w:tcPr>
            <w:tcW w:w="4868" w:type="dxa"/>
            <w:vAlign w:val="center"/>
          </w:tcPr>
          <w:p w14:paraId="209DACD6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英國寫聖經的習慣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the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全小寫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Bible B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大寫，其餘小寫。</w:t>
            </w:r>
          </w:p>
        </w:tc>
      </w:tr>
      <w:tr w:rsidR="001F7D95" w:rsidRPr="0097166E" w14:paraId="2728D207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7A0AF43C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lastRenderedPageBreak/>
              <w:t>Being a volunteer at temples</w:t>
            </w:r>
          </w:p>
        </w:tc>
        <w:tc>
          <w:tcPr>
            <w:tcW w:w="4868" w:type="dxa"/>
            <w:vAlign w:val="center"/>
          </w:tcPr>
          <w:p w14:paraId="11488BD3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在寺院做義工</w:t>
            </w:r>
          </w:p>
        </w:tc>
      </w:tr>
      <w:tr w:rsidR="001F7D95" w:rsidRPr="0097166E" w14:paraId="20F56A12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640E2F1B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Setting animal free</w:t>
            </w:r>
          </w:p>
        </w:tc>
        <w:tc>
          <w:tcPr>
            <w:tcW w:w="4868" w:type="dxa"/>
            <w:vAlign w:val="center"/>
          </w:tcPr>
          <w:p w14:paraId="0F32137A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放生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</w:t>
            </w:r>
          </w:p>
          <w:p w14:paraId="0F21DBAE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Animal liberation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指有組織的動物保護活動</w:t>
            </w:r>
          </w:p>
        </w:tc>
      </w:tr>
      <w:tr w:rsidR="001F7D95" w:rsidRPr="0097166E" w14:paraId="070E9F32" w14:textId="77777777" w:rsidTr="006D141F">
        <w:trPr>
          <w:trHeight w:val="964"/>
        </w:trPr>
        <w:tc>
          <w:tcPr>
            <w:tcW w:w="4868" w:type="dxa"/>
            <w:vAlign w:val="center"/>
          </w:tcPr>
          <w:p w14:paraId="01F2EF70" w14:textId="7CCA463A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當人們提到好學，可能會想到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......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，中「提到」：用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speak of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mention.</w:t>
            </w:r>
          </w:p>
        </w:tc>
        <w:tc>
          <w:tcPr>
            <w:tcW w:w="4868" w:type="dxa"/>
            <w:vAlign w:val="center"/>
          </w:tcPr>
          <w:p w14:paraId="5FD84652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後者比較適合。</w:t>
            </w:r>
          </w:p>
        </w:tc>
      </w:tr>
      <w:tr w:rsidR="001F7D95" w:rsidRPr="0097166E" w14:paraId="02548CE2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56FDFEC1" w14:textId="36C8BAA4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saying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sentence</w:t>
            </w:r>
          </w:p>
        </w:tc>
        <w:tc>
          <w:tcPr>
            <w:tcW w:w="4868" w:type="dxa"/>
            <w:vAlign w:val="center"/>
          </w:tcPr>
          <w:p w14:paraId="692317CA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在描述說從論語中選擇了兩句話來說明什麼，這個時候最好用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saying</w:t>
            </w:r>
          </w:p>
        </w:tc>
      </w:tr>
      <w:tr w:rsidR="001F7D95" w:rsidRPr="0097166E" w14:paraId="7F854032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00AD6E2E" w14:textId="7EA1D6A1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子曰：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 xml:space="preserve">Confucius 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master</w:t>
            </w:r>
          </w:p>
        </w:tc>
        <w:tc>
          <w:tcPr>
            <w:tcW w:w="4868" w:type="dxa"/>
            <w:vAlign w:val="center"/>
          </w:tcPr>
          <w:p w14:paraId="18689768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James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翻譯的論語中子曰用的是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master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，但是最好是寫為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Confucius</w:t>
            </w:r>
          </w:p>
        </w:tc>
      </w:tr>
      <w:tr w:rsidR="001F7D95" w:rsidRPr="0097166E" w14:paraId="202C17C0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35FCBFEC" w14:textId="0B76096F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移孝作忠：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extend the filial piety to loyal 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moving the filial piety to loyal</w:t>
            </w:r>
          </w:p>
        </w:tc>
        <w:tc>
          <w:tcPr>
            <w:tcW w:w="4868" w:type="dxa"/>
            <w:vAlign w:val="center"/>
          </w:tcPr>
          <w:p w14:paraId="3C5B933B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52CA0177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5697E801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FF0000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好學近乎知：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to be diligious in learning lead us to enlightenment</w:t>
            </w:r>
          </w:p>
          <w:p w14:paraId="1CAC649A" w14:textId="2898B51B" w:rsidR="001F7D95" w:rsidRPr="0097166E" w:rsidRDefault="0097166E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</w:p>
          <w:p w14:paraId="1C9C338D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to be fond of learning is near to wisdom</w:t>
            </w:r>
          </w:p>
        </w:tc>
        <w:tc>
          <w:tcPr>
            <w:tcW w:w="4868" w:type="dxa"/>
            <w:vAlign w:val="center"/>
          </w:tcPr>
          <w:p w14:paraId="2F726644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原因：前者表達不出「好學」的意思，感覺只是感興趣而已，那對冰淇淋也可以很感興趣。而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diligious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可以更好地表達「好學」。</w:t>
            </w:r>
          </w:p>
        </w:tc>
      </w:tr>
      <w:tr w:rsidR="001F7D95" w:rsidRPr="0097166E" w14:paraId="1E0CCFDE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2AA70600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積累很多知識的欲望：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desire of accumulating a great deal of knowledge  </w:t>
            </w:r>
          </w:p>
        </w:tc>
        <w:tc>
          <w:tcPr>
            <w:tcW w:w="4868" w:type="dxa"/>
            <w:vAlign w:val="center"/>
          </w:tcPr>
          <w:p w14:paraId="649E0AAF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上下文是這樣的：當我們提到好學時，可能人們會想到去積累很多知識。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When we speak of being diligious in learning, maybe we think of the desire of accumulating a great deal of knowledge  </w:t>
            </w:r>
          </w:p>
        </w:tc>
      </w:tr>
      <w:tr w:rsidR="001F7D95" w:rsidRPr="0097166E" w14:paraId="3BC0C93C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6C8F2786" w14:textId="1932F279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親民：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to help other people to recover their innate goodness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to renovate the people</w:t>
            </w:r>
          </w:p>
        </w:tc>
        <w:tc>
          <w:tcPr>
            <w:tcW w:w="4868" w:type="dxa"/>
            <w:vAlign w:val="center"/>
          </w:tcPr>
          <w:p w14:paraId="4AEC4281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一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.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因為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people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前不應該加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the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，因為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the peaple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給人的感覺是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 group of people .</w:t>
            </w:r>
          </w:p>
          <w:p w14:paraId="64C02E65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二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.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是因為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renovate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大多用於裝修房子</w:t>
            </w:r>
          </w:p>
        </w:tc>
      </w:tr>
      <w:tr w:rsidR="001F7D95" w:rsidRPr="0097166E" w14:paraId="79D5E5B1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6DF4D5E4" w14:textId="7E9B5FD8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止於至善：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to attain complete enlightment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to rest in the highest excellence of our nature</w:t>
            </w:r>
          </w:p>
        </w:tc>
        <w:tc>
          <w:tcPr>
            <w:tcW w:w="4868" w:type="dxa"/>
            <w:vAlign w:val="center"/>
          </w:tcPr>
          <w:p w14:paraId="64BE7686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60F02611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1DD9B08A" w14:textId="3354C510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lastRenderedPageBreak/>
              <w:t>覺悟：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awakening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awareness</w:t>
            </w:r>
          </w:p>
        </w:tc>
        <w:tc>
          <w:tcPr>
            <w:tcW w:w="4868" w:type="dxa"/>
            <w:vAlign w:val="center"/>
          </w:tcPr>
          <w:p w14:paraId="43564DB6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Awareness 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不能表示覺悟</w:t>
            </w:r>
          </w:p>
        </w:tc>
      </w:tr>
      <w:tr w:rsidR="001F7D95" w:rsidRPr="0097166E" w14:paraId="1D76F3DF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77F14A0A" w14:textId="12317B06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一切眾生皆有如來智慧德像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:All leaving things have the same wisdom and virtues as Buddha.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其中的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virtue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morality.</w:t>
            </w:r>
          </w:p>
        </w:tc>
        <w:tc>
          <w:tcPr>
            <w:tcW w:w="4868" w:type="dxa"/>
            <w:vAlign w:val="center"/>
          </w:tcPr>
          <w:p w14:paraId="7EB2691A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7C4B4D3D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77767B5D" w14:textId="09050BC0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但以妄想執著而不能證得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: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but because of delusion and habit of persisting in our own perception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but because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　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of wondering thoughts and habit of clinging to things as real</w:t>
            </w:r>
          </w:p>
        </w:tc>
        <w:tc>
          <w:tcPr>
            <w:tcW w:w="4868" w:type="dxa"/>
            <w:vAlign w:val="center"/>
          </w:tcPr>
          <w:p w14:paraId="17679852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3BB866A1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6FDF19FD" w14:textId="2536AEFA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saying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sentence</w:t>
            </w:r>
          </w:p>
        </w:tc>
        <w:tc>
          <w:tcPr>
            <w:tcW w:w="4868" w:type="dxa"/>
            <w:vAlign w:val="center"/>
          </w:tcPr>
          <w:p w14:paraId="5CF4F06D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在描述說從論語中選擇了兩句話來說明什麼，這個時候最好用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saying</w:t>
            </w:r>
          </w:p>
        </w:tc>
      </w:tr>
      <w:tr w:rsidR="001F7D95" w:rsidRPr="0097166E" w14:paraId="3144AC41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2C4610F2" w14:textId="582B672F" w:rsidR="001F7D95" w:rsidRPr="0097166E" w:rsidRDefault="001F7D95" w:rsidP="00DA7411">
            <w:pPr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分別：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 xml:space="preserve">prejudice </w:t>
            </w:r>
            <w:r w:rsidR="0097166E"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 xml:space="preserve"> discrimination</w:t>
            </w:r>
          </w:p>
        </w:tc>
        <w:tc>
          <w:tcPr>
            <w:tcW w:w="4868" w:type="dxa"/>
            <w:vAlign w:val="center"/>
          </w:tcPr>
          <w:p w14:paraId="1704E151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4B576903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32910C8F" w14:textId="04FBA331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子曰：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 xml:space="preserve">Confucius 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master</w:t>
            </w:r>
          </w:p>
        </w:tc>
        <w:tc>
          <w:tcPr>
            <w:tcW w:w="4868" w:type="dxa"/>
            <w:vAlign w:val="center"/>
          </w:tcPr>
          <w:p w14:paraId="019BA6B7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James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翻譯的論語中子曰用的是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master</w:t>
            </w:r>
            <w:r w:rsidRPr="0097166E">
              <w:rPr>
                <w:rFonts w:ascii="Times New Roman" w:eastAsia="標楷體" w:hAnsi="Times New Roman" w:cs="Times New Roman"/>
                <w:sz w:val="28"/>
                <w:szCs w:val="28"/>
              </w:rPr>
              <w:t>，但是最好是寫為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Confucius</w:t>
            </w:r>
          </w:p>
        </w:tc>
      </w:tr>
      <w:tr w:rsidR="001F7D95" w:rsidRPr="0097166E" w14:paraId="61C3E837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73646A36" w14:textId="77777777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清朝：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 xml:space="preserve">Qing dynasty 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替代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Manchu Dynasty</w:t>
            </w:r>
          </w:p>
        </w:tc>
        <w:tc>
          <w:tcPr>
            <w:tcW w:w="4868" w:type="dxa"/>
            <w:vAlign w:val="center"/>
          </w:tcPr>
          <w:p w14:paraId="6E4B81EA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  <w:tr w:rsidR="001F7D95" w:rsidRPr="0097166E" w14:paraId="160A6C54" w14:textId="77777777" w:rsidTr="006D141F">
        <w:trPr>
          <w:trHeight w:val="1247"/>
        </w:trPr>
        <w:tc>
          <w:tcPr>
            <w:tcW w:w="4868" w:type="dxa"/>
            <w:vAlign w:val="center"/>
          </w:tcPr>
          <w:p w14:paraId="33B069B6" w14:textId="36C6682B" w:rsidR="001F7D95" w:rsidRPr="0097166E" w:rsidRDefault="001F7D95" w:rsidP="00DA7411">
            <w:pPr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</w:pP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移孝作忠：</w:t>
            </w:r>
            <w:r w:rsidRPr="0097166E">
              <w:rPr>
                <w:rFonts w:ascii="Times New Roman" w:eastAsia="標楷體" w:hAnsi="Times New Roman" w:cs="Times New Roman"/>
                <w:color w:val="C45911" w:themeColor="accent2" w:themeShade="BF"/>
                <w:sz w:val="28"/>
                <w:szCs w:val="28"/>
              </w:rPr>
              <w:t>extend the filial piety to loyal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</w:t>
            </w:r>
            <w:r w:rsidR="0097166E"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>代替</w:t>
            </w:r>
            <w:r w:rsidRPr="0097166E">
              <w:rPr>
                <w:rFonts w:ascii="Times New Roman" w:eastAsia="標楷體" w:hAnsi="Times New Roman" w:cs="Times New Roman"/>
                <w:color w:val="000000" w:themeColor="text1"/>
                <w:sz w:val="28"/>
                <w:szCs w:val="28"/>
              </w:rPr>
              <w:t xml:space="preserve"> moving the filial piety to loyal</w:t>
            </w:r>
          </w:p>
        </w:tc>
        <w:tc>
          <w:tcPr>
            <w:tcW w:w="4868" w:type="dxa"/>
            <w:vAlign w:val="center"/>
          </w:tcPr>
          <w:p w14:paraId="11D43BE5" w14:textId="77777777" w:rsidR="001F7D95" w:rsidRPr="0097166E" w:rsidRDefault="001F7D95" w:rsidP="00DA7411">
            <w:pPr>
              <w:jc w:val="both"/>
              <w:rPr>
                <w:rFonts w:ascii="Times New Roman" w:eastAsia="標楷體" w:hAnsi="Times New Roman" w:cs="Times New Roman"/>
                <w:sz w:val="28"/>
                <w:szCs w:val="28"/>
              </w:rPr>
            </w:pPr>
          </w:p>
        </w:tc>
      </w:tr>
    </w:tbl>
    <w:p w14:paraId="4AD3B320" w14:textId="77777777" w:rsidR="00AA5EB3" w:rsidRPr="0097166E" w:rsidRDefault="00AA5EB3">
      <w:pPr>
        <w:rPr>
          <w:rFonts w:ascii="Times New Roman" w:eastAsia="標楷體" w:hAnsi="Times New Roman" w:cs="Times New Roman"/>
          <w:lang w:eastAsia="zh-TW"/>
        </w:rPr>
      </w:pPr>
    </w:p>
    <w:sectPr w:rsidR="00AA5EB3" w:rsidRPr="0097166E" w:rsidSect="00AA5EB3">
      <w:pgSz w:w="11906" w:h="16838"/>
      <w:pgMar w:top="1440" w:right="1080" w:bottom="1440" w:left="108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1" w:author="Bohan Yang (1604245)" w:date="2017-10-29T09:45:00Z" w:initials="BY(">
    <w:p w14:paraId="61C64528" w14:textId="77777777" w:rsidR="00AA5EB3" w:rsidRPr="00CC30BF" w:rsidRDefault="00AA5EB3" w:rsidP="00AA5EB3">
      <w:pPr>
        <w:pStyle w:val="a7"/>
        <w:rPr>
          <w:rFonts w:eastAsia="DengXian"/>
          <w:lang w:eastAsia="zh-TW"/>
        </w:rPr>
      </w:pPr>
      <w:r>
        <w:rPr>
          <w:rStyle w:val="a6"/>
        </w:rPr>
        <w:annotationRef/>
      </w:r>
      <w:r>
        <w:rPr>
          <w:rFonts w:eastAsia="DengXian" w:hint="eastAsia"/>
          <w:lang w:eastAsia="zh-TW"/>
        </w:rPr>
        <w:t>某某說，人名不需要斜體</w:t>
      </w:r>
    </w:p>
  </w:comment>
  <w:comment w:id="2" w:author="Bohan Yang (1604245)" w:date="2017-10-29T09:46:00Z" w:initials="BY(">
    <w:p w14:paraId="0E57FC2E" w14:textId="77777777" w:rsidR="00AA5EB3" w:rsidRPr="005120DB" w:rsidRDefault="00AA5EB3" w:rsidP="00AA5EB3">
      <w:pPr>
        <w:pStyle w:val="a7"/>
        <w:rPr>
          <w:b/>
          <w:lang w:eastAsia="zh-TW"/>
        </w:rPr>
      </w:pPr>
      <w:r>
        <w:rPr>
          <w:rStyle w:val="a6"/>
        </w:rPr>
        <w:annotationRef/>
      </w:r>
      <w:r w:rsidRPr="005120DB">
        <w:rPr>
          <w:rFonts w:eastAsia="DengXian" w:hint="eastAsia"/>
          <w:b/>
          <w:lang w:eastAsia="zh-TW"/>
        </w:rPr>
        <w:t>Essay</w:t>
      </w:r>
      <w:r w:rsidRPr="005120DB">
        <w:rPr>
          <w:rFonts w:eastAsia="DengXian" w:hint="eastAsia"/>
          <w:b/>
          <w:lang w:eastAsia="zh-TW"/>
        </w:rPr>
        <w:t>中凡是出現書名都需要斜體</w:t>
      </w:r>
    </w:p>
    <w:p w14:paraId="607232B9" w14:textId="77777777" w:rsidR="00AA5EB3" w:rsidRPr="005120DB" w:rsidRDefault="00AA5EB3" w:rsidP="00AA5EB3">
      <w:pPr>
        <w:pStyle w:val="a7"/>
        <w:rPr>
          <w:rFonts w:eastAsia="DengXian"/>
          <w:b/>
        </w:rPr>
      </w:pPr>
      <w:r w:rsidRPr="005120DB">
        <w:rPr>
          <w:rFonts w:eastAsia="DengXian" w:hint="eastAsia"/>
          <w:b/>
        </w:rPr>
        <w:t>所有的括號都不能斜體</w:t>
      </w:r>
    </w:p>
  </w:comment>
  <w:comment w:id="3" w:author="Bohan Yang (1604245)" w:date="2017-10-29T10:06:00Z" w:initials="BY(">
    <w:p w14:paraId="1810BE06" w14:textId="77777777" w:rsidR="00AA5EB3" w:rsidRPr="00AA5EB3" w:rsidRDefault="00AA5EB3">
      <w:pPr>
        <w:pStyle w:val="a7"/>
        <w:rPr>
          <w:lang w:eastAsia="zh-TW"/>
        </w:rPr>
      </w:pPr>
      <w:r>
        <w:rPr>
          <w:rStyle w:val="a6"/>
        </w:rPr>
        <w:annotationRef/>
      </w:r>
      <w:r>
        <w:rPr>
          <w:rFonts w:eastAsia="DengXian" w:hint="eastAsia"/>
          <w:lang w:eastAsia="zh-TW"/>
        </w:rPr>
        <w:t>如果所引用的是經典，在原文中用括號注明出處，但是仍要有</w:t>
      </w:r>
      <w:r>
        <w:rPr>
          <w:rFonts w:eastAsia="DengXian" w:hint="eastAsia"/>
          <w:lang w:eastAsia="zh-TW"/>
        </w:rPr>
        <w:t>footnote</w:t>
      </w:r>
      <w:r>
        <w:rPr>
          <w:rFonts w:eastAsia="DengXian" w:hint="eastAsia"/>
          <w:lang w:eastAsia="zh-TW"/>
        </w:rPr>
        <w:t>，此處爲了排版整潔故將頁底的</w:t>
      </w:r>
      <w:r>
        <w:rPr>
          <w:rFonts w:eastAsia="DengXian" w:hint="eastAsia"/>
          <w:lang w:eastAsia="zh-TW"/>
        </w:rPr>
        <w:t>footnote</w:t>
      </w:r>
      <w:r>
        <w:rPr>
          <w:rFonts w:eastAsia="DengXian" w:hint="eastAsia"/>
          <w:lang w:eastAsia="zh-TW"/>
        </w:rPr>
        <w:t>條目刪去。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61C64528" w15:done="0"/>
  <w15:commentEx w15:paraId="607232B9" w15:done="0"/>
  <w15:commentEx w15:paraId="1810BE06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61C64528" w16cid:durableId="1DA021C3"/>
  <w16cid:commentId w16cid:paraId="607232B9" w16cid:durableId="1DA021ED"/>
  <w16cid:commentId w16cid:paraId="1810BE06" w16cid:durableId="1DA026BB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7D1557" w14:textId="77777777" w:rsidR="00D9032E" w:rsidRDefault="00D9032E" w:rsidP="00AA5EB3">
      <w:pPr>
        <w:spacing w:after="0" w:line="240" w:lineRule="auto"/>
      </w:pPr>
      <w:r>
        <w:separator/>
      </w:r>
    </w:p>
  </w:endnote>
  <w:endnote w:type="continuationSeparator" w:id="0">
    <w:p w14:paraId="3B05DF1D" w14:textId="77777777" w:rsidR="00D9032E" w:rsidRDefault="00D9032E" w:rsidP="00AA5EB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icrosoft JhengHei U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1B453B" w14:textId="77777777" w:rsidR="00D9032E" w:rsidRDefault="00D9032E" w:rsidP="00AA5EB3">
      <w:pPr>
        <w:spacing w:after="0" w:line="240" w:lineRule="auto"/>
      </w:pPr>
      <w:r>
        <w:separator/>
      </w:r>
    </w:p>
  </w:footnote>
  <w:footnote w:type="continuationSeparator" w:id="0">
    <w:p w14:paraId="1C4631E6" w14:textId="77777777" w:rsidR="00D9032E" w:rsidRDefault="00D9032E" w:rsidP="00AA5EB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0B51D0"/>
    <w:multiLevelType w:val="hybridMultilevel"/>
    <w:tmpl w:val="CC34811A"/>
    <w:lvl w:ilvl="0" w:tplc="08090001">
      <w:start w:val="1"/>
      <w:numFmt w:val="bullet"/>
      <w:lvlText w:val=""/>
      <w:lvlJc w:val="left"/>
      <w:pPr>
        <w:ind w:left="7939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8299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973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1045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11179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189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261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3339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4059" w:hanging="360"/>
      </w:pPr>
      <w:rPr>
        <w:rFonts w:ascii="Wingdings" w:hAnsi="Wingdings" w:hint="default"/>
      </w:rPr>
    </w:lvl>
  </w:abstractNum>
  <w:abstractNum w:abstractNumId="1" w15:restartNumberingAfterBreak="0">
    <w:nsid w:val="48F17732"/>
    <w:multiLevelType w:val="hybridMultilevel"/>
    <w:tmpl w:val="8648FA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Bohan Yang (1604245)">
    <w15:presenceInfo w15:providerId="None" w15:userId="Bohan Yang (1604245)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bordersDoNotSurroundHeader/>
  <w:bordersDoNotSurroundFooter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16FF"/>
    <w:rsid w:val="00054226"/>
    <w:rsid w:val="00056B12"/>
    <w:rsid w:val="000675FF"/>
    <w:rsid w:val="00080AC8"/>
    <w:rsid w:val="00105EA9"/>
    <w:rsid w:val="00155354"/>
    <w:rsid w:val="001F7D95"/>
    <w:rsid w:val="0034267E"/>
    <w:rsid w:val="003A16FF"/>
    <w:rsid w:val="003F56F9"/>
    <w:rsid w:val="004C6E9D"/>
    <w:rsid w:val="004C7301"/>
    <w:rsid w:val="00663C8F"/>
    <w:rsid w:val="006C063E"/>
    <w:rsid w:val="006D141F"/>
    <w:rsid w:val="0074720A"/>
    <w:rsid w:val="007C4F72"/>
    <w:rsid w:val="008C1755"/>
    <w:rsid w:val="00917817"/>
    <w:rsid w:val="0097166E"/>
    <w:rsid w:val="009A63D8"/>
    <w:rsid w:val="009C31AB"/>
    <w:rsid w:val="00A37F1B"/>
    <w:rsid w:val="00A839F0"/>
    <w:rsid w:val="00AA5EB3"/>
    <w:rsid w:val="00AD5056"/>
    <w:rsid w:val="00B63D0D"/>
    <w:rsid w:val="00B93329"/>
    <w:rsid w:val="00BF2681"/>
    <w:rsid w:val="00C16C39"/>
    <w:rsid w:val="00C43C15"/>
    <w:rsid w:val="00C63B5F"/>
    <w:rsid w:val="00D078F5"/>
    <w:rsid w:val="00D32DF2"/>
    <w:rsid w:val="00D9032E"/>
    <w:rsid w:val="00DD1D6E"/>
    <w:rsid w:val="00E32327"/>
    <w:rsid w:val="00EA5DDA"/>
    <w:rsid w:val="00F925D0"/>
    <w:rsid w:val="00FA7966"/>
    <w:rsid w:val="00FB2021"/>
    <w:rsid w:val="00FD3F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608006"/>
  <w15:chartTrackingRefBased/>
  <w15:docId w15:val="{E56A3965-0E63-4C22-9C9F-B1053F1EE3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a">
    <w:name w:val="Normal"/>
    <w:qFormat/>
    <w:rsid w:val="00AA5EB3"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note text"/>
    <w:basedOn w:val="a"/>
    <w:link w:val="a4"/>
    <w:uiPriority w:val="99"/>
    <w:unhideWhenUsed/>
    <w:rsid w:val="00AA5EB3"/>
    <w:pPr>
      <w:spacing w:after="0" w:line="240" w:lineRule="auto"/>
    </w:pPr>
    <w:rPr>
      <w:rFonts w:ascii="Calibri" w:eastAsia="DengXian" w:hAnsi="Calibri" w:cs="Times New Roman"/>
      <w:kern w:val="2"/>
      <w:sz w:val="20"/>
      <w:szCs w:val="20"/>
    </w:rPr>
  </w:style>
  <w:style w:type="character" w:customStyle="1" w:styleId="a4">
    <w:name w:val="註腳文字 字元"/>
    <w:basedOn w:val="a0"/>
    <w:link w:val="a3"/>
    <w:uiPriority w:val="99"/>
    <w:rsid w:val="00AA5EB3"/>
    <w:rPr>
      <w:rFonts w:ascii="Calibri" w:eastAsia="DengXian" w:hAnsi="Calibri" w:cs="Times New Roman"/>
      <w:kern w:val="2"/>
      <w:sz w:val="20"/>
      <w:szCs w:val="20"/>
    </w:rPr>
  </w:style>
  <w:style w:type="character" w:styleId="a5">
    <w:name w:val="footnote reference"/>
    <w:uiPriority w:val="99"/>
    <w:semiHidden/>
    <w:unhideWhenUsed/>
    <w:rsid w:val="00AA5EB3"/>
    <w:rPr>
      <w:vertAlign w:val="superscript"/>
    </w:rPr>
  </w:style>
  <w:style w:type="character" w:styleId="a6">
    <w:name w:val="annotation reference"/>
    <w:basedOn w:val="a0"/>
    <w:uiPriority w:val="99"/>
    <w:semiHidden/>
    <w:unhideWhenUsed/>
    <w:rsid w:val="00AA5EB3"/>
    <w:rPr>
      <w:sz w:val="16"/>
      <w:szCs w:val="16"/>
    </w:rPr>
  </w:style>
  <w:style w:type="paragraph" w:styleId="a7">
    <w:name w:val="annotation text"/>
    <w:basedOn w:val="a"/>
    <w:link w:val="a8"/>
    <w:uiPriority w:val="99"/>
    <w:semiHidden/>
    <w:unhideWhenUsed/>
    <w:rsid w:val="00AA5EB3"/>
    <w:pPr>
      <w:spacing w:line="240" w:lineRule="auto"/>
    </w:pPr>
    <w:rPr>
      <w:sz w:val="20"/>
      <w:szCs w:val="20"/>
    </w:rPr>
  </w:style>
  <w:style w:type="character" w:customStyle="1" w:styleId="a8">
    <w:name w:val="註解文字 字元"/>
    <w:basedOn w:val="a0"/>
    <w:link w:val="a7"/>
    <w:uiPriority w:val="99"/>
    <w:semiHidden/>
    <w:rsid w:val="00AA5EB3"/>
    <w:rPr>
      <w:sz w:val="20"/>
      <w:szCs w:val="20"/>
    </w:rPr>
  </w:style>
  <w:style w:type="paragraph" w:styleId="a9">
    <w:name w:val="List Paragraph"/>
    <w:basedOn w:val="a"/>
    <w:uiPriority w:val="34"/>
    <w:qFormat/>
    <w:rsid w:val="00AA5EB3"/>
    <w:pPr>
      <w:ind w:left="720"/>
      <w:contextualSpacing/>
    </w:pPr>
  </w:style>
  <w:style w:type="paragraph" w:styleId="aa">
    <w:name w:val="Balloon Text"/>
    <w:basedOn w:val="a"/>
    <w:link w:val="ab"/>
    <w:uiPriority w:val="99"/>
    <w:semiHidden/>
    <w:unhideWhenUsed/>
    <w:rsid w:val="00AA5EB3"/>
    <w:pPr>
      <w:spacing w:after="0" w:line="240" w:lineRule="auto"/>
    </w:pPr>
    <w:rPr>
      <w:rFonts w:ascii="Microsoft JhengHei UI" w:eastAsia="Microsoft JhengHei UI"/>
      <w:sz w:val="18"/>
      <w:szCs w:val="18"/>
    </w:rPr>
  </w:style>
  <w:style w:type="character" w:customStyle="1" w:styleId="ab">
    <w:name w:val="註解方塊文字 字元"/>
    <w:basedOn w:val="a0"/>
    <w:link w:val="aa"/>
    <w:uiPriority w:val="99"/>
    <w:semiHidden/>
    <w:rsid w:val="00AA5EB3"/>
    <w:rPr>
      <w:rFonts w:ascii="Microsoft JhengHei UI" w:eastAsia="Microsoft JhengHei UI"/>
      <w:sz w:val="18"/>
      <w:szCs w:val="18"/>
    </w:rPr>
  </w:style>
  <w:style w:type="paragraph" w:styleId="ac">
    <w:name w:val="annotation subject"/>
    <w:basedOn w:val="a7"/>
    <w:next w:val="a7"/>
    <w:link w:val="ad"/>
    <w:uiPriority w:val="99"/>
    <w:semiHidden/>
    <w:unhideWhenUsed/>
    <w:rsid w:val="00AA5EB3"/>
    <w:rPr>
      <w:b/>
      <w:bCs/>
    </w:rPr>
  </w:style>
  <w:style w:type="character" w:customStyle="1" w:styleId="ad">
    <w:name w:val="註解主旨 字元"/>
    <w:basedOn w:val="a8"/>
    <w:link w:val="ac"/>
    <w:uiPriority w:val="99"/>
    <w:semiHidden/>
    <w:rsid w:val="00AA5EB3"/>
    <w:rPr>
      <w:b/>
      <w:bCs/>
      <w:sz w:val="20"/>
      <w:szCs w:val="20"/>
    </w:rPr>
  </w:style>
  <w:style w:type="table" w:styleId="ae">
    <w:name w:val="Table Grid"/>
    <w:basedOn w:val="a1"/>
    <w:uiPriority w:val="59"/>
    <w:rsid w:val="00AA5EB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f">
    <w:name w:val="Revision"/>
    <w:hidden/>
    <w:uiPriority w:val="99"/>
    <w:semiHidden/>
    <w:rsid w:val="00A839F0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microsoft.com/office/2011/relationships/people" Target="peop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microsoft.com/office/2016/09/relationships/commentsIds" Target="commentsIds.xml"/><Relationship Id="rId4" Type="http://schemas.openxmlformats.org/officeDocument/2006/relationships/settings" Target="settings.xml"/><Relationship Id="rId9" Type="http://schemas.microsoft.com/office/2011/relationships/commentsExtended" Target="commentsExtended.xml"/></Relationships>
</file>

<file path=word/theme/theme1.xml><?xml version="1.0" encoding="utf-8"?>
<a:theme xmlns:a="http://schemas.openxmlformats.org/drawingml/2006/main" name="Office 佈景主題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SeventhEditionOfficeOnline.xsl" StyleName="MLA" Version="7"/>
</file>

<file path=customXml/itemProps1.xml><?xml version="1.0" encoding="utf-8"?>
<ds:datastoreItem xmlns:ds="http://schemas.openxmlformats.org/officeDocument/2006/customXml" ds:itemID="{BBDA0D40-004A-4537-9F6F-FF76A34AF8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703</TotalTime>
  <Pages>9</Pages>
  <Words>1038</Words>
  <Characters>5918</Characters>
  <Application>Microsoft Office Word</Application>
  <DocSecurity>0</DocSecurity>
  <Lines>49</Lines>
  <Paragraphs>13</Paragraphs>
  <ScaleCrop>false</ScaleCrop>
  <Company/>
  <LinksUpToDate>false</LinksUpToDate>
  <CharactersWithSpaces>6943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Bohan Yang (1604245)</dc:creator>
  <cp:keywords/>
  <dc:description/>
  <cp:lastModifiedBy>鄒宜蓁</cp:lastModifiedBy>
  <cp:revision>16</cp:revision>
  <dcterms:created xsi:type="dcterms:W3CDTF">2017-10-29T10:00:00Z</dcterms:created>
  <dcterms:modified xsi:type="dcterms:W3CDTF">2017-10-30T20:07:00Z</dcterms:modified>
</cp:coreProperties>
</file>