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3C1E" w:rsidRDefault="002055E0" w:rsidP="00643C1E">
      <w:pPr>
        <w:rPr>
          <w:rFonts w:ascii="Arial" w:hAnsi="Arial" w:cs="Arial"/>
          <w:b/>
          <w:sz w:val="28"/>
          <w:szCs w:val="28"/>
          <w:lang w:eastAsia="en-GB"/>
        </w:rPr>
      </w:pPr>
      <w:r>
        <w:rPr>
          <w:rFonts w:ascii="Arial" w:hAnsi="Arial" w:cs="Arial"/>
          <w:b/>
          <w:noProof/>
          <w:sz w:val="24"/>
          <w:szCs w:val="24"/>
          <w:u w:val="single"/>
          <w:lang w:eastAsia="en-GB"/>
        </w:rPr>
        <w:drawing>
          <wp:anchor distT="0" distB="0" distL="114300" distR="114300" simplePos="0" relativeHeight="251658240" behindDoc="1" locked="0" layoutInCell="1" allowOverlap="1">
            <wp:simplePos x="0" y="0"/>
            <wp:positionH relativeFrom="column">
              <wp:posOffset>2893060</wp:posOffset>
            </wp:positionH>
            <wp:positionV relativeFrom="paragraph">
              <wp:posOffset>-552</wp:posOffset>
            </wp:positionV>
            <wp:extent cx="3800475" cy="2703195"/>
            <wp:effectExtent l="0" t="0" r="9525" b="1905"/>
            <wp:wrapThrough wrapText="bothSides">
              <wp:wrapPolygon edited="0">
                <wp:start x="0" y="0"/>
                <wp:lineTo x="0" y="21463"/>
                <wp:lineTo x="21546" y="21463"/>
                <wp:lineTo x="2154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ront View with Background.jpg"/>
                    <pic:cNvPicPr/>
                  </pic:nvPicPr>
                  <pic:blipFill rotWithShape="1">
                    <a:blip r:embed="rId7" cstate="print">
                      <a:extLst>
                        <a:ext uri="{28A0092B-C50C-407E-A947-70E740481C1C}">
                          <a14:useLocalDpi xmlns:a14="http://schemas.microsoft.com/office/drawing/2010/main" val="0"/>
                        </a:ext>
                      </a:extLst>
                    </a:blip>
                    <a:srcRect l="5411" t="14796" r="11490" b="6393"/>
                    <a:stretch/>
                  </pic:blipFill>
                  <pic:spPr bwMode="auto">
                    <a:xfrm>
                      <a:off x="0" y="0"/>
                      <a:ext cx="3800475" cy="2703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43C1E">
        <w:rPr>
          <w:rFonts w:ascii="Arial" w:hAnsi="Arial" w:cs="Arial"/>
          <w:b/>
          <w:sz w:val="28"/>
          <w:szCs w:val="28"/>
        </w:rPr>
        <w:t>Canopic Jar Lid</w:t>
      </w:r>
    </w:p>
    <w:p w:rsidR="00643C1E" w:rsidRDefault="00643C1E" w:rsidP="00643C1E">
      <w:pPr>
        <w:rPr>
          <w:rFonts w:ascii="Arial" w:hAnsi="Arial" w:cs="Arial"/>
          <w:b/>
        </w:rPr>
      </w:pPr>
      <w:proofErr w:type="spellStart"/>
      <w:r>
        <w:rPr>
          <w:rFonts w:ascii="Arial" w:hAnsi="Arial" w:cs="Arial"/>
          <w:b/>
        </w:rPr>
        <w:t>Cyfarthfa</w:t>
      </w:r>
      <w:proofErr w:type="spellEnd"/>
      <w:r>
        <w:rPr>
          <w:rFonts w:ascii="Arial" w:hAnsi="Arial" w:cs="Arial"/>
          <w:b/>
        </w:rPr>
        <w:t xml:space="preserve"> Castle, Merthyr Tydfil CCM</w:t>
      </w:r>
      <w:r w:rsidR="00605140">
        <w:rPr>
          <w:rFonts w:ascii="Arial" w:hAnsi="Arial" w:cs="Arial"/>
          <w:b/>
        </w:rPr>
        <w:t xml:space="preserve"> 184.004</w:t>
      </w:r>
    </w:p>
    <w:p w:rsidR="00643C1E" w:rsidRDefault="00643C1E" w:rsidP="00643C1E">
      <w:pPr>
        <w:rPr>
          <w:rFonts w:ascii="Arial" w:hAnsi="Arial" w:cs="Arial"/>
        </w:rPr>
      </w:pPr>
      <w:r>
        <w:rPr>
          <w:rFonts w:ascii="Arial" w:hAnsi="Arial" w:cs="Arial"/>
          <w:b/>
          <w:bCs/>
        </w:rPr>
        <w:t xml:space="preserve">Object type: </w:t>
      </w:r>
      <w:r>
        <w:rPr>
          <w:rFonts w:ascii="Arial" w:hAnsi="Arial" w:cs="Arial"/>
          <w:b/>
          <w:bCs/>
        </w:rPr>
        <w:t>Funerary Object</w:t>
      </w:r>
    </w:p>
    <w:p w:rsidR="00643C1E" w:rsidRDefault="00643C1E" w:rsidP="00643C1E">
      <w:pPr>
        <w:rPr>
          <w:rFonts w:ascii="Arial" w:hAnsi="Arial" w:cs="Arial"/>
        </w:rPr>
      </w:pPr>
      <w:r>
        <w:rPr>
          <w:rFonts w:ascii="Arial" w:hAnsi="Arial" w:cs="Arial"/>
          <w:b/>
          <w:bCs/>
        </w:rPr>
        <w:t xml:space="preserve">Material: </w:t>
      </w:r>
      <w:r>
        <w:rPr>
          <w:rFonts w:ascii="Arial" w:hAnsi="Arial" w:cs="Arial"/>
          <w:b/>
          <w:bCs/>
        </w:rPr>
        <w:t>Clay/Pottery</w:t>
      </w:r>
    </w:p>
    <w:p w:rsidR="00643C1E" w:rsidRDefault="00643C1E" w:rsidP="00643C1E">
      <w:pPr>
        <w:rPr>
          <w:rFonts w:ascii="Arial" w:hAnsi="Arial" w:cs="Arial"/>
        </w:rPr>
      </w:pPr>
      <w:r>
        <w:rPr>
          <w:rFonts w:ascii="Arial" w:hAnsi="Arial" w:cs="Arial"/>
          <w:b/>
          <w:bCs/>
        </w:rPr>
        <w:t xml:space="preserve">Period: </w:t>
      </w:r>
      <w:proofErr w:type="spellStart"/>
      <w:r>
        <w:rPr>
          <w:rFonts w:ascii="Arial" w:hAnsi="Arial" w:cs="Arial"/>
          <w:b/>
          <w:bCs/>
        </w:rPr>
        <w:t>Pharaohnic</w:t>
      </w:r>
      <w:proofErr w:type="spellEnd"/>
      <w:r>
        <w:rPr>
          <w:rFonts w:ascii="Arial" w:hAnsi="Arial" w:cs="Arial"/>
          <w:b/>
          <w:bCs/>
        </w:rPr>
        <w:t>??</w:t>
      </w:r>
    </w:p>
    <w:p w:rsidR="00643C1E" w:rsidRDefault="00643C1E" w:rsidP="00643C1E">
      <w:pPr>
        <w:rPr>
          <w:rFonts w:ascii="Arial" w:hAnsi="Arial" w:cs="Arial"/>
        </w:rPr>
      </w:pPr>
      <w:r>
        <w:rPr>
          <w:rFonts w:ascii="Arial" w:hAnsi="Arial" w:cs="Arial"/>
          <w:b/>
          <w:bCs/>
        </w:rPr>
        <w:t xml:space="preserve">Provenance: </w:t>
      </w:r>
      <w:r>
        <w:rPr>
          <w:rFonts w:ascii="Arial" w:hAnsi="Arial" w:cs="Arial"/>
          <w:b/>
          <w:bCs/>
        </w:rPr>
        <w:t>Egypt?</w:t>
      </w:r>
    </w:p>
    <w:p w:rsidR="00643C1E" w:rsidRDefault="00643C1E" w:rsidP="00643C1E">
      <w:pPr>
        <w:rPr>
          <w:rFonts w:ascii="Arial" w:hAnsi="Arial" w:cs="Arial"/>
        </w:rPr>
      </w:pPr>
      <w:r>
        <w:rPr>
          <w:rFonts w:ascii="Arial" w:hAnsi="Arial" w:cs="Arial"/>
          <w:b/>
          <w:bCs/>
        </w:rPr>
        <w:t xml:space="preserve">Dimensions: </w:t>
      </w:r>
    </w:p>
    <w:p w:rsidR="00643C1E" w:rsidRPr="00643C1E" w:rsidRDefault="00643C1E" w:rsidP="00643C1E">
      <w:pPr>
        <w:rPr>
          <w:rFonts w:ascii="Arial" w:hAnsi="Arial" w:cs="Arial"/>
          <w:b/>
        </w:rPr>
      </w:pPr>
      <w:r>
        <w:rPr>
          <w:rFonts w:ascii="Arial" w:hAnsi="Arial" w:cs="Arial"/>
        </w:rPr>
        <w:t xml:space="preserve">Object analysis by </w:t>
      </w:r>
      <w:r>
        <w:rPr>
          <w:rFonts w:ascii="Arial" w:hAnsi="Arial" w:cs="Arial"/>
          <w:b/>
        </w:rPr>
        <w:t>Angharad Mason</w:t>
      </w:r>
    </w:p>
    <w:p w:rsidR="00643C1E" w:rsidRDefault="00643C1E" w:rsidP="00643C1E">
      <w:pPr>
        <w:rPr>
          <w:rFonts w:ascii="Arial" w:hAnsi="Arial" w:cs="Arial"/>
          <w:b/>
          <w:sz w:val="24"/>
          <w:szCs w:val="24"/>
          <w:u w:val="single"/>
        </w:rPr>
      </w:pPr>
    </w:p>
    <w:p w:rsidR="00643C1E" w:rsidRDefault="00643C1E" w:rsidP="00643C1E">
      <w:pPr>
        <w:rPr>
          <w:rFonts w:ascii="Arial" w:hAnsi="Arial" w:cs="Arial"/>
          <w:b/>
          <w:sz w:val="24"/>
          <w:szCs w:val="24"/>
          <w:u w:val="single"/>
        </w:rPr>
      </w:pPr>
      <w:r>
        <w:rPr>
          <w:rFonts w:ascii="Arial" w:hAnsi="Arial" w:cs="Arial"/>
          <w:b/>
          <w:sz w:val="24"/>
          <w:szCs w:val="24"/>
          <w:u w:val="single"/>
        </w:rPr>
        <w:t>Description</w:t>
      </w:r>
    </w:p>
    <w:p w:rsidR="00276096" w:rsidRPr="003F38C3" w:rsidRDefault="00B94B93" w:rsidP="00276096">
      <w:pPr>
        <w:rPr>
          <w:rFonts w:ascii="Arial" w:hAnsi="Arial" w:cs="Arial"/>
          <w:sz w:val="24"/>
          <w:szCs w:val="24"/>
        </w:rPr>
      </w:pPr>
      <w:r>
        <w:rPr>
          <w:rFonts w:ascii="Arial" w:hAnsi="Arial" w:cs="Arial"/>
          <w:sz w:val="24"/>
          <w:szCs w:val="24"/>
        </w:rPr>
        <w:t>Used in the funerary ritual of mummification in Ancient Egypt, this particular object is referred to as a ‘Canopic’ jar lid</w:t>
      </w:r>
      <w:r w:rsidR="00CD6CD7">
        <w:rPr>
          <w:rFonts w:ascii="Arial" w:hAnsi="Arial" w:cs="Arial"/>
          <w:sz w:val="24"/>
          <w:szCs w:val="24"/>
        </w:rPr>
        <w:t xml:space="preserve"> and was made for a person after they died in order to house the soft internal organs usually removed during the process of mummification</w:t>
      </w:r>
      <w:r>
        <w:rPr>
          <w:rFonts w:ascii="Arial" w:hAnsi="Arial" w:cs="Arial"/>
          <w:sz w:val="24"/>
          <w:szCs w:val="24"/>
        </w:rPr>
        <w:t xml:space="preserve">. </w:t>
      </w:r>
      <w:r w:rsidR="00047B82">
        <w:rPr>
          <w:rFonts w:ascii="Arial" w:hAnsi="Arial" w:cs="Arial"/>
          <w:sz w:val="24"/>
          <w:szCs w:val="24"/>
        </w:rPr>
        <w:t>Most commonly</w:t>
      </w:r>
      <w:r w:rsidR="00276096" w:rsidRPr="003F38C3">
        <w:rPr>
          <w:rFonts w:ascii="Arial" w:hAnsi="Arial" w:cs="Arial"/>
          <w:sz w:val="24"/>
          <w:szCs w:val="24"/>
        </w:rPr>
        <w:t xml:space="preserve">, the soft internal organs (stomach, liver, lungs and intestines) were removed </w:t>
      </w:r>
      <w:r w:rsidR="00047B82">
        <w:rPr>
          <w:rFonts w:ascii="Arial" w:hAnsi="Arial" w:cs="Arial"/>
          <w:sz w:val="24"/>
          <w:szCs w:val="24"/>
        </w:rPr>
        <w:t xml:space="preserve">from the deceased body </w:t>
      </w:r>
      <w:r w:rsidR="00276096" w:rsidRPr="003F38C3">
        <w:rPr>
          <w:rFonts w:ascii="Arial" w:hAnsi="Arial" w:cs="Arial"/>
          <w:sz w:val="24"/>
          <w:szCs w:val="24"/>
        </w:rPr>
        <w:t>through an incision</w:t>
      </w:r>
      <w:r w:rsidR="00047B82">
        <w:rPr>
          <w:rFonts w:ascii="Arial" w:hAnsi="Arial" w:cs="Arial"/>
          <w:sz w:val="24"/>
          <w:szCs w:val="24"/>
        </w:rPr>
        <w:t xml:space="preserve"> on the left side of the abdomen, usually with a ritual stone knife</w:t>
      </w:r>
      <w:r w:rsidR="00276096" w:rsidRPr="003F38C3">
        <w:rPr>
          <w:rFonts w:ascii="Arial" w:hAnsi="Arial" w:cs="Arial"/>
          <w:sz w:val="24"/>
          <w:szCs w:val="24"/>
        </w:rPr>
        <w:t>.</w:t>
      </w:r>
      <w:r w:rsidR="00047B82">
        <w:rPr>
          <w:rStyle w:val="FootnoteReference"/>
          <w:rFonts w:ascii="Arial" w:hAnsi="Arial" w:cs="Arial"/>
          <w:sz w:val="24"/>
          <w:szCs w:val="24"/>
        </w:rPr>
        <w:footnoteReference w:id="1"/>
      </w:r>
      <w:r w:rsidR="00276096" w:rsidRPr="003F38C3">
        <w:rPr>
          <w:rFonts w:ascii="Arial" w:hAnsi="Arial" w:cs="Arial"/>
          <w:sz w:val="24"/>
          <w:szCs w:val="24"/>
        </w:rPr>
        <w:t xml:space="preserve"> The body was then packed with dry natron, a natural salt found in the Egyptian desert</w:t>
      </w:r>
      <w:r w:rsidR="00047B82">
        <w:rPr>
          <w:rFonts w:ascii="Arial" w:hAnsi="Arial" w:cs="Arial"/>
          <w:sz w:val="24"/>
          <w:szCs w:val="24"/>
        </w:rPr>
        <w:t xml:space="preserve"> and dried out to reduce the deterioration process, therefore artificially preserving the body of the deceased</w:t>
      </w:r>
      <w:r w:rsidR="00276096" w:rsidRPr="003F38C3">
        <w:rPr>
          <w:rFonts w:ascii="Arial" w:hAnsi="Arial" w:cs="Arial"/>
          <w:sz w:val="24"/>
          <w:szCs w:val="24"/>
        </w:rPr>
        <w:t>.</w:t>
      </w:r>
      <w:r w:rsidR="00276096">
        <w:rPr>
          <w:rStyle w:val="FootnoteReference"/>
          <w:rFonts w:ascii="Arial" w:hAnsi="Arial" w:cs="Arial"/>
          <w:sz w:val="24"/>
          <w:szCs w:val="24"/>
        </w:rPr>
        <w:footnoteReference w:id="2"/>
      </w:r>
    </w:p>
    <w:p w:rsidR="00643C1E" w:rsidRDefault="00B94B93" w:rsidP="00643C1E">
      <w:pPr>
        <w:rPr>
          <w:rFonts w:ascii="Arial" w:hAnsi="Arial" w:cs="Arial"/>
          <w:sz w:val="24"/>
          <w:szCs w:val="24"/>
        </w:rPr>
      </w:pPr>
      <w:r>
        <w:rPr>
          <w:rFonts w:ascii="Arial" w:hAnsi="Arial" w:cs="Arial"/>
          <w:sz w:val="24"/>
          <w:szCs w:val="24"/>
        </w:rPr>
        <w:t>Th</w:t>
      </w:r>
      <w:r w:rsidR="006C76D7">
        <w:rPr>
          <w:rFonts w:ascii="Arial" w:hAnsi="Arial" w:cs="Arial"/>
          <w:sz w:val="24"/>
          <w:szCs w:val="24"/>
        </w:rPr>
        <w:t>is particular Canopic jar</w:t>
      </w:r>
      <w:r>
        <w:rPr>
          <w:rFonts w:ascii="Arial" w:hAnsi="Arial" w:cs="Arial"/>
          <w:sz w:val="24"/>
          <w:szCs w:val="24"/>
        </w:rPr>
        <w:t xml:space="preserve"> head depicts a human face with a dome shaped headdress and is very symmetrical in appearance except for the ears, of which one is slightly larger than the other. In addition to this, the setting of the ears appear to be fairly high and not consistent with the features of other human beings, where the ears sit more or less on the same horizontal line as the eyes.</w:t>
      </w:r>
      <w:r w:rsidR="00C36378">
        <w:rPr>
          <w:rFonts w:ascii="Arial" w:hAnsi="Arial" w:cs="Arial"/>
          <w:sz w:val="24"/>
          <w:szCs w:val="24"/>
        </w:rPr>
        <w:t xml:space="preserve"> The face is rather round in shape and the chin is extended with a beard, </w:t>
      </w:r>
      <w:r w:rsidR="002F102D">
        <w:rPr>
          <w:rFonts w:ascii="Arial" w:hAnsi="Arial" w:cs="Arial"/>
          <w:sz w:val="24"/>
          <w:szCs w:val="24"/>
        </w:rPr>
        <w:t xml:space="preserve">and although </w:t>
      </w:r>
      <w:r w:rsidR="002F102D">
        <w:rPr>
          <w:rFonts w:ascii="Arial" w:hAnsi="Arial" w:cs="Arial"/>
          <w:sz w:val="24"/>
        </w:rPr>
        <w:t xml:space="preserve">most Egyptian men were clean shaven, it can be seen that </w:t>
      </w:r>
      <w:r w:rsidR="002F102D" w:rsidRPr="002F102D">
        <w:rPr>
          <w:rFonts w:ascii="Arial" w:hAnsi="Arial" w:cs="Arial"/>
          <w:sz w:val="24"/>
        </w:rPr>
        <w:t>pharaohs, even the female ones, wore fake beards</w:t>
      </w:r>
      <w:r w:rsidR="002F102D">
        <w:rPr>
          <w:rFonts w:ascii="Arial" w:hAnsi="Arial" w:cs="Arial"/>
          <w:sz w:val="24"/>
        </w:rPr>
        <w:t xml:space="preserve"> from numerous wall paintings found in tombs and ancient Egyptian structures</w:t>
      </w:r>
      <w:r w:rsidR="002F102D" w:rsidRPr="002F102D">
        <w:rPr>
          <w:rFonts w:ascii="Arial" w:hAnsi="Arial" w:cs="Arial"/>
          <w:sz w:val="24"/>
        </w:rPr>
        <w:t>.</w:t>
      </w:r>
      <w:r w:rsidR="002F102D">
        <w:rPr>
          <w:rStyle w:val="FootnoteReference"/>
          <w:rFonts w:ascii="Arial" w:hAnsi="Arial" w:cs="Arial"/>
          <w:sz w:val="24"/>
        </w:rPr>
        <w:footnoteReference w:id="3"/>
      </w:r>
      <w:r w:rsidR="00CC7ECE">
        <w:rPr>
          <w:rFonts w:ascii="Arial" w:hAnsi="Arial" w:cs="Arial"/>
          <w:sz w:val="24"/>
        </w:rPr>
        <w:t xml:space="preserve"> There is no further decoration or additions to the Canopic head, and the headdress itself is not adorned with a crown or ‘</w:t>
      </w:r>
      <w:proofErr w:type="spellStart"/>
      <w:r w:rsidR="00CC7ECE">
        <w:rPr>
          <w:rFonts w:ascii="Arial" w:hAnsi="Arial" w:cs="Arial"/>
          <w:sz w:val="24"/>
        </w:rPr>
        <w:t>uraeus</w:t>
      </w:r>
      <w:proofErr w:type="spellEnd"/>
      <w:r w:rsidR="00CC7ECE">
        <w:rPr>
          <w:rFonts w:ascii="Arial" w:hAnsi="Arial" w:cs="Arial"/>
          <w:sz w:val="24"/>
        </w:rPr>
        <w:t>’, an Ancient Egyptian upright cobra found upon a Pharaoh’s crown,</w:t>
      </w:r>
      <w:r w:rsidR="00CC7ECE">
        <w:rPr>
          <w:rStyle w:val="FootnoteReference"/>
          <w:rFonts w:ascii="Arial" w:hAnsi="Arial" w:cs="Arial"/>
          <w:sz w:val="24"/>
        </w:rPr>
        <w:footnoteReference w:id="4"/>
      </w:r>
      <w:r w:rsidR="00CC7ECE">
        <w:rPr>
          <w:rFonts w:ascii="Arial" w:hAnsi="Arial" w:cs="Arial"/>
          <w:sz w:val="24"/>
        </w:rPr>
        <w:t xml:space="preserve"> indicating that this particular jar lid is not a royal representation.</w:t>
      </w:r>
    </w:p>
    <w:p w:rsidR="00643C1E" w:rsidRDefault="00B94B93" w:rsidP="00790120">
      <w:pPr>
        <w:rPr>
          <w:rFonts w:ascii="Arial" w:hAnsi="Arial" w:cs="Arial"/>
          <w:sz w:val="24"/>
          <w:szCs w:val="24"/>
        </w:rPr>
      </w:pPr>
      <w:r w:rsidRPr="00790120">
        <w:rPr>
          <w:rFonts w:ascii="Arial" w:hAnsi="Arial" w:cs="Arial"/>
          <w:sz w:val="24"/>
          <w:szCs w:val="24"/>
        </w:rPr>
        <w:t>Although well preserved and presented, there is in fact some general erosion to several parts of the jar lid, but this could be due to numerous possibilities, such as; mishandling, time, poor preservation, accidental damage, etc.</w:t>
      </w:r>
      <w:r w:rsidR="001052BA" w:rsidRPr="00790120">
        <w:rPr>
          <w:rFonts w:ascii="Arial" w:hAnsi="Arial" w:cs="Arial"/>
          <w:sz w:val="24"/>
          <w:szCs w:val="24"/>
        </w:rPr>
        <w:t xml:space="preserve"> </w:t>
      </w:r>
      <w:r w:rsidR="006C7858" w:rsidRPr="00790120">
        <w:rPr>
          <w:rFonts w:ascii="Arial" w:hAnsi="Arial" w:cs="Arial"/>
          <w:sz w:val="24"/>
          <w:szCs w:val="24"/>
        </w:rPr>
        <w:t xml:space="preserve">The most significant damage </w:t>
      </w:r>
      <w:r w:rsidR="00997B12" w:rsidRPr="00790120">
        <w:rPr>
          <w:rFonts w:ascii="Arial" w:hAnsi="Arial" w:cs="Arial"/>
          <w:sz w:val="24"/>
          <w:szCs w:val="24"/>
        </w:rPr>
        <w:t>centres</w:t>
      </w:r>
      <w:r w:rsidR="006C7858" w:rsidRPr="00790120">
        <w:rPr>
          <w:rFonts w:ascii="Arial" w:hAnsi="Arial" w:cs="Arial"/>
          <w:sz w:val="24"/>
          <w:szCs w:val="24"/>
        </w:rPr>
        <w:t xml:space="preserve"> on the nose and the front left hand side of the lower headdress, as well as a long crack/split to the back of the headdress on the upper right hand side. There also appears to be some ‘shaved’ areas to the back of the head where the layers of the clay has become visible.</w:t>
      </w:r>
    </w:p>
    <w:p w:rsidR="00C01D73" w:rsidRDefault="002055E0" w:rsidP="003843E2">
      <w:pPr>
        <w:rPr>
          <w:rFonts w:ascii="Arial" w:hAnsi="Arial" w:cs="Arial"/>
          <w:sz w:val="24"/>
        </w:rPr>
      </w:pPr>
      <w:r w:rsidRPr="005C30FB">
        <w:rPr>
          <w:rFonts w:ascii="Arial" w:hAnsi="Arial" w:cs="Arial"/>
          <w:sz w:val="24"/>
          <w:szCs w:val="24"/>
        </w:rPr>
        <w:t xml:space="preserve">Vessels </w:t>
      </w:r>
      <w:r w:rsidR="003C371B">
        <w:rPr>
          <w:rFonts w:ascii="Arial" w:hAnsi="Arial" w:cs="Arial"/>
          <w:sz w:val="24"/>
          <w:szCs w:val="24"/>
        </w:rPr>
        <w:t xml:space="preserve">and containers were made by hand or with a tool, </w:t>
      </w:r>
      <w:r w:rsidR="000E3560">
        <w:rPr>
          <w:rFonts w:ascii="Arial" w:hAnsi="Arial" w:cs="Arial"/>
          <w:sz w:val="24"/>
          <w:szCs w:val="24"/>
        </w:rPr>
        <w:t>modelling</w:t>
      </w:r>
      <w:r w:rsidR="003C371B">
        <w:rPr>
          <w:rFonts w:ascii="Arial" w:hAnsi="Arial" w:cs="Arial"/>
          <w:sz w:val="24"/>
          <w:szCs w:val="24"/>
        </w:rPr>
        <w:t xml:space="preserve"> the </w:t>
      </w:r>
      <w:r w:rsidRPr="005C30FB">
        <w:rPr>
          <w:rFonts w:ascii="Arial" w:hAnsi="Arial" w:cs="Arial"/>
          <w:sz w:val="24"/>
          <w:szCs w:val="24"/>
        </w:rPr>
        <w:t xml:space="preserve">clay </w:t>
      </w:r>
      <w:r w:rsidR="003C371B">
        <w:rPr>
          <w:rFonts w:ascii="Arial" w:hAnsi="Arial" w:cs="Arial"/>
          <w:sz w:val="24"/>
          <w:szCs w:val="24"/>
        </w:rPr>
        <w:t>into the preferred shape</w:t>
      </w:r>
      <w:r w:rsidRPr="005C30FB">
        <w:rPr>
          <w:rFonts w:ascii="Arial" w:hAnsi="Arial" w:cs="Arial"/>
          <w:sz w:val="24"/>
          <w:szCs w:val="24"/>
        </w:rPr>
        <w:t>.</w:t>
      </w:r>
      <w:r w:rsidR="003C371B">
        <w:rPr>
          <w:rStyle w:val="FootnoteReference"/>
          <w:rFonts w:ascii="Arial" w:hAnsi="Arial" w:cs="Arial"/>
          <w:sz w:val="24"/>
          <w:szCs w:val="24"/>
        </w:rPr>
        <w:footnoteReference w:id="5"/>
      </w:r>
      <w:r w:rsidRPr="005C30FB">
        <w:rPr>
          <w:rFonts w:ascii="Arial" w:hAnsi="Arial" w:cs="Arial"/>
          <w:sz w:val="24"/>
          <w:szCs w:val="24"/>
        </w:rPr>
        <w:t xml:space="preserve"> </w:t>
      </w:r>
      <w:r w:rsidR="007A0FF2">
        <w:rPr>
          <w:rFonts w:ascii="Arial" w:hAnsi="Arial" w:cs="Arial"/>
          <w:sz w:val="24"/>
          <w:szCs w:val="24"/>
        </w:rPr>
        <w:t xml:space="preserve">There were various methods in which the clay could be shaped, such as; coiling, moulds </w:t>
      </w:r>
      <w:r w:rsidR="007A0FF2">
        <w:rPr>
          <w:rFonts w:ascii="Arial" w:hAnsi="Arial" w:cs="Arial"/>
          <w:sz w:val="24"/>
          <w:szCs w:val="24"/>
        </w:rPr>
        <w:lastRenderedPageBreak/>
        <w:t xml:space="preserve">or on a </w:t>
      </w:r>
      <w:r w:rsidR="000E3560">
        <w:rPr>
          <w:rFonts w:ascii="Arial" w:hAnsi="Arial" w:cs="Arial"/>
          <w:sz w:val="24"/>
          <w:szCs w:val="24"/>
        </w:rPr>
        <w:t>turning wheel.</w:t>
      </w:r>
      <w:r w:rsidR="000E3560">
        <w:rPr>
          <w:rStyle w:val="FootnoteReference"/>
          <w:rFonts w:ascii="Arial" w:hAnsi="Arial" w:cs="Arial"/>
          <w:sz w:val="24"/>
          <w:szCs w:val="24"/>
        </w:rPr>
        <w:footnoteReference w:id="6"/>
      </w:r>
      <w:r w:rsidR="000E3560">
        <w:rPr>
          <w:rFonts w:ascii="Arial" w:hAnsi="Arial" w:cs="Arial"/>
          <w:sz w:val="24"/>
          <w:szCs w:val="24"/>
        </w:rPr>
        <w:t xml:space="preserve"> Coiling refers to the method of rolling out a long length of clay and coiling it around the base of the vessel in order to shape it. Pottery made by hand was present in the </w:t>
      </w:r>
      <w:proofErr w:type="spellStart"/>
      <w:r w:rsidR="000E3560">
        <w:rPr>
          <w:rFonts w:ascii="Arial" w:hAnsi="Arial" w:cs="Arial"/>
          <w:sz w:val="24"/>
          <w:szCs w:val="24"/>
        </w:rPr>
        <w:t>Predynastic</w:t>
      </w:r>
      <w:proofErr w:type="spellEnd"/>
      <w:r w:rsidR="000E3560">
        <w:rPr>
          <w:rFonts w:ascii="Arial" w:hAnsi="Arial" w:cs="Arial"/>
          <w:sz w:val="24"/>
          <w:szCs w:val="24"/>
        </w:rPr>
        <w:t xml:space="preserve"> period</w:t>
      </w:r>
      <w:r w:rsidR="000E3560" w:rsidRPr="000E3560">
        <w:rPr>
          <w:rFonts w:ascii="Arial" w:hAnsi="Arial" w:cs="Arial"/>
          <w:sz w:val="24"/>
          <w:szCs w:val="24"/>
        </w:rPr>
        <w:t xml:space="preserve"> (</w:t>
      </w:r>
      <w:r w:rsidR="000E3560" w:rsidRPr="000E3560">
        <w:rPr>
          <w:rFonts w:ascii="Arial" w:hAnsi="Arial" w:cs="Arial"/>
          <w:sz w:val="24"/>
          <w:szCs w:val="24"/>
          <w:shd w:val="clear" w:color="auto" w:fill="FFFFFF"/>
        </w:rPr>
        <w:t>3100 BC – 2950 BC</w:t>
      </w:r>
      <w:r w:rsidR="000E3560">
        <w:rPr>
          <w:rFonts w:ascii="Arial" w:hAnsi="Arial" w:cs="Arial"/>
          <w:sz w:val="24"/>
          <w:szCs w:val="24"/>
          <w:shd w:val="clear" w:color="auto" w:fill="FFFFFF"/>
        </w:rPr>
        <w:t>), however later the use of a turntable became the more common way to shape vessels and containers.</w:t>
      </w:r>
      <w:r w:rsidR="000E3560">
        <w:rPr>
          <w:rStyle w:val="FootnoteReference"/>
          <w:rFonts w:ascii="Arial" w:hAnsi="Arial" w:cs="Arial"/>
          <w:sz w:val="24"/>
          <w:szCs w:val="24"/>
          <w:shd w:val="clear" w:color="auto" w:fill="FFFFFF"/>
        </w:rPr>
        <w:footnoteReference w:id="7"/>
      </w:r>
      <w:r w:rsidR="00F43C0A">
        <w:rPr>
          <w:rFonts w:ascii="Arial" w:hAnsi="Arial" w:cs="Arial"/>
          <w:sz w:val="24"/>
          <w:szCs w:val="24"/>
        </w:rPr>
        <w:t xml:space="preserve"> </w:t>
      </w:r>
      <w:r w:rsidRPr="005C30FB">
        <w:rPr>
          <w:rFonts w:ascii="Arial" w:hAnsi="Arial" w:cs="Arial"/>
          <w:sz w:val="24"/>
          <w:szCs w:val="24"/>
        </w:rPr>
        <w:t xml:space="preserve">The </w:t>
      </w:r>
      <w:r w:rsidR="00F43C0A">
        <w:rPr>
          <w:rFonts w:ascii="Arial" w:hAnsi="Arial" w:cs="Arial"/>
          <w:sz w:val="24"/>
          <w:szCs w:val="24"/>
        </w:rPr>
        <w:t xml:space="preserve">turning wheel was rotated by hand, </w:t>
      </w:r>
      <w:r w:rsidR="006F01AC">
        <w:rPr>
          <w:rFonts w:ascii="Arial" w:hAnsi="Arial" w:cs="Arial"/>
          <w:sz w:val="24"/>
          <w:szCs w:val="24"/>
        </w:rPr>
        <w:t xml:space="preserve">which meant only one hand was free to work the clay, however </w:t>
      </w:r>
      <w:r w:rsidR="00F43C0A">
        <w:rPr>
          <w:rFonts w:ascii="Arial" w:hAnsi="Arial" w:cs="Arial"/>
          <w:sz w:val="24"/>
          <w:szCs w:val="24"/>
        </w:rPr>
        <w:t>later developments</w:t>
      </w:r>
      <w:r w:rsidR="006F01AC">
        <w:rPr>
          <w:rFonts w:ascii="Arial" w:hAnsi="Arial" w:cs="Arial"/>
          <w:sz w:val="24"/>
          <w:szCs w:val="24"/>
        </w:rPr>
        <w:t xml:space="preserve"> in</w:t>
      </w:r>
      <w:r w:rsidR="006F01AC" w:rsidRPr="006F01AC">
        <w:rPr>
          <w:rFonts w:ascii="Arial" w:hAnsi="Arial" w:cs="Arial"/>
          <w:sz w:val="24"/>
          <w:szCs w:val="24"/>
        </w:rPr>
        <w:t xml:space="preserve"> </w:t>
      </w:r>
      <w:r w:rsidR="006F01AC" w:rsidRPr="005C30FB">
        <w:rPr>
          <w:rFonts w:ascii="Arial" w:hAnsi="Arial" w:cs="Arial"/>
          <w:sz w:val="24"/>
          <w:szCs w:val="24"/>
        </w:rPr>
        <w:t>the L</w:t>
      </w:r>
      <w:r w:rsidR="006F01AC">
        <w:rPr>
          <w:rFonts w:ascii="Arial" w:hAnsi="Arial" w:cs="Arial"/>
          <w:sz w:val="24"/>
          <w:szCs w:val="24"/>
        </w:rPr>
        <w:t xml:space="preserve">ate </w:t>
      </w:r>
      <w:r w:rsidR="006F01AC" w:rsidRPr="005C30FB">
        <w:rPr>
          <w:rFonts w:ascii="Arial" w:hAnsi="Arial" w:cs="Arial"/>
          <w:sz w:val="24"/>
          <w:szCs w:val="24"/>
        </w:rPr>
        <w:t>P</w:t>
      </w:r>
      <w:r w:rsidR="006F01AC">
        <w:rPr>
          <w:rFonts w:ascii="Arial" w:hAnsi="Arial" w:cs="Arial"/>
          <w:sz w:val="24"/>
          <w:szCs w:val="24"/>
        </w:rPr>
        <w:t>eriod</w:t>
      </w:r>
      <w:r w:rsidR="006F01AC" w:rsidRPr="005C30FB">
        <w:rPr>
          <w:rFonts w:ascii="Arial" w:hAnsi="Arial" w:cs="Arial"/>
          <w:sz w:val="24"/>
          <w:szCs w:val="24"/>
        </w:rPr>
        <w:t xml:space="preserve"> (c. 664-343 BCE)</w:t>
      </w:r>
      <w:r w:rsidR="00F43C0A">
        <w:rPr>
          <w:rFonts w:ascii="Arial" w:hAnsi="Arial" w:cs="Arial"/>
          <w:sz w:val="24"/>
          <w:szCs w:val="24"/>
        </w:rPr>
        <w:t xml:space="preserve"> introduc</w:t>
      </w:r>
      <w:r w:rsidR="006F01AC">
        <w:rPr>
          <w:rFonts w:ascii="Arial" w:hAnsi="Arial" w:cs="Arial"/>
          <w:sz w:val="24"/>
          <w:szCs w:val="24"/>
        </w:rPr>
        <w:t>ed</w:t>
      </w:r>
      <w:r w:rsidR="00F43C0A">
        <w:rPr>
          <w:rFonts w:ascii="Arial" w:hAnsi="Arial" w:cs="Arial"/>
          <w:sz w:val="24"/>
          <w:szCs w:val="24"/>
        </w:rPr>
        <w:t xml:space="preserve"> the </w:t>
      </w:r>
      <w:r w:rsidRPr="005C30FB">
        <w:rPr>
          <w:rFonts w:ascii="Arial" w:hAnsi="Arial" w:cs="Arial"/>
          <w:sz w:val="24"/>
          <w:szCs w:val="24"/>
        </w:rPr>
        <w:t xml:space="preserve">fast </w:t>
      </w:r>
      <w:r w:rsidR="00C01D73">
        <w:rPr>
          <w:rFonts w:ascii="Arial" w:hAnsi="Arial" w:cs="Arial"/>
          <w:sz w:val="24"/>
          <w:szCs w:val="24"/>
        </w:rPr>
        <w:t>turning kick wheel</w:t>
      </w:r>
      <w:r w:rsidRPr="005C30FB">
        <w:rPr>
          <w:rFonts w:ascii="Arial" w:hAnsi="Arial" w:cs="Arial"/>
          <w:sz w:val="24"/>
          <w:szCs w:val="24"/>
        </w:rPr>
        <w:t>, which the potter kicked</w:t>
      </w:r>
      <w:r w:rsidR="00C01D73">
        <w:rPr>
          <w:rFonts w:ascii="Arial" w:hAnsi="Arial" w:cs="Arial"/>
          <w:sz w:val="24"/>
          <w:szCs w:val="24"/>
        </w:rPr>
        <w:t xml:space="preserve"> in order to rotate it</w:t>
      </w:r>
      <w:r w:rsidRPr="005C30FB">
        <w:rPr>
          <w:rFonts w:ascii="Arial" w:hAnsi="Arial" w:cs="Arial"/>
          <w:sz w:val="24"/>
          <w:szCs w:val="24"/>
        </w:rPr>
        <w:t>.</w:t>
      </w:r>
      <w:r w:rsidR="00C01D73">
        <w:rPr>
          <w:rStyle w:val="FootnoteReference"/>
          <w:rFonts w:ascii="Arial" w:hAnsi="Arial" w:cs="Arial"/>
          <w:sz w:val="24"/>
          <w:szCs w:val="24"/>
        </w:rPr>
        <w:footnoteReference w:id="8"/>
      </w:r>
      <w:r w:rsidR="006F01AC">
        <w:rPr>
          <w:rFonts w:ascii="Arial" w:hAnsi="Arial" w:cs="Arial"/>
          <w:sz w:val="24"/>
          <w:szCs w:val="24"/>
        </w:rPr>
        <w:t xml:space="preserve"> This permitted a higher rotational speed, better control and enabled artisans to produce more advanced vessels.</w:t>
      </w:r>
    </w:p>
    <w:p w:rsidR="003843E2" w:rsidRPr="006F01AC" w:rsidRDefault="003843E2" w:rsidP="003843E2">
      <w:pPr>
        <w:rPr>
          <w:rFonts w:ascii="Arial" w:hAnsi="Arial" w:cs="Arial"/>
          <w:sz w:val="28"/>
          <w:szCs w:val="24"/>
        </w:rPr>
      </w:pPr>
      <w:r>
        <w:rPr>
          <w:rFonts w:ascii="Arial" w:hAnsi="Arial" w:cs="Arial"/>
          <w:sz w:val="24"/>
        </w:rPr>
        <w:t>It is unclear which of these methods were used to create the object in question, however the ring marks on the inside of the jar lid suggest something akin to a kick wheel, as only such clear distinctions can be seen when made upon a rotating turntable.</w:t>
      </w:r>
      <w:r w:rsidR="005717D3">
        <w:rPr>
          <w:rFonts w:ascii="Arial" w:hAnsi="Arial" w:cs="Arial"/>
          <w:sz w:val="24"/>
        </w:rPr>
        <w:t xml:space="preserve"> As an educated guess, it is possible that the shape of the jar was made upon the wheel and the features of the face where then added by hand afterwards, possibly with a tool in order to obtain such clearly defined features.</w:t>
      </w:r>
    </w:p>
    <w:p w:rsidR="00790120" w:rsidRDefault="005B7080" w:rsidP="00790120">
      <w:pPr>
        <w:rPr>
          <w:rFonts w:ascii="Arial" w:hAnsi="Arial" w:cs="Arial"/>
          <w:sz w:val="24"/>
          <w:szCs w:val="24"/>
        </w:rPr>
      </w:pPr>
      <w:bookmarkStart w:id="0" w:name="_GoBack"/>
      <w:bookmarkEnd w:id="0"/>
      <w:r w:rsidRPr="00790120">
        <w:rPr>
          <w:rFonts w:ascii="Arial" w:hAnsi="Arial" w:cs="Arial"/>
          <w:sz w:val="24"/>
          <w:szCs w:val="24"/>
        </w:rPr>
        <w:t xml:space="preserve">The use of the Canopic jar has been seen to exist since the Old Kingdom, where the earliest examples of these vessels are the </w:t>
      </w:r>
      <w:r w:rsidRPr="00790120">
        <w:rPr>
          <w:rFonts w:ascii="Arial" w:hAnsi="Arial" w:cs="Arial"/>
          <w:sz w:val="24"/>
        </w:rPr>
        <w:t xml:space="preserve">limestone set made for Queen </w:t>
      </w:r>
      <w:proofErr w:type="spellStart"/>
      <w:r w:rsidRPr="00790120">
        <w:rPr>
          <w:rFonts w:ascii="Arial" w:hAnsi="Arial" w:cs="Arial"/>
          <w:sz w:val="24"/>
        </w:rPr>
        <w:t>Meresankh</w:t>
      </w:r>
      <w:proofErr w:type="spellEnd"/>
      <w:r w:rsidRPr="00790120">
        <w:rPr>
          <w:rFonts w:ascii="Arial" w:hAnsi="Arial" w:cs="Arial"/>
          <w:sz w:val="24"/>
        </w:rPr>
        <w:t xml:space="preserve"> III (c. 2500 BC.), found in her tomb at Giza</w:t>
      </w:r>
      <w:r w:rsidR="00F956ED">
        <w:rPr>
          <w:rFonts w:ascii="Arial" w:hAnsi="Arial" w:cs="Arial"/>
          <w:sz w:val="24"/>
        </w:rPr>
        <w:t>.</w:t>
      </w:r>
      <w:r w:rsidR="00F956ED">
        <w:rPr>
          <w:rStyle w:val="FootnoteReference"/>
          <w:rFonts w:ascii="Arial" w:hAnsi="Arial" w:cs="Arial"/>
          <w:sz w:val="24"/>
        </w:rPr>
        <w:footnoteReference w:id="9"/>
      </w:r>
      <w:r w:rsidR="00790120" w:rsidRPr="00790120">
        <w:rPr>
          <w:rFonts w:ascii="Arial" w:hAnsi="Arial" w:cs="Arial"/>
          <w:sz w:val="24"/>
        </w:rPr>
        <w:t xml:space="preserve"> </w:t>
      </w:r>
      <w:r w:rsidR="00997B12">
        <w:rPr>
          <w:rFonts w:ascii="Arial" w:hAnsi="Arial" w:cs="Arial"/>
          <w:sz w:val="24"/>
          <w:szCs w:val="24"/>
        </w:rPr>
        <w:t xml:space="preserve">Early </w:t>
      </w:r>
      <w:r w:rsidR="00997B12" w:rsidRPr="003F38C3">
        <w:rPr>
          <w:rFonts w:ascii="Arial" w:hAnsi="Arial" w:cs="Arial"/>
          <w:sz w:val="24"/>
          <w:szCs w:val="24"/>
        </w:rPr>
        <w:t xml:space="preserve">containers are usually </w:t>
      </w:r>
      <w:r w:rsidR="00997B12">
        <w:rPr>
          <w:rFonts w:ascii="Arial" w:hAnsi="Arial" w:cs="Arial"/>
          <w:sz w:val="24"/>
          <w:szCs w:val="24"/>
        </w:rPr>
        <w:t xml:space="preserve">carved from </w:t>
      </w:r>
      <w:r w:rsidR="00997B12" w:rsidRPr="003F38C3">
        <w:rPr>
          <w:rFonts w:ascii="Arial" w:hAnsi="Arial" w:cs="Arial"/>
          <w:sz w:val="24"/>
          <w:szCs w:val="24"/>
        </w:rPr>
        <w:t xml:space="preserve">limestone or made of pottery with domed </w:t>
      </w:r>
      <w:r w:rsidR="00997B12">
        <w:rPr>
          <w:rFonts w:ascii="Arial" w:hAnsi="Arial" w:cs="Arial"/>
          <w:sz w:val="24"/>
          <w:szCs w:val="24"/>
        </w:rPr>
        <w:t>shaped</w:t>
      </w:r>
      <w:r w:rsidR="00997B12" w:rsidRPr="003F38C3">
        <w:rPr>
          <w:rFonts w:ascii="Arial" w:hAnsi="Arial" w:cs="Arial"/>
          <w:sz w:val="24"/>
          <w:szCs w:val="24"/>
        </w:rPr>
        <w:t xml:space="preserve"> lids</w:t>
      </w:r>
      <w:r w:rsidR="00997B12">
        <w:rPr>
          <w:rFonts w:ascii="Arial" w:hAnsi="Arial" w:cs="Arial"/>
          <w:sz w:val="24"/>
          <w:szCs w:val="24"/>
        </w:rPr>
        <w:t>, being rather plain and simple in appearance</w:t>
      </w:r>
      <w:r w:rsidR="00997B12" w:rsidRPr="003F38C3">
        <w:rPr>
          <w:rFonts w:ascii="Arial" w:hAnsi="Arial" w:cs="Arial"/>
          <w:sz w:val="24"/>
          <w:szCs w:val="24"/>
        </w:rPr>
        <w:t>.</w:t>
      </w:r>
      <w:r w:rsidR="00997B12">
        <w:rPr>
          <w:rStyle w:val="FootnoteReference"/>
          <w:rFonts w:ascii="Arial" w:hAnsi="Arial" w:cs="Arial"/>
          <w:sz w:val="24"/>
          <w:szCs w:val="24"/>
        </w:rPr>
        <w:footnoteReference w:id="10"/>
      </w:r>
      <w:r w:rsidR="00997B12" w:rsidRPr="003F38C3">
        <w:rPr>
          <w:rFonts w:ascii="Arial" w:hAnsi="Arial" w:cs="Arial"/>
          <w:sz w:val="24"/>
          <w:szCs w:val="24"/>
        </w:rPr>
        <w:t xml:space="preserve"> It is not until later that the jars are given sculpted heads and associated with the dour sons of Horus.</w:t>
      </w:r>
      <w:r w:rsidR="00997B12">
        <w:rPr>
          <w:rStyle w:val="FootnoteReference"/>
          <w:rFonts w:ascii="Arial" w:hAnsi="Arial" w:cs="Arial"/>
          <w:sz w:val="24"/>
          <w:szCs w:val="24"/>
        </w:rPr>
        <w:footnoteReference w:id="11"/>
      </w:r>
      <w:r w:rsidR="00997B12" w:rsidRPr="003F38C3">
        <w:rPr>
          <w:rFonts w:ascii="Arial" w:hAnsi="Arial" w:cs="Arial"/>
          <w:sz w:val="24"/>
          <w:szCs w:val="24"/>
        </w:rPr>
        <w:t xml:space="preserve"> </w:t>
      </w:r>
      <w:r w:rsidR="00790120" w:rsidRPr="00790120">
        <w:rPr>
          <w:rFonts w:ascii="Arial" w:hAnsi="Arial" w:cs="Arial"/>
          <w:sz w:val="24"/>
        </w:rPr>
        <w:t>The purpose of these vessels were to hold the artificially mummified remains of the viscera (internal organs) of a deceased person so that they could ensure their continued usefulness in the afterlife</w:t>
      </w:r>
      <w:r w:rsidR="00F956ED">
        <w:rPr>
          <w:rFonts w:ascii="Arial" w:hAnsi="Arial" w:cs="Arial"/>
          <w:sz w:val="24"/>
        </w:rPr>
        <w:t>.</w:t>
      </w:r>
      <w:r w:rsidR="00F956ED">
        <w:rPr>
          <w:rStyle w:val="FootnoteReference"/>
          <w:rFonts w:ascii="Arial" w:hAnsi="Arial" w:cs="Arial"/>
          <w:sz w:val="24"/>
        </w:rPr>
        <w:footnoteReference w:id="12"/>
      </w:r>
      <w:r w:rsidR="00F956ED">
        <w:rPr>
          <w:rFonts w:ascii="Arial" w:hAnsi="Arial" w:cs="Arial"/>
          <w:sz w:val="24"/>
        </w:rPr>
        <w:t xml:space="preserve"> </w:t>
      </w:r>
      <w:r w:rsidR="00382CBA">
        <w:rPr>
          <w:rFonts w:ascii="Arial" w:hAnsi="Arial" w:cs="Arial"/>
          <w:sz w:val="24"/>
          <w:szCs w:val="24"/>
        </w:rPr>
        <w:t>It was the belief of the afterlife which made the process of mummification necessary, as for an individual to gain immortality in the next life after death, their body needed to be preserved so that the ‘</w:t>
      </w:r>
      <w:proofErr w:type="spellStart"/>
      <w:r w:rsidR="00382CBA" w:rsidRPr="00382CBA">
        <w:rPr>
          <w:rFonts w:ascii="Arial" w:hAnsi="Arial" w:cs="Arial"/>
          <w:sz w:val="24"/>
          <w:szCs w:val="24"/>
        </w:rPr>
        <w:t>ba</w:t>
      </w:r>
      <w:proofErr w:type="spellEnd"/>
      <w:r w:rsidR="00382CBA">
        <w:rPr>
          <w:rFonts w:ascii="Arial" w:hAnsi="Arial" w:cs="Arial"/>
          <w:sz w:val="24"/>
          <w:szCs w:val="24"/>
        </w:rPr>
        <w:t xml:space="preserve">’ and </w:t>
      </w:r>
      <w:r w:rsidR="00382CBA">
        <w:rPr>
          <w:rFonts w:ascii="Arial" w:hAnsi="Arial" w:cs="Arial"/>
          <w:i/>
          <w:sz w:val="24"/>
          <w:szCs w:val="24"/>
        </w:rPr>
        <w:t>‘</w:t>
      </w:r>
      <w:proofErr w:type="spellStart"/>
      <w:r w:rsidR="00382CBA">
        <w:rPr>
          <w:rFonts w:ascii="Arial" w:hAnsi="Arial" w:cs="Arial"/>
          <w:i/>
          <w:sz w:val="24"/>
          <w:szCs w:val="24"/>
        </w:rPr>
        <w:t>ka</w:t>
      </w:r>
      <w:proofErr w:type="spellEnd"/>
      <w:r w:rsidR="00382CBA">
        <w:rPr>
          <w:rFonts w:ascii="Arial" w:hAnsi="Arial" w:cs="Arial"/>
          <w:i/>
          <w:sz w:val="24"/>
          <w:szCs w:val="24"/>
        </w:rPr>
        <w:t xml:space="preserve">’ </w:t>
      </w:r>
      <w:r w:rsidR="00382CBA">
        <w:rPr>
          <w:rFonts w:ascii="Arial" w:hAnsi="Arial" w:cs="Arial"/>
          <w:sz w:val="24"/>
          <w:szCs w:val="24"/>
        </w:rPr>
        <w:t>could</w:t>
      </w:r>
      <w:r w:rsidR="00382CBA" w:rsidRPr="00382CBA">
        <w:rPr>
          <w:rFonts w:ascii="Arial" w:hAnsi="Arial" w:cs="Arial"/>
          <w:sz w:val="24"/>
          <w:szCs w:val="24"/>
        </w:rPr>
        <w:t xml:space="preserve"> recognise</w:t>
      </w:r>
      <w:r w:rsidR="00382CBA">
        <w:rPr>
          <w:rFonts w:ascii="Arial" w:hAnsi="Arial" w:cs="Arial"/>
          <w:sz w:val="24"/>
          <w:szCs w:val="24"/>
        </w:rPr>
        <w:t xml:space="preserve"> the body and continually return to </w:t>
      </w:r>
      <w:r w:rsidR="00382CBA" w:rsidRPr="003F38C3">
        <w:rPr>
          <w:rFonts w:ascii="Arial" w:hAnsi="Arial" w:cs="Arial"/>
          <w:sz w:val="24"/>
          <w:szCs w:val="24"/>
        </w:rPr>
        <w:t>it</w:t>
      </w:r>
      <w:r w:rsidR="00F956ED" w:rsidRPr="003F38C3">
        <w:rPr>
          <w:rFonts w:ascii="Arial" w:hAnsi="Arial" w:cs="Arial"/>
          <w:sz w:val="24"/>
          <w:szCs w:val="24"/>
        </w:rPr>
        <w:t>.</w:t>
      </w:r>
      <w:r w:rsidR="00F956ED" w:rsidRPr="003F38C3">
        <w:rPr>
          <w:rStyle w:val="FootnoteReference"/>
          <w:rFonts w:ascii="Arial" w:hAnsi="Arial" w:cs="Arial"/>
          <w:sz w:val="24"/>
          <w:szCs w:val="24"/>
        </w:rPr>
        <w:footnoteReference w:id="13"/>
      </w:r>
    </w:p>
    <w:p w:rsidR="0033098C" w:rsidRDefault="003F38C3" w:rsidP="00790120">
      <w:pPr>
        <w:rPr>
          <w:rFonts w:ascii="Arial" w:hAnsi="Arial" w:cs="Arial"/>
          <w:sz w:val="24"/>
          <w:szCs w:val="24"/>
          <w:shd w:val="clear" w:color="auto" w:fill="FFFFFF"/>
        </w:rPr>
      </w:pPr>
      <w:r>
        <w:rPr>
          <w:rFonts w:ascii="Arial" w:hAnsi="Arial" w:cs="Arial"/>
          <w:sz w:val="24"/>
          <w:szCs w:val="24"/>
        </w:rPr>
        <w:t xml:space="preserve">From what is known about Canopic jars, this particular example can be seen as </w:t>
      </w:r>
      <w:proofErr w:type="gramStart"/>
      <w:r>
        <w:rPr>
          <w:rFonts w:ascii="Arial" w:hAnsi="Arial" w:cs="Arial"/>
          <w:sz w:val="24"/>
          <w:szCs w:val="24"/>
        </w:rPr>
        <w:t>intriguing</w:t>
      </w:r>
      <w:proofErr w:type="gramEnd"/>
      <w:r w:rsidR="00653D6B">
        <w:rPr>
          <w:rFonts w:ascii="Arial" w:hAnsi="Arial" w:cs="Arial"/>
          <w:sz w:val="24"/>
          <w:szCs w:val="24"/>
        </w:rPr>
        <w:t xml:space="preserve"> as well as slightly problematic</w:t>
      </w:r>
      <w:r>
        <w:rPr>
          <w:rFonts w:ascii="Arial" w:hAnsi="Arial" w:cs="Arial"/>
          <w:sz w:val="24"/>
          <w:szCs w:val="24"/>
        </w:rPr>
        <w:t xml:space="preserve">, as it is very difficult to date from a visual perspective alone. </w:t>
      </w:r>
      <w:r w:rsidR="00A40EDD">
        <w:rPr>
          <w:rFonts w:ascii="Arial" w:hAnsi="Arial" w:cs="Arial"/>
          <w:sz w:val="24"/>
          <w:szCs w:val="24"/>
        </w:rPr>
        <w:t>Human headed Canopic jars are seen to first appear in the Middle Kingdom</w:t>
      </w:r>
      <w:r w:rsidR="001A7C5E">
        <w:rPr>
          <w:rFonts w:ascii="Arial" w:hAnsi="Arial" w:cs="Arial"/>
          <w:sz w:val="24"/>
          <w:szCs w:val="24"/>
        </w:rPr>
        <w:t xml:space="preserve"> </w:t>
      </w:r>
      <w:r w:rsidR="001A7C5E" w:rsidRPr="001A7C5E">
        <w:rPr>
          <w:rFonts w:ascii="Arial" w:hAnsi="Arial" w:cs="Arial"/>
          <w:sz w:val="24"/>
          <w:szCs w:val="24"/>
        </w:rPr>
        <w:t>(</w:t>
      </w:r>
      <w:r w:rsidR="001A7C5E" w:rsidRPr="001A7C5E">
        <w:rPr>
          <w:rFonts w:ascii="Arial" w:hAnsi="Arial" w:cs="Arial"/>
          <w:sz w:val="24"/>
          <w:szCs w:val="24"/>
          <w:shd w:val="clear" w:color="auto" w:fill="FFFFFF"/>
        </w:rPr>
        <w:t>1975BC – 1640 BC</w:t>
      </w:r>
      <w:r w:rsidR="001A7C5E" w:rsidRPr="001A7C5E">
        <w:rPr>
          <w:rFonts w:ascii="Arial" w:hAnsi="Arial" w:cs="Arial"/>
          <w:sz w:val="24"/>
          <w:szCs w:val="24"/>
          <w:shd w:val="clear" w:color="auto" w:fill="FFFFFF"/>
        </w:rPr>
        <w:t>)</w:t>
      </w:r>
      <w:r w:rsidR="00A40EDD">
        <w:rPr>
          <w:rFonts w:ascii="Arial" w:hAnsi="Arial" w:cs="Arial"/>
          <w:sz w:val="24"/>
          <w:szCs w:val="24"/>
        </w:rPr>
        <w:t>, usually as an</w:t>
      </w:r>
      <w:r w:rsidR="00A40EDD" w:rsidRPr="00A40EDD">
        <w:rPr>
          <w:rFonts w:ascii="Arial" w:hAnsi="Arial" w:cs="Arial"/>
          <w:sz w:val="24"/>
          <w:szCs w:val="24"/>
        </w:rPr>
        <w:t xml:space="preserve"> idealised</w:t>
      </w:r>
      <w:r w:rsidR="00A40EDD">
        <w:rPr>
          <w:rFonts w:ascii="Arial" w:hAnsi="Arial" w:cs="Arial"/>
          <w:sz w:val="24"/>
          <w:szCs w:val="24"/>
        </w:rPr>
        <w:t xml:space="preserve"> portrait of the deceased in order to further establish a physical resemblance for the ‘</w:t>
      </w:r>
      <w:proofErr w:type="spellStart"/>
      <w:r w:rsidR="00A40EDD">
        <w:rPr>
          <w:rFonts w:ascii="Arial" w:hAnsi="Arial" w:cs="Arial"/>
          <w:i/>
          <w:sz w:val="24"/>
          <w:szCs w:val="24"/>
        </w:rPr>
        <w:t>ba</w:t>
      </w:r>
      <w:proofErr w:type="spellEnd"/>
      <w:r w:rsidR="00A40EDD">
        <w:rPr>
          <w:rFonts w:ascii="Arial" w:hAnsi="Arial" w:cs="Arial"/>
          <w:i/>
          <w:sz w:val="24"/>
          <w:szCs w:val="24"/>
        </w:rPr>
        <w:t xml:space="preserve">’ </w:t>
      </w:r>
      <w:r w:rsidR="00A40EDD">
        <w:rPr>
          <w:rFonts w:ascii="Arial" w:hAnsi="Arial" w:cs="Arial"/>
          <w:sz w:val="24"/>
          <w:szCs w:val="24"/>
        </w:rPr>
        <w:t xml:space="preserve">and </w:t>
      </w:r>
      <w:r w:rsidR="00A40EDD">
        <w:rPr>
          <w:rFonts w:ascii="Arial" w:hAnsi="Arial" w:cs="Arial"/>
          <w:i/>
          <w:sz w:val="24"/>
          <w:szCs w:val="24"/>
        </w:rPr>
        <w:t>‘</w:t>
      </w:r>
      <w:proofErr w:type="spellStart"/>
      <w:r w:rsidR="00A40EDD">
        <w:rPr>
          <w:rFonts w:ascii="Arial" w:hAnsi="Arial" w:cs="Arial"/>
          <w:i/>
          <w:sz w:val="24"/>
          <w:szCs w:val="24"/>
        </w:rPr>
        <w:t>ka</w:t>
      </w:r>
      <w:proofErr w:type="spellEnd"/>
      <w:r w:rsidR="00A40EDD">
        <w:rPr>
          <w:rFonts w:ascii="Arial" w:hAnsi="Arial" w:cs="Arial"/>
          <w:i/>
          <w:sz w:val="24"/>
          <w:szCs w:val="24"/>
        </w:rPr>
        <w:t xml:space="preserve">’ </w:t>
      </w:r>
      <w:r w:rsidR="00A40EDD">
        <w:rPr>
          <w:rFonts w:ascii="Arial" w:hAnsi="Arial" w:cs="Arial"/>
          <w:sz w:val="24"/>
          <w:szCs w:val="24"/>
        </w:rPr>
        <w:t>to recognise the host.</w:t>
      </w:r>
      <w:r w:rsidR="00A40EDD">
        <w:rPr>
          <w:rStyle w:val="FootnoteReference"/>
          <w:rFonts w:ascii="Arial" w:hAnsi="Arial" w:cs="Arial"/>
          <w:sz w:val="24"/>
          <w:szCs w:val="24"/>
        </w:rPr>
        <w:footnoteReference w:id="14"/>
      </w:r>
      <w:r w:rsidR="00A40EDD">
        <w:rPr>
          <w:rFonts w:ascii="Arial" w:hAnsi="Arial" w:cs="Arial"/>
          <w:sz w:val="24"/>
          <w:szCs w:val="24"/>
        </w:rPr>
        <w:t xml:space="preserve"> However, </w:t>
      </w:r>
      <w:r w:rsidR="001A7C5E">
        <w:rPr>
          <w:rFonts w:ascii="Arial" w:hAnsi="Arial" w:cs="Arial"/>
          <w:sz w:val="24"/>
          <w:szCs w:val="24"/>
        </w:rPr>
        <w:t xml:space="preserve">later in the New Kingdom </w:t>
      </w:r>
      <w:r w:rsidR="001A7C5E" w:rsidRPr="001A7C5E">
        <w:rPr>
          <w:rFonts w:ascii="Arial" w:hAnsi="Arial" w:cs="Arial"/>
          <w:sz w:val="24"/>
          <w:szCs w:val="24"/>
        </w:rPr>
        <w:t>(</w:t>
      </w:r>
      <w:r w:rsidR="001A7C5E" w:rsidRPr="001A7C5E">
        <w:rPr>
          <w:rFonts w:ascii="Arial" w:hAnsi="Arial" w:cs="Arial"/>
          <w:sz w:val="24"/>
          <w:szCs w:val="24"/>
          <w:shd w:val="clear" w:color="auto" w:fill="FFFFFF"/>
        </w:rPr>
        <w:t>1520 BC – 1075 BC</w:t>
      </w:r>
      <w:r w:rsidR="001A7C5E" w:rsidRPr="001A7C5E">
        <w:rPr>
          <w:rFonts w:ascii="Arial" w:hAnsi="Arial" w:cs="Arial"/>
          <w:sz w:val="24"/>
          <w:szCs w:val="24"/>
          <w:shd w:val="clear" w:color="auto" w:fill="FFFFFF"/>
        </w:rPr>
        <w:t>)</w:t>
      </w:r>
      <w:r w:rsidR="001A7C5E">
        <w:rPr>
          <w:rFonts w:ascii="Arial" w:hAnsi="Arial" w:cs="Arial"/>
          <w:sz w:val="24"/>
          <w:szCs w:val="24"/>
          <w:shd w:val="clear" w:color="auto" w:fill="FFFFFF"/>
        </w:rPr>
        <w:t>, the representation of the ‘Four Sons of Horus’ became more popular, three of which are depicted as having various animal heads whilst the fourth, Imsety, is shown to be human headed.</w:t>
      </w:r>
      <w:r w:rsidR="001A7C5E">
        <w:rPr>
          <w:rStyle w:val="FootnoteReference"/>
          <w:rFonts w:ascii="Arial" w:hAnsi="Arial" w:cs="Arial"/>
          <w:sz w:val="24"/>
          <w:szCs w:val="24"/>
          <w:shd w:val="clear" w:color="auto" w:fill="FFFFFF"/>
        </w:rPr>
        <w:footnoteReference w:id="15"/>
      </w:r>
    </w:p>
    <w:p w:rsidR="00653D6B" w:rsidRPr="00A40EDD" w:rsidRDefault="0033098C" w:rsidP="00790120">
      <w:pPr>
        <w:rPr>
          <w:rFonts w:ascii="Arial" w:hAnsi="Arial" w:cs="Arial"/>
          <w:sz w:val="24"/>
          <w:szCs w:val="24"/>
        </w:rPr>
      </w:pPr>
      <w:r>
        <w:rPr>
          <w:rFonts w:ascii="Arial" w:hAnsi="Arial" w:cs="Arial"/>
          <w:sz w:val="24"/>
          <w:szCs w:val="24"/>
          <w:shd w:val="clear" w:color="auto" w:fill="FFFFFF"/>
        </w:rPr>
        <w:t>Due to this lack of clarification</w:t>
      </w:r>
      <w:r w:rsidR="00653D6B">
        <w:rPr>
          <w:rFonts w:ascii="Arial" w:hAnsi="Arial" w:cs="Arial"/>
          <w:sz w:val="24"/>
          <w:szCs w:val="24"/>
          <w:shd w:val="clear" w:color="auto" w:fill="FFFFFF"/>
        </w:rPr>
        <w:t>, it is difficult to accurately guess the representation of the Canopic jar, and therefore pinpoint both the period from when it was made and the location of its origin.</w:t>
      </w:r>
      <w:r w:rsidR="00C66F57">
        <w:rPr>
          <w:rFonts w:ascii="Arial" w:hAnsi="Arial" w:cs="Arial"/>
          <w:sz w:val="24"/>
          <w:szCs w:val="24"/>
          <w:shd w:val="clear" w:color="auto" w:fill="FFFFFF"/>
        </w:rPr>
        <w:t xml:space="preserve"> Another factor which contributes to the </w:t>
      </w:r>
      <w:r w:rsidR="001A3C34">
        <w:rPr>
          <w:rFonts w:ascii="Arial" w:hAnsi="Arial" w:cs="Arial"/>
          <w:sz w:val="24"/>
          <w:szCs w:val="24"/>
          <w:shd w:val="clear" w:color="auto" w:fill="FFFFFF"/>
        </w:rPr>
        <w:t xml:space="preserve">difficulty in determining the period in which this jar lid was made, is the presence of a beard. Imsety, especially in examples from the Late Period </w:t>
      </w:r>
      <w:r w:rsidR="001A3C34" w:rsidRPr="00A725C7">
        <w:rPr>
          <w:rFonts w:ascii="Arial" w:hAnsi="Arial" w:cs="Arial"/>
          <w:sz w:val="24"/>
        </w:rPr>
        <w:t>(</w:t>
      </w:r>
      <w:r w:rsidR="00A725C7" w:rsidRPr="00A725C7">
        <w:rPr>
          <w:rFonts w:ascii="Arial" w:hAnsi="Arial" w:cs="Arial"/>
          <w:sz w:val="24"/>
        </w:rPr>
        <w:t>715 BC – 332 BC</w:t>
      </w:r>
      <w:r w:rsidR="00A725C7">
        <w:rPr>
          <w:rFonts w:ascii="Arial" w:hAnsi="Arial" w:cs="Arial"/>
          <w:sz w:val="24"/>
        </w:rPr>
        <w:t>), is</w:t>
      </w:r>
      <w:r w:rsidR="00B02829">
        <w:rPr>
          <w:rFonts w:ascii="Arial" w:hAnsi="Arial" w:cs="Arial"/>
          <w:sz w:val="24"/>
        </w:rPr>
        <w:t xml:space="preserve"> usually</w:t>
      </w:r>
      <w:r w:rsidR="00A725C7">
        <w:rPr>
          <w:rFonts w:ascii="Arial" w:hAnsi="Arial" w:cs="Arial"/>
          <w:sz w:val="24"/>
        </w:rPr>
        <w:t xml:space="preserve"> shown to be beard</w:t>
      </w:r>
      <w:r w:rsidR="00B02829">
        <w:rPr>
          <w:rFonts w:ascii="Arial" w:hAnsi="Arial" w:cs="Arial"/>
          <w:sz w:val="24"/>
        </w:rPr>
        <w:t>less</w:t>
      </w:r>
      <w:r w:rsidR="00A725C7">
        <w:rPr>
          <w:rFonts w:ascii="Arial" w:hAnsi="Arial" w:cs="Arial"/>
          <w:sz w:val="24"/>
        </w:rPr>
        <w:t>, whereas this particular Canopic jar lid has one.</w:t>
      </w:r>
      <w:r w:rsidR="006C4FE8">
        <w:rPr>
          <w:rFonts w:ascii="Arial" w:hAnsi="Arial" w:cs="Arial"/>
          <w:sz w:val="24"/>
        </w:rPr>
        <w:t xml:space="preserve"> It </w:t>
      </w:r>
      <w:r w:rsidR="006C4FE8">
        <w:rPr>
          <w:rFonts w:ascii="Arial" w:hAnsi="Arial" w:cs="Arial"/>
          <w:sz w:val="24"/>
        </w:rPr>
        <w:lastRenderedPageBreak/>
        <w:t>appears to be more common for there to be a beardless Imsety alongside the three other ‘Sons of Horus’ (see figures ____), however other examples do also show figureheads to have beards.</w:t>
      </w:r>
    </w:p>
    <w:p w:rsidR="005C30FB" w:rsidRDefault="006F4114" w:rsidP="005C30FB">
      <w:pPr>
        <w:rPr>
          <w:rFonts w:ascii="Arial" w:hAnsi="Arial" w:cs="Arial"/>
          <w:sz w:val="24"/>
          <w:szCs w:val="24"/>
        </w:rPr>
      </w:pPr>
      <w:r>
        <w:rPr>
          <w:rFonts w:ascii="Arial" w:hAnsi="Arial" w:cs="Arial"/>
          <w:sz w:val="24"/>
          <w:szCs w:val="24"/>
        </w:rPr>
        <w:t>The practice of using Canopic jars itself also fluctuated throughout the progress of time in Ancient Egypt. Towards the end of the New Kingdom (</w:t>
      </w:r>
      <w:r w:rsidRPr="006F4114">
        <w:rPr>
          <w:rFonts w:ascii="Arial" w:hAnsi="Arial" w:cs="Arial"/>
          <w:sz w:val="24"/>
          <w:shd w:val="clear" w:color="auto" w:fill="FFFFFF"/>
        </w:rPr>
        <w:t>1520 BC – 1075 BC</w:t>
      </w:r>
      <w:r>
        <w:rPr>
          <w:rFonts w:ascii="Arial" w:hAnsi="Arial" w:cs="Arial"/>
          <w:sz w:val="24"/>
          <w:shd w:val="clear" w:color="auto" w:fill="FFFFFF"/>
        </w:rPr>
        <w:t>)</w:t>
      </w:r>
      <w:r w:rsidR="00F95842">
        <w:rPr>
          <w:rFonts w:ascii="Arial" w:hAnsi="Arial" w:cs="Arial"/>
          <w:sz w:val="24"/>
          <w:shd w:val="clear" w:color="auto" w:fill="FFFFFF"/>
        </w:rPr>
        <w:t>, Canopic jars became less popular due to the expense of the mummification ritual, and the soft organs are instead returned to the cavity of the body.</w:t>
      </w:r>
      <w:r w:rsidR="00F95842">
        <w:rPr>
          <w:rStyle w:val="FootnoteReference"/>
          <w:rFonts w:ascii="Arial" w:hAnsi="Arial" w:cs="Arial"/>
          <w:sz w:val="24"/>
          <w:shd w:val="clear" w:color="auto" w:fill="FFFFFF"/>
        </w:rPr>
        <w:footnoteReference w:id="16"/>
      </w:r>
      <w:r w:rsidR="00F95842">
        <w:rPr>
          <w:rFonts w:ascii="Arial" w:hAnsi="Arial" w:cs="Arial"/>
          <w:sz w:val="24"/>
          <w:shd w:val="clear" w:color="auto" w:fill="FFFFFF"/>
        </w:rPr>
        <w:t xml:space="preserve"> False jars replaced the previous tradition of putting the viscera into the Canopic vessels.</w:t>
      </w:r>
      <w:r w:rsidR="00F95842">
        <w:rPr>
          <w:rStyle w:val="FootnoteReference"/>
          <w:rFonts w:ascii="Arial" w:hAnsi="Arial" w:cs="Arial"/>
          <w:sz w:val="24"/>
          <w:shd w:val="clear" w:color="auto" w:fill="FFFFFF"/>
        </w:rPr>
        <w:footnoteReference w:id="17"/>
      </w:r>
      <w:r w:rsidR="00AF440D">
        <w:rPr>
          <w:rFonts w:ascii="Arial" w:hAnsi="Arial" w:cs="Arial"/>
          <w:sz w:val="24"/>
          <w:shd w:val="clear" w:color="auto" w:fill="FFFFFF"/>
        </w:rPr>
        <w:t xml:space="preserve"> Their return came with the Late Period (</w:t>
      </w:r>
      <w:r w:rsidR="00AF440D" w:rsidRPr="00AF440D">
        <w:rPr>
          <w:rFonts w:ascii="Arial" w:hAnsi="Arial" w:cs="Arial"/>
          <w:sz w:val="24"/>
          <w:shd w:val="clear" w:color="auto" w:fill="FFFFFF"/>
        </w:rPr>
        <w:t>715 BC – 332 BC</w:t>
      </w:r>
      <w:r w:rsidR="00AF440D">
        <w:rPr>
          <w:rFonts w:ascii="Arial" w:hAnsi="Arial" w:cs="Arial"/>
          <w:sz w:val="24"/>
          <w:shd w:val="clear" w:color="auto" w:fill="FFFFFF"/>
        </w:rPr>
        <w:t>), often made beautifully with Egyptian alabaster.</w:t>
      </w:r>
      <w:r w:rsidR="00AF440D">
        <w:rPr>
          <w:rStyle w:val="FootnoteReference"/>
          <w:rFonts w:ascii="Arial" w:hAnsi="Arial" w:cs="Arial"/>
          <w:sz w:val="24"/>
          <w:shd w:val="clear" w:color="auto" w:fill="FFFFFF"/>
        </w:rPr>
        <w:footnoteReference w:id="18"/>
      </w:r>
    </w:p>
    <w:p w:rsidR="00AF440D" w:rsidRDefault="00AF440D" w:rsidP="005C30FB">
      <w:pPr>
        <w:rPr>
          <w:rFonts w:ascii="Arial" w:hAnsi="Arial" w:cs="Arial"/>
          <w:sz w:val="24"/>
          <w:szCs w:val="24"/>
        </w:rPr>
      </w:pPr>
    </w:p>
    <w:p w:rsidR="005C30FB" w:rsidRPr="003F38C3" w:rsidRDefault="005C30FB" w:rsidP="005C30FB">
      <w:pPr>
        <w:rPr>
          <w:rFonts w:ascii="Arial" w:hAnsi="Arial" w:cs="Arial"/>
          <w:sz w:val="24"/>
          <w:szCs w:val="24"/>
        </w:rPr>
      </w:pPr>
    </w:p>
    <w:p w:rsidR="005C30FB" w:rsidRPr="003F38C3" w:rsidRDefault="005C30FB" w:rsidP="005C30FB">
      <w:pPr>
        <w:rPr>
          <w:rFonts w:ascii="Arial" w:hAnsi="Arial" w:cs="Arial"/>
          <w:sz w:val="24"/>
          <w:szCs w:val="24"/>
        </w:rPr>
      </w:pPr>
    </w:p>
    <w:p w:rsidR="005C30FB" w:rsidRPr="003F38C3" w:rsidRDefault="005C30FB" w:rsidP="005C30FB">
      <w:pPr>
        <w:rPr>
          <w:rFonts w:ascii="Arial" w:hAnsi="Arial" w:cs="Arial"/>
          <w:sz w:val="24"/>
          <w:szCs w:val="24"/>
        </w:rPr>
      </w:pPr>
    </w:p>
    <w:p w:rsidR="00CD6CD7" w:rsidRPr="003F38C3" w:rsidRDefault="00CD6CD7" w:rsidP="00790120">
      <w:pPr>
        <w:rPr>
          <w:rFonts w:ascii="Arial" w:hAnsi="Arial" w:cs="Arial"/>
          <w:sz w:val="24"/>
          <w:szCs w:val="24"/>
        </w:rPr>
      </w:pPr>
    </w:p>
    <w:p w:rsidR="005B7080" w:rsidRPr="003F38C3" w:rsidRDefault="005B7080" w:rsidP="00643C1E">
      <w:pPr>
        <w:rPr>
          <w:rFonts w:ascii="Arial" w:hAnsi="Arial" w:cs="Arial"/>
          <w:sz w:val="24"/>
          <w:szCs w:val="24"/>
        </w:rPr>
      </w:pPr>
    </w:p>
    <w:p w:rsidR="00643C1E" w:rsidRPr="00C413EC" w:rsidRDefault="00643C1E" w:rsidP="00643C1E">
      <w:r>
        <w:rPr>
          <w:rFonts w:ascii="Arial" w:hAnsi="Arial" w:cs="Arial"/>
          <w:b/>
          <w:sz w:val="24"/>
          <w:szCs w:val="24"/>
          <w:u w:val="single"/>
        </w:rPr>
        <w:t>Bibliography</w:t>
      </w:r>
    </w:p>
    <w:p w:rsidR="00D61AAA" w:rsidRDefault="00D61AAA"/>
    <w:p w:rsidR="005B3209" w:rsidRDefault="005B3209">
      <w:r w:rsidRPr="005B3209">
        <w:t>https://www.penn.museum/documents/education/pennmuseum_egypt_previsit_combined.pdf</w:t>
      </w:r>
    </w:p>
    <w:sectPr w:rsidR="005B3209" w:rsidSect="002055E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56ED" w:rsidRDefault="00F956ED" w:rsidP="00F956ED">
      <w:pPr>
        <w:spacing w:after="0" w:line="240" w:lineRule="auto"/>
      </w:pPr>
      <w:r>
        <w:separator/>
      </w:r>
    </w:p>
  </w:endnote>
  <w:endnote w:type="continuationSeparator" w:id="0">
    <w:p w:rsidR="00F956ED" w:rsidRDefault="00F956ED" w:rsidP="00F95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56ED" w:rsidRDefault="00F956ED" w:rsidP="00F956ED">
      <w:pPr>
        <w:spacing w:after="0" w:line="240" w:lineRule="auto"/>
      </w:pPr>
      <w:r>
        <w:separator/>
      </w:r>
    </w:p>
  </w:footnote>
  <w:footnote w:type="continuationSeparator" w:id="0">
    <w:p w:rsidR="00F956ED" w:rsidRDefault="00F956ED" w:rsidP="00F956ED">
      <w:pPr>
        <w:spacing w:after="0" w:line="240" w:lineRule="auto"/>
      </w:pPr>
      <w:r>
        <w:continuationSeparator/>
      </w:r>
    </w:p>
  </w:footnote>
  <w:footnote w:id="1">
    <w:p w:rsidR="00047B82" w:rsidRDefault="00047B82">
      <w:pPr>
        <w:pStyle w:val="FootnoteText"/>
      </w:pPr>
      <w:r>
        <w:rPr>
          <w:rStyle w:val="FootnoteReference"/>
        </w:rPr>
        <w:footnoteRef/>
      </w:r>
      <w:r>
        <w:t xml:space="preserve"> Brewer (2007): pp. 168.</w:t>
      </w:r>
    </w:p>
  </w:footnote>
  <w:footnote w:id="2">
    <w:p w:rsidR="00276096" w:rsidRDefault="00276096">
      <w:pPr>
        <w:pStyle w:val="FootnoteText"/>
      </w:pPr>
      <w:r>
        <w:rPr>
          <w:rStyle w:val="FootnoteReference"/>
        </w:rPr>
        <w:footnoteRef/>
      </w:r>
      <w:r>
        <w:t xml:space="preserve"> Brewer (2007): pp. 168</w:t>
      </w:r>
      <w:r w:rsidR="00047B82">
        <w:t>.</w:t>
      </w:r>
    </w:p>
  </w:footnote>
  <w:footnote w:id="3">
    <w:p w:rsidR="002F102D" w:rsidRDefault="002F102D">
      <w:pPr>
        <w:pStyle w:val="FootnoteText"/>
      </w:pPr>
      <w:r>
        <w:rPr>
          <w:rStyle w:val="FootnoteReference"/>
        </w:rPr>
        <w:footnoteRef/>
      </w:r>
      <w:r>
        <w:t xml:space="preserve"> Penn Museum (2019).</w:t>
      </w:r>
    </w:p>
  </w:footnote>
  <w:footnote w:id="4">
    <w:p w:rsidR="00CC7ECE" w:rsidRDefault="00CC7ECE">
      <w:pPr>
        <w:pStyle w:val="FootnoteText"/>
      </w:pPr>
      <w:r>
        <w:rPr>
          <w:rStyle w:val="FootnoteReference"/>
        </w:rPr>
        <w:footnoteRef/>
      </w:r>
      <w:r>
        <w:t xml:space="preserve"> Penn Museum (2019).</w:t>
      </w:r>
    </w:p>
  </w:footnote>
  <w:footnote w:id="5">
    <w:p w:rsidR="003C371B" w:rsidRDefault="003C371B">
      <w:pPr>
        <w:pStyle w:val="FootnoteText"/>
      </w:pPr>
      <w:r>
        <w:rPr>
          <w:rStyle w:val="FootnoteReference"/>
        </w:rPr>
        <w:footnoteRef/>
      </w:r>
      <w:r>
        <w:t xml:space="preserve"> </w:t>
      </w:r>
      <w:proofErr w:type="spellStart"/>
      <w:r>
        <w:t>Lacovarad</w:t>
      </w:r>
      <w:proofErr w:type="spellEnd"/>
      <w:r>
        <w:t xml:space="preserve"> (2017): pp. 42.</w:t>
      </w:r>
    </w:p>
  </w:footnote>
  <w:footnote w:id="6">
    <w:p w:rsidR="000E3560" w:rsidRDefault="000E3560">
      <w:pPr>
        <w:pStyle w:val="FootnoteText"/>
      </w:pPr>
      <w:r>
        <w:rPr>
          <w:rStyle w:val="FootnoteReference"/>
        </w:rPr>
        <w:footnoteRef/>
      </w:r>
      <w:r>
        <w:t xml:space="preserve"> </w:t>
      </w:r>
      <w:proofErr w:type="spellStart"/>
      <w:r>
        <w:t>Lacovara</w:t>
      </w:r>
      <w:proofErr w:type="spellEnd"/>
      <w:r>
        <w:t xml:space="preserve"> (2017): pp. 42.</w:t>
      </w:r>
    </w:p>
  </w:footnote>
  <w:footnote w:id="7">
    <w:p w:rsidR="000E3560" w:rsidRDefault="000E3560">
      <w:pPr>
        <w:pStyle w:val="FootnoteText"/>
      </w:pPr>
      <w:r>
        <w:rPr>
          <w:rStyle w:val="FootnoteReference"/>
        </w:rPr>
        <w:footnoteRef/>
      </w:r>
      <w:r>
        <w:t xml:space="preserve"> </w:t>
      </w:r>
      <w:proofErr w:type="spellStart"/>
      <w:r>
        <w:t>Lacovara</w:t>
      </w:r>
      <w:proofErr w:type="spellEnd"/>
      <w:r>
        <w:t xml:space="preserve"> (2017): pp. 42.</w:t>
      </w:r>
    </w:p>
  </w:footnote>
  <w:footnote w:id="8">
    <w:p w:rsidR="00C01D73" w:rsidRDefault="00C01D73">
      <w:pPr>
        <w:pStyle w:val="FootnoteText"/>
      </w:pPr>
      <w:r>
        <w:rPr>
          <w:rStyle w:val="FootnoteReference"/>
        </w:rPr>
        <w:footnoteRef/>
      </w:r>
      <w:r>
        <w:t xml:space="preserve"> Klotz (2013): pp. 169-176.</w:t>
      </w:r>
    </w:p>
  </w:footnote>
  <w:footnote w:id="9">
    <w:p w:rsidR="00F956ED" w:rsidRPr="00F956ED" w:rsidRDefault="00F956ED">
      <w:pPr>
        <w:pStyle w:val="FootnoteText"/>
      </w:pPr>
      <w:r>
        <w:rPr>
          <w:rStyle w:val="FootnoteReference"/>
        </w:rPr>
        <w:footnoteRef/>
      </w:r>
      <w:r>
        <w:t xml:space="preserve"> Taylor (2001): pp. 65-76.</w:t>
      </w:r>
    </w:p>
  </w:footnote>
  <w:footnote w:id="10">
    <w:p w:rsidR="00997B12" w:rsidRDefault="00997B12">
      <w:pPr>
        <w:pStyle w:val="FootnoteText"/>
      </w:pPr>
      <w:r>
        <w:rPr>
          <w:rStyle w:val="FootnoteReference"/>
        </w:rPr>
        <w:footnoteRef/>
      </w:r>
      <w:r>
        <w:t xml:space="preserve"> </w:t>
      </w:r>
      <w:proofErr w:type="spellStart"/>
      <w:r>
        <w:t>Lacovara</w:t>
      </w:r>
      <w:proofErr w:type="spellEnd"/>
      <w:r>
        <w:t xml:space="preserve"> (2017): pp. 380.</w:t>
      </w:r>
    </w:p>
  </w:footnote>
  <w:footnote w:id="11">
    <w:p w:rsidR="00997B12" w:rsidRDefault="00997B12">
      <w:pPr>
        <w:pStyle w:val="FootnoteText"/>
      </w:pPr>
      <w:r>
        <w:rPr>
          <w:rStyle w:val="FootnoteReference"/>
        </w:rPr>
        <w:footnoteRef/>
      </w:r>
      <w:r>
        <w:t xml:space="preserve"> </w:t>
      </w:r>
      <w:proofErr w:type="spellStart"/>
      <w:r>
        <w:t>Lacovara</w:t>
      </w:r>
      <w:proofErr w:type="spellEnd"/>
      <w:r>
        <w:t xml:space="preserve"> (2017): pp. 380.</w:t>
      </w:r>
    </w:p>
  </w:footnote>
  <w:footnote w:id="12">
    <w:p w:rsidR="00F956ED" w:rsidRPr="00F956ED" w:rsidRDefault="00F956ED">
      <w:pPr>
        <w:pStyle w:val="FootnoteText"/>
      </w:pPr>
      <w:r>
        <w:rPr>
          <w:rStyle w:val="FootnoteReference"/>
        </w:rPr>
        <w:footnoteRef/>
      </w:r>
      <w:r>
        <w:t xml:space="preserve"> Taylor (2001): pp. 65-76.</w:t>
      </w:r>
    </w:p>
  </w:footnote>
  <w:footnote w:id="13">
    <w:p w:rsidR="00F956ED" w:rsidRPr="00F956ED" w:rsidRDefault="00F956ED">
      <w:pPr>
        <w:pStyle w:val="FootnoteText"/>
      </w:pPr>
      <w:r>
        <w:rPr>
          <w:rStyle w:val="FootnoteReference"/>
        </w:rPr>
        <w:footnoteRef/>
      </w:r>
      <w:r>
        <w:t xml:space="preserve"> Brewer (2007): pp. 167.</w:t>
      </w:r>
    </w:p>
  </w:footnote>
  <w:footnote w:id="14">
    <w:p w:rsidR="00A40EDD" w:rsidRDefault="00A40EDD">
      <w:pPr>
        <w:pStyle w:val="FootnoteText"/>
      </w:pPr>
      <w:r>
        <w:rPr>
          <w:rStyle w:val="FootnoteReference"/>
        </w:rPr>
        <w:footnoteRef/>
      </w:r>
      <w:r>
        <w:t xml:space="preserve"> </w:t>
      </w:r>
      <w:proofErr w:type="spellStart"/>
      <w:r>
        <w:t>Lacovara</w:t>
      </w:r>
      <w:proofErr w:type="spellEnd"/>
      <w:r>
        <w:t xml:space="preserve"> (2017): pp. 380</w:t>
      </w:r>
      <w:r w:rsidR="001A7C5E">
        <w:t>.</w:t>
      </w:r>
    </w:p>
  </w:footnote>
  <w:footnote w:id="15">
    <w:p w:rsidR="001A7C5E" w:rsidRDefault="001A7C5E">
      <w:pPr>
        <w:pStyle w:val="FootnoteText"/>
      </w:pPr>
      <w:r>
        <w:rPr>
          <w:rStyle w:val="FootnoteReference"/>
        </w:rPr>
        <w:footnoteRef/>
      </w:r>
      <w:r>
        <w:t xml:space="preserve"> </w:t>
      </w:r>
      <w:proofErr w:type="spellStart"/>
      <w:r>
        <w:t>Lacovara</w:t>
      </w:r>
      <w:proofErr w:type="spellEnd"/>
      <w:r>
        <w:t xml:space="preserve"> (2017): pp. 381-382.</w:t>
      </w:r>
    </w:p>
  </w:footnote>
  <w:footnote w:id="16">
    <w:p w:rsidR="00F95842" w:rsidRDefault="00F95842">
      <w:pPr>
        <w:pStyle w:val="FootnoteText"/>
      </w:pPr>
      <w:r>
        <w:rPr>
          <w:rStyle w:val="FootnoteReference"/>
        </w:rPr>
        <w:footnoteRef/>
      </w:r>
      <w:r>
        <w:t xml:space="preserve"> </w:t>
      </w:r>
      <w:proofErr w:type="spellStart"/>
      <w:r>
        <w:t>Lacovara</w:t>
      </w:r>
      <w:proofErr w:type="spellEnd"/>
      <w:r>
        <w:t xml:space="preserve"> (2017): pp. 382.</w:t>
      </w:r>
    </w:p>
  </w:footnote>
  <w:footnote w:id="17">
    <w:p w:rsidR="00F95842" w:rsidRDefault="00F95842">
      <w:pPr>
        <w:pStyle w:val="FootnoteText"/>
      </w:pPr>
      <w:r>
        <w:rPr>
          <w:rStyle w:val="FootnoteReference"/>
        </w:rPr>
        <w:footnoteRef/>
      </w:r>
      <w:r>
        <w:t xml:space="preserve"> </w:t>
      </w:r>
      <w:proofErr w:type="spellStart"/>
      <w:r>
        <w:t>Lacovara</w:t>
      </w:r>
      <w:proofErr w:type="spellEnd"/>
      <w:r>
        <w:t xml:space="preserve"> (2017): pp 382.</w:t>
      </w:r>
    </w:p>
  </w:footnote>
  <w:footnote w:id="18">
    <w:p w:rsidR="00AF440D" w:rsidRDefault="00AF440D">
      <w:pPr>
        <w:pStyle w:val="FootnoteText"/>
      </w:pPr>
      <w:r>
        <w:rPr>
          <w:rStyle w:val="FootnoteReference"/>
        </w:rPr>
        <w:footnoteRef/>
      </w:r>
      <w:r>
        <w:t xml:space="preserve"> </w:t>
      </w:r>
      <w:proofErr w:type="spellStart"/>
      <w:r>
        <w:t>Lacovara</w:t>
      </w:r>
      <w:proofErr w:type="spellEnd"/>
      <w:r>
        <w:t xml:space="preserve"> (2017): pp. 382.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713842"/>
    <w:multiLevelType w:val="hybridMultilevel"/>
    <w:tmpl w:val="8A767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7947EE"/>
    <w:multiLevelType w:val="hybridMultilevel"/>
    <w:tmpl w:val="76B8D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E14A22"/>
    <w:multiLevelType w:val="hybridMultilevel"/>
    <w:tmpl w:val="652A8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C1E"/>
    <w:rsid w:val="00047B82"/>
    <w:rsid w:val="000E3560"/>
    <w:rsid w:val="000F5F70"/>
    <w:rsid w:val="001052BA"/>
    <w:rsid w:val="0012315E"/>
    <w:rsid w:val="0013695F"/>
    <w:rsid w:val="001A3C34"/>
    <w:rsid w:val="001A7C5E"/>
    <w:rsid w:val="002055E0"/>
    <w:rsid w:val="00276096"/>
    <w:rsid w:val="00297A7D"/>
    <w:rsid w:val="002F102D"/>
    <w:rsid w:val="00322694"/>
    <w:rsid w:val="0033098C"/>
    <w:rsid w:val="00382CBA"/>
    <w:rsid w:val="003843E2"/>
    <w:rsid w:val="003C371B"/>
    <w:rsid w:val="003F38C3"/>
    <w:rsid w:val="00506417"/>
    <w:rsid w:val="005717D3"/>
    <w:rsid w:val="005B3209"/>
    <w:rsid w:val="005B7080"/>
    <w:rsid w:val="005C30FB"/>
    <w:rsid w:val="00605140"/>
    <w:rsid w:val="00643C1E"/>
    <w:rsid w:val="00653D6B"/>
    <w:rsid w:val="006C4FE8"/>
    <w:rsid w:val="006C76D7"/>
    <w:rsid w:val="006C7858"/>
    <w:rsid w:val="006D1CAB"/>
    <w:rsid w:val="006D1FFF"/>
    <w:rsid w:val="006F01AC"/>
    <w:rsid w:val="006F4114"/>
    <w:rsid w:val="00790120"/>
    <w:rsid w:val="007A0FF2"/>
    <w:rsid w:val="00866471"/>
    <w:rsid w:val="00967618"/>
    <w:rsid w:val="00997B12"/>
    <w:rsid w:val="00A40EDD"/>
    <w:rsid w:val="00A476FB"/>
    <w:rsid w:val="00A725C7"/>
    <w:rsid w:val="00AC5F52"/>
    <w:rsid w:val="00AF440D"/>
    <w:rsid w:val="00B02829"/>
    <w:rsid w:val="00B06AEC"/>
    <w:rsid w:val="00B346CE"/>
    <w:rsid w:val="00B52CDA"/>
    <w:rsid w:val="00B754E3"/>
    <w:rsid w:val="00B94B93"/>
    <w:rsid w:val="00C01D73"/>
    <w:rsid w:val="00C36378"/>
    <w:rsid w:val="00C66F57"/>
    <w:rsid w:val="00C70302"/>
    <w:rsid w:val="00CB6A63"/>
    <w:rsid w:val="00CC7617"/>
    <w:rsid w:val="00CC7ECE"/>
    <w:rsid w:val="00CD6CD7"/>
    <w:rsid w:val="00D61AAA"/>
    <w:rsid w:val="00DA7045"/>
    <w:rsid w:val="00F43C0A"/>
    <w:rsid w:val="00F64937"/>
    <w:rsid w:val="00F956ED"/>
    <w:rsid w:val="00F95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4AC71"/>
  <w15:chartTrackingRefBased/>
  <w15:docId w15:val="{4E2065D8-74DC-4FBF-9455-39264F167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3C1E"/>
    <w:pPr>
      <w:spacing w:after="200" w:line="276" w:lineRule="auto"/>
    </w:pPr>
    <w:rPr>
      <w:rFonts w:ascii="Calibri" w:eastAsia="Times New Roman"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120"/>
    <w:pPr>
      <w:spacing w:after="160" w:line="259" w:lineRule="auto"/>
      <w:ind w:left="720"/>
      <w:contextualSpacing/>
    </w:pPr>
    <w:rPr>
      <w:rFonts w:asciiTheme="minorHAnsi" w:eastAsiaTheme="minorHAnsi" w:hAnsiTheme="minorHAnsi" w:cstheme="minorBidi"/>
    </w:rPr>
  </w:style>
  <w:style w:type="paragraph" w:styleId="FootnoteText">
    <w:name w:val="footnote text"/>
    <w:basedOn w:val="Normal"/>
    <w:link w:val="FootnoteTextChar"/>
    <w:uiPriority w:val="99"/>
    <w:semiHidden/>
    <w:unhideWhenUsed/>
    <w:rsid w:val="00F956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56ED"/>
    <w:rPr>
      <w:rFonts w:ascii="Calibri" w:eastAsia="Times New Roman" w:hAnsi="Calibri" w:cs="Times New Roman"/>
      <w:sz w:val="20"/>
      <w:szCs w:val="20"/>
      <w:lang w:val="en-US"/>
    </w:rPr>
  </w:style>
  <w:style w:type="character" w:styleId="FootnoteReference">
    <w:name w:val="footnote reference"/>
    <w:basedOn w:val="DefaultParagraphFont"/>
    <w:uiPriority w:val="99"/>
    <w:semiHidden/>
    <w:unhideWhenUsed/>
    <w:rsid w:val="00F956ED"/>
    <w:rPr>
      <w:vertAlign w:val="superscript"/>
    </w:rPr>
  </w:style>
  <w:style w:type="character" w:styleId="Hyperlink">
    <w:name w:val="Hyperlink"/>
    <w:basedOn w:val="DefaultParagraphFont"/>
    <w:uiPriority w:val="99"/>
    <w:semiHidden/>
    <w:unhideWhenUsed/>
    <w:rsid w:val="005B32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3</Pages>
  <Words>985</Words>
  <Characters>5621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Mason (1602312)</dc:creator>
  <cp:keywords/>
  <dc:description/>
  <cp:lastModifiedBy>Angharad Mason (1602312)</cp:lastModifiedBy>
  <cp:revision>40</cp:revision>
  <dcterms:created xsi:type="dcterms:W3CDTF">2019-04-08T11:52:00Z</dcterms:created>
  <dcterms:modified xsi:type="dcterms:W3CDTF">2019-04-08T14:19:00Z</dcterms:modified>
</cp:coreProperties>
</file>