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552F9E" w14:textId="2ECC5AC1" w:rsidR="0072399A" w:rsidRDefault="0072399A">
      <w:pPr>
        <w:rPr>
          <w:noProof/>
        </w:rPr>
      </w:pPr>
      <w:r>
        <w:rPr>
          <w:noProof/>
        </w:rPr>
        <w:drawing>
          <wp:inline distT="0" distB="0" distL="0" distR="0" wp14:anchorId="70C25781" wp14:editId="6AA3F54F">
            <wp:extent cx="5730875" cy="3218815"/>
            <wp:effectExtent l="0" t="0" r="3175" b="635"/>
            <wp:docPr id="1147721049"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721049" name="Picture 1" descr="A logo with text on i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0875" cy="3218815"/>
                    </a:xfrm>
                    <a:prstGeom prst="rect">
                      <a:avLst/>
                    </a:prstGeom>
                    <a:noFill/>
                  </pic:spPr>
                </pic:pic>
              </a:graphicData>
            </a:graphic>
          </wp:inline>
        </w:drawing>
      </w:r>
    </w:p>
    <w:p w14:paraId="35D9CB40" w14:textId="3EEC070D" w:rsidR="00172C64" w:rsidRDefault="00172C64" w:rsidP="00172C64">
      <w:pPr>
        <w:spacing w:line="360" w:lineRule="auto"/>
        <w:jc w:val="center"/>
        <w:rPr>
          <w:rFonts w:ascii="Arial" w:hAnsi="Arial" w:cs="Arial"/>
        </w:rPr>
      </w:pPr>
      <w:r>
        <w:rPr>
          <w:rFonts w:ascii="Arial" w:hAnsi="Arial" w:cs="Arial"/>
        </w:rPr>
        <w:t>Speaker Notes</w:t>
      </w:r>
    </w:p>
    <w:p w14:paraId="5C8F96CE" w14:textId="0BBB91EC" w:rsidR="0072399A" w:rsidRDefault="0072399A" w:rsidP="00172C64">
      <w:pPr>
        <w:spacing w:line="360" w:lineRule="auto"/>
        <w:jc w:val="center"/>
        <w:rPr>
          <w:rFonts w:ascii="Arial" w:hAnsi="Arial" w:cs="Arial"/>
        </w:rPr>
      </w:pPr>
      <w:r w:rsidRPr="0072399A">
        <w:rPr>
          <w:rFonts w:ascii="Arial" w:hAnsi="Arial" w:cs="Arial"/>
        </w:rPr>
        <w:t>How to Collaborate in the Workplace and Form Sustainable Relationships</w:t>
      </w:r>
    </w:p>
    <w:p w14:paraId="5110C753" w14:textId="77777777" w:rsidR="00172C64" w:rsidRPr="0072399A" w:rsidRDefault="00172C64" w:rsidP="00172C64">
      <w:pPr>
        <w:spacing w:line="360" w:lineRule="auto"/>
        <w:jc w:val="center"/>
        <w:rPr>
          <w:rFonts w:ascii="Arial" w:hAnsi="Arial" w:cs="Arial"/>
        </w:rPr>
      </w:pPr>
    </w:p>
    <w:p w14:paraId="75C03EC2" w14:textId="77777777" w:rsidR="00172C64" w:rsidRDefault="00172C64" w:rsidP="00172C64">
      <w:pPr>
        <w:spacing w:line="360" w:lineRule="auto"/>
        <w:jc w:val="center"/>
        <w:rPr>
          <w:rFonts w:ascii="Arial" w:hAnsi="Arial" w:cs="Arial"/>
        </w:rPr>
      </w:pPr>
      <w:r>
        <w:rPr>
          <w:rFonts w:ascii="Arial" w:hAnsi="Arial" w:cs="Arial"/>
        </w:rPr>
        <w:t>Student name: Sebastian Luca Kiss</w:t>
      </w:r>
    </w:p>
    <w:p w14:paraId="6B3493F5" w14:textId="265D33EB" w:rsidR="00172C64" w:rsidRDefault="00172C64" w:rsidP="00172C64">
      <w:pPr>
        <w:spacing w:line="360" w:lineRule="auto"/>
        <w:jc w:val="center"/>
        <w:rPr>
          <w:rFonts w:ascii="Arial" w:hAnsi="Arial" w:cs="Arial"/>
        </w:rPr>
      </w:pPr>
      <w:r>
        <w:rPr>
          <w:rFonts w:ascii="Arial" w:hAnsi="Arial" w:cs="Arial"/>
        </w:rPr>
        <w:t>Student ID:</w:t>
      </w:r>
      <w:r w:rsidR="003466B7">
        <w:rPr>
          <w:rFonts w:ascii="Arial" w:hAnsi="Arial" w:cs="Arial"/>
        </w:rPr>
        <w:t xml:space="preserve"> </w:t>
      </w:r>
      <w:r>
        <w:rPr>
          <w:rFonts w:ascii="Arial" w:hAnsi="Arial" w:cs="Arial"/>
        </w:rPr>
        <w:t>2331017</w:t>
      </w:r>
    </w:p>
    <w:p w14:paraId="5B1D0507" w14:textId="77777777" w:rsidR="00172C64" w:rsidRDefault="00172C64" w:rsidP="00172C64">
      <w:pPr>
        <w:spacing w:line="360" w:lineRule="auto"/>
        <w:jc w:val="center"/>
        <w:rPr>
          <w:rFonts w:ascii="Arial" w:hAnsi="Arial" w:cs="Arial"/>
        </w:rPr>
      </w:pPr>
      <w:r>
        <w:rPr>
          <w:rFonts w:ascii="Arial" w:hAnsi="Arial" w:cs="Arial"/>
        </w:rPr>
        <w:t>Tutor: Christopher Rogers</w:t>
      </w:r>
    </w:p>
    <w:p w14:paraId="0356D475" w14:textId="77777777" w:rsidR="00172C64" w:rsidRDefault="00172C64" w:rsidP="00172C64">
      <w:pPr>
        <w:spacing w:line="360" w:lineRule="auto"/>
        <w:jc w:val="center"/>
        <w:rPr>
          <w:rFonts w:ascii="Arial" w:hAnsi="Arial" w:cs="Arial"/>
        </w:rPr>
      </w:pPr>
      <w:r>
        <w:rPr>
          <w:rFonts w:ascii="Arial" w:hAnsi="Arial" w:cs="Arial"/>
        </w:rPr>
        <w:t>Module: Effective Team-working and Communication</w:t>
      </w:r>
    </w:p>
    <w:p w14:paraId="35214A19" w14:textId="77777777" w:rsidR="00172C64" w:rsidRDefault="00172C64" w:rsidP="00172C64">
      <w:pPr>
        <w:spacing w:line="360" w:lineRule="auto"/>
        <w:jc w:val="center"/>
        <w:rPr>
          <w:rFonts w:ascii="Arial" w:hAnsi="Arial" w:cs="Arial"/>
        </w:rPr>
      </w:pPr>
      <w:r>
        <w:rPr>
          <w:rFonts w:ascii="Arial" w:hAnsi="Arial" w:cs="Arial"/>
        </w:rPr>
        <w:t>Module Code: BMSW4009</w:t>
      </w:r>
    </w:p>
    <w:p w14:paraId="59246065" w14:textId="22B6C6A1" w:rsidR="00172C64" w:rsidRDefault="00172C64" w:rsidP="00172C64">
      <w:pPr>
        <w:spacing w:line="360" w:lineRule="auto"/>
        <w:jc w:val="center"/>
        <w:rPr>
          <w:rFonts w:ascii="Arial" w:hAnsi="Arial" w:cs="Arial"/>
        </w:rPr>
      </w:pPr>
      <w:r>
        <w:rPr>
          <w:rFonts w:ascii="Arial" w:hAnsi="Arial" w:cs="Arial"/>
        </w:rPr>
        <w:t xml:space="preserve">Submission Date: </w:t>
      </w:r>
      <w:r>
        <w:rPr>
          <w:rFonts w:ascii="Arial" w:hAnsi="Arial" w:cs="Arial"/>
        </w:rPr>
        <w:t>02/12/2024</w:t>
      </w:r>
    </w:p>
    <w:p w14:paraId="03F38F2A" w14:textId="00858E22" w:rsidR="0072399A" w:rsidRPr="00172C64" w:rsidRDefault="0072399A" w:rsidP="00172C64">
      <w:pPr>
        <w:spacing w:line="360" w:lineRule="auto"/>
        <w:jc w:val="center"/>
        <w:rPr>
          <w:rFonts w:ascii="Arial" w:hAnsi="Arial" w:cs="Arial"/>
        </w:rPr>
      </w:pPr>
    </w:p>
    <w:p w14:paraId="7E158C03" w14:textId="0B994AAF" w:rsidR="0072399A" w:rsidRPr="0072399A" w:rsidRDefault="0072399A" w:rsidP="00172C64">
      <w:pPr>
        <w:spacing w:line="360" w:lineRule="auto"/>
        <w:rPr>
          <w:rFonts w:ascii="Arial" w:hAnsi="Arial" w:cs="Arial"/>
        </w:rPr>
      </w:pPr>
      <w:r w:rsidRPr="00172C64">
        <w:rPr>
          <w:rFonts w:ascii="Arial" w:hAnsi="Arial" w:cs="Arial"/>
        </w:rPr>
        <w:br w:type="page"/>
      </w:r>
    </w:p>
    <w:p w14:paraId="03F45B72" w14:textId="02B187B7" w:rsidR="00172C64" w:rsidRPr="00172C64" w:rsidRDefault="00172C64" w:rsidP="00172C64">
      <w:pPr>
        <w:spacing w:line="360" w:lineRule="auto"/>
        <w:rPr>
          <w:rFonts w:ascii="Arial" w:hAnsi="Arial" w:cs="Arial"/>
        </w:rPr>
      </w:pPr>
      <w:r w:rsidRPr="00172C64">
        <w:rPr>
          <w:rStyle w:val="Heading1Char"/>
          <w:rFonts w:ascii="Arial" w:hAnsi="Arial" w:cs="Arial"/>
          <w:sz w:val="24"/>
          <w:szCs w:val="24"/>
        </w:rPr>
        <w:lastRenderedPageBreak/>
        <w:t>Introduction</w:t>
      </w:r>
      <w:r w:rsidRPr="00172C64">
        <w:rPr>
          <w:rFonts w:ascii="Arial" w:hAnsi="Arial" w:cs="Arial"/>
        </w:rPr>
        <w:br/>
        <w:t>Collaboration is something we talk about a lot, but it’s not always easy in practice. From my experience, good teamwork relies on trust, respect, and honest communication. Constructing Excellence (2004) describes these as the foundation of effective collaboration. When people work together toward shared goals and take responsibility for their tasks, the whole team benefits.</w:t>
      </w:r>
    </w:p>
    <w:p w14:paraId="5064D6B1" w14:textId="2C749E20" w:rsidR="00172C64" w:rsidRDefault="00172C64" w:rsidP="00172C64">
      <w:pPr>
        <w:spacing w:line="360" w:lineRule="auto"/>
        <w:rPr>
          <w:rFonts w:ascii="Arial" w:hAnsi="Arial" w:cs="Arial"/>
        </w:rPr>
      </w:pPr>
      <w:r w:rsidRPr="00172C64">
        <w:rPr>
          <w:rFonts w:ascii="Arial" w:hAnsi="Arial" w:cs="Arial"/>
        </w:rPr>
        <w:t>In my role as a Health Care Assistant (HCA), I’ve seen how strong leadership helps teams stay focused on common goals, especially in stressful situations. But teamwork isn’t always straightforward. As my tutor once said, 'We are all weird,' and I completely agree. People bring different backgrounds, experiences, and perspectives to a team, which can create challenges but also adds value. What I’ve learned is that recognising and embracing these differences is key to successful collaboration. In fact, as Katzenbach and Smith (1993) explain, diversity strengthens trust and collaboration when it’s managed well.</w:t>
      </w:r>
    </w:p>
    <w:p w14:paraId="6E885501" w14:textId="77777777" w:rsidR="003466B7" w:rsidRPr="00172C64" w:rsidRDefault="003466B7" w:rsidP="00172C64">
      <w:pPr>
        <w:spacing w:line="360" w:lineRule="auto"/>
        <w:rPr>
          <w:rFonts w:ascii="Arial" w:hAnsi="Arial" w:cs="Arial"/>
        </w:rPr>
      </w:pPr>
    </w:p>
    <w:p w14:paraId="478D1992" w14:textId="7FD753A9" w:rsidR="00172C64" w:rsidRPr="00172C64" w:rsidRDefault="00172C64" w:rsidP="00172C64">
      <w:pPr>
        <w:spacing w:line="360" w:lineRule="auto"/>
        <w:rPr>
          <w:rFonts w:ascii="Arial" w:hAnsi="Arial" w:cs="Arial"/>
        </w:rPr>
      </w:pPr>
      <w:r w:rsidRPr="00172C64">
        <w:rPr>
          <w:rStyle w:val="Heading1Char"/>
          <w:rFonts w:ascii="Arial" w:hAnsi="Arial" w:cs="Arial"/>
          <w:sz w:val="24"/>
          <w:szCs w:val="24"/>
        </w:rPr>
        <w:t>Key Principles</w:t>
      </w:r>
      <w:r w:rsidRPr="00172C64">
        <w:rPr>
          <w:rFonts w:ascii="Arial" w:hAnsi="Arial" w:cs="Arial"/>
        </w:rPr>
        <w:br/>
        <w:t>First, let’s talk about trust. Without trust, teams can’t work effectively because people won’t feel comfortable sharing ideas or taking initiative. Building trust takes time—it happens through consistency and showing respect for each other’s contributions. I’ve seen this in group projects where being honest and following through on commitments made all the difference.</w:t>
      </w:r>
    </w:p>
    <w:p w14:paraId="0B1AC4A4" w14:textId="77777777" w:rsidR="00172C64" w:rsidRPr="00172C64" w:rsidRDefault="00172C64" w:rsidP="00172C64">
      <w:pPr>
        <w:spacing w:line="360" w:lineRule="auto"/>
        <w:rPr>
          <w:rFonts w:ascii="Arial" w:hAnsi="Arial" w:cs="Arial"/>
        </w:rPr>
      </w:pPr>
      <w:r w:rsidRPr="00172C64">
        <w:rPr>
          <w:rFonts w:ascii="Arial" w:hAnsi="Arial" w:cs="Arial"/>
        </w:rPr>
        <w:t>Next, communication is another critical part of collaboration. Salas et al. (2018) explain how clear and open communication helps teams align their goals and avoid misunderstandings. For example, setting clear deadlines and expectations right at the start makes everything run more smoothly. I’ve learned that even simple practices, like actively listening to others, can go a long way in building understanding within a team.</w:t>
      </w:r>
    </w:p>
    <w:p w14:paraId="1CF68FD0" w14:textId="32777948" w:rsidR="00172C64" w:rsidRPr="00172C64" w:rsidRDefault="00172C64" w:rsidP="00172C64">
      <w:pPr>
        <w:spacing w:line="360" w:lineRule="auto"/>
        <w:rPr>
          <w:rFonts w:ascii="Arial" w:hAnsi="Arial" w:cs="Arial"/>
        </w:rPr>
      </w:pPr>
      <w:r w:rsidRPr="00172C64">
        <w:rPr>
          <w:rFonts w:ascii="Arial" w:hAnsi="Arial" w:cs="Arial"/>
        </w:rPr>
        <w:t>Diversity is also important because it brings fresh ideas and perspectives. McKinsey (2018) talks about how teams that embrace diversity are more innovative. From my own experience, working with people from different backgrounds has helped me see problems in new ways. But for diversity to work, it’s important to create an inclusive environment where everyone feels valued.</w:t>
      </w:r>
    </w:p>
    <w:p w14:paraId="39F7D5EF" w14:textId="6FB01AC5" w:rsidR="00172C64" w:rsidRPr="00172C64" w:rsidRDefault="00172C64" w:rsidP="00172C64">
      <w:pPr>
        <w:spacing w:line="360" w:lineRule="auto"/>
        <w:rPr>
          <w:rFonts w:ascii="Arial" w:hAnsi="Arial" w:cs="Arial"/>
        </w:rPr>
      </w:pPr>
      <w:r w:rsidRPr="00172C64">
        <w:rPr>
          <w:rStyle w:val="Heading1Char"/>
          <w:rFonts w:ascii="Arial" w:hAnsi="Arial" w:cs="Arial"/>
          <w:sz w:val="24"/>
          <w:szCs w:val="24"/>
        </w:rPr>
        <w:lastRenderedPageBreak/>
        <w:t>Building Sustainable Relationships</w:t>
      </w:r>
      <w:r w:rsidRPr="00172C64">
        <w:rPr>
          <w:rFonts w:ascii="Arial" w:hAnsi="Arial" w:cs="Arial"/>
        </w:rPr>
        <w:br/>
        <w:t>Good relationships in the workplace don’t just happen—they take effort. I’ve found that adaptability is especially important, particularly when things don’t go as planned. Mathieu et al. (2019) point out that high-performing teams are flexible and able to adjust to new challenges. For example, balancing work, university, and personal commitments during a team project taught me the importance of being patient with others.</w:t>
      </w:r>
    </w:p>
    <w:p w14:paraId="73D71494" w14:textId="03A125BA" w:rsidR="00172C64" w:rsidRDefault="00172C64" w:rsidP="00172C64">
      <w:pPr>
        <w:spacing w:line="360" w:lineRule="auto"/>
        <w:rPr>
          <w:rFonts w:ascii="Arial" w:hAnsi="Arial" w:cs="Arial"/>
        </w:rPr>
      </w:pPr>
      <w:r w:rsidRPr="00172C64">
        <w:rPr>
          <w:rFonts w:ascii="Arial" w:hAnsi="Arial" w:cs="Arial"/>
        </w:rPr>
        <w:t xml:space="preserve">Celebrating successes is another way to strengthen relationships. According to The Guardian (2017), even small gestures, like recognising someone’s hard work, can boost morale and motivation. In my team, we </w:t>
      </w:r>
      <w:r w:rsidRPr="00172C64">
        <w:rPr>
          <w:rFonts w:ascii="Arial" w:hAnsi="Arial" w:cs="Arial"/>
        </w:rPr>
        <w:t>tried</w:t>
      </w:r>
      <w:r w:rsidRPr="00172C64">
        <w:rPr>
          <w:rFonts w:ascii="Arial" w:hAnsi="Arial" w:cs="Arial"/>
        </w:rPr>
        <w:t xml:space="preserve"> to acknowledge everyone’s contributions, which helped build a more positive and supportive atmosphere. Regular team-building activities or check-ins can also help build those connections that last beyond a single project.</w:t>
      </w:r>
    </w:p>
    <w:p w14:paraId="05EEBA8D" w14:textId="77777777" w:rsidR="003466B7" w:rsidRPr="00172C64" w:rsidRDefault="003466B7" w:rsidP="00172C64">
      <w:pPr>
        <w:spacing w:line="360" w:lineRule="auto"/>
        <w:rPr>
          <w:rFonts w:ascii="Arial" w:hAnsi="Arial" w:cs="Arial"/>
        </w:rPr>
      </w:pPr>
    </w:p>
    <w:p w14:paraId="1D3D5B0B" w14:textId="1AA9D76E" w:rsidR="00172C64" w:rsidRPr="00172C64" w:rsidRDefault="00172C64" w:rsidP="00172C64">
      <w:pPr>
        <w:spacing w:line="360" w:lineRule="auto"/>
        <w:rPr>
          <w:rFonts w:ascii="Arial" w:eastAsiaTheme="majorEastAsia" w:hAnsi="Arial" w:cs="Arial"/>
          <w:color w:val="0F4761" w:themeColor="accent1" w:themeShade="BF"/>
        </w:rPr>
      </w:pPr>
      <w:r w:rsidRPr="00172C64">
        <w:rPr>
          <w:rStyle w:val="Heading1Char"/>
          <w:rFonts w:ascii="Arial" w:hAnsi="Arial" w:cs="Arial"/>
          <w:sz w:val="24"/>
          <w:szCs w:val="24"/>
        </w:rPr>
        <w:t>Practical Strategies</w:t>
      </w:r>
      <w:r w:rsidRPr="00172C64">
        <w:rPr>
          <w:rFonts w:ascii="Arial" w:hAnsi="Arial" w:cs="Arial"/>
        </w:rPr>
        <w:br/>
        <w:t>So, how can we put these principles into practice? One useful framework is Tuckman’s (1965) stages of group development. This model explains how teams move through different phases, starting with forming and then storming, where conflicts can arise. I’ve seen this firsthand when team members disagreed on how to approach a task. But by focusing on shared goals and listening to each other, we eventually reached the norming phase, where collaboration improved. Understanding these stages helped me see that conflicts aren’t necessarily bad—they’re part of building stronger relationships.</w:t>
      </w:r>
    </w:p>
    <w:p w14:paraId="55DA706A" w14:textId="29E7AED3" w:rsidR="00172C64" w:rsidRPr="00172C64" w:rsidRDefault="00172C64" w:rsidP="00172C64">
      <w:pPr>
        <w:spacing w:line="360" w:lineRule="auto"/>
        <w:rPr>
          <w:rFonts w:ascii="Arial" w:hAnsi="Arial" w:cs="Arial"/>
        </w:rPr>
      </w:pPr>
      <w:r w:rsidRPr="00172C64">
        <w:rPr>
          <w:rFonts w:ascii="Arial" w:hAnsi="Arial" w:cs="Arial"/>
        </w:rPr>
        <w:t>Another practical tool is Belbin’s Team Roles (n.d.). Everyone brings different strengths to a team, and understanding those roles can help us work together better. For example, in a group presentation, I took on the 'Team</w:t>
      </w:r>
      <w:r>
        <w:rPr>
          <w:rFonts w:ascii="Arial" w:hAnsi="Arial" w:cs="Arial"/>
        </w:rPr>
        <w:t xml:space="preserve"> </w:t>
      </w:r>
      <w:r w:rsidRPr="00172C64">
        <w:rPr>
          <w:rFonts w:ascii="Arial" w:hAnsi="Arial" w:cs="Arial"/>
        </w:rPr>
        <w:t>worker' role, mediating between team members, and the 'Resource Investigator' role by bringing in research to support our project. Playing to our strengths made the process smoother and more efficient.</w:t>
      </w:r>
    </w:p>
    <w:p w14:paraId="38176DEC" w14:textId="3A344E00" w:rsidR="00172C64" w:rsidRDefault="00172C64" w:rsidP="00172C64">
      <w:pPr>
        <w:spacing w:line="360" w:lineRule="auto"/>
        <w:rPr>
          <w:rFonts w:ascii="Arial" w:hAnsi="Arial" w:cs="Arial"/>
        </w:rPr>
      </w:pPr>
      <w:r w:rsidRPr="00172C64">
        <w:rPr>
          <w:rFonts w:ascii="Arial" w:hAnsi="Arial" w:cs="Arial"/>
        </w:rPr>
        <w:t xml:space="preserve">Finally, conflict resolution is a skill we all need in teamwork. Disagreements are bound to </w:t>
      </w:r>
      <w:r w:rsidRPr="00172C64">
        <w:rPr>
          <w:rFonts w:ascii="Arial" w:hAnsi="Arial" w:cs="Arial"/>
        </w:rPr>
        <w:t>happen but</w:t>
      </w:r>
      <w:r>
        <w:rPr>
          <w:rFonts w:ascii="Arial" w:hAnsi="Arial" w:cs="Arial"/>
        </w:rPr>
        <w:t>,</w:t>
      </w:r>
      <w:r w:rsidRPr="00172C64">
        <w:rPr>
          <w:rFonts w:ascii="Arial" w:hAnsi="Arial" w:cs="Arial"/>
        </w:rPr>
        <w:t xml:space="preserve"> addressing them constructively can strengthen relationships. In one project, I helped mediate between two team members with opposing views. </w:t>
      </w:r>
      <w:r w:rsidRPr="00172C64">
        <w:rPr>
          <w:rFonts w:ascii="Arial" w:hAnsi="Arial" w:cs="Arial"/>
        </w:rPr>
        <w:lastRenderedPageBreak/>
        <w:t>By focusing on the goal and finding a compromise, we were able to move forward. This approach aligns with what Katzenbach and Smith (1993) describe about the importance of collaboration during challenges.</w:t>
      </w:r>
    </w:p>
    <w:p w14:paraId="39751446" w14:textId="77777777" w:rsidR="003466B7" w:rsidRPr="00172C64" w:rsidRDefault="003466B7" w:rsidP="00172C64">
      <w:pPr>
        <w:spacing w:line="360" w:lineRule="auto"/>
        <w:rPr>
          <w:rFonts w:ascii="Arial" w:hAnsi="Arial" w:cs="Arial"/>
        </w:rPr>
      </w:pPr>
    </w:p>
    <w:p w14:paraId="75E0C149" w14:textId="6C0DB07B" w:rsidR="00172C64" w:rsidRPr="00172C64" w:rsidRDefault="00172C64" w:rsidP="00172C64">
      <w:pPr>
        <w:spacing w:line="360" w:lineRule="auto"/>
        <w:rPr>
          <w:rFonts w:ascii="Arial" w:hAnsi="Arial" w:cs="Arial"/>
        </w:rPr>
      </w:pPr>
      <w:r w:rsidRPr="00172C64">
        <w:rPr>
          <w:rStyle w:val="Heading1Char"/>
          <w:rFonts w:ascii="Arial" w:hAnsi="Arial" w:cs="Arial"/>
          <w:sz w:val="24"/>
          <w:szCs w:val="24"/>
        </w:rPr>
        <w:t>The Role of Leadership</w:t>
      </w:r>
      <w:r w:rsidRPr="00172C64">
        <w:rPr>
          <w:rFonts w:ascii="Arial" w:hAnsi="Arial" w:cs="Arial"/>
        </w:rPr>
        <w:br/>
        <w:t>Leadership plays a big role in collaboration. Leaders aren’t just there to give orders—they should facilitate teamwork and help everyone work toward the same goal. Katzenbach and Smith (1993) explain that good leaders delegate tasks based on strengths, resolve conflicts, and create a culture of trust.</w:t>
      </w:r>
    </w:p>
    <w:p w14:paraId="4A640375" w14:textId="518F1517" w:rsidR="00172C64" w:rsidRDefault="00172C64" w:rsidP="00172C64">
      <w:pPr>
        <w:spacing w:line="360" w:lineRule="auto"/>
        <w:rPr>
          <w:rFonts w:ascii="Arial" w:hAnsi="Arial" w:cs="Arial"/>
        </w:rPr>
      </w:pPr>
      <w:r w:rsidRPr="00172C64">
        <w:rPr>
          <w:rFonts w:ascii="Arial" w:hAnsi="Arial" w:cs="Arial"/>
        </w:rPr>
        <w:t>In one of my group projects, I stepped into a leadership role by coordinating tasks and encouraging open communication. For example, I made sure everyone understood their responsibilities and checked in regularly to keep things on track. Recognising and rewarding collaboration is another way leaders can keep teams motivated and focused.</w:t>
      </w:r>
    </w:p>
    <w:p w14:paraId="30D017F8" w14:textId="77777777" w:rsidR="003466B7" w:rsidRPr="00172C64" w:rsidRDefault="003466B7" w:rsidP="00172C64">
      <w:pPr>
        <w:spacing w:line="360" w:lineRule="auto"/>
        <w:rPr>
          <w:rFonts w:ascii="Arial" w:hAnsi="Arial" w:cs="Arial"/>
        </w:rPr>
      </w:pPr>
    </w:p>
    <w:p w14:paraId="79E575BE" w14:textId="1691A257" w:rsidR="00172C64" w:rsidRPr="00172C64" w:rsidRDefault="00172C64" w:rsidP="00172C64">
      <w:pPr>
        <w:spacing w:line="360" w:lineRule="auto"/>
        <w:rPr>
          <w:rFonts w:ascii="Arial" w:hAnsi="Arial" w:cs="Arial"/>
        </w:rPr>
      </w:pPr>
      <w:r w:rsidRPr="00172C64">
        <w:rPr>
          <w:rStyle w:val="Heading1Char"/>
          <w:rFonts w:ascii="Arial" w:hAnsi="Arial" w:cs="Arial"/>
          <w:sz w:val="24"/>
          <w:szCs w:val="24"/>
        </w:rPr>
        <w:t>Conclusion</w:t>
      </w:r>
      <w:r w:rsidRPr="00172C64">
        <w:rPr>
          <w:rFonts w:ascii="Arial" w:hAnsi="Arial" w:cs="Arial"/>
        </w:rPr>
        <w:br/>
        <w:t>In conclusion, collaboration in the workplace and forming sustainable relationships rely on trust, communication, and adaptability. Using frameworks like Tuckman’s stages and Belbin’s roles can help us understand team dynamics and work better together. Leadership also plays a crucial role in creating a positive, inclusive culture that supports collaboration.</w:t>
      </w:r>
    </w:p>
    <w:p w14:paraId="72E2FCD8" w14:textId="58EECE1A" w:rsidR="00172C64" w:rsidRPr="00172C64" w:rsidRDefault="00172C64" w:rsidP="00172C64">
      <w:pPr>
        <w:spacing w:line="360" w:lineRule="auto"/>
        <w:rPr>
          <w:rFonts w:ascii="Arial" w:hAnsi="Arial" w:cs="Arial"/>
        </w:rPr>
      </w:pPr>
      <w:r w:rsidRPr="00172C64">
        <w:rPr>
          <w:rFonts w:ascii="Arial" w:hAnsi="Arial" w:cs="Arial"/>
        </w:rPr>
        <w:t>What I’ve learned through my experiences is that good teamwork isn’t about perfection—it’s about building relationships where everyone feels valued and supported. By applying these principles, we can create stronger, more effective teams that succeed in any environment.</w:t>
      </w:r>
    </w:p>
    <w:p w14:paraId="39E32E31" w14:textId="726C451D" w:rsidR="00172C64" w:rsidRDefault="00172C64" w:rsidP="00172C64">
      <w:pPr>
        <w:spacing w:line="360" w:lineRule="auto"/>
        <w:rPr>
          <w:rFonts w:ascii="Arial" w:hAnsi="Arial" w:cs="Arial"/>
        </w:rPr>
      </w:pPr>
    </w:p>
    <w:p w14:paraId="1EAD8513" w14:textId="77777777" w:rsidR="00172C64" w:rsidRDefault="00172C64" w:rsidP="00172C64">
      <w:pPr>
        <w:rPr>
          <w:rFonts w:ascii="Arial" w:hAnsi="Arial" w:cs="Arial"/>
        </w:rPr>
      </w:pPr>
    </w:p>
    <w:p w14:paraId="2CA110C5" w14:textId="77777777" w:rsidR="00172C64" w:rsidRDefault="00172C64" w:rsidP="00172C64">
      <w:pPr>
        <w:rPr>
          <w:rFonts w:ascii="Arial" w:hAnsi="Arial" w:cs="Arial"/>
        </w:rPr>
      </w:pPr>
    </w:p>
    <w:p w14:paraId="2764CB82" w14:textId="77777777" w:rsidR="00172C64" w:rsidRDefault="00172C64" w:rsidP="00172C64">
      <w:pPr>
        <w:rPr>
          <w:rFonts w:ascii="Arial" w:hAnsi="Arial" w:cs="Arial"/>
        </w:rPr>
      </w:pPr>
    </w:p>
    <w:p w14:paraId="5F3599E1" w14:textId="77777777" w:rsidR="003466B7" w:rsidRDefault="003466B7" w:rsidP="00172C64">
      <w:pPr>
        <w:rPr>
          <w:rFonts w:ascii="Arial" w:hAnsi="Arial" w:cs="Arial"/>
        </w:rPr>
      </w:pPr>
    </w:p>
    <w:p w14:paraId="4545604D" w14:textId="07FAFF01" w:rsidR="00172C64" w:rsidRPr="00172C64" w:rsidRDefault="00172C64" w:rsidP="00172C64">
      <w:pPr>
        <w:pStyle w:val="Heading1"/>
        <w:rPr>
          <w:rFonts w:ascii="Arial" w:hAnsi="Arial" w:cs="Arial"/>
          <w:sz w:val="24"/>
          <w:szCs w:val="24"/>
        </w:rPr>
      </w:pPr>
      <w:r w:rsidRPr="00172C64">
        <w:rPr>
          <w:rFonts w:ascii="Arial" w:hAnsi="Arial" w:cs="Arial"/>
          <w:sz w:val="24"/>
          <w:szCs w:val="24"/>
        </w:rPr>
        <w:lastRenderedPageBreak/>
        <w:t>References:</w:t>
      </w:r>
    </w:p>
    <w:p w14:paraId="118C3940" w14:textId="77777777" w:rsidR="00172C64" w:rsidRPr="00AB1CAB" w:rsidRDefault="00172C64" w:rsidP="00172C64">
      <w:pPr>
        <w:spacing w:line="360" w:lineRule="auto"/>
        <w:ind w:left="360"/>
        <w:rPr>
          <w:rFonts w:ascii="Arial" w:hAnsi="Arial" w:cs="Arial"/>
        </w:rPr>
      </w:pPr>
      <w:r w:rsidRPr="00AB1CAB">
        <w:rPr>
          <w:rFonts w:ascii="Arial" w:hAnsi="Arial" w:cs="Arial"/>
        </w:rPr>
        <w:t>Constructing Excellence (2004) </w:t>
      </w:r>
      <w:r w:rsidRPr="00AB1CAB">
        <w:rPr>
          <w:rFonts w:ascii="Arial" w:hAnsi="Arial" w:cs="Arial"/>
          <w:i/>
          <w:iCs/>
        </w:rPr>
        <w:t>Teamwork guide</w:t>
      </w:r>
      <w:r w:rsidRPr="00AB1CAB">
        <w:rPr>
          <w:rFonts w:ascii="Arial" w:hAnsi="Arial" w:cs="Arial"/>
        </w:rPr>
        <w:t>. Available at: </w:t>
      </w:r>
      <w:hyperlink r:id="rId6" w:tgtFrame="_new" w:history="1">
        <w:r w:rsidRPr="00AB1CAB">
          <w:rPr>
            <w:rStyle w:val="Hyperlink"/>
            <w:rFonts w:ascii="Arial" w:hAnsi="Arial" w:cs="Arial"/>
          </w:rPr>
          <w:t>https://constructingexcellence.org.uk/wp-content/uploads/2015/03/Teamwork_Guide.pdf</w:t>
        </w:r>
      </w:hyperlink>
      <w:r w:rsidRPr="00AB1CAB">
        <w:rPr>
          <w:rFonts w:ascii="Arial" w:hAnsi="Arial" w:cs="Arial"/>
        </w:rPr>
        <w:t> (Accessed: 21 November 2024).</w:t>
      </w:r>
    </w:p>
    <w:p w14:paraId="4B7D0678" w14:textId="77777777" w:rsidR="00172C64" w:rsidRPr="00AB1CAB" w:rsidRDefault="00172C64" w:rsidP="00172C64">
      <w:pPr>
        <w:spacing w:line="360" w:lineRule="auto"/>
        <w:ind w:left="360"/>
        <w:rPr>
          <w:rFonts w:ascii="Arial" w:hAnsi="Arial" w:cs="Arial"/>
        </w:rPr>
      </w:pPr>
      <w:r w:rsidRPr="00AB1CAB">
        <w:rPr>
          <w:rFonts w:ascii="Arial" w:hAnsi="Arial" w:cs="Arial"/>
        </w:rPr>
        <w:t>Katzenbach, J.R. and Smith, D.K</w:t>
      </w:r>
      <w:r w:rsidRPr="00AB1CAB">
        <w:rPr>
          <w:rFonts w:ascii="Arial" w:hAnsi="Arial" w:cs="Arial"/>
          <w:b/>
          <w:bCs/>
        </w:rPr>
        <w:t>.</w:t>
      </w:r>
      <w:r w:rsidRPr="00AB1CAB">
        <w:rPr>
          <w:rFonts w:ascii="Arial" w:hAnsi="Arial" w:cs="Arial"/>
        </w:rPr>
        <w:t> (1993) 'The discipline of teams', </w:t>
      </w:r>
      <w:r w:rsidRPr="00AB1CAB">
        <w:rPr>
          <w:rFonts w:ascii="Arial" w:hAnsi="Arial" w:cs="Arial"/>
          <w:i/>
          <w:iCs/>
        </w:rPr>
        <w:t>Harvard Business Review</w:t>
      </w:r>
      <w:r w:rsidRPr="00AB1CAB">
        <w:rPr>
          <w:rFonts w:ascii="Arial" w:hAnsi="Arial" w:cs="Arial"/>
        </w:rPr>
        <w:t>. Available at: </w:t>
      </w:r>
      <w:hyperlink r:id="rId7" w:tgtFrame="_new" w:history="1">
        <w:r w:rsidRPr="00AB1CAB">
          <w:rPr>
            <w:rStyle w:val="Hyperlink"/>
            <w:rFonts w:ascii="Arial" w:hAnsi="Arial" w:cs="Arial"/>
          </w:rPr>
          <w:t>https://hbr.org/1993/03/the-discipline-of-teams-2</w:t>
        </w:r>
      </w:hyperlink>
      <w:r w:rsidRPr="00AB1CAB">
        <w:rPr>
          <w:rFonts w:ascii="Arial" w:hAnsi="Arial" w:cs="Arial"/>
        </w:rPr>
        <w:t> (Accessed: 2</w:t>
      </w:r>
      <w:r>
        <w:rPr>
          <w:rFonts w:ascii="Arial" w:hAnsi="Arial" w:cs="Arial"/>
        </w:rPr>
        <w:t>8</w:t>
      </w:r>
      <w:r w:rsidRPr="00AB1CAB">
        <w:rPr>
          <w:rFonts w:ascii="Arial" w:hAnsi="Arial" w:cs="Arial"/>
        </w:rPr>
        <w:t xml:space="preserve"> November 2024).</w:t>
      </w:r>
    </w:p>
    <w:p w14:paraId="166E089B" w14:textId="77777777" w:rsidR="00172C64" w:rsidRPr="00AB1CAB" w:rsidRDefault="00172C64" w:rsidP="00172C64">
      <w:pPr>
        <w:spacing w:line="360" w:lineRule="auto"/>
        <w:ind w:left="360"/>
        <w:rPr>
          <w:rFonts w:ascii="Arial" w:hAnsi="Arial" w:cs="Arial"/>
        </w:rPr>
      </w:pPr>
      <w:r w:rsidRPr="00AB1CAB">
        <w:rPr>
          <w:rFonts w:ascii="Arial" w:hAnsi="Arial" w:cs="Arial"/>
        </w:rPr>
        <w:t>McKinsey (2018) 'How to make your team rock', </w:t>
      </w:r>
      <w:r w:rsidRPr="00AB1CAB">
        <w:rPr>
          <w:rFonts w:ascii="Arial" w:hAnsi="Arial" w:cs="Arial"/>
          <w:i/>
          <w:iCs/>
        </w:rPr>
        <w:t>The Organization Blog</w:t>
      </w:r>
      <w:r w:rsidRPr="00AB1CAB">
        <w:rPr>
          <w:rFonts w:ascii="Arial" w:hAnsi="Arial" w:cs="Arial"/>
        </w:rPr>
        <w:t>. Available at: </w:t>
      </w:r>
      <w:hyperlink r:id="rId8" w:tgtFrame="_new" w:history="1">
        <w:r w:rsidRPr="00AB1CAB">
          <w:rPr>
            <w:rStyle w:val="Hyperlink"/>
            <w:rFonts w:ascii="Arial" w:hAnsi="Arial" w:cs="Arial"/>
          </w:rPr>
          <w:t>https://www.mckinsey.com/capabilities/people-and-organizational-performance/our-insights/the-organization-blog/how-to-make-your-team-rock</w:t>
        </w:r>
      </w:hyperlink>
      <w:r w:rsidRPr="00AB1CAB">
        <w:rPr>
          <w:rFonts w:ascii="Arial" w:hAnsi="Arial" w:cs="Arial"/>
        </w:rPr>
        <w:t> (Accessed: 21 November 2024).</w:t>
      </w:r>
    </w:p>
    <w:p w14:paraId="164CE213" w14:textId="77777777" w:rsidR="00172C64" w:rsidRPr="00AB1CAB" w:rsidRDefault="00172C64" w:rsidP="00172C64">
      <w:pPr>
        <w:spacing w:line="360" w:lineRule="auto"/>
        <w:ind w:left="360"/>
        <w:rPr>
          <w:rFonts w:ascii="Arial" w:hAnsi="Arial" w:cs="Arial"/>
        </w:rPr>
      </w:pPr>
      <w:r w:rsidRPr="00AB1CAB">
        <w:rPr>
          <w:rFonts w:ascii="Arial" w:hAnsi="Arial" w:cs="Arial"/>
        </w:rPr>
        <w:t>Salas, E., Reyes, D.L., and McDaniel, S.H. (2018) 'The science of teamwork: Progress, reflections, and the road ahead', </w:t>
      </w:r>
      <w:r w:rsidRPr="00AB1CAB">
        <w:rPr>
          <w:rFonts w:ascii="Arial" w:hAnsi="Arial" w:cs="Arial"/>
          <w:i/>
          <w:iCs/>
        </w:rPr>
        <w:t>American Psychologist</w:t>
      </w:r>
      <w:r w:rsidRPr="00AB1CAB">
        <w:rPr>
          <w:rFonts w:ascii="Arial" w:hAnsi="Arial" w:cs="Arial"/>
        </w:rPr>
        <w:t>, 73(4), pp. 593–600. Available at: </w:t>
      </w:r>
      <w:hyperlink r:id="rId9" w:tgtFrame="_new" w:history="1">
        <w:r w:rsidRPr="00AB1CAB">
          <w:rPr>
            <w:rStyle w:val="Hyperlink"/>
            <w:rFonts w:ascii="Arial" w:hAnsi="Arial" w:cs="Arial"/>
          </w:rPr>
          <w:t>https://doi.apa.org/doi/10.1037/amp0000334</w:t>
        </w:r>
      </w:hyperlink>
      <w:r w:rsidRPr="00AB1CAB">
        <w:rPr>
          <w:rFonts w:ascii="Arial" w:hAnsi="Arial" w:cs="Arial"/>
        </w:rPr>
        <w:t> (Accessed: 21 November 2024).</w:t>
      </w:r>
    </w:p>
    <w:p w14:paraId="1E89BC7C" w14:textId="77777777" w:rsidR="00172C64" w:rsidRPr="00AB1CAB" w:rsidRDefault="00172C64" w:rsidP="00172C64">
      <w:pPr>
        <w:spacing w:line="360" w:lineRule="auto"/>
        <w:ind w:left="360"/>
        <w:rPr>
          <w:rFonts w:ascii="Arial" w:hAnsi="Arial" w:cs="Arial"/>
        </w:rPr>
      </w:pPr>
      <w:r w:rsidRPr="00AB1CAB">
        <w:rPr>
          <w:rFonts w:ascii="Arial" w:hAnsi="Arial" w:cs="Arial"/>
        </w:rPr>
        <w:t>The Guardian (2017) 'Teamwork, social events, and company culture are vital to happiness at work', </w:t>
      </w:r>
      <w:r w:rsidRPr="00AB1CAB">
        <w:rPr>
          <w:rFonts w:ascii="Arial" w:hAnsi="Arial" w:cs="Arial"/>
          <w:i/>
          <w:iCs/>
        </w:rPr>
        <w:t>The Guardian</w:t>
      </w:r>
      <w:r w:rsidRPr="00AB1CAB">
        <w:rPr>
          <w:rFonts w:ascii="Arial" w:hAnsi="Arial" w:cs="Arial"/>
        </w:rPr>
        <w:t>, 10 February. Available at: </w:t>
      </w:r>
      <w:hyperlink r:id="rId10" w:tgtFrame="_new" w:history="1">
        <w:r w:rsidRPr="00AB1CAB">
          <w:rPr>
            <w:rStyle w:val="Hyperlink"/>
            <w:rFonts w:ascii="Arial" w:hAnsi="Arial" w:cs="Arial"/>
          </w:rPr>
          <w:t>https://www.theguardian.com/careers/2017/feb/10/teamwork-social-events-and-company-culture-are-vital-to-happiness-at-work</w:t>
        </w:r>
      </w:hyperlink>
      <w:r w:rsidRPr="00AB1CAB">
        <w:rPr>
          <w:rFonts w:ascii="Arial" w:hAnsi="Arial" w:cs="Arial"/>
        </w:rPr>
        <w:t> (Accessed: 21 November 2024).</w:t>
      </w:r>
    </w:p>
    <w:p w14:paraId="2510A2C3" w14:textId="77777777" w:rsidR="00172C64" w:rsidRPr="00AB1CAB" w:rsidRDefault="00172C64" w:rsidP="00172C64">
      <w:pPr>
        <w:spacing w:line="360" w:lineRule="auto"/>
        <w:ind w:left="360"/>
        <w:rPr>
          <w:rFonts w:ascii="Arial" w:hAnsi="Arial" w:cs="Arial"/>
        </w:rPr>
      </w:pPr>
      <w:r w:rsidRPr="00AB1CAB">
        <w:rPr>
          <w:rFonts w:ascii="Arial" w:hAnsi="Arial" w:cs="Arial"/>
        </w:rPr>
        <w:t>Tuckman, B.W. (1965) 'Developmental sequence in small groups', </w:t>
      </w:r>
      <w:r w:rsidRPr="00AB1CAB">
        <w:rPr>
          <w:rFonts w:ascii="Arial" w:hAnsi="Arial" w:cs="Arial"/>
          <w:i/>
          <w:iCs/>
        </w:rPr>
        <w:t>Psychological Bulletin</w:t>
      </w:r>
      <w:r w:rsidRPr="00AB1CAB">
        <w:rPr>
          <w:rFonts w:ascii="Arial" w:hAnsi="Arial" w:cs="Arial"/>
        </w:rPr>
        <w:t>, 63(6), pp. 384–399. Available at: </w:t>
      </w:r>
      <w:hyperlink r:id="rId11" w:tgtFrame="_new" w:history="1">
        <w:r w:rsidRPr="00AB1CAB">
          <w:rPr>
            <w:rStyle w:val="Hyperlink"/>
            <w:rFonts w:ascii="Arial" w:hAnsi="Arial" w:cs="Arial"/>
          </w:rPr>
          <w:t>https://www.wcupa.edu/coral/tuckmanStagesGroupDelvelopment.aspx</w:t>
        </w:r>
      </w:hyperlink>
      <w:r w:rsidRPr="00AB1CAB">
        <w:rPr>
          <w:rFonts w:ascii="Arial" w:hAnsi="Arial" w:cs="Arial"/>
        </w:rPr>
        <w:t> (Accessed: 21 November 2024).</w:t>
      </w:r>
    </w:p>
    <w:p w14:paraId="0A40D1C9" w14:textId="77777777" w:rsidR="00172C64" w:rsidRPr="00AB1CAB" w:rsidRDefault="00172C64" w:rsidP="00172C64">
      <w:pPr>
        <w:spacing w:line="360" w:lineRule="auto"/>
        <w:ind w:left="360"/>
        <w:rPr>
          <w:rFonts w:ascii="Arial" w:hAnsi="Arial" w:cs="Arial"/>
        </w:rPr>
      </w:pPr>
      <w:r w:rsidRPr="00AB1CAB">
        <w:rPr>
          <w:rFonts w:ascii="Arial" w:hAnsi="Arial" w:cs="Arial"/>
        </w:rPr>
        <w:t>Mathieu, J.E., Gallagher, P.T., Domingo, M.A. and Klock, E.A. (2019) 'Embracing complexity: Reviewing the past decade of team effectiveness research', </w:t>
      </w:r>
      <w:r w:rsidRPr="00AB1CAB">
        <w:rPr>
          <w:rFonts w:ascii="Arial" w:hAnsi="Arial" w:cs="Arial"/>
          <w:i/>
          <w:iCs/>
        </w:rPr>
        <w:t>Annual Review of Organizational Psychology and Organizational Behaviour</w:t>
      </w:r>
      <w:r w:rsidRPr="00AB1CAB">
        <w:rPr>
          <w:rFonts w:ascii="Arial" w:hAnsi="Arial" w:cs="Arial"/>
        </w:rPr>
        <w:t>, 6, pp. 17–46. Available at: </w:t>
      </w:r>
      <w:hyperlink r:id="rId12" w:tgtFrame="_new" w:history="1">
        <w:r w:rsidRPr="00AB1CAB">
          <w:rPr>
            <w:rStyle w:val="Hyperlink"/>
            <w:rFonts w:ascii="Arial" w:hAnsi="Arial" w:cs="Arial"/>
          </w:rPr>
          <w:t>https://doi.org/10.1146/annurev-orgpsych-012218-015106</w:t>
        </w:r>
      </w:hyperlink>
      <w:r w:rsidRPr="00AB1CAB">
        <w:rPr>
          <w:rFonts w:ascii="Arial" w:hAnsi="Arial" w:cs="Arial"/>
        </w:rPr>
        <w:t> (Accessed: 2</w:t>
      </w:r>
      <w:r>
        <w:rPr>
          <w:rFonts w:ascii="Arial" w:hAnsi="Arial" w:cs="Arial"/>
        </w:rPr>
        <w:t>8</w:t>
      </w:r>
      <w:r w:rsidRPr="00AB1CAB">
        <w:rPr>
          <w:rFonts w:ascii="Arial" w:hAnsi="Arial" w:cs="Arial"/>
        </w:rPr>
        <w:t xml:space="preserve"> November 2024).</w:t>
      </w:r>
    </w:p>
    <w:p w14:paraId="73BCAF4F" w14:textId="77777777" w:rsidR="00172C64" w:rsidRPr="00AB1CAB" w:rsidRDefault="00172C64" w:rsidP="00172C64">
      <w:pPr>
        <w:spacing w:line="360" w:lineRule="auto"/>
        <w:ind w:left="360"/>
        <w:rPr>
          <w:rFonts w:ascii="Arial" w:hAnsi="Arial" w:cs="Arial"/>
        </w:rPr>
      </w:pPr>
      <w:r w:rsidRPr="00AB1CAB">
        <w:rPr>
          <w:rFonts w:ascii="Arial" w:hAnsi="Arial" w:cs="Arial"/>
        </w:rPr>
        <w:lastRenderedPageBreak/>
        <w:t>Belbin, R. (n.d.) </w:t>
      </w:r>
      <w:r w:rsidRPr="00AB1CAB">
        <w:rPr>
          <w:rFonts w:ascii="Arial" w:hAnsi="Arial" w:cs="Arial"/>
          <w:i/>
          <w:iCs/>
        </w:rPr>
        <w:t>Belbin Team Roles</w:t>
      </w:r>
      <w:r w:rsidRPr="00AB1CAB">
        <w:rPr>
          <w:rFonts w:ascii="Arial" w:hAnsi="Arial" w:cs="Arial"/>
        </w:rPr>
        <w:t>. Available at: </w:t>
      </w:r>
      <w:hyperlink r:id="rId13" w:tgtFrame="_new" w:history="1">
        <w:r w:rsidRPr="00AB1CAB">
          <w:rPr>
            <w:rStyle w:val="Hyperlink"/>
            <w:rFonts w:ascii="Arial" w:hAnsi="Arial" w:cs="Arial"/>
          </w:rPr>
          <w:t>https://www.belbin.com/about/belbin-team-roles</w:t>
        </w:r>
      </w:hyperlink>
      <w:r w:rsidRPr="00AB1CAB">
        <w:rPr>
          <w:rFonts w:ascii="Arial" w:hAnsi="Arial" w:cs="Arial"/>
        </w:rPr>
        <w:t> (Accessed: 21 November 2024).</w:t>
      </w:r>
    </w:p>
    <w:p w14:paraId="289E58BF" w14:textId="77777777" w:rsidR="00172C64" w:rsidRPr="00AB1CAB" w:rsidRDefault="00172C64" w:rsidP="00172C64"/>
    <w:p w14:paraId="5DBF525B" w14:textId="77777777" w:rsidR="00172C64" w:rsidRDefault="00172C64" w:rsidP="00172C64">
      <w:pPr>
        <w:spacing w:line="360" w:lineRule="auto"/>
        <w:rPr>
          <w:rFonts w:ascii="Arial" w:hAnsi="Arial" w:cs="Arial"/>
        </w:rPr>
      </w:pPr>
    </w:p>
    <w:p w14:paraId="0FC74507" w14:textId="77777777" w:rsidR="00172C64" w:rsidRPr="00FD6740" w:rsidRDefault="00172C64" w:rsidP="00172C64">
      <w:pPr>
        <w:spacing w:line="360" w:lineRule="auto"/>
        <w:rPr>
          <w:rFonts w:ascii="Arial" w:hAnsi="Arial" w:cs="Arial"/>
        </w:rPr>
      </w:pPr>
    </w:p>
    <w:p w14:paraId="05D25DFC" w14:textId="77777777" w:rsidR="0072399A" w:rsidRPr="00172C64" w:rsidRDefault="0072399A" w:rsidP="00172C64">
      <w:pPr>
        <w:spacing w:line="360" w:lineRule="auto"/>
        <w:rPr>
          <w:rFonts w:ascii="Arial" w:hAnsi="Arial" w:cs="Arial"/>
        </w:rPr>
      </w:pPr>
    </w:p>
    <w:sectPr w:rsidR="0072399A" w:rsidRPr="00172C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6360AE"/>
    <w:multiLevelType w:val="multilevel"/>
    <w:tmpl w:val="9530CF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A1159DC"/>
    <w:multiLevelType w:val="multilevel"/>
    <w:tmpl w:val="32228C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27651503">
    <w:abstractNumId w:val="0"/>
  </w:num>
  <w:num w:numId="2" w16cid:durableId="11638151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99A"/>
    <w:rsid w:val="00172C64"/>
    <w:rsid w:val="003466B7"/>
    <w:rsid w:val="0072399A"/>
    <w:rsid w:val="007E6B45"/>
    <w:rsid w:val="00835C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818A9"/>
  <w15:chartTrackingRefBased/>
  <w15:docId w15:val="{BD025D44-E404-4DD6-A37F-3BE338DC5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39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239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39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39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39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39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39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39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39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39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239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39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39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39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39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39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39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399A"/>
    <w:rPr>
      <w:rFonts w:eastAsiaTheme="majorEastAsia" w:cstheme="majorBidi"/>
      <w:color w:val="272727" w:themeColor="text1" w:themeTint="D8"/>
    </w:rPr>
  </w:style>
  <w:style w:type="paragraph" w:styleId="Title">
    <w:name w:val="Title"/>
    <w:basedOn w:val="Normal"/>
    <w:next w:val="Normal"/>
    <w:link w:val="TitleChar"/>
    <w:uiPriority w:val="10"/>
    <w:qFormat/>
    <w:rsid w:val="007239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39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39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39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399A"/>
    <w:pPr>
      <w:spacing w:before="160"/>
      <w:jc w:val="center"/>
    </w:pPr>
    <w:rPr>
      <w:i/>
      <w:iCs/>
      <w:color w:val="404040" w:themeColor="text1" w:themeTint="BF"/>
    </w:rPr>
  </w:style>
  <w:style w:type="character" w:customStyle="1" w:styleId="QuoteChar">
    <w:name w:val="Quote Char"/>
    <w:basedOn w:val="DefaultParagraphFont"/>
    <w:link w:val="Quote"/>
    <w:uiPriority w:val="29"/>
    <w:rsid w:val="0072399A"/>
    <w:rPr>
      <w:i/>
      <w:iCs/>
      <w:color w:val="404040" w:themeColor="text1" w:themeTint="BF"/>
    </w:rPr>
  </w:style>
  <w:style w:type="paragraph" w:styleId="ListParagraph">
    <w:name w:val="List Paragraph"/>
    <w:basedOn w:val="Normal"/>
    <w:uiPriority w:val="34"/>
    <w:qFormat/>
    <w:rsid w:val="0072399A"/>
    <w:pPr>
      <w:ind w:left="720"/>
      <w:contextualSpacing/>
    </w:pPr>
  </w:style>
  <w:style w:type="character" w:styleId="IntenseEmphasis">
    <w:name w:val="Intense Emphasis"/>
    <w:basedOn w:val="DefaultParagraphFont"/>
    <w:uiPriority w:val="21"/>
    <w:qFormat/>
    <w:rsid w:val="0072399A"/>
    <w:rPr>
      <w:i/>
      <w:iCs/>
      <w:color w:val="0F4761" w:themeColor="accent1" w:themeShade="BF"/>
    </w:rPr>
  </w:style>
  <w:style w:type="paragraph" w:styleId="IntenseQuote">
    <w:name w:val="Intense Quote"/>
    <w:basedOn w:val="Normal"/>
    <w:next w:val="Normal"/>
    <w:link w:val="IntenseQuoteChar"/>
    <w:uiPriority w:val="30"/>
    <w:qFormat/>
    <w:rsid w:val="007239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399A"/>
    <w:rPr>
      <w:i/>
      <w:iCs/>
      <w:color w:val="0F4761" w:themeColor="accent1" w:themeShade="BF"/>
    </w:rPr>
  </w:style>
  <w:style w:type="character" w:styleId="IntenseReference">
    <w:name w:val="Intense Reference"/>
    <w:basedOn w:val="DefaultParagraphFont"/>
    <w:uiPriority w:val="32"/>
    <w:qFormat/>
    <w:rsid w:val="0072399A"/>
    <w:rPr>
      <w:b/>
      <w:bCs/>
      <w:smallCaps/>
      <w:color w:val="0F4761" w:themeColor="accent1" w:themeShade="BF"/>
      <w:spacing w:val="5"/>
    </w:rPr>
  </w:style>
  <w:style w:type="character" w:styleId="Hyperlink">
    <w:name w:val="Hyperlink"/>
    <w:basedOn w:val="DefaultParagraphFont"/>
    <w:uiPriority w:val="99"/>
    <w:unhideWhenUsed/>
    <w:rsid w:val="00172C6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3053519">
      <w:bodyDiv w:val="1"/>
      <w:marLeft w:val="0"/>
      <w:marRight w:val="0"/>
      <w:marTop w:val="0"/>
      <w:marBottom w:val="0"/>
      <w:divBdr>
        <w:top w:val="none" w:sz="0" w:space="0" w:color="auto"/>
        <w:left w:val="none" w:sz="0" w:space="0" w:color="auto"/>
        <w:bottom w:val="none" w:sz="0" w:space="0" w:color="auto"/>
        <w:right w:val="none" w:sz="0" w:space="0" w:color="auto"/>
      </w:divBdr>
    </w:div>
    <w:div w:id="484785560">
      <w:bodyDiv w:val="1"/>
      <w:marLeft w:val="0"/>
      <w:marRight w:val="0"/>
      <w:marTop w:val="0"/>
      <w:marBottom w:val="0"/>
      <w:divBdr>
        <w:top w:val="none" w:sz="0" w:space="0" w:color="auto"/>
        <w:left w:val="none" w:sz="0" w:space="0" w:color="auto"/>
        <w:bottom w:val="none" w:sz="0" w:space="0" w:color="auto"/>
        <w:right w:val="none" w:sz="0" w:space="0" w:color="auto"/>
      </w:divBdr>
    </w:div>
    <w:div w:id="604117328">
      <w:bodyDiv w:val="1"/>
      <w:marLeft w:val="0"/>
      <w:marRight w:val="0"/>
      <w:marTop w:val="0"/>
      <w:marBottom w:val="0"/>
      <w:divBdr>
        <w:top w:val="none" w:sz="0" w:space="0" w:color="auto"/>
        <w:left w:val="none" w:sz="0" w:space="0" w:color="auto"/>
        <w:bottom w:val="none" w:sz="0" w:space="0" w:color="auto"/>
        <w:right w:val="none" w:sz="0" w:space="0" w:color="auto"/>
      </w:divBdr>
    </w:div>
    <w:div w:id="650713159">
      <w:bodyDiv w:val="1"/>
      <w:marLeft w:val="0"/>
      <w:marRight w:val="0"/>
      <w:marTop w:val="0"/>
      <w:marBottom w:val="0"/>
      <w:divBdr>
        <w:top w:val="none" w:sz="0" w:space="0" w:color="auto"/>
        <w:left w:val="none" w:sz="0" w:space="0" w:color="auto"/>
        <w:bottom w:val="none" w:sz="0" w:space="0" w:color="auto"/>
        <w:right w:val="none" w:sz="0" w:space="0" w:color="auto"/>
      </w:divBdr>
    </w:div>
    <w:div w:id="2036618485">
      <w:bodyDiv w:val="1"/>
      <w:marLeft w:val="0"/>
      <w:marRight w:val="0"/>
      <w:marTop w:val="0"/>
      <w:marBottom w:val="0"/>
      <w:divBdr>
        <w:top w:val="none" w:sz="0" w:space="0" w:color="auto"/>
        <w:left w:val="none" w:sz="0" w:space="0" w:color="auto"/>
        <w:bottom w:val="none" w:sz="0" w:space="0" w:color="auto"/>
        <w:right w:val="none" w:sz="0" w:space="0" w:color="auto"/>
      </w:divBdr>
    </w:div>
    <w:div w:id="2077782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ckinsey.com/capabilities/people-and-organizational-performance/our-insights/the-organization-blog/how-to-make-your-team-rock" TargetMode="External"/><Relationship Id="rId13" Type="http://schemas.openxmlformats.org/officeDocument/2006/relationships/hyperlink" Target="https://www.belbin.com/about/belbin-team-roles" TargetMode="External"/><Relationship Id="rId3" Type="http://schemas.openxmlformats.org/officeDocument/2006/relationships/settings" Target="settings.xml"/><Relationship Id="rId7" Type="http://schemas.openxmlformats.org/officeDocument/2006/relationships/hyperlink" Target="https://hbr.org/1993/03/the-discipline-of-teams-2" TargetMode="External"/><Relationship Id="rId12" Type="http://schemas.openxmlformats.org/officeDocument/2006/relationships/hyperlink" Target="https://doi.org/10.1146/annurev-orgpsych-012218-01510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onstructingexcellence.org.uk/wp-content/uploads/2015/03/Teamwork_Guide.pdf" TargetMode="External"/><Relationship Id="rId11" Type="http://schemas.openxmlformats.org/officeDocument/2006/relationships/hyperlink" Target="https://www.wcupa.edu/coral/tuckmanStagesGroupDelvelopment.aspx"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www.theguardian.com/careers/2017/feb/10/teamwork-social-events-and-company-culture-are-vital-to-happiness-at-work" TargetMode="External"/><Relationship Id="rId4" Type="http://schemas.openxmlformats.org/officeDocument/2006/relationships/webSettings" Target="webSettings.xml"/><Relationship Id="rId9" Type="http://schemas.openxmlformats.org/officeDocument/2006/relationships/hyperlink" Target="https://doi.apa.org/doi/10.1037/amp0000334"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298</TotalTime>
  <Pages>6</Pages>
  <Words>1315</Words>
  <Characters>7500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Sebastian-Luca Kiss (2331017)</dc:creator>
  <cp:keywords/>
  <dc:description/>
  <cp:lastModifiedBy>Sebastian-Luca Kiss (2331017)</cp:lastModifiedBy>
  <cp:revision>2</cp:revision>
  <dcterms:created xsi:type="dcterms:W3CDTF">2024-11-29T17:16:00Z</dcterms:created>
  <dcterms:modified xsi:type="dcterms:W3CDTF">2024-11-29T22:16:00Z</dcterms:modified>
</cp:coreProperties>
</file>