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F1E106" w14:textId="16370AF8" w:rsidR="006351BE" w:rsidRDefault="00CE4B39" w:rsidP="00FD4C32">
      <w:pPr>
        <w:spacing w:line="360" w:lineRule="auto"/>
        <w:jc w:val="center"/>
      </w:pPr>
      <w:r w:rsidRPr="00CE4B39">
        <w:drawing>
          <wp:inline distT="0" distB="0" distL="0" distR="0" wp14:anchorId="58AC98BF" wp14:editId="78E39496">
            <wp:extent cx="5883365" cy="7206864"/>
            <wp:effectExtent l="0" t="0" r="3175" b="0"/>
            <wp:docPr id="34641018"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41018" name="Picture 1" descr="A document with text and numbers&#10;&#10;Description automatically generated"/>
                    <pic:cNvPicPr/>
                  </pic:nvPicPr>
                  <pic:blipFill>
                    <a:blip r:embed="rId8"/>
                    <a:stretch>
                      <a:fillRect/>
                    </a:stretch>
                  </pic:blipFill>
                  <pic:spPr>
                    <a:xfrm>
                      <a:off x="0" y="0"/>
                      <a:ext cx="5910942" cy="7240644"/>
                    </a:xfrm>
                    <a:prstGeom prst="rect">
                      <a:avLst/>
                    </a:prstGeom>
                  </pic:spPr>
                </pic:pic>
              </a:graphicData>
            </a:graphic>
          </wp:inline>
        </w:drawing>
      </w:r>
      <w:r w:rsidR="006351BE">
        <w:br w:type="page"/>
      </w:r>
    </w:p>
    <w:p w14:paraId="58CF00C0" w14:textId="5534FB8C" w:rsidR="006351BE" w:rsidRPr="00A84BCF" w:rsidRDefault="006351BE" w:rsidP="0061119E">
      <w:pPr>
        <w:spacing w:line="360" w:lineRule="auto"/>
        <w:rPr>
          <w:b/>
          <w:bCs/>
        </w:rPr>
      </w:pPr>
      <w:r w:rsidRPr="00A84BCF">
        <w:rPr>
          <w:b/>
          <w:bCs/>
        </w:rPr>
        <w:lastRenderedPageBreak/>
        <w:t>Title: From a struggling subsidiary to a</w:t>
      </w:r>
      <w:r w:rsidR="002F0E72" w:rsidRPr="00A84BCF">
        <w:rPr>
          <w:b/>
          <w:bCs/>
        </w:rPr>
        <w:t>n Asia</w:t>
      </w:r>
      <w:r w:rsidR="002746E6" w:rsidRPr="00A84BCF">
        <w:rPr>
          <w:b/>
          <w:bCs/>
        </w:rPr>
        <w:t>-P</w:t>
      </w:r>
      <w:r w:rsidR="002F0E72" w:rsidRPr="00A84BCF">
        <w:rPr>
          <w:b/>
          <w:bCs/>
        </w:rPr>
        <w:t>acific powerhouse</w:t>
      </w:r>
      <w:r w:rsidR="00F4528D">
        <w:rPr>
          <w:b/>
          <w:bCs/>
        </w:rPr>
        <w:t xml:space="preserve"> </w:t>
      </w:r>
      <w:r w:rsidR="00AE6BB4">
        <w:rPr>
          <w:b/>
          <w:bCs/>
        </w:rPr>
        <w:t>–</w:t>
      </w:r>
      <w:r w:rsidR="00F4528D">
        <w:rPr>
          <w:b/>
          <w:bCs/>
        </w:rPr>
        <w:t xml:space="preserve"> </w:t>
      </w:r>
      <w:r w:rsidR="00AE6BB4">
        <w:rPr>
          <w:b/>
          <w:bCs/>
        </w:rPr>
        <w:t>a case study on AIA</w:t>
      </w:r>
      <w:r w:rsidR="0060505B">
        <w:rPr>
          <w:b/>
          <w:bCs/>
        </w:rPr>
        <w:t xml:space="preserve">’s approach to leadership, strategy, and </w:t>
      </w:r>
      <w:r w:rsidR="00F71D53">
        <w:rPr>
          <w:b/>
          <w:bCs/>
        </w:rPr>
        <w:t>performance management under Yu’s 3H holistic management framework.</w:t>
      </w:r>
    </w:p>
    <w:p w14:paraId="15B60ECA" w14:textId="77777777" w:rsidR="007F3790" w:rsidRDefault="007F3790" w:rsidP="0061119E">
      <w:pPr>
        <w:spacing w:line="360" w:lineRule="auto"/>
      </w:pPr>
    </w:p>
    <w:p w14:paraId="1842D1DE" w14:textId="7E66759F" w:rsidR="00DE7713" w:rsidRDefault="00DE7713" w:rsidP="0061119E">
      <w:pPr>
        <w:spacing w:line="360" w:lineRule="auto"/>
      </w:pPr>
      <w:r>
        <w:t xml:space="preserve">Module: </w:t>
      </w:r>
      <w:r w:rsidR="00D23E6F">
        <w:t>Visions for the Future – Theoretical Perspectives on Management</w:t>
      </w:r>
      <w:r w:rsidR="00F36858">
        <w:t xml:space="preserve"> (HKBM 7018)</w:t>
      </w:r>
    </w:p>
    <w:p w14:paraId="7B4D3829" w14:textId="3FA41B3F" w:rsidR="002F0E72" w:rsidRDefault="002F0E72" w:rsidP="0061119E">
      <w:pPr>
        <w:spacing w:line="360" w:lineRule="auto"/>
      </w:pPr>
      <w:r>
        <w:t>Author: Thaddeus Yu</w:t>
      </w:r>
    </w:p>
    <w:p w14:paraId="3304EFD1" w14:textId="7022CF99" w:rsidR="002F0E72" w:rsidRDefault="002F0E72" w:rsidP="0061119E">
      <w:pPr>
        <w:spacing w:line="360" w:lineRule="auto"/>
      </w:pPr>
      <w:r>
        <w:t>Student ID#: 2337395</w:t>
      </w:r>
    </w:p>
    <w:p w14:paraId="3CF7F7CC" w14:textId="69BA509A" w:rsidR="004D0729" w:rsidRDefault="004D0729" w:rsidP="0061119E">
      <w:pPr>
        <w:spacing w:line="360" w:lineRule="auto"/>
      </w:pPr>
      <w:r w:rsidRPr="00A4124D">
        <w:t xml:space="preserve">Word count: </w:t>
      </w:r>
      <w:r w:rsidR="00624EFF" w:rsidRPr="00A4124D">
        <w:t>7,861</w:t>
      </w:r>
    </w:p>
    <w:p w14:paraId="1AC63FA5" w14:textId="42845177" w:rsidR="000F04AA" w:rsidRDefault="000F04AA" w:rsidP="0061119E">
      <w:pPr>
        <w:spacing w:line="360" w:lineRule="auto"/>
      </w:pPr>
      <w:r>
        <w:br w:type="page"/>
      </w:r>
    </w:p>
    <w:sdt>
      <w:sdtPr>
        <w:rPr>
          <w:rFonts w:asciiTheme="minorHAnsi" w:eastAsiaTheme="minorHAnsi" w:hAnsiTheme="minorHAnsi" w:cstheme="minorBidi"/>
          <w:color w:val="auto"/>
          <w:kern w:val="2"/>
          <w:sz w:val="24"/>
          <w:szCs w:val="24"/>
          <w:lang w:val="en-HK"/>
          <w14:ligatures w14:val="standardContextual"/>
        </w:rPr>
        <w:id w:val="1056512991"/>
        <w:docPartObj>
          <w:docPartGallery w:val="Table of Contents"/>
          <w:docPartUnique/>
        </w:docPartObj>
      </w:sdtPr>
      <w:sdtEndPr>
        <w:rPr>
          <w:b/>
          <w:bCs/>
          <w:noProof/>
        </w:rPr>
      </w:sdtEndPr>
      <w:sdtContent>
        <w:p w14:paraId="179BC385" w14:textId="6BA3B91C" w:rsidR="003D11F8" w:rsidRDefault="003D11F8" w:rsidP="0061119E">
          <w:pPr>
            <w:pStyle w:val="TOCHeading"/>
            <w:spacing w:line="360" w:lineRule="auto"/>
          </w:pPr>
          <w:r>
            <w:t>Contents</w:t>
          </w:r>
        </w:p>
        <w:p w14:paraId="57091FB5" w14:textId="5F8C0585" w:rsidR="00D93F13" w:rsidRDefault="003D11F8">
          <w:pPr>
            <w:pStyle w:val="TOC1"/>
            <w:tabs>
              <w:tab w:val="right" w:leader="dot" w:pos="9628"/>
            </w:tabs>
            <w:rPr>
              <w:rFonts w:eastAsiaTheme="minorEastAsia"/>
              <w:noProof/>
              <w:lang w:eastAsia="en-HK"/>
            </w:rPr>
          </w:pPr>
          <w:r>
            <w:fldChar w:fldCharType="begin"/>
          </w:r>
          <w:r>
            <w:instrText xml:space="preserve"> TOC \o "1-3" \h \z \u </w:instrText>
          </w:r>
          <w:r>
            <w:fldChar w:fldCharType="separate"/>
          </w:r>
          <w:hyperlink w:anchor="_Toc184573472" w:history="1">
            <w:r w:rsidR="00D93F13" w:rsidRPr="001E329C">
              <w:rPr>
                <w:rStyle w:val="Hyperlink"/>
                <w:noProof/>
              </w:rPr>
              <w:t>Abstract</w:t>
            </w:r>
            <w:r w:rsidR="00D93F13">
              <w:rPr>
                <w:noProof/>
                <w:webHidden/>
              </w:rPr>
              <w:tab/>
            </w:r>
            <w:r w:rsidR="00D93F13">
              <w:rPr>
                <w:noProof/>
                <w:webHidden/>
              </w:rPr>
              <w:fldChar w:fldCharType="begin"/>
            </w:r>
            <w:r w:rsidR="00D93F13">
              <w:rPr>
                <w:noProof/>
                <w:webHidden/>
              </w:rPr>
              <w:instrText xml:space="preserve"> PAGEREF _Toc184573472 \h </w:instrText>
            </w:r>
            <w:r w:rsidR="00D93F13">
              <w:rPr>
                <w:noProof/>
                <w:webHidden/>
              </w:rPr>
            </w:r>
            <w:r w:rsidR="00D93F13">
              <w:rPr>
                <w:noProof/>
                <w:webHidden/>
              </w:rPr>
              <w:fldChar w:fldCharType="separate"/>
            </w:r>
            <w:r w:rsidR="00D93F13">
              <w:rPr>
                <w:noProof/>
                <w:webHidden/>
              </w:rPr>
              <w:t>5</w:t>
            </w:r>
            <w:r w:rsidR="00D93F13">
              <w:rPr>
                <w:noProof/>
                <w:webHidden/>
              </w:rPr>
              <w:fldChar w:fldCharType="end"/>
            </w:r>
          </w:hyperlink>
        </w:p>
        <w:p w14:paraId="14125147" w14:textId="61C63A68" w:rsidR="00D93F13" w:rsidRDefault="00D93F13">
          <w:pPr>
            <w:pStyle w:val="TOC1"/>
            <w:tabs>
              <w:tab w:val="right" w:leader="dot" w:pos="9628"/>
            </w:tabs>
            <w:rPr>
              <w:rFonts w:eastAsiaTheme="minorEastAsia"/>
              <w:noProof/>
              <w:lang w:eastAsia="en-HK"/>
            </w:rPr>
          </w:pPr>
          <w:hyperlink w:anchor="_Toc184573473" w:history="1">
            <w:r w:rsidRPr="001E329C">
              <w:rPr>
                <w:rStyle w:val="Hyperlink"/>
                <w:noProof/>
              </w:rPr>
              <w:t>Introduction</w:t>
            </w:r>
            <w:r>
              <w:rPr>
                <w:noProof/>
                <w:webHidden/>
              </w:rPr>
              <w:tab/>
            </w:r>
            <w:r>
              <w:rPr>
                <w:noProof/>
                <w:webHidden/>
              </w:rPr>
              <w:fldChar w:fldCharType="begin"/>
            </w:r>
            <w:r>
              <w:rPr>
                <w:noProof/>
                <w:webHidden/>
              </w:rPr>
              <w:instrText xml:space="preserve"> PAGEREF _Toc184573473 \h </w:instrText>
            </w:r>
            <w:r>
              <w:rPr>
                <w:noProof/>
                <w:webHidden/>
              </w:rPr>
            </w:r>
            <w:r>
              <w:rPr>
                <w:noProof/>
                <w:webHidden/>
              </w:rPr>
              <w:fldChar w:fldCharType="separate"/>
            </w:r>
            <w:r>
              <w:rPr>
                <w:noProof/>
                <w:webHidden/>
              </w:rPr>
              <w:t>5</w:t>
            </w:r>
            <w:r>
              <w:rPr>
                <w:noProof/>
                <w:webHidden/>
              </w:rPr>
              <w:fldChar w:fldCharType="end"/>
            </w:r>
          </w:hyperlink>
        </w:p>
        <w:p w14:paraId="1DC4C133" w14:textId="5D2DF237" w:rsidR="00D93F13" w:rsidRDefault="00D93F13">
          <w:pPr>
            <w:pStyle w:val="TOC2"/>
            <w:tabs>
              <w:tab w:val="right" w:leader="dot" w:pos="9628"/>
            </w:tabs>
            <w:rPr>
              <w:rFonts w:eastAsiaTheme="minorEastAsia"/>
              <w:noProof/>
              <w:lang w:eastAsia="en-HK"/>
            </w:rPr>
          </w:pPr>
          <w:hyperlink w:anchor="_Toc184573474" w:history="1">
            <w:r w:rsidRPr="001E329C">
              <w:rPr>
                <w:rStyle w:val="Hyperlink"/>
                <w:noProof/>
              </w:rPr>
              <w:t>Background information</w:t>
            </w:r>
            <w:r>
              <w:rPr>
                <w:noProof/>
                <w:webHidden/>
              </w:rPr>
              <w:tab/>
            </w:r>
            <w:r>
              <w:rPr>
                <w:noProof/>
                <w:webHidden/>
              </w:rPr>
              <w:fldChar w:fldCharType="begin"/>
            </w:r>
            <w:r>
              <w:rPr>
                <w:noProof/>
                <w:webHidden/>
              </w:rPr>
              <w:instrText xml:space="preserve"> PAGEREF _Toc184573474 \h </w:instrText>
            </w:r>
            <w:r>
              <w:rPr>
                <w:noProof/>
                <w:webHidden/>
              </w:rPr>
            </w:r>
            <w:r>
              <w:rPr>
                <w:noProof/>
                <w:webHidden/>
              </w:rPr>
              <w:fldChar w:fldCharType="separate"/>
            </w:r>
            <w:r>
              <w:rPr>
                <w:noProof/>
                <w:webHidden/>
              </w:rPr>
              <w:t>5</w:t>
            </w:r>
            <w:r>
              <w:rPr>
                <w:noProof/>
                <w:webHidden/>
              </w:rPr>
              <w:fldChar w:fldCharType="end"/>
            </w:r>
          </w:hyperlink>
        </w:p>
        <w:p w14:paraId="2034820B" w14:textId="5FFE1635" w:rsidR="00D93F13" w:rsidRDefault="00D93F13">
          <w:pPr>
            <w:pStyle w:val="TOC3"/>
            <w:tabs>
              <w:tab w:val="right" w:leader="dot" w:pos="9628"/>
            </w:tabs>
            <w:rPr>
              <w:rFonts w:eastAsiaTheme="minorEastAsia"/>
              <w:noProof/>
              <w:lang w:eastAsia="en-HK"/>
            </w:rPr>
          </w:pPr>
          <w:hyperlink w:anchor="_Toc184573475" w:history="1">
            <w:r w:rsidRPr="001E329C">
              <w:rPr>
                <w:rStyle w:val="Hyperlink"/>
                <w:noProof/>
              </w:rPr>
              <w:t>Background of the research</w:t>
            </w:r>
            <w:r>
              <w:rPr>
                <w:noProof/>
                <w:webHidden/>
              </w:rPr>
              <w:tab/>
            </w:r>
            <w:r>
              <w:rPr>
                <w:noProof/>
                <w:webHidden/>
              </w:rPr>
              <w:fldChar w:fldCharType="begin"/>
            </w:r>
            <w:r>
              <w:rPr>
                <w:noProof/>
                <w:webHidden/>
              </w:rPr>
              <w:instrText xml:space="preserve"> PAGEREF _Toc184573475 \h </w:instrText>
            </w:r>
            <w:r>
              <w:rPr>
                <w:noProof/>
                <w:webHidden/>
              </w:rPr>
            </w:r>
            <w:r>
              <w:rPr>
                <w:noProof/>
                <w:webHidden/>
              </w:rPr>
              <w:fldChar w:fldCharType="separate"/>
            </w:r>
            <w:r>
              <w:rPr>
                <w:noProof/>
                <w:webHidden/>
              </w:rPr>
              <w:t>5</w:t>
            </w:r>
            <w:r>
              <w:rPr>
                <w:noProof/>
                <w:webHidden/>
              </w:rPr>
              <w:fldChar w:fldCharType="end"/>
            </w:r>
          </w:hyperlink>
        </w:p>
        <w:p w14:paraId="196DA289" w14:textId="02392AF4" w:rsidR="00D93F13" w:rsidRDefault="00D93F13">
          <w:pPr>
            <w:pStyle w:val="TOC3"/>
            <w:tabs>
              <w:tab w:val="right" w:leader="dot" w:pos="9628"/>
            </w:tabs>
            <w:rPr>
              <w:rFonts w:eastAsiaTheme="minorEastAsia"/>
              <w:noProof/>
              <w:lang w:eastAsia="en-HK"/>
            </w:rPr>
          </w:pPr>
          <w:hyperlink w:anchor="_Toc184573476" w:history="1">
            <w:r w:rsidRPr="001E329C">
              <w:rPr>
                <w:rStyle w:val="Hyperlink"/>
                <w:noProof/>
              </w:rPr>
              <w:t>AIA Group (2010-2017)</w:t>
            </w:r>
            <w:r>
              <w:rPr>
                <w:noProof/>
                <w:webHidden/>
              </w:rPr>
              <w:tab/>
            </w:r>
            <w:r>
              <w:rPr>
                <w:noProof/>
                <w:webHidden/>
              </w:rPr>
              <w:fldChar w:fldCharType="begin"/>
            </w:r>
            <w:r>
              <w:rPr>
                <w:noProof/>
                <w:webHidden/>
              </w:rPr>
              <w:instrText xml:space="preserve"> PAGEREF _Toc184573476 \h </w:instrText>
            </w:r>
            <w:r>
              <w:rPr>
                <w:noProof/>
                <w:webHidden/>
              </w:rPr>
            </w:r>
            <w:r>
              <w:rPr>
                <w:noProof/>
                <w:webHidden/>
              </w:rPr>
              <w:fldChar w:fldCharType="separate"/>
            </w:r>
            <w:r>
              <w:rPr>
                <w:noProof/>
                <w:webHidden/>
              </w:rPr>
              <w:t>6</w:t>
            </w:r>
            <w:r>
              <w:rPr>
                <w:noProof/>
                <w:webHidden/>
              </w:rPr>
              <w:fldChar w:fldCharType="end"/>
            </w:r>
          </w:hyperlink>
        </w:p>
        <w:p w14:paraId="1E0120A3" w14:textId="0DA01761" w:rsidR="00D93F13" w:rsidRDefault="00D93F13">
          <w:pPr>
            <w:pStyle w:val="TOC3"/>
            <w:tabs>
              <w:tab w:val="right" w:leader="dot" w:pos="9628"/>
            </w:tabs>
            <w:rPr>
              <w:rFonts w:eastAsiaTheme="minorEastAsia"/>
              <w:noProof/>
              <w:lang w:eastAsia="en-HK"/>
            </w:rPr>
          </w:pPr>
          <w:hyperlink w:anchor="_Toc184573477" w:history="1">
            <w:r w:rsidRPr="001E329C">
              <w:rPr>
                <w:rStyle w:val="Hyperlink"/>
                <w:noProof/>
              </w:rPr>
              <w:t>Yu’s 3H framework</w:t>
            </w:r>
            <w:r>
              <w:rPr>
                <w:noProof/>
                <w:webHidden/>
              </w:rPr>
              <w:tab/>
            </w:r>
            <w:r>
              <w:rPr>
                <w:noProof/>
                <w:webHidden/>
              </w:rPr>
              <w:fldChar w:fldCharType="begin"/>
            </w:r>
            <w:r>
              <w:rPr>
                <w:noProof/>
                <w:webHidden/>
              </w:rPr>
              <w:instrText xml:space="preserve"> PAGEREF _Toc184573477 \h </w:instrText>
            </w:r>
            <w:r>
              <w:rPr>
                <w:noProof/>
                <w:webHidden/>
              </w:rPr>
            </w:r>
            <w:r>
              <w:rPr>
                <w:noProof/>
                <w:webHidden/>
              </w:rPr>
              <w:fldChar w:fldCharType="separate"/>
            </w:r>
            <w:r>
              <w:rPr>
                <w:noProof/>
                <w:webHidden/>
              </w:rPr>
              <w:t>8</w:t>
            </w:r>
            <w:r>
              <w:rPr>
                <w:noProof/>
                <w:webHidden/>
              </w:rPr>
              <w:fldChar w:fldCharType="end"/>
            </w:r>
          </w:hyperlink>
        </w:p>
        <w:p w14:paraId="2C4DCFE7" w14:textId="4A7CD472" w:rsidR="00D93F13" w:rsidRDefault="00D93F13">
          <w:pPr>
            <w:pStyle w:val="TOC2"/>
            <w:tabs>
              <w:tab w:val="right" w:leader="dot" w:pos="9628"/>
            </w:tabs>
            <w:rPr>
              <w:rFonts w:eastAsiaTheme="minorEastAsia"/>
              <w:noProof/>
              <w:lang w:eastAsia="en-HK"/>
            </w:rPr>
          </w:pPr>
          <w:hyperlink w:anchor="_Toc184573478" w:history="1">
            <w:r w:rsidRPr="001E329C">
              <w:rPr>
                <w:rStyle w:val="Hyperlink"/>
                <w:noProof/>
              </w:rPr>
              <w:t>Research questions and objectives</w:t>
            </w:r>
            <w:r>
              <w:rPr>
                <w:noProof/>
                <w:webHidden/>
              </w:rPr>
              <w:tab/>
            </w:r>
            <w:r>
              <w:rPr>
                <w:noProof/>
                <w:webHidden/>
              </w:rPr>
              <w:fldChar w:fldCharType="begin"/>
            </w:r>
            <w:r>
              <w:rPr>
                <w:noProof/>
                <w:webHidden/>
              </w:rPr>
              <w:instrText xml:space="preserve"> PAGEREF _Toc184573478 \h </w:instrText>
            </w:r>
            <w:r>
              <w:rPr>
                <w:noProof/>
                <w:webHidden/>
              </w:rPr>
            </w:r>
            <w:r>
              <w:rPr>
                <w:noProof/>
                <w:webHidden/>
              </w:rPr>
              <w:fldChar w:fldCharType="separate"/>
            </w:r>
            <w:r>
              <w:rPr>
                <w:noProof/>
                <w:webHidden/>
              </w:rPr>
              <w:t>9</w:t>
            </w:r>
            <w:r>
              <w:rPr>
                <w:noProof/>
                <w:webHidden/>
              </w:rPr>
              <w:fldChar w:fldCharType="end"/>
            </w:r>
          </w:hyperlink>
        </w:p>
        <w:p w14:paraId="402D9DB8" w14:textId="487F583B" w:rsidR="00D93F13" w:rsidRDefault="00D93F13">
          <w:pPr>
            <w:pStyle w:val="TOC2"/>
            <w:tabs>
              <w:tab w:val="right" w:leader="dot" w:pos="9628"/>
            </w:tabs>
            <w:rPr>
              <w:rFonts w:eastAsiaTheme="minorEastAsia"/>
              <w:noProof/>
              <w:lang w:eastAsia="en-HK"/>
            </w:rPr>
          </w:pPr>
          <w:hyperlink w:anchor="_Toc184573479" w:history="1">
            <w:r w:rsidRPr="001E329C">
              <w:rPr>
                <w:rStyle w:val="Hyperlink"/>
                <w:noProof/>
              </w:rPr>
              <w:t>Rationale of the research</w:t>
            </w:r>
            <w:r>
              <w:rPr>
                <w:noProof/>
                <w:webHidden/>
              </w:rPr>
              <w:tab/>
            </w:r>
            <w:r>
              <w:rPr>
                <w:noProof/>
                <w:webHidden/>
              </w:rPr>
              <w:fldChar w:fldCharType="begin"/>
            </w:r>
            <w:r>
              <w:rPr>
                <w:noProof/>
                <w:webHidden/>
              </w:rPr>
              <w:instrText xml:space="preserve"> PAGEREF _Toc184573479 \h </w:instrText>
            </w:r>
            <w:r>
              <w:rPr>
                <w:noProof/>
                <w:webHidden/>
              </w:rPr>
            </w:r>
            <w:r>
              <w:rPr>
                <w:noProof/>
                <w:webHidden/>
              </w:rPr>
              <w:fldChar w:fldCharType="separate"/>
            </w:r>
            <w:r>
              <w:rPr>
                <w:noProof/>
                <w:webHidden/>
              </w:rPr>
              <w:t>9</w:t>
            </w:r>
            <w:r>
              <w:rPr>
                <w:noProof/>
                <w:webHidden/>
              </w:rPr>
              <w:fldChar w:fldCharType="end"/>
            </w:r>
          </w:hyperlink>
        </w:p>
        <w:p w14:paraId="31087CA7" w14:textId="5D10A76F" w:rsidR="00D93F13" w:rsidRDefault="00D93F13">
          <w:pPr>
            <w:pStyle w:val="TOC3"/>
            <w:tabs>
              <w:tab w:val="right" w:leader="dot" w:pos="9628"/>
            </w:tabs>
            <w:rPr>
              <w:rFonts w:eastAsiaTheme="minorEastAsia"/>
              <w:noProof/>
              <w:lang w:eastAsia="en-HK"/>
            </w:rPr>
          </w:pPr>
          <w:hyperlink w:anchor="_Toc184573480" w:history="1">
            <w:r w:rsidRPr="001E329C">
              <w:rPr>
                <w:rStyle w:val="Hyperlink"/>
                <w:noProof/>
              </w:rPr>
              <w:t>Theoretical implications</w:t>
            </w:r>
            <w:r>
              <w:rPr>
                <w:noProof/>
                <w:webHidden/>
              </w:rPr>
              <w:tab/>
            </w:r>
            <w:r>
              <w:rPr>
                <w:noProof/>
                <w:webHidden/>
              </w:rPr>
              <w:fldChar w:fldCharType="begin"/>
            </w:r>
            <w:r>
              <w:rPr>
                <w:noProof/>
                <w:webHidden/>
              </w:rPr>
              <w:instrText xml:space="preserve"> PAGEREF _Toc184573480 \h </w:instrText>
            </w:r>
            <w:r>
              <w:rPr>
                <w:noProof/>
                <w:webHidden/>
              </w:rPr>
            </w:r>
            <w:r>
              <w:rPr>
                <w:noProof/>
                <w:webHidden/>
              </w:rPr>
              <w:fldChar w:fldCharType="separate"/>
            </w:r>
            <w:r>
              <w:rPr>
                <w:noProof/>
                <w:webHidden/>
              </w:rPr>
              <w:t>10</w:t>
            </w:r>
            <w:r>
              <w:rPr>
                <w:noProof/>
                <w:webHidden/>
              </w:rPr>
              <w:fldChar w:fldCharType="end"/>
            </w:r>
          </w:hyperlink>
        </w:p>
        <w:p w14:paraId="2DA2E038" w14:textId="6BA000C9" w:rsidR="00D93F13" w:rsidRDefault="00D93F13">
          <w:pPr>
            <w:pStyle w:val="TOC3"/>
            <w:tabs>
              <w:tab w:val="right" w:leader="dot" w:pos="9628"/>
            </w:tabs>
            <w:rPr>
              <w:rFonts w:eastAsiaTheme="minorEastAsia"/>
              <w:noProof/>
              <w:lang w:eastAsia="en-HK"/>
            </w:rPr>
          </w:pPr>
          <w:hyperlink w:anchor="_Toc184573481" w:history="1">
            <w:r w:rsidRPr="001E329C">
              <w:rPr>
                <w:rStyle w:val="Hyperlink"/>
                <w:noProof/>
              </w:rPr>
              <w:t>Industry implications</w:t>
            </w:r>
            <w:r>
              <w:rPr>
                <w:noProof/>
                <w:webHidden/>
              </w:rPr>
              <w:tab/>
            </w:r>
            <w:r>
              <w:rPr>
                <w:noProof/>
                <w:webHidden/>
              </w:rPr>
              <w:fldChar w:fldCharType="begin"/>
            </w:r>
            <w:r>
              <w:rPr>
                <w:noProof/>
                <w:webHidden/>
              </w:rPr>
              <w:instrText xml:space="preserve"> PAGEREF _Toc184573481 \h </w:instrText>
            </w:r>
            <w:r>
              <w:rPr>
                <w:noProof/>
                <w:webHidden/>
              </w:rPr>
            </w:r>
            <w:r>
              <w:rPr>
                <w:noProof/>
                <w:webHidden/>
              </w:rPr>
              <w:fldChar w:fldCharType="separate"/>
            </w:r>
            <w:r>
              <w:rPr>
                <w:noProof/>
                <w:webHidden/>
              </w:rPr>
              <w:t>10</w:t>
            </w:r>
            <w:r>
              <w:rPr>
                <w:noProof/>
                <w:webHidden/>
              </w:rPr>
              <w:fldChar w:fldCharType="end"/>
            </w:r>
          </w:hyperlink>
        </w:p>
        <w:p w14:paraId="5C809E1B" w14:textId="07B14222" w:rsidR="00D93F13" w:rsidRDefault="00D93F13">
          <w:pPr>
            <w:pStyle w:val="TOC3"/>
            <w:tabs>
              <w:tab w:val="right" w:leader="dot" w:pos="9628"/>
            </w:tabs>
            <w:rPr>
              <w:rFonts w:eastAsiaTheme="minorEastAsia"/>
              <w:noProof/>
              <w:lang w:eastAsia="en-HK"/>
            </w:rPr>
          </w:pPr>
          <w:hyperlink w:anchor="_Toc184573482" w:history="1">
            <w:r w:rsidRPr="001E329C">
              <w:rPr>
                <w:rStyle w:val="Hyperlink"/>
                <w:noProof/>
              </w:rPr>
              <w:t>Organizational implications</w:t>
            </w:r>
            <w:r>
              <w:rPr>
                <w:noProof/>
                <w:webHidden/>
              </w:rPr>
              <w:tab/>
            </w:r>
            <w:r>
              <w:rPr>
                <w:noProof/>
                <w:webHidden/>
              </w:rPr>
              <w:fldChar w:fldCharType="begin"/>
            </w:r>
            <w:r>
              <w:rPr>
                <w:noProof/>
                <w:webHidden/>
              </w:rPr>
              <w:instrText xml:space="preserve"> PAGEREF _Toc184573482 \h </w:instrText>
            </w:r>
            <w:r>
              <w:rPr>
                <w:noProof/>
                <w:webHidden/>
              </w:rPr>
            </w:r>
            <w:r>
              <w:rPr>
                <w:noProof/>
                <w:webHidden/>
              </w:rPr>
              <w:fldChar w:fldCharType="separate"/>
            </w:r>
            <w:r>
              <w:rPr>
                <w:noProof/>
                <w:webHidden/>
              </w:rPr>
              <w:t>10</w:t>
            </w:r>
            <w:r>
              <w:rPr>
                <w:noProof/>
                <w:webHidden/>
              </w:rPr>
              <w:fldChar w:fldCharType="end"/>
            </w:r>
          </w:hyperlink>
        </w:p>
        <w:p w14:paraId="4D3E62E0" w14:textId="30AE27D4" w:rsidR="00D93F13" w:rsidRDefault="00D93F13">
          <w:pPr>
            <w:pStyle w:val="TOC1"/>
            <w:tabs>
              <w:tab w:val="right" w:leader="dot" w:pos="9628"/>
            </w:tabs>
            <w:rPr>
              <w:rFonts w:eastAsiaTheme="minorEastAsia"/>
              <w:noProof/>
              <w:lang w:eastAsia="en-HK"/>
            </w:rPr>
          </w:pPr>
          <w:hyperlink w:anchor="_Toc184573483" w:history="1">
            <w:r w:rsidRPr="001E329C">
              <w:rPr>
                <w:rStyle w:val="Hyperlink"/>
                <w:noProof/>
              </w:rPr>
              <w:t>Literature review</w:t>
            </w:r>
            <w:r>
              <w:rPr>
                <w:noProof/>
                <w:webHidden/>
              </w:rPr>
              <w:tab/>
            </w:r>
            <w:r>
              <w:rPr>
                <w:noProof/>
                <w:webHidden/>
              </w:rPr>
              <w:fldChar w:fldCharType="begin"/>
            </w:r>
            <w:r>
              <w:rPr>
                <w:noProof/>
                <w:webHidden/>
              </w:rPr>
              <w:instrText xml:space="preserve"> PAGEREF _Toc184573483 \h </w:instrText>
            </w:r>
            <w:r>
              <w:rPr>
                <w:noProof/>
                <w:webHidden/>
              </w:rPr>
            </w:r>
            <w:r>
              <w:rPr>
                <w:noProof/>
                <w:webHidden/>
              </w:rPr>
              <w:fldChar w:fldCharType="separate"/>
            </w:r>
            <w:r>
              <w:rPr>
                <w:noProof/>
                <w:webHidden/>
              </w:rPr>
              <w:t>10</w:t>
            </w:r>
            <w:r>
              <w:rPr>
                <w:noProof/>
                <w:webHidden/>
              </w:rPr>
              <w:fldChar w:fldCharType="end"/>
            </w:r>
          </w:hyperlink>
        </w:p>
        <w:p w14:paraId="6D6408E2" w14:textId="5FC46D43" w:rsidR="00D93F13" w:rsidRDefault="00D93F13">
          <w:pPr>
            <w:pStyle w:val="TOC2"/>
            <w:tabs>
              <w:tab w:val="right" w:leader="dot" w:pos="9628"/>
            </w:tabs>
            <w:rPr>
              <w:rFonts w:eastAsiaTheme="minorEastAsia"/>
              <w:noProof/>
              <w:lang w:eastAsia="en-HK"/>
            </w:rPr>
          </w:pPr>
          <w:hyperlink w:anchor="_Toc184573484" w:history="1">
            <w:r w:rsidRPr="001E329C">
              <w:rPr>
                <w:rStyle w:val="Hyperlink"/>
                <w:noProof/>
              </w:rPr>
              <w:t>Overview of concepts</w:t>
            </w:r>
            <w:r>
              <w:rPr>
                <w:noProof/>
                <w:webHidden/>
              </w:rPr>
              <w:tab/>
            </w:r>
            <w:r>
              <w:rPr>
                <w:noProof/>
                <w:webHidden/>
              </w:rPr>
              <w:fldChar w:fldCharType="begin"/>
            </w:r>
            <w:r>
              <w:rPr>
                <w:noProof/>
                <w:webHidden/>
              </w:rPr>
              <w:instrText xml:space="preserve"> PAGEREF _Toc184573484 \h </w:instrText>
            </w:r>
            <w:r>
              <w:rPr>
                <w:noProof/>
                <w:webHidden/>
              </w:rPr>
            </w:r>
            <w:r>
              <w:rPr>
                <w:noProof/>
                <w:webHidden/>
              </w:rPr>
              <w:fldChar w:fldCharType="separate"/>
            </w:r>
            <w:r>
              <w:rPr>
                <w:noProof/>
                <w:webHidden/>
              </w:rPr>
              <w:t>10</w:t>
            </w:r>
            <w:r>
              <w:rPr>
                <w:noProof/>
                <w:webHidden/>
              </w:rPr>
              <w:fldChar w:fldCharType="end"/>
            </w:r>
          </w:hyperlink>
        </w:p>
        <w:p w14:paraId="31B5BA51" w14:textId="28982901" w:rsidR="00D93F13" w:rsidRDefault="00D93F13">
          <w:pPr>
            <w:pStyle w:val="TOC3"/>
            <w:tabs>
              <w:tab w:val="right" w:leader="dot" w:pos="9628"/>
            </w:tabs>
            <w:rPr>
              <w:rFonts w:eastAsiaTheme="minorEastAsia"/>
              <w:noProof/>
              <w:lang w:eastAsia="en-HK"/>
            </w:rPr>
          </w:pPr>
          <w:hyperlink w:anchor="_Toc184573485" w:history="1">
            <w:r w:rsidRPr="001E329C">
              <w:rPr>
                <w:rStyle w:val="Hyperlink"/>
                <w:noProof/>
              </w:rPr>
              <w:t>Yu’s 3H holistic management framework</w:t>
            </w:r>
            <w:r>
              <w:rPr>
                <w:noProof/>
                <w:webHidden/>
              </w:rPr>
              <w:tab/>
            </w:r>
            <w:r>
              <w:rPr>
                <w:noProof/>
                <w:webHidden/>
              </w:rPr>
              <w:fldChar w:fldCharType="begin"/>
            </w:r>
            <w:r>
              <w:rPr>
                <w:noProof/>
                <w:webHidden/>
              </w:rPr>
              <w:instrText xml:space="preserve"> PAGEREF _Toc184573485 \h </w:instrText>
            </w:r>
            <w:r>
              <w:rPr>
                <w:noProof/>
                <w:webHidden/>
              </w:rPr>
            </w:r>
            <w:r>
              <w:rPr>
                <w:noProof/>
                <w:webHidden/>
              </w:rPr>
              <w:fldChar w:fldCharType="separate"/>
            </w:r>
            <w:r>
              <w:rPr>
                <w:noProof/>
                <w:webHidden/>
              </w:rPr>
              <w:t>10</w:t>
            </w:r>
            <w:r>
              <w:rPr>
                <w:noProof/>
                <w:webHidden/>
              </w:rPr>
              <w:fldChar w:fldCharType="end"/>
            </w:r>
          </w:hyperlink>
        </w:p>
        <w:p w14:paraId="23B984C7" w14:textId="19F542BB" w:rsidR="00D93F13" w:rsidRDefault="00D93F13">
          <w:pPr>
            <w:pStyle w:val="TOC3"/>
            <w:tabs>
              <w:tab w:val="right" w:leader="dot" w:pos="9628"/>
            </w:tabs>
            <w:rPr>
              <w:rFonts w:eastAsiaTheme="minorEastAsia"/>
              <w:noProof/>
              <w:lang w:eastAsia="en-HK"/>
            </w:rPr>
          </w:pPr>
          <w:hyperlink w:anchor="_Toc184573486" w:history="1">
            <w:r w:rsidRPr="001E329C">
              <w:rPr>
                <w:rStyle w:val="Hyperlink"/>
                <w:noProof/>
              </w:rPr>
              <w:t>Heart domain theories</w:t>
            </w:r>
            <w:r>
              <w:rPr>
                <w:noProof/>
                <w:webHidden/>
              </w:rPr>
              <w:tab/>
            </w:r>
            <w:r>
              <w:rPr>
                <w:noProof/>
                <w:webHidden/>
              </w:rPr>
              <w:fldChar w:fldCharType="begin"/>
            </w:r>
            <w:r>
              <w:rPr>
                <w:noProof/>
                <w:webHidden/>
              </w:rPr>
              <w:instrText xml:space="preserve"> PAGEREF _Toc184573486 \h </w:instrText>
            </w:r>
            <w:r>
              <w:rPr>
                <w:noProof/>
                <w:webHidden/>
              </w:rPr>
            </w:r>
            <w:r>
              <w:rPr>
                <w:noProof/>
                <w:webHidden/>
              </w:rPr>
              <w:fldChar w:fldCharType="separate"/>
            </w:r>
            <w:r>
              <w:rPr>
                <w:noProof/>
                <w:webHidden/>
              </w:rPr>
              <w:t>12</w:t>
            </w:r>
            <w:r>
              <w:rPr>
                <w:noProof/>
                <w:webHidden/>
              </w:rPr>
              <w:fldChar w:fldCharType="end"/>
            </w:r>
          </w:hyperlink>
        </w:p>
        <w:p w14:paraId="1F27877C" w14:textId="7801DDEF" w:rsidR="00D93F13" w:rsidRDefault="00D93F13">
          <w:pPr>
            <w:pStyle w:val="TOC3"/>
            <w:tabs>
              <w:tab w:val="right" w:leader="dot" w:pos="9628"/>
            </w:tabs>
            <w:rPr>
              <w:rFonts w:eastAsiaTheme="minorEastAsia"/>
              <w:noProof/>
              <w:lang w:eastAsia="en-HK"/>
            </w:rPr>
          </w:pPr>
          <w:hyperlink w:anchor="_Toc184573487" w:history="1">
            <w:r w:rsidRPr="001E329C">
              <w:rPr>
                <w:rStyle w:val="Hyperlink"/>
                <w:noProof/>
              </w:rPr>
              <w:t>Head domain theories</w:t>
            </w:r>
            <w:r>
              <w:rPr>
                <w:noProof/>
                <w:webHidden/>
              </w:rPr>
              <w:tab/>
            </w:r>
            <w:r>
              <w:rPr>
                <w:noProof/>
                <w:webHidden/>
              </w:rPr>
              <w:fldChar w:fldCharType="begin"/>
            </w:r>
            <w:r>
              <w:rPr>
                <w:noProof/>
                <w:webHidden/>
              </w:rPr>
              <w:instrText xml:space="preserve"> PAGEREF _Toc184573487 \h </w:instrText>
            </w:r>
            <w:r>
              <w:rPr>
                <w:noProof/>
                <w:webHidden/>
              </w:rPr>
            </w:r>
            <w:r>
              <w:rPr>
                <w:noProof/>
                <w:webHidden/>
              </w:rPr>
              <w:fldChar w:fldCharType="separate"/>
            </w:r>
            <w:r>
              <w:rPr>
                <w:noProof/>
                <w:webHidden/>
              </w:rPr>
              <w:t>14</w:t>
            </w:r>
            <w:r>
              <w:rPr>
                <w:noProof/>
                <w:webHidden/>
              </w:rPr>
              <w:fldChar w:fldCharType="end"/>
            </w:r>
          </w:hyperlink>
        </w:p>
        <w:p w14:paraId="4A855492" w14:textId="4A772AF5" w:rsidR="00D93F13" w:rsidRDefault="00D93F13">
          <w:pPr>
            <w:pStyle w:val="TOC3"/>
            <w:tabs>
              <w:tab w:val="right" w:leader="dot" w:pos="9628"/>
            </w:tabs>
            <w:rPr>
              <w:rFonts w:eastAsiaTheme="minorEastAsia"/>
              <w:noProof/>
              <w:lang w:eastAsia="en-HK"/>
            </w:rPr>
          </w:pPr>
          <w:hyperlink w:anchor="_Toc184573488" w:history="1">
            <w:r w:rsidRPr="001E329C">
              <w:rPr>
                <w:rStyle w:val="Hyperlink"/>
                <w:noProof/>
              </w:rPr>
              <w:t>Hand domain theories</w:t>
            </w:r>
            <w:r>
              <w:rPr>
                <w:noProof/>
                <w:webHidden/>
              </w:rPr>
              <w:tab/>
            </w:r>
            <w:r>
              <w:rPr>
                <w:noProof/>
                <w:webHidden/>
              </w:rPr>
              <w:fldChar w:fldCharType="begin"/>
            </w:r>
            <w:r>
              <w:rPr>
                <w:noProof/>
                <w:webHidden/>
              </w:rPr>
              <w:instrText xml:space="preserve"> PAGEREF _Toc184573488 \h </w:instrText>
            </w:r>
            <w:r>
              <w:rPr>
                <w:noProof/>
                <w:webHidden/>
              </w:rPr>
            </w:r>
            <w:r>
              <w:rPr>
                <w:noProof/>
                <w:webHidden/>
              </w:rPr>
              <w:fldChar w:fldCharType="separate"/>
            </w:r>
            <w:r>
              <w:rPr>
                <w:noProof/>
                <w:webHidden/>
              </w:rPr>
              <w:t>16</w:t>
            </w:r>
            <w:r>
              <w:rPr>
                <w:noProof/>
                <w:webHidden/>
              </w:rPr>
              <w:fldChar w:fldCharType="end"/>
            </w:r>
          </w:hyperlink>
        </w:p>
        <w:p w14:paraId="780A4B8A" w14:textId="321AC4D4" w:rsidR="00D93F13" w:rsidRDefault="00D93F13">
          <w:pPr>
            <w:pStyle w:val="TOC3"/>
            <w:tabs>
              <w:tab w:val="right" w:leader="dot" w:pos="9628"/>
            </w:tabs>
            <w:rPr>
              <w:rFonts w:eastAsiaTheme="minorEastAsia"/>
              <w:noProof/>
              <w:lang w:eastAsia="en-HK"/>
            </w:rPr>
          </w:pPr>
          <w:hyperlink w:anchor="_Toc184573489" w:history="1">
            <w:r w:rsidRPr="001E329C">
              <w:rPr>
                <w:rStyle w:val="Hyperlink"/>
                <w:noProof/>
              </w:rPr>
              <w:t>Integration of theories with 3H framework</w:t>
            </w:r>
            <w:r>
              <w:rPr>
                <w:noProof/>
                <w:webHidden/>
              </w:rPr>
              <w:tab/>
            </w:r>
            <w:r>
              <w:rPr>
                <w:noProof/>
                <w:webHidden/>
              </w:rPr>
              <w:fldChar w:fldCharType="begin"/>
            </w:r>
            <w:r>
              <w:rPr>
                <w:noProof/>
                <w:webHidden/>
              </w:rPr>
              <w:instrText xml:space="preserve"> PAGEREF _Toc184573489 \h </w:instrText>
            </w:r>
            <w:r>
              <w:rPr>
                <w:noProof/>
                <w:webHidden/>
              </w:rPr>
            </w:r>
            <w:r>
              <w:rPr>
                <w:noProof/>
                <w:webHidden/>
              </w:rPr>
              <w:fldChar w:fldCharType="separate"/>
            </w:r>
            <w:r>
              <w:rPr>
                <w:noProof/>
                <w:webHidden/>
              </w:rPr>
              <w:t>18</w:t>
            </w:r>
            <w:r>
              <w:rPr>
                <w:noProof/>
                <w:webHidden/>
              </w:rPr>
              <w:fldChar w:fldCharType="end"/>
            </w:r>
          </w:hyperlink>
        </w:p>
        <w:p w14:paraId="3E00D98E" w14:textId="632EB291" w:rsidR="00D93F13" w:rsidRDefault="00D93F13">
          <w:pPr>
            <w:pStyle w:val="TOC1"/>
            <w:tabs>
              <w:tab w:val="right" w:leader="dot" w:pos="9628"/>
            </w:tabs>
            <w:rPr>
              <w:rFonts w:eastAsiaTheme="minorEastAsia"/>
              <w:noProof/>
              <w:lang w:eastAsia="en-HK"/>
            </w:rPr>
          </w:pPr>
          <w:hyperlink w:anchor="_Toc184573490" w:history="1">
            <w:r w:rsidRPr="001E329C">
              <w:rPr>
                <w:rStyle w:val="Hyperlink"/>
                <w:noProof/>
              </w:rPr>
              <w:t>Research method</w:t>
            </w:r>
            <w:r>
              <w:rPr>
                <w:noProof/>
                <w:webHidden/>
              </w:rPr>
              <w:tab/>
            </w:r>
            <w:r>
              <w:rPr>
                <w:noProof/>
                <w:webHidden/>
              </w:rPr>
              <w:fldChar w:fldCharType="begin"/>
            </w:r>
            <w:r>
              <w:rPr>
                <w:noProof/>
                <w:webHidden/>
              </w:rPr>
              <w:instrText xml:space="preserve"> PAGEREF _Toc184573490 \h </w:instrText>
            </w:r>
            <w:r>
              <w:rPr>
                <w:noProof/>
                <w:webHidden/>
              </w:rPr>
            </w:r>
            <w:r>
              <w:rPr>
                <w:noProof/>
                <w:webHidden/>
              </w:rPr>
              <w:fldChar w:fldCharType="separate"/>
            </w:r>
            <w:r>
              <w:rPr>
                <w:noProof/>
                <w:webHidden/>
              </w:rPr>
              <w:t>19</w:t>
            </w:r>
            <w:r>
              <w:rPr>
                <w:noProof/>
                <w:webHidden/>
              </w:rPr>
              <w:fldChar w:fldCharType="end"/>
            </w:r>
          </w:hyperlink>
        </w:p>
        <w:p w14:paraId="41A6F022" w14:textId="245C7F21" w:rsidR="00D93F13" w:rsidRDefault="00D93F13">
          <w:pPr>
            <w:pStyle w:val="TOC2"/>
            <w:tabs>
              <w:tab w:val="right" w:leader="dot" w:pos="9628"/>
            </w:tabs>
            <w:rPr>
              <w:rFonts w:eastAsiaTheme="minorEastAsia"/>
              <w:noProof/>
              <w:lang w:eastAsia="en-HK"/>
            </w:rPr>
          </w:pPr>
          <w:hyperlink w:anchor="_Toc184573491" w:history="1">
            <w:r w:rsidRPr="001E329C">
              <w:rPr>
                <w:rStyle w:val="Hyperlink"/>
                <w:noProof/>
              </w:rPr>
              <w:t>Research design</w:t>
            </w:r>
            <w:r>
              <w:rPr>
                <w:noProof/>
                <w:webHidden/>
              </w:rPr>
              <w:tab/>
            </w:r>
            <w:r>
              <w:rPr>
                <w:noProof/>
                <w:webHidden/>
              </w:rPr>
              <w:fldChar w:fldCharType="begin"/>
            </w:r>
            <w:r>
              <w:rPr>
                <w:noProof/>
                <w:webHidden/>
              </w:rPr>
              <w:instrText xml:space="preserve"> PAGEREF _Toc184573491 \h </w:instrText>
            </w:r>
            <w:r>
              <w:rPr>
                <w:noProof/>
                <w:webHidden/>
              </w:rPr>
            </w:r>
            <w:r>
              <w:rPr>
                <w:noProof/>
                <w:webHidden/>
              </w:rPr>
              <w:fldChar w:fldCharType="separate"/>
            </w:r>
            <w:r>
              <w:rPr>
                <w:noProof/>
                <w:webHidden/>
              </w:rPr>
              <w:t>19</w:t>
            </w:r>
            <w:r>
              <w:rPr>
                <w:noProof/>
                <w:webHidden/>
              </w:rPr>
              <w:fldChar w:fldCharType="end"/>
            </w:r>
          </w:hyperlink>
        </w:p>
        <w:p w14:paraId="3C571022" w14:textId="5D169B3C" w:rsidR="00D93F13" w:rsidRDefault="00D93F13">
          <w:pPr>
            <w:pStyle w:val="TOC2"/>
            <w:tabs>
              <w:tab w:val="right" w:leader="dot" w:pos="9628"/>
            </w:tabs>
            <w:rPr>
              <w:rFonts w:eastAsiaTheme="minorEastAsia"/>
              <w:noProof/>
              <w:lang w:eastAsia="en-HK"/>
            </w:rPr>
          </w:pPr>
          <w:hyperlink w:anchor="_Toc184573492" w:history="1">
            <w:r w:rsidRPr="001E329C">
              <w:rPr>
                <w:rStyle w:val="Hyperlink"/>
                <w:noProof/>
              </w:rPr>
              <w:t>Data collection</w:t>
            </w:r>
            <w:r>
              <w:rPr>
                <w:noProof/>
                <w:webHidden/>
              </w:rPr>
              <w:tab/>
            </w:r>
            <w:r>
              <w:rPr>
                <w:noProof/>
                <w:webHidden/>
              </w:rPr>
              <w:fldChar w:fldCharType="begin"/>
            </w:r>
            <w:r>
              <w:rPr>
                <w:noProof/>
                <w:webHidden/>
              </w:rPr>
              <w:instrText xml:space="preserve"> PAGEREF _Toc184573492 \h </w:instrText>
            </w:r>
            <w:r>
              <w:rPr>
                <w:noProof/>
                <w:webHidden/>
              </w:rPr>
            </w:r>
            <w:r>
              <w:rPr>
                <w:noProof/>
                <w:webHidden/>
              </w:rPr>
              <w:fldChar w:fldCharType="separate"/>
            </w:r>
            <w:r>
              <w:rPr>
                <w:noProof/>
                <w:webHidden/>
              </w:rPr>
              <w:t>19</w:t>
            </w:r>
            <w:r>
              <w:rPr>
                <w:noProof/>
                <w:webHidden/>
              </w:rPr>
              <w:fldChar w:fldCharType="end"/>
            </w:r>
          </w:hyperlink>
        </w:p>
        <w:p w14:paraId="7312C2A3" w14:textId="52085A6B" w:rsidR="00D93F13" w:rsidRDefault="00D93F13">
          <w:pPr>
            <w:pStyle w:val="TOC2"/>
            <w:tabs>
              <w:tab w:val="right" w:leader="dot" w:pos="9628"/>
            </w:tabs>
            <w:rPr>
              <w:rFonts w:eastAsiaTheme="minorEastAsia"/>
              <w:noProof/>
              <w:lang w:eastAsia="en-HK"/>
            </w:rPr>
          </w:pPr>
          <w:hyperlink w:anchor="_Toc184573493" w:history="1">
            <w:r w:rsidRPr="001E329C">
              <w:rPr>
                <w:rStyle w:val="Hyperlink"/>
                <w:noProof/>
              </w:rPr>
              <w:t>Data analysis</w:t>
            </w:r>
            <w:r>
              <w:rPr>
                <w:noProof/>
                <w:webHidden/>
              </w:rPr>
              <w:tab/>
            </w:r>
            <w:r>
              <w:rPr>
                <w:noProof/>
                <w:webHidden/>
              </w:rPr>
              <w:fldChar w:fldCharType="begin"/>
            </w:r>
            <w:r>
              <w:rPr>
                <w:noProof/>
                <w:webHidden/>
              </w:rPr>
              <w:instrText xml:space="preserve"> PAGEREF _Toc184573493 \h </w:instrText>
            </w:r>
            <w:r>
              <w:rPr>
                <w:noProof/>
                <w:webHidden/>
              </w:rPr>
            </w:r>
            <w:r>
              <w:rPr>
                <w:noProof/>
                <w:webHidden/>
              </w:rPr>
              <w:fldChar w:fldCharType="separate"/>
            </w:r>
            <w:r>
              <w:rPr>
                <w:noProof/>
                <w:webHidden/>
              </w:rPr>
              <w:t>20</w:t>
            </w:r>
            <w:r>
              <w:rPr>
                <w:noProof/>
                <w:webHidden/>
              </w:rPr>
              <w:fldChar w:fldCharType="end"/>
            </w:r>
          </w:hyperlink>
        </w:p>
        <w:p w14:paraId="31C1E2B3" w14:textId="2609338C" w:rsidR="00D93F13" w:rsidRDefault="00D93F13">
          <w:pPr>
            <w:pStyle w:val="TOC2"/>
            <w:tabs>
              <w:tab w:val="right" w:leader="dot" w:pos="9628"/>
            </w:tabs>
            <w:rPr>
              <w:rFonts w:eastAsiaTheme="minorEastAsia"/>
              <w:noProof/>
              <w:lang w:eastAsia="en-HK"/>
            </w:rPr>
          </w:pPr>
          <w:hyperlink w:anchor="_Toc184573494" w:history="1">
            <w:r w:rsidRPr="001E329C">
              <w:rPr>
                <w:rStyle w:val="Hyperlink"/>
                <w:noProof/>
              </w:rPr>
              <w:t>Validity and reliability</w:t>
            </w:r>
            <w:r>
              <w:rPr>
                <w:noProof/>
                <w:webHidden/>
              </w:rPr>
              <w:tab/>
            </w:r>
            <w:r>
              <w:rPr>
                <w:noProof/>
                <w:webHidden/>
              </w:rPr>
              <w:fldChar w:fldCharType="begin"/>
            </w:r>
            <w:r>
              <w:rPr>
                <w:noProof/>
                <w:webHidden/>
              </w:rPr>
              <w:instrText xml:space="preserve"> PAGEREF _Toc184573494 \h </w:instrText>
            </w:r>
            <w:r>
              <w:rPr>
                <w:noProof/>
                <w:webHidden/>
              </w:rPr>
            </w:r>
            <w:r>
              <w:rPr>
                <w:noProof/>
                <w:webHidden/>
              </w:rPr>
              <w:fldChar w:fldCharType="separate"/>
            </w:r>
            <w:r>
              <w:rPr>
                <w:noProof/>
                <w:webHidden/>
              </w:rPr>
              <w:t>21</w:t>
            </w:r>
            <w:r>
              <w:rPr>
                <w:noProof/>
                <w:webHidden/>
              </w:rPr>
              <w:fldChar w:fldCharType="end"/>
            </w:r>
          </w:hyperlink>
        </w:p>
        <w:p w14:paraId="7622ADB0" w14:textId="37AF76F8" w:rsidR="00D93F13" w:rsidRDefault="00D93F13">
          <w:pPr>
            <w:pStyle w:val="TOC2"/>
            <w:tabs>
              <w:tab w:val="right" w:leader="dot" w:pos="9628"/>
            </w:tabs>
            <w:rPr>
              <w:rFonts w:eastAsiaTheme="minorEastAsia"/>
              <w:noProof/>
              <w:lang w:eastAsia="en-HK"/>
            </w:rPr>
          </w:pPr>
          <w:hyperlink w:anchor="_Toc184573495" w:history="1">
            <w:r w:rsidRPr="001E329C">
              <w:rPr>
                <w:rStyle w:val="Hyperlink"/>
                <w:noProof/>
              </w:rPr>
              <w:t>Limitations</w:t>
            </w:r>
            <w:r>
              <w:rPr>
                <w:noProof/>
                <w:webHidden/>
              </w:rPr>
              <w:tab/>
            </w:r>
            <w:r>
              <w:rPr>
                <w:noProof/>
                <w:webHidden/>
              </w:rPr>
              <w:fldChar w:fldCharType="begin"/>
            </w:r>
            <w:r>
              <w:rPr>
                <w:noProof/>
                <w:webHidden/>
              </w:rPr>
              <w:instrText xml:space="preserve"> PAGEREF _Toc184573495 \h </w:instrText>
            </w:r>
            <w:r>
              <w:rPr>
                <w:noProof/>
                <w:webHidden/>
              </w:rPr>
            </w:r>
            <w:r>
              <w:rPr>
                <w:noProof/>
                <w:webHidden/>
              </w:rPr>
              <w:fldChar w:fldCharType="separate"/>
            </w:r>
            <w:r>
              <w:rPr>
                <w:noProof/>
                <w:webHidden/>
              </w:rPr>
              <w:t>21</w:t>
            </w:r>
            <w:r>
              <w:rPr>
                <w:noProof/>
                <w:webHidden/>
              </w:rPr>
              <w:fldChar w:fldCharType="end"/>
            </w:r>
          </w:hyperlink>
        </w:p>
        <w:p w14:paraId="2B6E2FC6" w14:textId="4337714C" w:rsidR="00D93F13" w:rsidRDefault="00D93F13">
          <w:pPr>
            <w:pStyle w:val="TOC1"/>
            <w:tabs>
              <w:tab w:val="right" w:leader="dot" w:pos="9628"/>
            </w:tabs>
            <w:rPr>
              <w:rFonts w:eastAsiaTheme="minorEastAsia"/>
              <w:noProof/>
              <w:lang w:eastAsia="en-HK"/>
            </w:rPr>
          </w:pPr>
          <w:hyperlink w:anchor="_Toc184573496" w:history="1">
            <w:r w:rsidRPr="001E329C">
              <w:rPr>
                <w:rStyle w:val="Hyperlink"/>
                <w:noProof/>
              </w:rPr>
              <w:t>Case study analysis: AIA Group</w:t>
            </w:r>
            <w:r>
              <w:rPr>
                <w:noProof/>
                <w:webHidden/>
              </w:rPr>
              <w:tab/>
            </w:r>
            <w:r>
              <w:rPr>
                <w:noProof/>
                <w:webHidden/>
              </w:rPr>
              <w:fldChar w:fldCharType="begin"/>
            </w:r>
            <w:r>
              <w:rPr>
                <w:noProof/>
                <w:webHidden/>
              </w:rPr>
              <w:instrText xml:space="preserve"> PAGEREF _Toc184573496 \h </w:instrText>
            </w:r>
            <w:r>
              <w:rPr>
                <w:noProof/>
                <w:webHidden/>
              </w:rPr>
            </w:r>
            <w:r>
              <w:rPr>
                <w:noProof/>
                <w:webHidden/>
              </w:rPr>
              <w:fldChar w:fldCharType="separate"/>
            </w:r>
            <w:r>
              <w:rPr>
                <w:noProof/>
                <w:webHidden/>
              </w:rPr>
              <w:t>22</w:t>
            </w:r>
            <w:r>
              <w:rPr>
                <w:noProof/>
                <w:webHidden/>
              </w:rPr>
              <w:fldChar w:fldCharType="end"/>
            </w:r>
          </w:hyperlink>
        </w:p>
        <w:p w14:paraId="3D2B9C11" w14:textId="275742F3" w:rsidR="00D93F13" w:rsidRDefault="00D93F13">
          <w:pPr>
            <w:pStyle w:val="TOC2"/>
            <w:tabs>
              <w:tab w:val="right" w:leader="dot" w:pos="9628"/>
            </w:tabs>
            <w:rPr>
              <w:rFonts w:eastAsiaTheme="minorEastAsia"/>
              <w:noProof/>
              <w:lang w:eastAsia="en-HK"/>
            </w:rPr>
          </w:pPr>
          <w:hyperlink w:anchor="_Toc184573497" w:history="1">
            <w:r w:rsidRPr="001E329C">
              <w:rPr>
                <w:rStyle w:val="Hyperlink"/>
                <w:noProof/>
              </w:rPr>
              <w:t>Company overview</w:t>
            </w:r>
            <w:r>
              <w:rPr>
                <w:noProof/>
                <w:webHidden/>
              </w:rPr>
              <w:tab/>
            </w:r>
            <w:r>
              <w:rPr>
                <w:noProof/>
                <w:webHidden/>
              </w:rPr>
              <w:fldChar w:fldCharType="begin"/>
            </w:r>
            <w:r>
              <w:rPr>
                <w:noProof/>
                <w:webHidden/>
              </w:rPr>
              <w:instrText xml:space="preserve"> PAGEREF _Toc184573497 \h </w:instrText>
            </w:r>
            <w:r>
              <w:rPr>
                <w:noProof/>
                <w:webHidden/>
              </w:rPr>
            </w:r>
            <w:r>
              <w:rPr>
                <w:noProof/>
                <w:webHidden/>
              </w:rPr>
              <w:fldChar w:fldCharType="separate"/>
            </w:r>
            <w:r>
              <w:rPr>
                <w:noProof/>
                <w:webHidden/>
              </w:rPr>
              <w:t>22</w:t>
            </w:r>
            <w:r>
              <w:rPr>
                <w:noProof/>
                <w:webHidden/>
              </w:rPr>
              <w:fldChar w:fldCharType="end"/>
            </w:r>
          </w:hyperlink>
        </w:p>
        <w:p w14:paraId="4D0F098C" w14:textId="7F8D2144" w:rsidR="00D93F13" w:rsidRDefault="00D93F13">
          <w:pPr>
            <w:pStyle w:val="TOC2"/>
            <w:tabs>
              <w:tab w:val="right" w:leader="dot" w:pos="9628"/>
            </w:tabs>
            <w:rPr>
              <w:rFonts w:eastAsiaTheme="minorEastAsia"/>
              <w:noProof/>
              <w:lang w:eastAsia="en-HK"/>
            </w:rPr>
          </w:pPr>
          <w:hyperlink w:anchor="_Toc184573498" w:history="1">
            <w:r w:rsidRPr="001E329C">
              <w:rPr>
                <w:rStyle w:val="Hyperlink"/>
                <w:noProof/>
              </w:rPr>
              <w:t>Heart (H1) domain analysis</w:t>
            </w:r>
            <w:r>
              <w:rPr>
                <w:noProof/>
                <w:webHidden/>
              </w:rPr>
              <w:tab/>
            </w:r>
            <w:r>
              <w:rPr>
                <w:noProof/>
                <w:webHidden/>
              </w:rPr>
              <w:fldChar w:fldCharType="begin"/>
            </w:r>
            <w:r>
              <w:rPr>
                <w:noProof/>
                <w:webHidden/>
              </w:rPr>
              <w:instrText xml:space="preserve"> PAGEREF _Toc184573498 \h </w:instrText>
            </w:r>
            <w:r>
              <w:rPr>
                <w:noProof/>
                <w:webHidden/>
              </w:rPr>
            </w:r>
            <w:r>
              <w:rPr>
                <w:noProof/>
                <w:webHidden/>
              </w:rPr>
              <w:fldChar w:fldCharType="separate"/>
            </w:r>
            <w:r>
              <w:rPr>
                <w:noProof/>
                <w:webHidden/>
              </w:rPr>
              <w:t>22</w:t>
            </w:r>
            <w:r>
              <w:rPr>
                <w:noProof/>
                <w:webHidden/>
              </w:rPr>
              <w:fldChar w:fldCharType="end"/>
            </w:r>
          </w:hyperlink>
        </w:p>
        <w:p w14:paraId="54EE23BD" w14:textId="27CAD728" w:rsidR="00D93F13" w:rsidRDefault="00D93F13">
          <w:pPr>
            <w:pStyle w:val="TOC3"/>
            <w:tabs>
              <w:tab w:val="right" w:leader="dot" w:pos="9628"/>
            </w:tabs>
            <w:rPr>
              <w:rFonts w:eastAsiaTheme="minorEastAsia"/>
              <w:noProof/>
              <w:lang w:eastAsia="en-HK"/>
            </w:rPr>
          </w:pPr>
          <w:hyperlink w:anchor="_Toc184573499" w:history="1">
            <w:r w:rsidRPr="001E329C">
              <w:rPr>
                <w:rStyle w:val="Hyperlink"/>
                <w:noProof/>
              </w:rPr>
              <w:t>Leadership transition and reorganization</w:t>
            </w:r>
            <w:r>
              <w:rPr>
                <w:noProof/>
                <w:webHidden/>
              </w:rPr>
              <w:tab/>
            </w:r>
            <w:r>
              <w:rPr>
                <w:noProof/>
                <w:webHidden/>
              </w:rPr>
              <w:fldChar w:fldCharType="begin"/>
            </w:r>
            <w:r>
              <w:rPr>
                <w:noProof/>
                <w:webHidden/>
              </w:rPr>
              <w:instrText xml:space="preserve"> PAGEREF _Toc184573499 \h </w:instrText>
            </w:r>
            <w:r>
              <w:rPr>
                <w:noProof/>
                <w:webHidden/>
              </w:rPr>
            </w:r>
            <w:r>
              <w:rPr>
                <w:noProof/>
                <w:webHidden/>
              </w:rPr>
              <w:fldChar w:fldCharType="separate"/>
            </w:r>
            <w:r>
              <w:rPr>
                <w:noProof/>
                <w:webHidden/>
              </w:rPr>
              <w:t>23</w:t>
            </w:r>
            <w:r>
              <w:rPr>
                <w:noProof/>
                <w:webHidden/>
              </w:rPr>
              <w:fldChar w:fldCharType="end"/>
            </w:r>
          </w:hyperlink>
        </w:p>
        <w:p w14:paraId="4EDDE85E" w14:textId="0A9C94AC" w:rsidR="00D93F13" w:rsidRDefault="00D93F13">
          <w:pPr>
            <w:pStyle w:val="TOC3"/>
            <w:tabs>
              <w:tab w:val="right" w:leader="dot" w:pos="9628"/>
            </w:tabs>
            <w:rPr>
              <w:rFonts w:eastAsiaTheme="minorEastAsia"/>
              <w:noProof/>
              <w:lang w:eastAsia="en-HK"/>
            </w:rPr>
          </w:pPr>
          <w:hyperlink w:anchor="_Toc184573500" w:history="1">
            <w:r w:rsidRPr="001E329C">
              <w:rPr>
                <w:rStyle w:val="Hyperlink"/>
                <w:noProof/>
              </w:rPr>
              <w:t>Vision and operating philosophy</w:t>
            </w:r>
            <w:r>
              <w:rPr>
                <w:noProof/>
                <w:webHidden/>
              </w:rPr>
              <w:tab/>
            </w:r>
            <w:r>
              <w:rPr>
                <w:noProof/>
                <w:webHidden/>
              </w:rPr>
              <w:fldChar w:fldCharType="begin"/>
            </w:r>
            <w:r>
              <w:rPr>
                <w:noProof/>
                <w:webHidden/>
              </w:rPr>
              <w:instrText xml:space="preserve"> PAGEREF _Toc184573500 \h </w:instrText>
            </w:r>
            <w:r>
              <w:rPr>
                <w:noProof/>
                <w:webHidden/>
              </w:rPr>
            </w:r>
            <w:r>
              <w:rPr>
                <w:noProof/>
                <w:webHidden/>
              </w:rPr>
              <w:fldChar w:fldCharType="separate"/>
            </w:r>
            <w:r>
              <w:rPr>
                <w:noProof/>
                <w:webHidden/>
              </w:rPr>
              <w:t>23</w:t>
            </w:r>
            <w:r>
              <w:rPr>
                <w:noProof/>
                <w:webHidden/>
              </w:rPr>
              <w:fldChar w:fldCharType="end"/>
            </w:r>
          </w:hyperlink>
        </w:p>
        <w:p w14:paraId="32284EC4" w14:textId="4824E014" w:rsidR="00D93F13" w:rsidRDefault="00D93F13">
          <w:pPr>
            <w:pStyle w:val="TOC3"/>
            <w:tabs>
              <w:tab w:val="right" w:leader="dot" w:pos="9628"/>
            </w:tabs>
            <w:rPr>
              <w:rFonts w:eastAsiaTheme="minorEastAsia"/>
              <w:noProof/>
              <w:lang w:eastAsia="en-HK"/>
            </w:rPr>
          </w:pPr>
          <w:hyperlink w:anchor="_Toc184573501" w:history="1">
            <w:r w:rsidRPr="001E329C">
              <w:rPr>
                <w:rStyle w:val="Hyperlink"/>
                <w:noProof/>
              </w:rPr>
              <w:t>Employee engagement, community engagement, and loyalty</w:t>
            </w:r>
            <w:r>
              <w:rPr>
                <w:noProof/>
                <w:webHidden/>
              </w:rPr>
              <w:tab/>
            </w:r>
            <w:r>
              <w:rPr>
                <w:noProof/>
                <w:webHidden/>
              </w:rPr>
              <w:fldChar w:fldCharType="begin"/>
            </w:r>
            <w:r>
              <w:rPr>
                <w:noProof/>
                <w:webHidden/>
              </w:rPr>
              <w:instrText xml:space="preserve"> PAGEREF _Toc184573501 \h </w:instrText>
            </w:r>
            <w:r>
              <w:rPr>
                <w:noProof/>
                <w:webHidden/>
              </w:rPr>
            </w:r>
            <w:r>
              <w:rPr>
                <w:noProof/>
                <w:webHidden/>
              </w:rPr>
              <w:fldChar w:fldCharType="separate"/>
            </w:r>
            <w:r>
              <w:rPr>
                <w:noProof/>
                <w:webHidden/>
              </w:rPr>
              <w:t>24</w:t>
            </w:r>
            <w:r>
              <w:rPr>
                <w:noProof/>
                <w:webHidden/>
              </w:rPr>
              <w:fldChar w:fldCharType="end"/>
            </w:r>
          </w:hyperlink>
        </w:p>
        <w:p w14:paraId="4F628F44" w14:textId="4B55F045" w:rsidR="00D93F13" w:rsidRDefault="00D93F13">
          <w:pPr>
            <w:pStyle w:val="TOC3"/>
            <w:tabs>
              <w:tab w:val="right" w:leader="dot" w:pos="9628"/>
            </w:tabs>
            <w:rPr>
              <w:rFonts w:eastAsiaTheme="minorEastAsia"/>
              <w:noProof/>
              <w:lang w:eastAsia="en-HK"/>
            </w:rPr>
          </w:pPr>
          <w:hyperlink w:anchor="_Toc184573502" w:history="1">
            <w:r w:rsidRPr="001E329C">
              <w:rPr>
                <w:rStyle w:val="Hyperlink"/>
                <w:noProof/>
              </w:rPr>
              <w:t>Summary on heart domain</w:t>
            </w:r>
            <w:r>
              <w:rPr>
                <w:noProof/>
                <w:webHidden/>
              </w:rPr>
              <w:tab/>
            </w:r>
            <w:r>
              <w:rPr>
                <w:noProof/>
                <w:webHidden/>
              </w:rPr>
              <w:fldChar w:fldCharType="begin"/>
            </w:r>
            <w:r>
              <w:rPr>
                <w:noProof/>
                <w:webHidden/>
              </w:rPr>
              <w:instrText xml:space="preserve"> PAGEREF _Toc184573502 \h </w:instrText>
            </w:r>
            <w:r>
              <w:rPr>
                <w:noProof/>
                <w:webHidden/>
              </w:rPr>
            </w:r>
            <w:r>
              <w:rPr>
                <w:noProof/>
                <w:webHidden/>
              </w:rPr>
              <w:fldChar w:fldCharType="separate"/>
            </w:r>
            <w:r>
              <w:rPr>
                <w:noProof/>
                <w:webHidden/>
              </w:rPr>
              <w:t>24</w:t>
            </w:r>
            <w:r>
              <w:rPr>
                <w:noProof/>
                <w:webHidden/>
              </w:rPr>
              <w:fldChar w:fldCharType="end"/>
            </w:r>
          </w:hyperlink>
        </w:p>
        <w:p w14:paraId="131F0A48" w14:textId="19B154EC" w:rsidR="00D93F13" w:rsidRDefault="00D93F13">
          <w:pPr>
            <w:pStyle w:val="TOC2"/>
            <w:tabs>
              <w:tab w:val="right" w:leader="dot" w:pos="9628"/>
            </w:tabs>
            <w:rPr>
              <w:rFonts w:eastAsiaTheme="minorEastAsia"/>
              <w:noProof/>
              <w:lang w:eastAsia="en-HK"/>
            </w:rPr>
          </w:pPr>
          <w:hyperlink w:anchor="_Toc184573503" w:history="1">
            <w:r w:rsidRPr="001E329C">
              <w:rPr>
                <w:rStyle w:val="Hyperlink"/>
                <w:noProof/>
              </w:rPr>
              <w:t>Head (H2) domain analysis</w:t>
            </w:r>
            <w:r>
              <w:rPr>
                <w:noProof/>
                <w:webHidden/>
              </w:rPr>
              <w:tab/>
            </w:r>
            <w:r>
              <w:rPr>
                <w:noProof/>
                <w:webHidden/>
              </w:rPr>
              <w:fldChar w:fldCharType="begin"/>
            </w:r>
            <w:r>
              <w:rPr>
                <w:noProof/>
                <w:webHidden/>
              </w:rPr>
              <w:instrText xml:space="preserve"> PAGEREF _Toc184573503 \h </w:instrText>
            </w:r>
            <w:r>
              <w:rPr>
                <w:noProof/>
                <w:webHidden/>
              </w:rPr>
            </w:r>
            <w:r>
              <w:rPr>
                <w:noProof/>
                <w:webHidden/>
              </w:rPr>
              <w:fldChar w:fldCharType="separate"/>
            </w:r>
            <w:r>
              <w:rPr>
                <w:noProof/>
                <w:webHidden/>
              </w:rPr>
              <w:t>25</w:t>
            </w:r>
            <w:r>
              <w:rPr>
                <w:noProof/>
                <w:webHidden/>
              </w:rPr>
              <w:fldChar w:fldCharType="end"/>
            </w:r>
          </w:hyperlink>
        </w:p>
        <w:p w14:paraId="28DA392F" w14:textId="46394EB1" w:rsidR="00D93F13" w:rsidRDefault="00D93F13">
          <w:pPr>
            <w:pStyle w:val="TOC3"/>
            <w:tabs>
              <w:tab w:val="right" w:leader="dot" w:pos="9628"/>
            </w:tabs>
            <w:rPr>
              <w:rFonts w:eastAsiaTheme="minorEastAsia"/>
              <w:noProof/>
              <w:lang w:eastAsia="en-HK"/>
            </w:rPr>
          </w:pPr>
          <w:hyperlink w:anchor="_Toc184573504" w:history="1">
            <w:r w:rsidRPr="001E329C">
              <w:rPr>
                <w:rStyle w:val="Hyperlink"/>
                <w:noProof/>
              </w:rPr>
              <w:t>Strategic vision and execution</w:t>
            </w:r>
            <w:r>
              <w:rPr>
                <w:noProof/>
                <w:webHidden/>
              </w:rPr>
              <w:tab/>
            </w:r>
            <w:r>
              <w:rPr>
                <w:noProof/>
                <w:webHidden/>
              </w:rPr>
              <w:fldChar w:fldCharType="begin"/>
            </w:r>
            <w:r>
              <w:rPr>
                <w:noProof/>
                <w:webHidden/>
              </w:rPr>
              <w:instrText xml:space="preserve"> PAGEREF _Toc184573504 \h </w:instrText>
            </w:r>
            <w:r>
              <w:rPr>
                <w:noProof/>
                <w:webHidden/>
              </w:rPr>
            </w:r>
            <w:r>
              <w:rPr>
                <w:noProof/>
                <w:webHidden/>
              </w:rPr>
              <w:fldChar w:fldCharType="separate"/>
            </w:r>
            <w:r>
              <w:rPr>
                <w:noProof/>
                <w:webHidden/>
              </w:rPr>
              <w:t>25</w:t>
            </w:r>
            <w:r>
              <w:rPr>
                <w:noProof/>
                <w:webHidden/>
              </w:rPr>
              <w:fldChar w:fldCharType="end"/>
            </w:r>
          </w:hyperlink>
        </w:p>
        <w:p w14:paraId="56D08F6C" w14:textId="595F5C21" w:rsidR="00D93F13" w:rsidRDefault="00D93F13">
          <w:pPr>
            <w:pStyle w:val="TOC3"/>
            <w:tabs>
              <w:tab w:val="right" w:leader="dot" w:pos="9628"/>
            </w:tabs>
            <w:rPr>
              <w:rFonts w:eastAsiaTheme="minorEastAsia"/>
              <w:noProof/>
              <w:lang w:eastAsia="en-HK"/>
            </w:rPr>
          </w:pPr>
          <w:hyperlink w:anchor="_Toc184573505" w:history="1">
            <w:r w:rsidRPr="001E329C">
              <w:rPr>
                <w:rStyle w:val="Hyperlink"/>
                <w:noProof/>
              </w:rPr>
              <w:t>Optimized organizational structure for market expansion</w:t>
            </w:r>
            <w:r>
              <w:rPr>
                <w:noProof/>
                <w:webHidden/>
              </w:rPr>
              <w:tab/>
            </w:r>
            <w:r>
              <w:rPr>
                <w:noProof/>
                <w:webHidden/>
              </w:rPr>
              <w:fldChar w:fldCharType="begin"/>
            </w:r>
            <w:r>
              <w:rPr>
                <w:noProof/>
                <w:webHidden/>
              </w:rPr>
              <w:instrText xml:space="preserve"> PAGEREF _Toc184573505 \h </w:instrText>
            </w:r>
            <w:r>
              <w:rPr>
                <w:noProof/>
                <w:webHidden/>
              </w:rPr>
            </w:r>
            <w:r>
              <w:rPr>
                <w:noProof/>
                <w:webHidden/>
              </w:rPr>
              <w:fldChar w:fldCharType="separate"/>
            </w:r>
            <w:r>
              <w:rPr>
                <w:noProof/>
                <w:webHidden/>
              </w:rPr>
              <w:t>26</w:t>
            </w:r>
            <w:r>
              <w:rPr>
                <w:noProof/>
                <w:webHidden/>
              </w:rPr>
              <w:fldChar w:fldCharType="end"/>
            </w:r>
          </w:hyperlink>
        </w:p>
        <w:p w14:paraId="1A1B09CA" w14:textId="00641E34" w:rsidR="00D93F13" w:rsidRDefault="00D93F13">
          <w:pPr>
            <w:pStyle w:val="TOC3"/>
            <w:tabs>
              <w:tab w:val="right" w:leader="dot" w:pos="9628"/>
            </w:tabs>
            <w:rPr>
              <w:rFonts w:eastAsiaTheme="minorEastAsia"/>
              <w:noProof/>
              <w:lang w:eastAsia="en-HK"/>
            </w:rPr>
          </w:pPr>
          <w:hyperlink w:anchor="_Toc184573506" w:history="1">
            <w:r w:rsidRPr="001E329C">
              <w:rPr>
                <w:rStyle w:val="Hyperlink"/>
                <w:noProof/>
              </w:rPr>
              <w:t>Performance measurement and management</w:t>
            </w:r>
            <w:r>
              <w:rPr>
                <w:noProof/>
                <w:webHidden/>
              </w:rPr>
              <w:tab/>
            </w:r>
            <w:r>
              <w:rPr>
                <w:noProof/>
                <w:webHidden/>
              </w:rPr>
              <w:fldChar w:fldCharType="begin"/>
            </w:r>
            <w:r>
              <w:rPr>
                <w:noProof/>
                <w:webHidden/>
              </w:rPr>
              <w:instrText xml:space="preserve"> PAGEREF _Toc184573506 \h </w:instrText>
            </w:r>
            <w:r>
              <w:rPr>
                <w:noProof/>
                <w:webHidden/>
              </w:rPr>
            </w:r>
            <w:r>
              <w:rPr>
                <w:noProof/>
                <w:webHidden/>
              </w:rPr>
              <w:fldChar w:fldCharType="separate"/>
            </w:r>
            <w:r>
              <w:rPr>
                <w:noProof/>
                <w:webHidden/>
              </w:rPr>
              <w:t>26</w:t>
            </w:r>
            <w:r>
              <w:rPr>
                <w:noProof/>
                <w:webHidden/>
              </w:rPr>
              <w:fldChar w:fldCharType="end"/>
            </w:r>
          </w:hyperlink>
        </w:p>
        <w:p w14:paraId="1A533EE9" w14:textId="00EA9166" w:rsidR="00D93F13" w:rsidRDefault="00D93F13">
          <w:pPr>
            <w:pStyle w:val="TOC3"/>
            <w:tabs>
              <w:tab w:val="right" w:leader="dot" w:pos="9628"/>
            </w:tabs>
            <w:rPr>
              <w:rFonts w:eastAsiaTheme="minorEastAsia"/>
              <w:noProof/>
              <w:lang w:eastAsia="en-HK"/>
            </w:rPr>
          </w:pPr>
          <w:hyperlink w:anchor="_Toc184573507" w:history="1">
            <w:r w:rsidRPr="001E329C">
              <w:rPr>
                <w:rStyle w:val="Hyperlink"/>
                <w:noProof/>
              </w:rPr>
              <w:t>Summary on head domain</w:t>
            </w:r>
            <w:r>
              <w:rPr>
                <w:noProof/>
                <w:webHidden/>
              </w:rPr>
              <w:tab/>
            </w:r>
            <w:r>
              <w:rPr>
                <w:noProof/>
                <w:webHidden/>
              </w:rPr>
              <w:fldChar w:fldCharType="begin"/>
            </w:r>
            <w:r>
              <w:rPr>
                <w:noProof/>
                <w:webHidden/>
              </w:rPr>
              <w:instrText xml:space="preserve"> PAGEREF _Toc184573507 \h </w:instrText>
            </w:r>
            <w:r>
              <w:rPr>
                <w:noProof/>
                <w:webHidden/>
              </w:rPr>
            </w:r>
            <w:r>
              <w:rPr>
                <w:noProof/>
                <w:webHidden/>
              </w:rPr>
              <w:fldChar w:fldCharType="separate"/>
            </w:r>
            <w:r>
              <w:rPr>
                <w:noProof/>
                <w:webHidden/>
              </w:rPr>
              <w:t>27</w:t>
            </w:r>
            <w:r>
              <w:rPr>
                <w:noProof/>
                <w:webHidden/>
              </w:rPr>
              <w:fldChar w:fldCharType="end"/>
            </w:r>
          </w:hyperlink>
        </w:p>
        <w:p w14:paraId="06A130C9" w14:textId="563651B4" w:rsidR="00D93F13" w:rsidRDefault="00D93F13">
          <w:pPr>
            <w:pStyle w:val="TOC2"/>
            <w:tabs>
              <w:tab w:val="right" w:leader="dot" w:pos="9628"/>
            </w:tabs>
            <w:rPr>
              <w:rFonts w:eastAsiaTheme="minorEastAsia"/>
              <w:noProof/>
              <w:lang w:eastAsia="en-HK"/>
            </w:rPr>
          </w:pPr>
          <w:hyperlink w:anchor="_Toc184573508" w:history="1">
            <w:r w:rsidRPr="001E329C">
              <w:rPr>
                <w:rStyle w:val="Hyperlink"/>
                <w:noProof/>
              </w:rPr>
              <w:t>Hand (H3) domain analysis</w:t>
            </w:r>
            <w:r>
              <w:rPr>
                <w:noProof/>
                <w:webHidden/>
              </w:rPr>
              <w:tab/>
            </w:r>
            <w:r>
              <w:rPr>
                <w:noProof/>
                <w:webHidden/>
              </w:rPr>
              <w:fldChar w:fldCharType="begin"/>
            </w:r>
            <w:r>
              <w:rPr>
                <w:noProof/>
                <w:webHidden/>
              </w:rPr>
              <w:instrText xml:space="preserve"> PAGEREF _Toc184573508 \h </w:instrText>
            </w:r>
            <w:r>
              <w:rPr>
                <w:noProof/>
                <w:webHidden/>
              </w:rPr>
            </w:r>
            <w:r>
              <w:rPr>
                <w:noProof/>
                <w:webHidden/>
              </w:rPr>
              <w:fldChar w:fldCharType="separate"/>
            </w:r>
            <w:r>
              <w:rPr>
                <w:noProof/>
                <w:webHidden/>
              </w:rPr>
              <w:t>27</w:t>
            </w:r>
            <w:r>
              <w:rPr>
                <w:noProof/>
                <w:webHidden/>
              </w:rPr>
              <w:fldChar w:fldCharType="end"/>
            </w:r>
          </w:hyperlink>
        </w:p>
        <w:p w14:paraId="70D95513" w14:textId="7D038EF9" w:rsidR="00D93F13" w:rsidRDefault="00D93F13">
          <w:pPr>
            <w:pStyle w:val="TOC3"/>
            <w:tabs>
              <w:tab w:val="right" w:leader="dot" w:pos="9628"/>
            </w:tabs>
            <w:rPr>
              <w:rFonts w:eastAsiaTheme="minorEastAsia"/>
              <w:noProof/>
              <w:lang w:eastAsia="en-HK"/>
            </w:rPr>
          </w:pPr>
          <w:hyperlink w:anchor="_Toc184573509" w:history="1">
            <w:r w:rsidRPr="001E329C">
              <w:rPr>
                <w:rStyle w:val="Hyperlink"/>
                <w:noProof/>
              </w:rPr>
              <w:t>Competency development</w:t>
            </w:r>
            <w:r>
              <w:rPr>
                <w:noProof/>
                <w:webHidden/>
              </w:rPr>
              <w:tab/>
            </w:r>
            <w:r>
              <w:rPr>
                <w:noProof/>
                <w:webHidden/>
              </w:rPr>
              <w:fldChar w:fldCharType="begin"/>
            </w:r>
            <w:r>
              <w:rPr>
                <w:noProof/>
                <w:webHidden/>
              </w:rPr>
              <w:instrText xml:space="preserve"> PAGEREF _Toc184573509 \h </w:instrText>
            </w:r>
            <w:r>
              <w:rPr>
                <w:noProof/>
                <w:webHidden/>
              </w:rPr>
            </w:r>
            <w:r>
              <w:rPr>
                <w:noProof/>
                <w:webHidden/>
              </w:rPr>
              <w:fldChar w:fldCharType="separate"/>
            </w:r>
            <w:r>
              <w:rPr>
                <w:noProof/>
                <w:webHidden/>
              </w:rPr>
              <w:t>27</w:t>
            </w:r>
            <w:r>
              <w:rPr>
                <w:noProof/>
                <w:webHidden/>
              </w:rPr>
              <w:fldChar w:fldCharType="end"/>
            </w:r>
          </w:hyperlink>
        </w:p>
        <w:p w14:paraId="5CA1B3BC" w14:textId="5FBB4E0A" w:rsidR="00D93F13" w:rsidRDefault="00D93F13">
          <w:pPr>
            <w:pStyle w:val="TOC3"/>
            <w:tabs>
              <w:tab w:val="right" w:leader="dot" w:pos="9628"/>
            </w:tabs>
            <w:rPr>
              <w:rFonts w:eastAsiaTheme="minorEastAsia"/>
              <w:noProof/>
              <w:lang w:eastAsia="en-HK"/>
            </w:rPr>
          </w:pPr>
          <w:hyperlink w:anchor="_Toc184573510" w:history="1">
            <w:r w:rsidRPr="001E329C">
              <w:rPr>
                <w:rStyle w:val="Hyperlink"/>
                <w:noProof/>
              </w:rPr>
              <w:t>Being a learning organisation</w:t>
            </w:r>
            <w:r>
              <w:rPr>
                <w:noProof/>
                <w:webHidden/>
              </w:rPr>
              <w:tab/>
            </w:r>
            <w:r>
              <w:rPr>
                <w:noProof/>
                <w:webHidden/>
              </w:rPr>
              <w:fldChar w:fldCharType="begin"/>
            </w:r>
            <w:r>
              <w:rPr>
                <w:noProof/>
                <w:webHidden/>
              </w:rPr>
              <w:instrText xml:space="preserve"> PAGEREF _Toc184573510 \h </w:instrText>
            </w:r>
            <w:r>
              <w:rPr>
                <w:noProof/>
                <w:webHidden/>
              </w:rPr>
            </w:r>
            <w:r>
              <w:rPr>
                <w:noProof/>
                <w:webHidden/>
              </w:rPr>
              <w:fldChar w:fldCharType="separate"/>
            </w:r>
            <w:r>
              <w:rPr>
                <w:noProof/>
                <w:webHidden/>
              </w:rPr>
              <w:t>28</w:t>
            </w:r>
            <w:r>
              <w:rPr>
                <w:noProof/>
                <w:webHidden/>
              </w:rPr>
              <w:fldChar w:fldCharType="end"/>
            </w:r>
          </w:hyperlink>
        </w:p>
        <w:p w14:paraId="42791AA0" w14:textId="2D997B8D" w:rsidR="00D93F13" w:rsidRDefault="00D93F13">
          <w:pPr>
            <w:pStyle w:val="TOC3"/>
            <w:tabs>
              <w:tab w:val="right" w:leader="dot" w:pos="9628"/>
            </w:tabs>
            <w:rPr>
              <w:rFonts w:eastAsiaTheme="minorEastAsia"/>
              <w:noProof/>
              <w:lang w:eastAsia="en-HK"/>
            </w:rPr>
          </w:pPr>
          <w:hyperlink w:anchor="_Toc184573511" w:history="1">
            <w:r w:rsidRPr="001E329C">
              <w:rPr>
                <w:rStyle w:val="Hyperlink"/>
                <w:noProof/>
              </w:rPr>
              <w:t>Summary on hand domain</w:t>
            </w:r>
            <w:r>
              <w:rPr>
                <w:noProof/>
                <w:webHidden/>
              </w:rPr>
              <w:tab/>
            </w:r>
            <w:r>
              <w:rPr>
                <w:noProof/>
                <w:webHidden/>
              </w:rPr>
              <w:fldChar w:fldCharType="begin"/>
            </w:r>
            <w:r>
              <w:rPr>
                <w:noProof/>
                <w:webHidden/>
              </w:rPr>
              <w:instrText xml:space="preserve"> PAGEREF _Toc184573511 \h </w:instrText>
            </w:r>
            <w:r>
              <w:rPr>
                <w:noProof/>
                <w:webHidden/>
              </w:rPr>
            </w:r>
            <w:r>
              <w:rPr>
                <w:noProof/>
                <w:webHidden/>
              </w:rPr>
              <w:fldChar w:fldCharType="separate"/>
            </w:r>
            <w:r>
              <w:rPr>
                <w:noProof/>
                <w:webHidden/>
              </w:rPr>
              <w:t>28</w:t>
            </w:r>
            <w:r>
              <w:rPr>
                <w:noProof/>
                <w:webHidden/>
              </w:rPr>
              <w:fldChar w:fldCharType="end"/>
            </w:r>
          </w:hyperlink>
        </w:p>
        <w:p w14:paraId="3AFF321C" w14:textId="0BD1C8C0" w:rsidR="00D93F13" w:rsidRDefault="00D93F13">
          <w:pPr>
            <w:pStyle w:val="TOC2"/>
            <w:tabs>
              <w:tab w:val="right" w:leader="dot" w:pos="9628"/>
            </w:tabs>
            <w:rPr>
              <w:rFonts w:eastAsiaTheme="minorEastAsia"/>
              <w:noProof/>
              <w:lang w:eastAsia="en-HK"/>
            </w:rPr>
          </w:pPr>
          <w:hyperlink w:anchor="_Toc184573512" w:history="1">
            <w:r w:rsidRPr="001E329C">
              <w:rPr>
                <w:rStyle w:val="Hyperlink"/>
                <w:noProof/>
              </w:rPr>
              <w:t>Integration of 3H domains at AIA Group</w:t>
            </w:r>
            <w:r>
              <w:rPr>
                <w:noProof/>
                <w:webHidden/>
              </w:rPr>
              <w:tab/>
            </w:r>
            <w:r>
              <w:rPr>
                <w:noProof/>
                <w:webHidden/>
              </w:rPr>
              <w:fldChar w:fldCharType="begin"/>
            </w:r>
            <w:r>
              <w:rPr>
                <w:noProof/>
                <w:webHidden/>
              </w:rPr>
              <w:instrText xml:space="preserve"> PAGEREF _Toc184573512 \h </w:instrText>
            </w:r>
            <w:r>
              <w:rPr>
                <w:noProof/>
                <w:webHidden/>
              </w:rPr>
            </w:r>
            <w:r>
              <w:rPr>
                <w:noProof/>
                <w:webHidden/>
              </w:rPr>
              <w:fldChar w:fldCharType="separate"/>
            </w:r>
            <w:r>
              <w:rPr>
                <w:noProof/>
                <w:webHidden/>
              </w:rPr>
              <w:t>28</w:t>
            </w:r>
            <w:r>
              <w:rPr>
                <w:noProof/>
                <w:webHidden/>
              </w:rPr>
              <w:fldChar w:fldCharType="end"/>
            </w:r>
          </w:hyperlink>
        </w:p>
        <w:p w14:paraId="6B3228AC" w14:textId="32164A5E" w:rsidR="00D93F13" w:rsidRDefault="00D93F13">
          <w:pPr>
            <w:pStyle w:val="TOC3"/>
            <w:tabs>
              <w:tab w:val="right" w:leader="dot" w:pos="9628"/>
            </w:tabs>
            <w:rPr>
              <w:rFonts w:eastAsiaTheme="minorEastAsia"/>
              <w:noProof/>
              <w:lang w:eastAsia="en-HK"/>
            </w:rPr>
          </w:pPr>
          <w:hyperlink w:anchor="_Toc184573513" w:history="1">
            <w:r w:rsidRPr="001E329C">
              <w:rPr>
                <w:rStyle w:val="Hyperlink"/>
                <w:noProof/>
              </w:rPr>
              <w:t>Exceptional results</w:t>
            </w:r>
            <w:r>
              <w:rPr>
                <w:noProof/>
                <w:webHidden/>
              </w:rPr>
              <w:tab/>
            </w:r>
            <w:r>
              <w:rPr>
                <w:noProof/>
                <w:webHidden/>
              </w:rPr>
              <w:fldChar w:fldCharType="begin"/>
            </w:r>
            <w:r>
              <w:rPr>
                <w:noProof/>
                <w:webHidden/>
              </w:rPr>
              <w:instrText xml:space="preserve"> PAGEREF _Toc184573513 \h </w:instrText>
            </w:r>
            <w:r>
              <w:rPr>
                <w:noProof/>
                <w:webHidden/>
              </w:rPr>
            </w:r>
            <w:r>
              <w:rPr>
                <w:noProof/>
                <w:webHidden/>
              </w:rPr>
              <w:fldChar w:fldCharType="separate"/>
            </w:r>
            <w:r>
              <w:rPr>
                <w:noProof/>
                <w:webHidden/>
              </w:rPr>
              <w:t>29</w:t>
            </w:r>
            <w:r>
              <w:rPr>
                <w:noProof/>
                <w:webHidden/>
              </w:rPr>
              <w:fldChar w:fldCharType="end"/>
            </w:r>
          </w:hyperlink>
        </w:p>
        <w:p w14:paraId="7E4F39C7" w14:textId="78207D5F" w:rsidR="00D93F13" w:rsidRDefault="00D93F13">
          <w:pPr>
            <w:pStyle w:val="TOC1"/>
            <w:tabs>
              <w:tab w:val="right" w:leader="dot" w:pos="9628"/>
            </w:tabs>
            <w:rPr>
              <w:rFonts w:eastAsiaTheme="minorEastAsia"/>
              <w:noProof/>
              <w:lang w:eastAsia="en-HK"/>
            </w:rPr>
          </w:pPr>
          <w:hyperlink w:anchor="_Toc184573514" w:history="1">
            <w:r w:rsidRPr="001E329C">
              <w:rPr>
                <w:rStyle w:val="Hyperlink"/>
                <w:noProof/>
              </w:rPr>
              <w:t>Discussions on findings</w:t>
            </w:r>
            <w:r>
              <w:rPr>
                <w:noProof/>
                <w:webHidden/>
              </w:rPr>
              <w:tab/>
            </w:r>
            <w:r>
              <w:rPr>
                <w:noProof/>
                <w:webHidden/>
              </w:rPr>
              <w:fldChar w:fldCharType="begin"/>
            </w:r>
            <w:r>
              <w:rPr>
                <w:noProof/>
                <w:webHidden/>
              </w:rPr>
              <w:instrText xml:space="preserve"> PAGEREF _Toc184573514 \h </w:instrText>
            </w:r>
            <w:r>
              <w:rPr>
                <w:noProof/>
                <w:webHidden/>
              </w:rPr>
            </w:r>
            <w:r>
              <w:rPr>
                <w:noProof/>
                <w:webHidden/>
              </w:rPr>
              <w:fldChar w:fldCharType="separate"/>
            </w:r>
            <w:r>
              <w:rPr>
                <w:noProof/>
                <w:webHidden/>
              </w:rPr>
              <w:t>30</w:t>
            </w:r>
            <w:r>
              <w:rPr>
                <w:noProof/>
                <w:webHidden/>
              </w:rPr>
              <w:fldChar w:fldCharType="end"/>
            </w:r>
          </w:hyperlink>
        </w:p>
        <w:p w14:paraId="40688BB1" w14:textId="25D2FF35" w:rsidR="00D93F13" w:rsidRDefault="00D93F13">
          <w:pPr>
            <w:pStyle w:val="TOC1"/>
            <w:tabs>
              <w:tab w:val="right" w:leader="dot" w:pos="9628"/>
            </w:tabs>
            <w:rPr>
              <w:rFonts w:eastAsiaTheme="minorEastAsia"/>
              <w:noProof/>
              <w:lang w:eastAsia="en-HK"/>
            </w:rPr>
          </w:pPr>
          <w:hyperlink w:anchor="_Toc184573515" w:history="1">
            <w:r w:rsidRPr="001E329C">
              <w:rPr>
                <w:rStyle w:val="Hyperlink"/>
                <w:noProof/>
              </w:rPr>
              <w:t>Conclusions</w:t>
            </w:r>
            <w:r>
              <w:rPr>
                <w:noProof/>
                <w:webHidden/>
              </w:rPr>
              <w:tab/>
            </w:r>
            <w:r>
              <w:rPr>
                <w:noProof/>
                <w:webHidden/>
              </w:rPr>
              <w:fldChar w:fldCharType="begin"/>
            </w:r>
            <w:r>
              <w:rPr>
                <w:noProof/>
                <w:webHidden/>
              </w:rPr>
              <w:instrText xml:space="preserve"> PAGEREF _Toc184573515 \h </w:instrText>
            </w:r>
            <w:r>
              <w:rPr>
                <w:noProof/>
                <w:webHidden/>
              </w:rPr>
            </w:r>
            <w:r>
              <w:rPr>
                <w:noProof/>
                <w:webHidden/>
              </w:rPr>
              <w:fldChar w:fldCharType="separate"/>
            </w:r>
            <w:r>
              <w:rPr>
                <w:noProof/>
                <w:webHidden/>
              </w:rPr>
              <w:t>31</w:t>
            </w:r>
            <w:r>
              <w:rPr>
                <w:noProof/>
                <w:webHidden/>
              </w:rPr>
              <w:fldChar w:fldCharType="end"/>
            </w:r>
          </w:hyperlink>
        </w:p>
        <w:p w14:paraId="05C3DDA5" w14:textId="41246698" w:rsidR="00D93F13" w:rsidRDefault="00D93F13">
          <w:pPr>
            <w:pStyle w:val="TOC1"/>
            <w:tabs>
              <w:tab w:val="right" w:leader="dot" w:pos="9628"/>
            </w:tabs>
            <w:rPr>
              <w:rFonts w:eastAsiaTheme="minorEastAsia"/>
              <w:noProof/>
              <w:lang w:eastAsia="en-HK"/>
            </w:rPr>
          </w:pPr>
          <w:hyperlink w:anchor="_Toc184573516" w:history="1">
            <w:r w:rsidRPr="001E329C">
              <w:rPr>
                <w:rStyle w:val="Hyperlink"/>
                <w:noProof/>
              </w:rPr>
              <w:t>References</w:t>
            </w:r>
            <w:r>
              <w:rPr>
                <w:noProof/>
                <w:webHidden/>
              </w:rPr>
              <w:tab/>
            </w:r>
            <w:r>
              <w:rPr>
                <w:noProof/>
                <w:webHidden/>
              </w:rPr>
              <w:fldChar w:fldCharType="begin"/>
            </w:r>
            <w:r>
              <w:rPr>
                <w:noProof/>
                <w:webHidden/>
              </w:rPr>
              <w:instrText xml:space="preserve"> PAGEREF _Toc184573516 \h </w:instrText>
            </w:r>
            <w:r>
              <w:rPr>
                <w:noProof/>
                <w:webHidden/>
              </w:rPr>
            </w:r>
            <w:r>
              <w:rPr>
                <w:noProof/>
                <w:webHidden/>
              </w:rPr>
              <w:fldChar w:fldCharType="separate"/>
            </w:r>
            <w:r>
              <w:rPr>
                <w:noProof/>
                <w:webHidden/>
              </w:rPr>
              <w:t>33</w:t>
            </w:r>
            <w:r>
              <w:rPr>
                <w:noProof/>
                <w:webHidden/>
              </w:rPr>
              <w:fldChar w:fldCharType="end"/>
            </w:r>
          </w:hyperlink>
        </w:p>
        <w:p w14:paraId="4DA87FE9" w14:textId="461ABC56" w:rsidR="003D11F8" w:rsidRDefault="003D11F8" w:rsidP="0061119E">
          <w:pPr>
            <w:spacing w:line="360" w:lineRule="auto"/>
          </w:pPr>
          <w:r>
            <w:rPr>
              <w:b/>
              <w:bCs/>
              <w:noProof/>
            </w:rPr>
            <w:fldChar w:fldCharType="end"/>
          </w:r>
        </w:p>
      </w:sdtContent>
    </w:sdt>
    <w:p w14:paraId="693628BB" w14:textId="4A087A73" w:rsidR="003D11F8" w:rsidRDefault="003D11F8" w:rsidP="0061119E">
      <w:pPr>
        <w:spacing w:line="360" w:lineRule="auto"/>
      </w:pPr>
      <w:r>
        <w:br w:type="page"/>
      </w:r>
    </w:p>
    <w:p w14:paraId="0FCB85AC" w14:textId="2705454E" w:rsidR="00552E16" w:rsidRDefault="00552E16" w:rsidP="0061119E">
      <w:pPr>
        <w:pStyle w:val="Heading1"/>
        <w:spacing w:line="360" w:lineRule="auto"/>
      </w:pPr>
      <w:bookmarkStart w:id="0" w:name="_Toc184573472"/>
      <w:r>
        <w:lastRenderedPageBreak/>
        <w:t>Abstract</w:t>
      </w:r>
      <w:bookmarkEnd w:id="0"/>
    </w:p>
    <w:p w14:paraId="44447A21" w14:textId="1BD5C373" w:rsidR="000A2097" w:rsidRDefault="002965ED" w:rsidP="0061119E">
      <w:pPr>
        <w:spacing w:line="360" w:lineRule="auto"/>
      </w:pPr>
      <w:r>
        <w:t>This paper evaluates the applicability of Yu’s 3H holistic management framework to AIA Group’s leadership, strategy, and performance from 2010 to 2017</w:t>
      </w:r>
      <w:r w:rsidR="00D64F31">
        <w:t xml:space="preserve">. AIA was listed </w:t>
      </w:r>
      <w:r w:rsidR="00EB708F">
        <w:t xml:space="preserve">on the Main Board of the HKEX in October 2010. </w:t>
      </w:r>
      <w:r w:rsidR="00EF784E">
        <w:t>This p</w:t>
      </w:r>
      <w:r w:rsidR="00EE5C5E">
        <w:t xml:space="preserve">aper adopts a qualitative case study approach, analysing AIA’s annual reports, press release, regulatory data, and news articles. </w:t>
      </w:r>
      <w:r w:rsidR="007A7310">
        <w:t xml:space="preserve">The </w:t>
      </w:r>
      <w:r w:rsidR="00E87666">
        <w:t xml:space="preserve">study examines </w:t>
      </w:r>
      <w:r w:rsidR="007A7310">
        <w:t>how AIA integrated the heart</w:t>
      </w:r>
      <w:r w:rsidR="00376DC1">
        <w:t>, head, and hand domains of the 3H framework</w:t>
      </w:r>
      <w:r w:rsidR="00DE34D1">
        <w:t xml:space="preserve">. </w:t>
      </w:r>
      <w:r w:rsidR="0023680E">
        <w:t>The findings show that there was strong alignment of AIA’s practice</w:t>
      </w:r>
      <w:r w:rsidR="000B03A1">
        <w:t>s</w:t>
      </w:r>
      <w:r w:rsidR="0023680E">
        <w:t xml:space="preserve"> with the 3H framework across all three domains, and </w:t>
      </w:r>
      <w:r w:rsidR="00D002C9">
        <w:t xml:space="preserve">this has contributed to AIA’s remarkable results between 2010-2017, in which the company increased Value of New </w:t>
      </w:r>
      <w:r w:rsidR="000B03A1">
        <w:t>B</w:t>
      </w:r>
      <w:r w:rsidR="00D002C9">
        <w:t>usiness by 5.3 times</w:t>
      </w:r>
      <w:r w:rsidR="00972ECF">
        <w:t xml:space="preserve"> and</w:t>
      </w:r>
      <w:r w:rsidR="00D002C9">
        <w:t xml:space="preserve"> </w:t>
      </w:r>
      <w:r w:rsidR="00327258">
        <w:t>increased shareholder dividend</w:t>
      </w:r>
      <w:r w:rsidR="00972ECF">
        <w:t>s</w:t>
      </w:r>
      <w:r w:rsidR="00327258">
        <w:t xml:space="preserve"> amount</w:t>
      </w:r>
      <w:r w:rsidR="00972ECF">
        <w:t xml:space="preserve"> </w:t>
      </w:r>
      <w:r w:rsidR="00327258">
        <w:t>by over 3</w:t>
      </w:r>
      <w:r w:rsidR="00972ECF">
        <w:t xml:space="preserve"> times within 7 years.</w:t>
      </w:r>
      <w:r w:rsidR="00022E8B">
        <w:t xml:space="preserve"> </w:t>
      </w:r>
      <w:r w:rsidR="003E3430">
        <w:t>This paper validates Yu’s 3H holistic management framework’s applicability and effectiveness in analysing multinational organizations</w:t>
      </w:r>
      <w:r w:rsidR="004319EF">
        <w:t xml:space="preserve">, and offers </w:t>
      </w:r>
      <w:r w:rsidR="0023429A">
        <w:t xml:space="preserve">valuable </w:t>
      </w:r>
      <w:r w:rsidR="004319EF">
        <w:t xml:space="preserve">insights for integrating leadership, strategic planning, and competency building </w:t>
      </w:r>
      <w:r w:rsidR="00A85383">
        <w:t>to drive growth in the life insurance industry.</w:t>
      </w:r>
    </w:p>
    <w:p w14:paraId="32961E3E" w14:textId="233D0750" w:rsidR="00A85383" w:rsidRDefault="00846E5D" w:rsidP="0061119E">
      <w:pPr>
        <w:spacing w:line="360" w:lineRule="auto"/>
      </w:pPr>
      <w:r>
        <w:rPr>
          <w:b/>
          <w:bCs/>
        </w:rPr>
        <w:t xml:space="preserve">Key words: </w:t>
      </w:r>
      <w:r>
        <w:t xml:space="preserve">3H holistic management, </w:t>
      </w:r>
      <w:r w:rsidR="00355E5B">
        <w:t xml:space="preserve">leadership, strategy, </w:t>
      </w:r>
      <w:r w:rsidR="00183B3D">
        <w:t>competency, life insurance, Hong Kong</w:t>
      </w:r>
    </w:p>
    <w:p w14:paraId="13795ED4" w14:textId="77777777" w:rsidR="00123A77" w:rsidRPr="00846E5D" w:rsidRDefault="00123A77" w:rsidP="0061119E">
      <w:pPr>
        <w:spacing w:line="360" w:lineRule="auto"/>
      </w:pPr>
    </w:p>
    <w:p w14:paraId="424E5EB3" w14:textId="4598BE5B" w:rsidR="000F04AA" w:rsidRDefault="003D11F8" w:rsidP="0061119E">
      <w:pPr>
        <w:pStyle w:val="Heading1"/>
        <w:spacing w:line="360" w:lineRule="auto"/>
      </w:pPr>
      <w:bookmarkStart w:id="1" w:name="_Toc184573473"/>
      <w:r>
        <w:t>Introduction</w:t>
      </w:r>
      <w:bookmarkEnd w:id="1"/>
    </w:p>
    <w:p w14:paraId="4332FD42" w14:textId="7B7FA665" w:rsidR="000941F7" w:rsidRDefault="00E9013D" w:rsidP="0061119E">
      <w:pPr>
        <w:pStyle w:val="Heading2"/>
        <w:spacing w:line="360" w:lineRule="auto"/>
      </w:pPr>
      <w:bookmarkStart w:id="2" w:name="_Toc184573474"/>
      <w:r>
        <w:t xml:space="preserve">Background </w:t>
      </w:r>
      <w:r w:rsidR="00F07A60">
        <w:t>information</w:t>
      </w:r>
      <w:bookmarkEnd w:id="2"/>
    </w:p>
    <w:p w14:paraId="5D1A1914" w14:textId="0025A8DC" w:rsidR="00F14952" w:rsidRDefault="00F14952" w:rsidP="0061119E">
      <w:pPr>
        <w:pStyle w:val="Heading3"/>
        <w:spacing w:line="360" w:lineRule="auto"/>
      </w:pPr>
      <w:bookmarkStart w:id="3" w:name="_Toc184573475"/>
      <w:r>
        <w:t>Background of the research</w:t>
      </w:r>
      <w:bookmarkEnd w:id="3"/>
    </w:p>
    <w:p w14:paraId="08EC3B29" w14:textId="78542D98" w:rsidR="00FA2D8E" w:rsidRDefault="0021618E" w:rsidP="0061119E">
      <w:pPr>
        <w:spacing w:line="360" w:lineRule="auto"/>
      </w:pPr>
      <w:r>
        <w:t xml:space="preserve">29 </w:t>
      </w:r>
      <w:r w:rsidR="00981AD5">
        <w:t xml:space="preserve">October 2010 was a historical day for AIA Group </w:t>
      </w:r>
      <w:r w:rsidR="00363FA7">
        <w:t xml:space="preserve">Limited (“AIA”) </w:t>
      </w:r>
      <w:r w:rsidR="00981AD5">
        <w:t xml:space="preserve">as it </w:t>
      </w:r>
      <w:r w:rsidR="00BC75DA">
        <w:t xml:space="preserve">became an independent company </w:t>
      </w:r>
      <w:r w:rsidR="008B6D71">
        <w:t>by successfully listing on the Main Board of The Stock Exchange of Hong Kong Limited</w:t>
      </w:r>
      <w:r w:rsidR="00CF4709">
        <w:t xml:space="preserve"> (HKEX)</w:t>
      </w:r>
      <w:r w:rsidR="008B6D71">
        <w:t xml:space="preserve">, officially separating </w:t>
      </w:r>
      <w:r w:rsidR="00AB10A9">
        <w:t xml:space="preserve">from </w:t>
      </w:r>
      <w:r w:rsidR="00FB4A6E">
        <w:t xml:space="preserve">its </w:t>
      </w:r>
      <w:r w:rsidR="00AB10A9">
        <w:t xml:space="preserve">struggling </w:t>
      </w:r>
      <w:r w:rsidR="006522AF">
        <w:t xml:space="preserve">American parent American International Group (AIG). </w:t>
      </w:r>
      <w:r w:rsidR="00F20266">
        <w:t xml:space="preserve">While the </w:t>
      </w:r>
      <w:r w:rsidR="00304AC2">
        <w:t>initial public offering</w:t>
      </w:r>
      <w:r w:rsidR="00F20266">
        <w:t xml:space="preserve"> process was a success, AIA was facing </w:t>
      </w:r>
      <w:r w:rsidR="004B5490">
        <w:t xml:space="preserve">significant challenges in restoring employee and agent morale, </w:t>
      </w:r>
      <w:r w:rsidR="00BD52FD">
        <w:t xml:space="preserve">maintaining growth momentum, </w:t>
      </w:r>
      <w:r w:rsidR="00BB4408">
        <w:t>dealing with increased competition, and establishing a clear independent identity</w:t>
      </w:r>
      <w:r w:rsidR="00D9075D">
        <w:t xml:space="preserve"> </w:t>
      </w:r>
      <w:r w:rsidR="00F57C14">
        <w:fldChar w:fldCharType="begin"/>
      </w:r>
      <w:r w:rsidR="00F57C14">
        <w:instrText xml:space="preserve"> ADDIN ZOTERO_ITEM CSL_CITATION {"citationID":"renz5K9o","properties":{"formattedCitation":"(Cheng, 2012, 2013)","plainCitation":"(Cheng, 2012, 2013)","noteIndex":0},"citationItems":[{"id":473,"uris":["http://zotero.org/users/local/zH9ZQvD1/items/JY7EIK6P"],"itemData":{"id":473,"type":"webpage","abstract":"Hong Kong–based company pursues acquisitions to expand its footprint as one of the leading pan-Asian insurers.","container-title":"Institutional Investor","language":"en","note":"section: Portfolio","title":"Freed of AIG’s Control, AIA Group Prospers in Asia","URL":"https://www.institutionalinvestor.com/article/2bsvoavxwipuxuho23xts/portfolio/freed-of-aigs-control-aia-group-prospers-in-asia","author":[{"family":"Cheng","given":"Allen"}],"accessed":{"date-parts":[["2024",11,23]]},"issued":{"date-parts":[["2012",11,26]]}}},{"id":472,"uris":["http://zotero.org/users/local/zH9ZQvD1/items/ZN9JNR6S"],"itemData":{"id":472,"type":"webpage","abstract":"CEO Mark Tucker is using his newfound independence from AIG to expand the Hong Kong insurer’s franchise across the region.","container-title":"Institutional Investor","language":"en","note":"section: Portfolio","title":"AIA Group Stakes Its Claim for Leadership of Asia’s Insurance Market","URL":"https://www.institutionalinvestor.com/article/2bsu1279xbcv5jjz2fzls/portfolio/aia-group-stakes-its-claim-for-leadership-of-asias-insurance-market","author":[{"family":"Cheng","given":"Allen"}],"accessed":{"date-parts":[["2024",11,23]]},"issued":{"date-parts":[["2013",2,21]]}}}],"schema":"https://github.com/citation-style-language/schema/raw/master/csl-citation.json"} </w:instrText>
      </w:r>
      <w:r w:rsidR="00F57C14">
        <w:fldChar w:fldCharType="separate"/>
      </w:r>
      <w:r w:rsidR="00F57C14" w:rsidRPr="00F57C14">
        <w:rPr>
          <w:rFonts w:ascii="Aptos" w:hAnsi="Aptos"/>
        </w:rPr>
        <w:t>(Cheng, 2012, 2013)</w:t>
      </w:r>
      <w:r w:rsidR="00F57C14">
        <w:fldChar w:fldCharType="end"/>
      </w:r>
      <w:r w:rsidR="00BB4408">
        <w:t xml:space="preserve">. </w:t>
      </w:r>
      <w:r w:rsidR="00B35A13">
        <w:t>Such were the challenges that AIA’s new Group CEO, Mark Tucker, faced when he joined from Prudential in July 2010.</w:t>
      </w:r>
    </w:p>
    <w:p w14:paraId="4D410DE0" w14:textId="4C0CEC65" w:rsidR="00F14952" w:rsidRDefault="00483216" w:rsidP="0061119E">
      <w:pPr>
        <w:spacing w:line="360" w:lineRule="auto"/>
      </w:pPr>
      <w:r>
        <w:lastRenderedPageBreak/>
        <w:t xml:space="preserve">This paper </w:t>
      </w:r>
      <w:r w:rsidR="002F2E57">
        <w:t xml:space="preserve">aims to apply </w:t>
      </w:r>
      <w:r w:rsidR="00AB467A">
        <w:t xml:space="preserve">the </w:t>
      </w:r>
      <w:r w:rsidR="002F2E57">
        <w:t>3H framework</w:t>
      </w:r>
      <w:r w:rsidR="006A1782">
        <w:t xml:space="preserve"> </w:t>
      </w:r>
      <w:r w:rsidR="0042502D">
        <w:fldChar w:fldCharType="begin"/>
      </w:r>
      <w:r w:rsidR="0042502D">
        <w:instrText xml:space="preserve"> ADDIN ZOTERO_ITEM CSL_CITATION {"citationID":"gzDKl3QU","properties":{"formattedCitation":"(Yu, 2023)","plainCitation":"(Yu, 2023)","noteIndex":0},"citationItems":[{"id":480,"uris":["http://zotero.org/users/local/zH9ZQvD1/items/YZDBG4FX"],"itemData":{"id":480,"type":"document","title":"Introducing Eddie Yu’s 3H Holistic Management Framework","author":[{"family":"Yu","given":"Eddie"}],"issued":{"date-parts":[["2023"]]}}}],"schema":"https://github.com/citation-style-language/schema/raw/master/csl-citation.json"} </w:instrText>
      </w:r>
      <w:r w:rsidR="0042502D">
        <w:fldChar w:fldCharType="separate"/>
      </w:r>
      <w:r w:rsidR="0042502D" w:rsidRPr="0042502D">
        <w:rPr>
          <w:rFonts w:ascii="Aptos" w:hAnsi="Aptos"/>
        </w:rPr>
        <w:t>(Yu, 2023)</w:t>
      </w:r>
      <w:r w:rsidR="0042502D">
        <w:fldChar w:fldCharType="end"/>
      </w:r>
      <w:r w:rsidR="00F256F4">
        <w:t xml:space="preserve"> </w:t>
      </w:r>
      <w:r w:rsidR="00242564">
        <w:t>to a case study of AIA</w:t>
      </w:r>
      <w:r w:rsidR="00E82FC4">
        <w:t xml:space="preserve">, specifically during the period of 2010-2017, where Mark Tucker was </w:t>
      </w:r>
      <w:r w:rsidR="00920567">
        <w:t xml:space="preserve">then </w:t>
      </w:r>
      <w:r w:rsidR="006A1782">
        <w:t>Group CEO.</w:t>
      </w:r>
      <w:r w:rsidR="003B3FE4">
        <w:t xml:space="preserve"> </w:t>
      </w:r>
      <w:r w:rsidR="00D15E92">
        <w:t xml:space="preserve">Yu’s 3H framework offers a holistic approach to manage organisational </w:t>
      </w:r>
      <w:r w:rsidR="00D23BFF">
        <w:t>issues</w:t>
      </w:r>
      <w:r w:rsidR="0048177C">
        <w:t>, and t</w:t>
      </w:r>
      <w:r w:rsidR="001D1727">
        <w:t xml:space="preserve">he framework </w:t>
      </w:r>
      <w:r w:rsidR="0048177C">
        <w:t xml:space="preserve">is </w:t>
      </w:r>
      <w:r w:rsidR="001D1727">
        <w:t>comprise</w:t>
      </w:r>
      <w:r w:rsidR="0048177C">
        <w:t>d of</w:t>
      </w:r>
      <w:r w:rsidR="001D1727">
        <w:t xml:space="preserve"> three key domains: Heart, Head, and Hand</w:t>
      </w:r>
      <w:r w:rsidR="00F256F4">
        <w:t xml:space="preserve"> </w:t>
      </w:r>
      <w:r w:rsidR="00F256F4">
        <w:fldChar w:fldCharType="begin"/>
      </w:r>
      <w:r w:rsidR="00690590">
        <w:instrText xml:space="preserve"> ADDIN ZOTERO_ITEM CSL_CITATION {"citationID":"0X5viNuf","properties":{"formattedCitation":"(Yu, 2021, 2023)","plainCitation":"(Yu, 2021, 2023)","noteIndex":0},"citationItems":[{"id":477,"uris":["http://zotero.org/users/local/zH9ZQvD1/items/ZB6E9T3D"],"itemData":{"id":477,"type":"article-journal","abstract":"This paper attempts to theorise about China’s strategy in combating the coronavirus pandemic with an embryonic framework - 3H (Heart-Head-Hand) framework. By adopting a descriptive approach, the paper introduces the case of coronavirus outbreak in China and how the public health administration coped with it. The 3H framework has been applied to analyse China’s strategy, and the framework’s assumptions are initially tested.,The pandemic case is created based on credible reports, press releases from different respected sources, World Health Organization (WHO) statistics, interview transcripts and broadcasting stations’ video clippings. Interpretive analysis with pragmatism approach has been conducted in analysing the data and information collected. Triangulation, wherever possible, has been done to validate the data and information.,As an exploratory study, its findings show that 3H framework distinguishes the effectiveness of a country’s strategy and practice for combating the pandemic. Countries, which failed to observe the assumed principles of 3H domains tend to have much more infected cases and deaths.,The 3H framework conceptualised a holistic management approach and its assumptions have been initially tested with this pandemic case. The framework shows its predictability value for a country’s pandemic management effectiveness.","archive_location":"world","container-title":"Public Administration and Policy","DOI":"10.1108/PAP-12-2020-0055","ISSN":"2517-679X","issue":"1","language":"en","note":"publisher: Emerald Publishing Limited","page":"76-91","source":"www.emerald.com","title":"An analysis of China’s strategy in combating the coronavirus pandemic with the 3H framework","volume":"24","author":[{"family":"Yu","given":"Eddie"}],"issued":{"date-parts":[["2021",4,6]]}}},{"id":480,"uris":["http://zotero.org/users/local/zH9ZQvD1/items/YZDBG4FX"],"itemData":{"id":480,"type":"document","title":"Introducing Eddie Yu’s 3H Holistic Management Framework","author":[{"family":"Yu","given":"Eddie"}],"issued":{"date-parts":[["2023"]]}}}],"schema":"https://github.com/citation-style-language/schema/raw/master/csl-citation.json"} </w:instrText>
      </w:r>
      <w:r w:rsidR="00F256F4">
        <w:fldChar w:fldCharType="separate"/>
      </w:r>
      <w:r w:rsidR="00690590" w:rsidRPr="00690590">
        <w:rPr>
          <w:rFonts w:ascii="Aptos" w:hAnsi="Aptos"/>
        </w:rPr>
        <w:t>(Yu, 2021, 2023)</w:t>
      </w:r>
      <w:r w:rsidR="00F256F4">
        <w:fldChar w:fldCharType="end"/>
      </w:r>
      <w:r w:rsidR="00690590">
        <w:t>.</w:t>
      </w:r>
      <w:r w:rsidR="00BB567E">
        <w:t xml:space="preserve"> </w:t>
      </w:r>
      <w:r w:rsidR="00251131">
        <w:t>Using a qualitative case study</w:t>
      </w:r>
      <w:r w:rsidR="00BB567E">
        <w:t>, I plan to evaluate the framework’s applicability to</w:t>
      </w:r>
      <w:r w:rsidR="00A143E2">
        <w:t xml:space="preserve"> </w:t>
      </w:r>
      <w:r w:rsidR="00C64D41">
        <w:t>leadership</w:t>
      </w:r>
      <w:r w:rsidR="00A143E2">
        <w:t xml:space="preserve">, strategy, and performance </w:t>
      </w:r>
      <w:r w:rsidR="00B43510">
        <w:t xml:space="preserve">of </w:t>
      </w:r>
      <w:r w:rsidR="00F15B83">
        <w:t>AIA Group</w:t>
      </w:r>
      <w:r w:rsidR="00B43510">
        <w:t xml:space="preserve">. </w:t>
      </w:r>
      <w:r w:rsidR="00FA2D86">
        <w:t xml:space="preserve">This paper will analyse AIA’s leadership, strategic planning, and </w:t>
      </w:r>
      <w:r w:rsidR="003954E3">
        <w:t xml:space="preserve">execution focus aligned with </w:t>
      </w:r>
      <w:r w:rsidR="00EA6B8D">
        <w:t xml:space="preserve">the 3H framework. </w:t>
      </w:r>
    </w:p>
    <w:p w14:paraId="3834CFF1" w14:textId="77777777" w:rsidR="00F14952" w:rsidRPr="001E71FB" w:rsidRDefault="00F14952" w:rsidP="0061119E">
      <w:pPr>
        <w:spacing w:line="360" w:lineRule="auto"/>
      </w:pPr>
    </w:p>
    <w:p w14:paraId="6A693FA3" w14:textId="11A3A9C4" w:rsidR="001F1746" w:rsidRDefault="007F2312" w:rsidP="0061119E">
      <w:pPr>
        <w:pStyle w:val="Heading3"/>
        <w:spacing w:line="360" w:lineRule="auto"/>
      </w:pPr>
      <w:bookmarkStart w:id="4" w:name="_Toc184573476"/>
      <w:r>
        <w:t>AIA Group</w:t>
      </w:r>
      <w:r w:rsidR="00D4569B">
        <w:t xml:space="preserve"> (2010-2017)</w:t>
      </w:r>
      <w:bookmarkEnd w:id="4"/>
    </w:p>
    <w:p w14:paraId="5BFF9535" w14:textId="5C392DB6" w:rsidR="00797451" w:rsidRDefault="005B38D2" w:rsidP="0061119E">
      <w:pPr>
        <w:pStyle w:val="Heading4"/>
        <w:spacing w:line="360" w:lineRule="auto"/>
      </w:pPr>
      <w:r>
        <w:t>Emerging from adversity</w:t>
      </w:r>
      <w:r w:rsidR="00FB26FA">
        <w:t>: a new chapter for AIA</w:t>
      </w:r>
    </w:p>
    <w:p w14:paraId="4A3237E0" w14:textId="205E4812" w:rsidR="00F35BBD" w:rsidRDefault="007F22E7" w:rsidP="0061119E">
      <w:pPr>
        <w:spacing w:line="360" w:lineRule="auto"/>
      </w:pPr>
      <w:r>
        <w:t xml:space="preserve">AIA is one of the largest publicly listed life insurance companies and has a rich history dating back to 1919. </w:t>
      </w:r>
      <w:r w:rsidR="00447900">
        <w:t xml:space="preserve">The period of 2010 to 2017 was of particular importance as it marked a significant era of transformation and growth </w:t>
      </w:r>
      <w:r w:rsidR="005A1C9A">
        <w:t>for the Asia-focused life insurance behemoth</w:t>
      </w:r>
      <w:r w:rsidR="00F35BBD">
        <w:t>.</w:t>
      </w:r>
    </w:p>
    <w:p w14:paraId="70A205EE" w14:textId="41014F3A" w:rsidR="00F37D3D" w:rsidRDefault="00CF58E8" w:rsidP="0061119E">
      <w:pPr>
        <w:spacing w:line="360" w:lineRule="auto"/>
      </w:pPr>
      <w:r>
        <w:t xml:space="preserve">AIA </w:t>
      </w:r>
      <w:r w:rsidR="00001469">
        <w:t xml:space="preserve">operated in 15 </w:t>
      </w:r>
      <w:r w:rsidR="00D27437">
        <w:t xml:space="preserve">Asian markets and </w:t>
      </w:r>
      <w:r>
        <w:t xml:space="preserve">was a reputable </w:t>
      </w:r>
      <w:r w:rsidR="00FA15D0">
        <w:t xml:space="preserve">and trusted </w:t>
      </w:r>
      <w:r w:rsidR="00567703">
        <w:t xml:space="preserve">life insurance company </w:t>
      </w:r>
      <w:r>
        <w:t xml:space="preserve">in Asia until the </w:t>
      </w:r>
      <w:r w:rsidR="00EF04F4">
        <w:t xml:space="preserve">global </w:t>
      </w:r>
      <w:r w:rsidR="00515EAB">
        <w:t xml:space="preserve">financial crisis in </w:t>
      </w:r>
      <w:r w:rsidR="004D1157">
        <w:t>2008</w:t>
      </w:r>
      <w:r w:rsidR="006B225A">
        <w:t xml:space="preserve"> when its American parent, AIG, was bailed out by the US government</w:t>
      </w:r>
      <w:r w:rsidR="00435290">
        <w:t xml:space="preserve"> </w:t>
      </w:r>
      <w:r w:rsidR="00435290">
        <w:fldChar w:fldCharType="begin"/>
      </w:r>
      <w:r w:rsidR="00435290">
        <w:instrText xml:space="preserve"> ADDIN ZOTERO_ITEM CSL_CITATION {"citationID":"YF6KScUC","properties":{"formattedCitation":"({\\i{}AIG Program Status}, 2024; Sjostrum, 2009)","plainCitation":"(AIG Program Status, 2024; Sjostrum, 2009)","noteIndex":0},"citationItems":[{"id":484,"uris":["http://zotero.org/users/local/zH9ZQvD1/items/WWLLMXSH"],"itemData":{"id":484,"type":"webpage","abstract":"During the financial crisis, the government's overall support for AIG totaled approximately $182 billion. That included nearly $70 billion that Treasury committed through TARP and $112 billion committed by the Federal Reserve Bank of New York (FRBNY). In December 2012, Treasury sold its remaining 234,169,156 shares of AIG common stock in an underwritten public offering for aggregate proceeds of approximately $7.6 billion. Giving effect to this sale, the overall positive return on the Federal Reserve and Treasury's combined $182 billion commitment to stabilize AIG during the financial crisis is now $22.7 billion, with Treasury realizing a positive return of $5.0 billion and the Federal Reserve realizing a positive return of $17.7 billion. As part of its overall $5.0 billion positive return to date, Treasury realized a $4.1 billion positive return on its common stock holdings and a $0.9 billion positive return on its preferred stock holdings. Included in the Federal Reserve's $17.7 billion positive return to date is a $6.8 billion positive return on the Federal Reserve Bank of New York's (FRBNY) loans to AIG; a $1.4 billion positive return on preferred interests in the AIA Aurora and ALICO special purpose vehicles that held AIG's largest foreign life insurance subsidiaries; and a combined $9.5 billion positive return on the Maiden Lane II &amp; III special purpose vehicles. The combined profit of $9.5 billion from the Maiden Lane II and III special purpose vehicles, which purchased mortgage-related assets from AIG and its counterparties, represented the largest portion of the overall $22.7 billion positive return.   Max Combined Commitment Repayments, Canceled/Reduced Commitments, Interest/Fees/Gains Positive Return Federal Reserve $112.5 billion $130.2 billion + $17.7 billion Fed Loans to AIG1 $35.0 billion $41.8 billion + $6.8 billion AIA/ALICO SPV, Preferred Interests $25.0 billion $26.4 billion + $1.4 billion Maiden Lane II &amp; III $52.5 billion $62.0 billion + $9.5 billion Treasury $69.8 billion $74.8 billion + $5.0 billion Common Stock $47.5 billion $51.6 billion + $4.1 billion Preferred Stock $22.3 billion $23.2 billion + $0.9 billion Total $182.3 billion $205.0 billion + $22.7 billion Since the financial crisis, AIG has undertaken a dramatic restructuring effort, which put it in a stronger position to repay taxpayers. The size of the company has been cut nearly in half as it sold non-core assets and focused on its core insurance operations. AIG's Financial Products unit (AIGFP) is continuing to be wound down and has cut its legacy derivatives exposure by more than 93 percent to date. Over the last 19 months, Treasury conducted six public offerings of AIG common stock, selling a total of 1,655,037,962 shares (originally 92 percent of AIG’s outstanding common stock) at an average price of $31.18 per share. Treasury's $20.7 billion AIG common stock offering in September 2012 alone represented the largest single U.S. common stock offering in history. Following are key events since the restructuring in early 2011. View an info graphic detailing all major AIG transactions through September 2012. February 2011 AIG repaid Treasury $2.2 billion in proceeds from the sale of its subsidiaries AIG Star Life Insurance Co., Ltd. and AIG Edison Life Insurance Company to Prudential Financial, Inc. March 2011 AIG repaid Treasury $6.9 billion to reduce an equal share of Treasury’s preferred equity interest in AIG. The proceeds came from AIG’s sale of its equity stake in MetLife and from funds previously held in anticipation of expenses related to the sale of its American Life Insurance Co. (ALICO) to MetLife. May 2011 Treasury sold 200 million shares of AIG common stock for proceeds of $5.8 billion, and cancelled $2 billion of previously committed -- but undrawn – funds. August 2011 AIG repaid Treasury $2.15 billion funded through the proceeds from the sale of AIG’s Nan Shan life insurance subsidiary. The proceeds were used to pay back the U.S. taxpayers’ investment in AIG through the redemption of an equal portion of Treasury’s preferred equity interests in AIA Aurora LLC, a subsidiary of AIG. November 2011 Treasury received a repayment from AIG of $972 million. The payment was funded primarily through the scheduled release of escrowed proceeds from AIG’s sale of ALICO, subsidiary to MetLife, Inc. The proceeds were used to pay back the U.S. taxpayers’ investment in AIG through the redemption of an equal portion of Treasury’s preferred equity interests in AIA Aurora LLC, a subsidiary of AIG. February 2012 The loan by the FRBNY to Maiden Lane II was fully repaid. March 2012 Treasury sold 207 million shares of AIG common stock for proceeds of $6.0 billion. In addition, AIG fully repaid Treasury’s remaining preferred equity investment in the AIG-owned entity AIA Aurora LLC (AIA SPV) – a special purpose vehicle that holds ordinary shares in AIA Group Limited (AIA) – more than a year ahead of schedule. May 2012 Treasury sold approximately 188.5 million shares of AIG common stock, for proceeds of approximately $5.75 billion. June 2012 FRBNY's remaining loan to Maiden Lane III (ML III) was fully repaid with interest. This marked the retirement of the last remaining debts owed to the FRBNY from its investment in AIG. The FRBNY also has the right to recover certain additional residual profits from assets held by ML III. For additional details on the FRBNY’s investment related to AIG, please visit the FRBNY's website. August 2012 Treasury sold approximately 188.5 million shares of its AIG common stock for aggregate proceeds of approximately $5.75 billion. August 2012 Sale of final remaining securities held in Maiden Lane III. Total gain from Maiden Lane II portfolio for the Fed is $6.6 billion. September 2012 Treasury sold 636.9 million shares of AIG common stock for aggregate proceeds of approximately $20.7 billion. December 2012 Treasury sold its remaining 234.2 million shares of AIG common stock for aggregate proceeds of approximately $7.6 billion. March 2013 On March 1, AIG repurchased warrants issued to Treasury in 2008 and 2009 for approximately $25 million. Following this sale, Treasury has no residual interest in AIG.","container-title":"U.S. Department of the Treasury","language":"en","title":"AIG Program Status","URL":"https://home.treasury.gov/data/troubled-assets-relief-program/aig/status","accessed":{"date-parts":[["2024",11,23]]},"issued":{"date-parts":[["2024",11,19]]}}},{"id":482,"uris":["http://zotero.org/users/local/zH9ZQvD1/items/CVJJDLX5"],"itemData":{"id":482,"type":"article-journal","container-title":"Washington and Lee Law Review","ISSN":"0043-0463","issue":"3","page":"943","source":"COinS","title":"The AIG Bailout","volume":"66","author":[{"family":"Sjostrum,","given":"William"}],"issued":{"date-parts":[["2009",6,1]]}}}],"schema":"https://github.com/citation-style-language/schema/raw/master/csl-citation.json"} </w:instrText>
      </w:r>
      <w:r w:rsidR="00435290">
        <w:fldChar w:fldCharType="separate"/>
      </w:r>
      <w:r w:rsidR="00435290" w:rsidRPr="00435290">
        <w:rPr>
          <w:rFonts w:ascii="Aptos" w:hAnsi="Aptos" w:cs="Times New Roman"/>
          <w:kern w:val="0"/>
        </w:rPr>
        <w:t>(</w:t>
      </w:r>
      <w:r w:rsidR="00435290" w:rsidRPr="00435290">
        <w:rPr>
          <w:rFonts w:ascii="Aptos" w:hAnsi="Aptos" w:cs="Times New Roman"/>
          <w:i/>
          <w:iCs/>
          <w:kern w:val="0"/>
        </w:rPr>
        <w:t>AIG Program Status</w:t>
      </w:r>
      <w:r w:rsidR="00435290" w:rsidRPr="00435290">
        <w:rPr>
          <w:rFonts w:ascii="Aptos" w:hAnsi="Aptos" w:cs="Times New Roman"/>
          <w:kern w:val="0"/>
        </w:rPr>
        <w:t xml:space="preserve">, 2024; </w:t>
      </w:r>
      <w:proofErr w:type="spellStart"/>
      <w:r w:rsidR="00435290" w:rsidRPr="00435290">
        <w:rPr>
          <w:rFonts w:ascii="Aptos" w:hAnsi="Aptos" w:cs="Times New Roman"/>
          <w:kern w:val="0"/>
        </w:rPr>
        <w:t>Sjostrum</w:t>
      </w:r>
      <w:proofErr w:type="spellEnd"/>
      <w:r w:rsidR="00435290" w:rsidRPr="00435290">
        <w:rPr>
          <w:rFonts w:ascii="Aptos" w:hAnsi="Aptos" w:cs="Times New Roman"/>
          <w:kern w:val="0"/>
        </w:rPr>
        <w:t>, 2009)</w:t>
      </w:r>
      <w:r w:rsidR="00435290">
        <w:fldChar w:fldCharType="end"/>
      </w:r>
      <w:r w:rsidR="006B225A">
        <w:t xml:space="preserve">. </w:t>
      </w:r>
      <w:r w:rsidR="00A468FD">
        <w:t xml:space="preserve">Substantial volatility </w:t>
      </w:r>
      <w:r w:rsidR="006049C3">
        <w:t xml:space="preserve">in markets and uncertainty for employees, agents, partners, and customers </w:t>
      </w:r>
      <w:r w:rsidR="000D085E">
        <w:t xml:space="preserve">surrounded AIA. </w:t>
      </w:r>
      <w:r w:rsidR="00282F69">
        <w:t xml:space="preserve">The situation worsened when an initial IPO attempt was aborted in the first quarter of 2010, </w:t>
      </w:r>
      <w:r w:rsidR="0012427F">
        <w:t xml:space="preserve">followed by a failed </w:t>
      </w:r>
      <w:r w:rsidR="00D35E7E">
        <w:t xml:space="preserve">takeover attempt by </w:t>
      </w:r>
      <w:r w:rsidR="007C4317">
        <w:t>UK’s Prudential for US$ 35.5 billion after months of negotiations</w:t>
      </w:r>
      <w:r w:rsidR="00206812">
        <w:t xml:space="preserve"> </w:t>
      </w:r>
      <w:r w:rsidR="002432F3">
        <w:fldChar w:fldCharType="begin"/>
      </w:r>
      <w:r w:rsidR="002432F3">
        <w:instrText xml:space="preserve"> ADDIN ZOTERO_ITEM CSL_CITATION {"citationID":"kR9y4PQ7","properties":{"formattedCitation":"({\\i{}AIA Investor Relations}, n.d.; Cheng, 2012)","plainCitation":"(AIA Investor Relations, n.d.; Cheng, 2012)","noteIndex":0},"citationItems":[{"id":487,"uris":["http://zotero.org/users/local/zH9ZQvD1/items/PHQRSH3N"],"itemData":{"id":487,"type":"webpage","abstract":"Chatbot powered by Google Dialogflow and GoPomelo","container-title":"AIA Results and Reports","language":"en","title":"AIA Investor Relations","URL":"https://www.aia.com/en/investor-relations/overview/results-presentations","accessed":{"date-parts":[["2024",11,23]]}}},{"id":473,"uris":["http://zotero.org/users/local/zH9ZQvD1/items/JY7EIK6P"],"itemData":{"id":473,"type":"webpage","abstract":"Hong Kong–based company pursues acquisitions to expand its footprint as one of the leading pan-Asian insurers.","container-title":"Institutional Investor","language":"en","note":"section: Portfolio","title":"Freed of AIG’s Control, AIA Group Prospers in Asia","URL":"https://www.institutionalinvestor.com/article/2bsvoavxwipuxuho23xts/portfolio/freed-of-aigs-control-aia-group-prospers-in-asia","author":[{"family":"Cheng","given":"Allen"}],"accessed":{"date-parts":[["2024",11,23]]},"issued":{"date-parts":[["2012",11,26]]}}}],"schema":"https://github.com/citation-style-language/schema/raw/master/csl-citation.json"} </w:instrText>
      </w:r>
      <w:r w:rsidR="002432F3">
        <w:fldChar w:fldCharType="separate"/>
      </w:r>
      <w:r w:rsidR="002432F3" w:rsidRPr="002432F3">
        <w:rPr>
          <w:rFonts w:ascii="Aptos" w:hAnsi="Aptos" w:cs="Times New Roman"/>
          <w:kern w:val="0"/>
        </w:rPr>
        <w:t>(</w:t>
      </w:r>
      <w:r w:rsidR="002432F3" w:rsidRPr="002432F3">
        <w:rPr>
          <w:rFonts w:ascii="Aptos" w:hAnsi="Aptos" w:cs="Times New Roman"/>
          <w:i/>
          <w:iCs/>
          <w:kern w:val="0"/>
        </w:rPr>
        <w:t>AIA Investor Relations</w:t>
      </w:r>
      <w:r w:rsidR="002432F3" w:rsidRPr="002432F3">
        <w:rPr>
          <w:rFonts w:ascii="Aptos" w:hAnsi="Aptos" w:cs="Times New Roman"/>
          <w:kern w:val="0"/>
        </w:rPr>
        <w:t>, n.d.; Cheng, 2012)</w:t>
      </w:r>
      <w:r w:rsidR="002432F3">
        <w:fldChar w:fldCharType="end"/>
      </w:r>
      <w:r w:rsidR="00643B44">
        <w:t>.</w:t>
      </w:r>
    </w:p>
    <w:p w14:paraId="39E14389" w14:textId="68788E40" w:rsidR="00FC0BA4" w:rsidRDefault="00257734" w:rsidP="0061119E">
      <w:pPr>
        <w:spacing w:line="360" w:lineRule="auto"/>
      </w:pPr>
      <w:r>
        <w:t>To initiate a</w:t>
      </w:r>
      <w:r w:rsidR="00340D82">
        <w:t xml:space="preserve"> significant</w:t>
      </w:r>
      <w:r>
        <w:t xml:space="preserve"> transformation, AIA appointed Mark Tucker, </w:t>
      </w:r>
      <w:r w:rsidR="0006666D">
        <w:t xml:space="preserve">previously of Prudential, as Group CEO. Tucker, a former professional football player in England who became a chartered account, made an immediate impact upon his arrival in </w:t>
      </w:r>
      <w:r w:rsidR="00303AA8">
        <w:t>July 2010.</w:t>
      </w:r>
      <w:r w:rsidR="00F070C9">
        <w:t xml:space="preserve"> </w:t>
      </w:r>
      <w:r w:rsidR="00BA10F3">
        <w:t xml:space="preserve">Tucker focused on </w:t>
      </w:r>
      <w:r w:rsidR="009559E0">
        <w:t>building a business that is both sustainable and profitable</w:t>
      </w:r>
      <w:r w:rsidR="00013558">
        <w:t xml:space="preserve">, and he acknowledged that </w:t>
      </w:r>
      <w:r w:rsidR="00887AEE">
        <w:t xml:space="preserve">it was a rare opportunity to run a company that is a blue chip yet well-positioned </w:t>
      </w:r>
      <w:r w:rsidR="008C6474">
        <w:t xml:space="preserve">for profitable growth </w:t>
      </w:r>
      <w:r w:rsidR="008C6474">
        <w:fldChar w:fldCharType="begin"/>
      </w:r>
      <w:r w:rsidR="008C6474">
        <w:instrText xml:space="preserve"> ADDIN ZOTERO_ITEM CSL_CITATION {"citationID":"uMEcNfFx","properties":{"formattedCitation":"(White, 2011)","plainCitation":"(White, 2011)","noteIndex":0},"citationItems":[{"id":488,"uris":["http://zotero.org/users/local/zH9ZQvD1/items/5MRI3X5I"],"itemData":{"id":488,"type":"webpage","abstract":"Asian insurer AIA reports record first half results today. In an exclusive interview with Euromoney, CEO Mark Tucker explains what has been driving the company’s remarkable post-IPO growth, and how it came to beat analysts' expectations","container-title":"Euromoney","language":"en","note":"section: BANKING","title":"AIA’s Mark Tucker: How we achieved record results","title-short":"AIA’s Mark Tucker","URL":"https://www.euromoney.com/article/b12kjdsttcns0y/aias-mark-tucker-how-we-achieved-record-results","author":[{"family":"White","given":"Lawrence"}],"accessed":{"date-parts":[["2024",11,23]]},"issued":{"date-parts":[["2011",7,28]]}}}],"schema":"https://github.com/citation-style-language/schema/raw/master/csl-citation.json"} </w:instrText>
      </w:r>
      <w:r w:rsidR="008C6474">
        <w:fldChar w:fldCharType="separate"/>
      </w:r>
      <w:r w:rsidR="008C6474" w:rsidRPr="008C6474">
        <w:rPr>
          <w:rFonts w:ascii="Aptos" w:hAnsi="Aptos"/>
        </w:rPr>
        <w:t>(White, 2011)</w:t>
      </w:r>
      <w:r w:rsidR="008C6474">
        <w:fldChar w:fldCharType="end"/>
      </w:r>
      <w:r w:rsidR="008C6474">
        <w:t xml:space="preserve">. </w:t>
      </w:r>
      <w:r w:rsidR="00270FDD">
        <w:t>To</w:t>
      </w:r>
      <w:r w:rsidR="00D9547A">
        <w:t xml:space="preserve"> capitalize on thi</w:t>
      </w:r>
      <w:r w:rsidR="00421270">
        <w:t xml:space="preserve">s opportunity, Tucker immediately made key changes to the </w:t>
      </w:r>
      <w:r w:rsidR="00AD6502">
        <w:t>senior management team and reporting structures</w:t>
      </w:r>
      <w:r w:rsidR="009C7AA2">
        <w:t xml:space="preserve">. Most notably, </w:t>
      </w:r>
      <w:r w:rsidR="00841418">
        <w:t>he appointed three Regional Managing Directors (</w:t>
      </w:r>
      <w:r w:rsidR="00626F17">
        <w:t xml:space="preserve">referred to as </w:t>
      </w:r>
      <w:r w:rsidR="00841418">
        <w:t>Regional Chief Executives from 201</w:t>
      </w:r>
      <w:r w:rsidR="00626F17">
        <w:t>1 onwards</w:t>
      </w:r>
      <w:r w:rsidR="00C453F7">
        <w:t>)</w:t>
      </w:r>
      <w:r w:rsidR="0028094E">
        <w:t>, a new Group C</w:t>
      </w:r>
      <w:r w:rsidR="008D77F3">
        <w:t>hief Financial Officer, Group Head of Business Strategy,</w:t>
      </w:r>
      <w:r w:rsidR="00BC73EF">
        <w:t xml:space="preserve"> Group Chief Marketing Officer, Group Chief Distribution Officer and Group HR Director,</w:t>
      </w:r>
      <w:r w:rsidR="008D77F3">
        <w:t xml:space="preserve"> </w:t>
      </w:r>
      <w:r w:rsidR="00C453F7">
        <w:t>and</w:t>
      </w:r>
      <w:r w:rsidR="00DA7500">
        <w:t xml:space="preserve"> implemented </w:t>
      </w:r>
      <w:r w:rsidR="00626F17">
        <w:t xml:space="preserve">the empowerment model to increase </w:t>
      </w:r>
      <w:r w:rsidR="007F1553">
        <w:t>accountability and authorities for country CEOs</w:t>
      </w:r>
      <w:r w:rsidR="00DA7500">
        <w:t>.</w:t>
      </w:r>
      <w:r w:rsidR="002E52D0">
        <w:t xml:space="preserve"> </w:t>
      </w:r>
      <w:r w:rsidR="008859B6">
        <w:lastRenderedPageBreak/>
        <w:t xml:space="preserve">Furthermore, </w:t>
      </w:r>
      <w:r w:rsidR="00740CD8">
        <w:t xml:space="preserve">Tucker </w:t>
      </w:r>
      <w:r w:rsidR="009B5AD3">
        <w:t xml:space="preserve">transformed a market share oriented culture to a culture focused on delivering profitable growth by </w:t>
      </w:r>
      <w:r w:rsidR="00AC740B">
        <w:t xml:space="preserve">setting clear goals that aligned with shareholder value generation and AIA has adopted Value of New Business (VONB) as the key metric </w:t>
      </w:r>
      <w:r w:rsidR="00B7299C">
        <w:t>for measuring success since 2011</w:t>
      </w:r>
      <w:r w:rsidR="00DC5C4E">
        <w:t>.</w:t>
      </w:r>
      <w:r w:rsidR="0061773A">
        <w:t xml:space="preserve"> </w:t>
      </w:r>
      <w:r w:rsidR="00CF6843">
        <w:t xml:space="preserve">To deliver on VONB targets, Tucker </w:t>
      </w:r>
      <w:r w:rsidR="00750E8C">
        <w:t xml:space="preserve">focused on several key initiatives as building blocks for sustained value growth: he launched the Premium Agency model to improve agency </w:t>
      </w:r>
      <w:r w:rsidR="00611C1C">
        <w:t xml:space="preserve">productivity and </w:t>
      </w:r>
      <w:r w:rsidR="00750E8C">
        <w:t>performance</w:t>
      </w:r>
      <w:r w:rsidR="00180C01">
        <w:t xml:space="preserve">, focused on expanding the accident &amp; health protection portfolio, </w:t>
      </w:r>
      <w:r w:rsidR="00183DA8">
        <w:t xml:space="preserve">proactively managed portfolio mix, and invested in </w:t>
      </w:r>
      <w:r w:rsidR="002E52D0">
        <w:t>projects to enhance customer experience</w:t>
      </w:r>
      <w:r w:rsidR="00711BB9">
        <w:t xml:space="preserve">. </w:t>
      </w:r>
      <w:r w:rsidR="00711BB9">
        <w:t>AIA’s performance quickly turned around under Tucker’s leadership, and all profit, value creation, and capital metrics reported positive growth with strong momentum for the year end 2010</w:t>
      </w:r>
      <w:r w:rsidR="00142E0B">
        <w:t xml:space="preserve"> </w:t>
      </w:r>
      <w:r w:rsidR="005B6EFB">
        <w:fldChar w:fldCharType="begin"/>
      </w:r>
      <w:r w:rsidR="0052622C">
        <w:instrText xml:space="preserve"> ADDIN ZOTERO_ITEM CSL_CITATION {"citationID":"MthQDyI4","properties":{"formattedCitation":"(AIA Group Ltd., 2011a, 2011b)","plainCitation":"(AIA Group Ltd., 2011a, 2011b)","noteIndex":0},"citationItems":[{"id":489,"uris":["http://zotero.org/users/local/zH9ZQvD1/items/VSL8J2RZ"],"itemData":{"id":489,"type":"report","title":"AIA Group Limited 2010 Results Presentation","URL":"https://www.aia.com/content/dam/group-wise/en/docs/download-library/2010/2010fy-aia-analyst-presentation-eng.pdf.coredownload.inline.pdf","author":[{"family":"AIA Group Ltd.","given":""}],"issued":{"date-parts":[["2011"]]}}},{"id":490,"uris":["http://zotero.org/users/local/zH9ZQvD1/items/3DXQRM8T"],"itemData":{"id":490,"type":"report","title":"AIA Group Limited Annual Report 2010","URL":"https://www.aia.com/content/dam/group-wise/en/docs/annual-report/aia-annual-report-2010-eng.pdf.coredownload.inline.pdf","author":[{"family":"AIA Group Ltd.","given":""}],"issued":{"date-parts":[["2011"]]}}}],"schema":"https://github.com/citation-style-language/schema/raw/master/csl-citation.json"} </w:instrText>
      </w:r>
      <w:r w:rsidR="005B6EFB">
        <w:fldChar w:fldCharType="separate"/>
      </w:r>
      <w:r w:rsidR="0052622C" w:rsidRPr="0052622C">
        <w:rPr>
          <w:rFonts w:ascii="Aptos" w:hAnsi="Aptos"/>
        </w:rPr>
        <w:t>(AIA Group Ltd., 2011a, 2011b)</w:t>
      </w:r>
      <w:r w:rsidR="005B6EFB">
        <w:fldChar w:fldCharType="end"/>
      </w:r>
      <w:r w:rsidR="00142E0B">
        <w:t>.</w:t>
      </w:r>
      <w:r w:rsidR="00785FA0">
        <w:t xml:space="preserve"> </w:t>
      </w:r>
    </w:p>
    <w:p w14:paraId="4FDCD3E1" w14:textId="42AB6549" w:rsidR="00D06DE8" w:rsidRDefault="007A6BEE" w:rsidP="0061119E">
      <w:pPr>
        <w:spacing w:line="360" w:lineRule="auto"/>
      </w:pPr>
      <w:r>
        <w:t xml:space="preserve">The strong performance and leadership by Tucker </w:t>
      </w:r>
      <w:r w:rsidR="00FD3A5A">
        <w:t>were</w:t>
      </w:r>
      <w:r>
        <w:t xml:space="preserve"> recognized by the investment community</w:t>
      </w:r>
      <w:r w:rsidR="00FD3A5A">
        <w:t xml:space="preserve">, and in October 2010, </w:t>
      </w:r>
      <w:r w:rsidR="0013131B">
        <w:t xml:space="preserve">AIA achieved a historical milestone with its successful listing on the </w:t>
      </w:r>
      <w:r w:rsidR="00CF4709">
        <w:t xml:space="preserve">Main Board of the HKEX. </w:t>
      </w:r>
      <w:r w:rsidR="00187F1C">
        <w:t xml:space="preserve">The IPO </w:t>
      </w:r>
      <w:r w:rsidR="00D06DE8">
        <w:t xml:space="preserve">was the world’s third largest IPO ever </w:t>
      </w:r>
      <w:r w:rsidR="00334E56">
        <w:t>with total proceeds of US$ 20.51 billion raised</w:t>
      </w:r>
      <w:r w:rsidR="00F551F9">
        <w:t xml:space="preserve"> </w:t>
      </w:r>
      <w:r w:rsidR="00F551F9">
        <w:fldChar w:fldCharType="begin"/>
      </w:r>
      <w:r w:rsidR="00F551F9">
        <w:instrText xml:space="preserve"> ADDIN ZOTERO_ITEM CSL_CITATION {"citationID":"F5dDnmD0","properties":{"formattedCitation":"(AIA Group Ltd., 2010)","plainCitation":"(AIA Group Ltd., 2010)","noteIndex":0},"citationItems":[{"id":495,"uris":["http://zotero.org/users/local/zH9ZQvD1/items/AW68PZMT"],"itemData":{"id":495,"type":"article-journal","language":"en","source":"Zotero","title":"AIA’S SUCCESSFUL LISTING ON THE HONG KONG STOCK EXCHANGE","URL":"https://www.aia.com/content/dam/group/en/docs/press-release/2010/aia-press-release-eng-29oct2010.pdf","author":[{"family":"AIA Group Ltd.","given":""}],"issued":{"date-parts":[["2010"]]}}}],"schema":"https://github.com/citation-style-language/schema/raw/master/csl-citation.json"} </w:instrText>
      </w:r>
      <w:r w:rsidR="00F551F9">
        <w:fldChar w:fldCharType="separate"/>
      </w:r>
      <w:r w:rsidR="00F551F9" w:rsidRPr="00F551F9">
        <w:rPr>
          <w:rFonts w:ascii="Aptos" w:hAnsi="Aptos"/>
        </w:rPr>
        <w:t>(AIA Group Ltd., 2010)</w:t>
      </w:r>
      <w:r w:rsidR="00F551F9">
        <w:fldChar w:fldCharType="end"/>
      </w:r>
      <w:r w:rsidR="00334E56">
        <w:t>.</w:t>
      </w:r>
      <w:r w:rsidR="00DD033E">
        <w:t xml:space="preserve"> </w:t>
      </w:r>
      <w:r w:rsidR="00776FC1">
        <w:t xml:space="preserve">Anchoring its headquarters in Hong Kong, </w:t>
      </w:r>
      <w:r w:rsidR="00DD033E">
        <w:t xml:space="preserve">AIA </w:t>
      </w:r>
      <w:r w:rsidR="00B72B06">
        <w:t xml:space="preserve">officially </w:t>
      </w:r>
      <w:r w:rsidR="003F04EF">
        <w:t>entered</w:t>
      </w:r>
      <w:r w:rsidR="00B72B06">
        <w:t xml:space="preserve"> a new era. </w:t>
      </w:r>
    </w:p>
    <w:p w14:paraId="1D26316B" w14:textId="77777777" w:rsidR="00F37D3D" w:rsidRDefault="00F37D3D" w:rsidP="0061119E">
      <w:pPr>
        <w:spacing w:line="360" w:lineRule="auto"/>
      </w:pPr>
    </w:p>
    <w:p w14:paraId="22D4BA24" w14:textId="360F0220" w:rsidR="00FB26FA" w:rsidRDefault="0081483E" w:rsidP="0061119E">
      <w:pPr>
        <w:pStyle w:val="Heading4"/>
        <w:spacing w:line="360" w:lineRule="auto"/>
      </w:pPr>
      <w:r>
        <w:t>Rapid growth and expansion</w:t>
      </w:r>
    </w:p>
    <w:p w14:paraId="6C1E4770" w14:textId="1181FDFB" w:rsidR="00905A82" w:rsidRDefault="00064FFD" w:rsidP="0061119E">
      <w:pPr>
        <w:spacing w:line="360" w:lineRule="auto"/>
      </w:pPr>
      <w:r>
        <w:t xml:space="preserve">Following its successful IPO, </w:t>
      </w:r>
      <w:r w:rsidR="00504098">
        <w:t xml:space="preserve">AIA embarked on a period of market expansion across </w:t>
      </w:r>
      <w:r>
        <w:t xml:space="preserve">multiple Asia-Pacific markets. </w:t>
      </w:r>
      <w:r w:rsidR="00B00887">
        <w:t>In 2012</w:t>
      </w:r>
      <w:r w:rsidR="00F8179F">
        <w:t xml:space="preserve">, AIA expanded into </w:t>
      </w:r>
      <w:r w:rsidR="00A47CC2">
        <w:t xml:space="preserve">the Sri Lankan market by acquiring Aviva NDB Insurance, and </w:t>
      </w:r>
      <w:r w:rsidR="00E15199">
        <w:t>significantly strengthened its market position in Malaysia by acquiring ING Malaysia, the third largest life insurer in Malaysia</w:t>
      </w:r>
      <w:r w:rsidR="00BD5C89">
        <w:t xml:space="preserve">, and </w:t>
      </w:r>
      <w:r w:rsidR="00804358">
        <w:t xml:space="preserve">established a long-term </w:t>
      </w:r>
      <w:r w:rsidR="001307D0">
        <w:t>bancassurance partnership with a leading Malaysian banking group, Public Bank.</w:t>
      </w:r>
      <w:r w:rsidR="003F1B9E">
        <w:t xml:space="preserve"> </w:t>
      </w:r>
      <w:r w:rsidR="008662F0">
        <w:t>In December 2013, AIA and Citibank reached an agreement to form an exclusive bancassurance partnership that encompasses 11 Asia-Pacific markets</w:t>
      </w:r>
      <w:r w:rsidR="008662F0">
        <w:t xml:space="preserve">. </w:t>
      </w:r>
      <w:r w:rsidR="00AF68DA">
        <w:t xml:space="preserve">This partnership allowed AIA to significantly increase its brand awareness and customer reach. </w:t>
      </w:r>
      <w:r w:rsidR="00905A82">
        <w:t>AIA further expanded its geographical reach by opening representative office</w:t>
      </w:r>
      <w:r w:rsidR="00A50895">
        <w:t>s</w:t>
      </w:r>
      <w:r w:rsidR="00905A82">
        <w:t xml:space="preserve"> in Myanmar in 2013 and </w:t>
      </w:r>
      <w:r w:rsidR="00A50895">
        <w:t>Cambodia in 2015</w:t>
      </w:r>
      <w:r w:rsidR="000171DF">
        <w:t xml:space="preserve">, </w:t>
      </w:r>
      <w:r w:rsidR="008A731C">
        <w:t>demonstrating its commitment to invest in emerging markets</w:t>
      </w:r>
      <w:r w:rsidR="00A50895">
        <w:t>.</w:t>
      </w:r>
      <w:r w:rsidR="00227EBE">
        <w:t xml:space="preserve"> </w:t>
      </w:r>
      <w:r w:rsidR="00401522">
        <w:t xml:space="preserve">In 2017, AIA acquired </w:t>
      </w:r>
      <w:r w:rsidR="002E6181">
        <w:t>Commonwealth Bank of Australia’s</w:t>
      </w:r>
      <w:r w:rsidR="00570083">
        <w:t xml:space="preserve"> (CBA)</w:t>
      </w:r>
      <w:r w:rsidR="002E6181">
        <w:t xml:space="preserve"> life and insurance businesses in Australia and New Zealand</w:t>
      </w:r>
      <w:r w:rsidR="00570083">
        <w:t xml:space="preserve">, and entered into a 20-year strategic bancassurance partnership with CBA </w:t>
      </w:r>
      <w:r w:rsidR="00D95BB3">
        <w:fldChar w:fldCharType="begin"/>
      </w:r>
      <w:r w:rsidR="00DF5CA8">
        <w:instrText xml:space="preserve"> ADDIN ZOTERO_ITEM CSL_CITATION {"citationID":"bQEHmrIB","properties":{"formattedCitation":"(AIA Group Ltd., 2017, 2018b)","plainCitation":"(AIA Group Ltd., 2017, 2018b)","noteIndex":0},"citationItems":[{"id":507,"uris":["http://zotero.org/users/local/zH9ZQvD1/items/UCU8AES9"],"itemData":{"id":507,"type":"report","title":"AIA Group Limited Annual Report 2016","URL":"https://www.aia.com/content/dam/group/en/docs/annual-report/aia-annual-report-2016-eng.pdf.coredownload.inline.pdf","author":[{"family":"AIA Group Ltd.","given":""}],"issued":{"date-parts":[["2017"]]}}},{"id":509,"uris":["http://zotero.org/users/local/zH9ZQvD1/items/RH5CGZIM"],"itemData":{"id":509,"type":"report","title":"AIA Group Limited Annual Report 2017","URL":"https://www.aia.com/content/dam/group/en/docs/annual-report/aia-annual-report-2017-eng.pdf.coredownload.inline.pdf","author":[{"family":"AIA Group Ltd.","given":""}],"issued":{"date-parts":[["2018"]]}}}],"schema":"https://github.com/citation-style-language/schema/raw/master/csl-citation.json"} </w:instrText>
      </w:r>
      <w:r w:rsidR="00D95BB3">
        <w:fldChar w:fldCharType="separate"/>
      </w:r>
      <w:r w:rsidR="00DF5CA8" w:rsidRPr="00DF5CA8">
        <w:rPr>
          <w:rFonts w:ascii="Aptos" w:hAnsi="Aptos"/>
        </w:rPr>
        <w:t>(AIA Group Ltd., 2017, 2018b)</w:t>
      </w:r>
      <w:r w:rsidR="00D95BB3">
        <w:fldChar w:fldCharType="end"/>
      </w:r>
      <w:r w:rsidR="00D95BB3">
        <w:t>.</w:t>
      </w:r>
    </w:p>
    <w:p w14:paraId="04173D0D" w14:textId="11F721CE" w:rsidR="00B32301" w:rsidRDefault="00B32301" w:rsidP="0061119E">
      <w:pPr>
        <w:spacing w:line="360" w:lineRule="auto"/>
      </w:pPr>
      <w:r>
        <w:lastRenderedPageBreak/>
        <w:t xml:space="preserve">Not only did AIA </w:t>
      </w:r>
      <w:r w:rsidR="00AD62B8">
        <w:t xml:space="preserve">successfully executed multiple inorganic growth initiatives, </w:t>
      </w:r>
      <w:r w:rsidR="005A0D41">
        <w:t>but it</w:t>
      </w:r>
      <w:r w:rsidR="00EF3506">
        <w:t xml:space="preserve"> also </w:t>
      </w:r>
      <w:r w:rsidR="005A0D41">
        <w:t>delivered</w:t>
      </w:r>
      <w:r w:rsidR="00EF3506">
        <w:t xml:space="preserve"> significant </w:t>
      </w:r>
      <w:r w:rsidR="005A0D41">
        <w:t xml:space="preserve">organic </w:t>
      </w:r>
      <w:r w:rsidR="00EF3506">
        <w:t xml:space="preserve">growth between the period 2010-2017. By leaning </w:t>
      </w:r>
      <w:r w:rsidR="0026741F">
        <w:t>into</w:t>
      </w:r>
      <w:r w:rsidR="007C2B6E">
        <w:t xml:space="preserve"> the Operating Philosophy of “Doing the Right Thing, in the Right Way, with the Right People”,</w:t>
      </w:r>
      <w:r w:rsidR="0026741F">
        <w:t xml:space="preserve"> AIA </w:t>
      </w:r>
      <w:r w:rsidR="00EF774F">
        <w:t xml:space="preserve">created a distinctive </w:t>
      </w:r>
      <w:r w:rsidR="00FA100B">
        <w:t xml:space="preserve">culture with strong commitment </w:t>
      </w:r>
      <w:r w:rsidR="00790500">
        <w:t>and professionalism from its employees and agents</w:t>
      </w:r>
      <w:r w:rsidR="003E00CB">
        <w:t xml:space="preserve"> </w:t>
      </w:r>
      <w:r w:rsidR="003E00CB">
        <w:fldChar w:fldCharType="begin"/>
      </w:r>
      <w:r w:rsidR="003E00CB">
        <w:instrText xml:space="preserve"> ADDIN ZOTERO_ITEM CSL_CITATION {"citationID":"wuysNxB6","properties":{"formattedCitation":"(AIA Group Ltd., 2014)","plainCitation":"(AIA Group Ltd., 2014)","noteIndex":0},"citationItems":[{"id":501,"uris":["http://zotero.org/users/local/zH9ZQvD1/items/XN7ZQUIF"],"itemData":{"id":501,"type":"report","title":"AIA Group Limited Annual Report 2013","URL":"https://www.aia.com/content/dam/group-wise/en/docs/annual-report/aia-annual-report-2013-eng.pdf.coredownload.inline.pdf","author":[{"family":"AIA Group Ltd.","given":""}],"issued":{"date-parts":[["2014"]]}}}],"schema":"https://github.com/citation-style-language/schema/raw/master/csl-citation.json"} </w:instrText>
      </w:r>
      <w:r w:rsidR="003E00CB">
        <w:fldChar w:fldCharType="separate"/>
      </w:r>
      <w:r w:rsidR="003E00CB" w:rsidRPr="003E00CB">
        <w:rPr>
          <w:rFonts w:ascii="Aptos" w:hAnsi="Aptos"/>
        </w:rPr>
        <w:t>(AIA Group Ltd., 2014)</w:t>
      </w:r>
      <w:r w:rsidR="003E00CB">
        <w:fldChar w:fldCharType="end"/>
      </w:r>
      <w:r w:rsidR="003E00CB">
        <w:t>.</w:t>
      </w:r>
      <w:r w:rsidR="00343232">
        <w:t xml:space="preserve"> </w:t>
      </w:r>
      <w:r w:rsidR="00AE5C8B">
        <w:t>In seven years (2010-17), AIA grew VONB by +427%, Operating profits up +145%, and increased Embedded Value equity by +108%</w:t>
      </w:r>
      <w:r w:rsidR="00D42609">
        <w:t xml:space="preserve"> </w:t>
      </w:r>
      <w:r w:rsidR="00D42609">
        <w:fldChar w:fldCharType="begin"/>
      </w:r>
      <w:r w:rsidR="00DF5CA8">
        <w:instrText xml:space="preserve"> ADDIN ZOTERO_ITEM CSL_CITATION {"citationID":"GtCFcbLa","properties":{"formattedCitation":"(AIA Group Ltd., 2018b)","plainCitation":"(AIA Group Ltd., 2018b)","noteIndex":0},"citationItems":[{"id":509,"uris":["http://zotero.org/users/local/zH9ZQvD1/items/RH5CGZIM"],"itemData":{"id":509,"type":"report","title":"AIA Group Limited Annual Report 2017","URL":"https://www.aia.com/content/dam/group/en/docs/annual-report/aia-annual-report-2017-eng.pdf.coredownload.inline.pdf","author":[{"family":"AIA Group Ltd.","given":""}],"issued":{"date-parts":[["2018"]]}}}],"schema":"https://github.com/citation-style-language/schema/raw/master/csl-citation.json"} </w:instrText>
      </w:r>
      <w:r w:rsidR="00D42609">
        <w:fldChar w:fldCharType="separate"/>
      </w:r>
      <w:r w:rsidR="00DF5CA8" w:rsidRPr="00DF5CA8">
        <w:rPr>
          <w:rFonts w:ascii="Aptos" w:hAnsi="Aptos"/>
        </w:rPr>
        <w:t>(AIA Group Ltd., 2018b)</w:t>
      </w:r>
      <w:r w:rsidR="00D42609">
        <w:fldChar w:fldCharType="end"/>
      </w:r>
      <w:r w:rsidR="00D42609">
        <w:t>.</w:t>
      </w:r>
      <w:r w:rsidR="00D42609">
        <w:t xml:space="preserve"> AIA solidified its market leading position in the life insurance </w:t>
      </w:r>
      <w:r w:rsidR="007C799A">
        <w:t>industry and</w:t>
      </w:r>
      <w:r w:rsidR="00D42609">
        <w:t xml:space="preserve"> demonstrated </w:t>
      </w:r>
      <w:r w:rsidR="007C799A">
        <w:t>strong value creation for shareholders.</w:t>
      </w:r>
    </w:p>
    <w:p w14:paraId="4F49BCCE" w14:textId="5951CECF" w:rsidR="00A72743" w:rsidRDefault="007C799A" w:rsidP="0061119E">
      <w:pPr>
        <w:spacing w:line="360" w:lineRule="auto"/>
      </w:pPr>
      <w:r>
        <w:t>Led by Tucker and his senior leadership team, t</w:t>
      </w:r>
      <w:r w:rsidR="00002892">
        <w:t>he period from 2010 to 2017 was transformative</w:t>
      </w:r>
      <w:r w:rsidR="00CA2C4D">
        <w:t xml:space="preserve"> for AIA. </w:t>
      </w:r>
      <w:r w:rsidR="00C7444D">
        <w:t>This paper will take a deeper look at AIA’s leadership, strategic planning and execution aligned with the 3H framework.</w:t>
      </w:r>
      <w:r w:rsidR="00A72743">
        <w:t xml:space="preserve"> </w:t>
      </w:r>
    </w:p>
    <w:p w14:paraId="3FFA9F9F" w14:textId="77777777" w:rsidR="0055438D" w:rsidRDefault="0055438D" w:rsidP="0061119E">
      <w:pPr>
        <w:spacing w:line="360" w:lineRule="auto"/>
      </w:pPr>
    </w:p>
    <w:p w14:paraId="5B59D559" w14:textId="17DA3269" w:rsidR="00FA0BCC" w:rsidRDefault="00E54D6D" w:rsidP="0061119E">
      <w:pPr>
        <w:pStyle w:val="Heading3"/>
        <w:spacing w:line="360" w:lineRule="auto"/>
      </w:pPr>
      <w:bookmarkStart w:id="5" w:name="_Toc184573477"/>
      <w:r>
        <w:t>Yu’s 3H framework</w:t>
      </w:r>
      <w:bookmarkEnd w:id="5"/>
    </w:p>
    <w:p w14:paraId="76262162" w14:textId="367CFF80" w:rsidR="004840DC" w:rsidRDefault="006B0F50" w:rsidP="0061119E">
      <w:pPr>
        <w:spacing w:line="360" w:lineRule="auto"/>
      </w:pPr>
      <w:r>
        <w:t>The 3H holistic management framework by Yu (2023)</w:t>
      </w:r>
      <w:r w:rsidR="00DD484F">
        <w:t xml:space="preserve"> is </w:t>
      </w:r>
      <w:r w:rsidR="00426E5B">
        <w:t>an innovative</w:t>
      </w:r>
      <w:r w:rsidR="00DD484F">
        <w:t xml:space="preserve"> approach to manage organis</w:t>
      </w:r>
      <w:r w:rsidR="007C0953">
        <w:t xml:space="preserve">ations and people in a comprehensive manner. Developed by Eddie Yu, this framework integrates essential organisational domains to </w:t>
      </w:r>
      <w:r w:rsidR="00CA49ED">
        <w:t>achieve optimal performance.</w:t>
      </w:r>
      <w:r w:rsidR="00A85991">
        <w:t xml:space="preserve"> </w:t>
      </w:r>
      <w:r w:rsidR="00CA49ED">
        <w:t>Th</w:t>
      </w:r>
      <w:r w:rsidR="00E13032">
        <w:t xml:space="preserve">is framework consists of three </w:t>
      </w:r>
      <w:r w:rsidR="002C0335">
        <w:t xml:space="preserve">domains: </w:t>
      </w:r>
    </w:p>
    <w:p w14:paraId="0D87235B" w14:textId="05CA13E0" w:rsidR="002C0335" w:rsidRDefault="002C0335" w:rsidP="0061119E">
      <w:pPr>
        <w:pStyle w:val="ListParagraph"/>
        <w:numPr>
          <w:ilvl w:val="0"/>
          <w:numId w:val="2"/>
        </w:numPr>
        <w:spacing w:line="360" w:lineRule="auto"/>
      </w:pPr>
      <w:r>
        <w:t>Heart (H1)</w:t>
      </w:r>
      <w:r w:rsidR="00F05197">
        <w:t xml:space="preserve">: </w:t>
      </w:r>
      <w:r w:rsidR="003929D2">
        <w:t>Emphasis on people-related aspects, including leadership, motivation, engagement, and team building</w:t>
      </w:r>
      <w:r w:rsidR="003B7558">
        <w:t>.</w:t>
      </w:r>
    </w:p>
    <w:p w14:paraId="216CB3D0" w14:textId="236A77A9" w:rsidR="00F05197" w:rsidRDefault="00F05197" w:rsidP="0061119E">
      <w:pPr>
        <w:pStyle w:val="ListParagraph"/>
        <w:numPr>
          <w:ilvl w:val="0"/>
          <w:numId w:val="2"/>
        </w:numPr>
        <w:spacing w:line="360" w:lineRule="auto"/>
      </w:pPr>
      <w:r>
        <w:t>Head (H2):</w:t>
      </w:r>
      <w:r w:rsidR="00737F10">
        <w:t xml:space="preserve"> Focuses on strategic, organizational and operating model related elements</w:t>
      </w:r>
      <w:r w:rsidR="00C51313">
        <w:t>, including vision, strategic planning, and organizational designs.</w:t>
      </w:r>
    </w:p>
    <w:p w14:paraId="1C9AC008" w14:textId="3C9B1798" w:rsidR="00F05197" w:rsidRDefault="00F05197" w:rsidP="0061119E">
      <w:pPr>
        <w:pStyle w:val="ListParagraph"/>
        <w:numPr>
          <w:ilvl w:val="0"/>
          <w:numId w:val="2"/>
        </w:numPr>
        <w:spacing w:line="360" w:lineRule="auto"/>
      </w:pPr>
      <w:r>
        <w:t xml:space="preserve">Hand (H3): </w:t>
      </w:r>
      <w:r w:rsidR="0065179A">
        <w:t xml:space="preserve">Emphasis on task-oriented and competence related issues, </w:t>
      </w:r>
      <w:r w:rsidR="0058438D">
        <w:t>including learning, training, and coaching.</w:t>
      </w:r>
    </w:p>
    <w:p w14:paraId="7FE1E1EE" w14:textId="5E4B26CA" w:rsidR="004840DC" w:rsidRDefault="00A15639" w:rsidP="0061119E">
      <w:pPr>
        <w:spacing w:line="360" w:lineRule="auto"/>
      </w:pPr>
      <w:r>
        <w:t xml:space="preserve">Yu’s 3H framework emphasizes that organizational performance (OP) is a function </w:t>
      </w:r>
      <w:r w:rsidR="000400C5">
        <w:t>of the leader or leadership team’s ability to integrate the three domains:</w:t>
      </w:r>
    </w:p>
    <w:p w14:paraId="3F4F6482" w14:textId="13BB902F" w:rsidR="009E0A13" w:rsidRDefault="000400C5" w:rsidP="0061119E">
      <w:pPr>
        <w:spacing w:line="360" w:lineRule="auto"/>
      </w:pPr>
      <w:r>
        <w:t>OP = f (</w:t>
      </w:r>
      <w:r w:rsidR="006B1DD1">
        <w:t>H1</w:t>
      </w:r>
      <w:r w:rsidR="008711E6">
        <w:t xml:space="preserve"> </w:t>
      </w:r>
      <w:r w:rsidR="008711E6" w:rsidRPr="008711E6">
        <w:rPr>
          <w:sz w:val="36"/>
          <w:szCs w:val="36"/>
        </w:rPr>
        <w:t>∩</w:t>
      </w:r>
      <w:r w:rsidR="008711E6">
        <w:rPr>
          <w:sz w:val="36"/>
          <w:szCs w:val="36"/>
        </w:rPr>
        <w:t xml:space="preserve"> </w:t>
      </w:r>
      <w:r w:rsidR="006B1DD1">
        <w:t>H2</w:t>
      </w:r>
      <w:r w:rsidR="008711E6">
        <w:t xml:space="preserve"> </w:t>
      </w:r>
      <w:r w:rsidR="008711E6" w:rsidRPr="008711E6">
        <w:rPr>
          <w:sz w:val="36"/>
          <w:szCs w:val="36"/>
        </w:rPr>
        <w:t>∩</w:t>
      </w:r>
      <w:r w:rsidR="008711E6">
        <w:rPr>
          <w:sz w:val="36"/>
          <w:szCs w:val="36"/>
        </w:rPr>
        <w:t xml:space="preserve"> </w:t>
      </w:r>
      <w:r w:rsidR="006B1DD1">
        <w:t>H3)</w:t>
      </w:r>
      <w:r w:rsidR="00A1309E">
        <w:t xml:space="preserve">, where </w:t>
      </w:r>
      <w:r w:rsidR="009E0A13" w:rsidRPr="008711E6">
        <w:rPr>
          <w:sz w:val="36"/>
          <w:szCs w:val="36"/>
        </w:rPr>
        <w:t>∩</w:t>
      </w:r>
      <w:r w:rsidR="009E0A13">
        <w:rPr>
          <w:sz w:val="36"/>
          <w:szCs w:val="36"/>
        </w:rPr>
        <w:t xml:space="preserve"> </w:t>
      </w:r>
      <w:r w:rsidR="009E0A13">
        <w:t xml:space="preserve">represents </w:t>
      </w:r>
      <w:r w:rsidR="00A1309E">
        <w:t>the intersection of the three domains.</w:t>
      </w:r>
    </w:p>
    <w:p w14:paraId="212BC9B4" w14:textId="435965CD" w:rsidR="006B1DD1" w:rsidRDefault="005E1278" w:rsidP="0061119E">
      <w:pPr>
        <w:spacing w:line="360" w:lineRule="auto"/>
      </w:pPr>
      <w:r>
        <w:t>The</w:t>
      </w:r>
      <w:r w:rsidR="002305E4">
        <w:t xml:space="preserve"> 3H framework is distinctive </w:t>
      </w:r>
      <w:r>
        <w:t xml:space="preserve">from other management framework </w:t>
      </w:r>
      <w:r w:rsidR="00A32A71">
        <w:t xml:space="preserve">through </w:t>
      </w:r>
      <w:r w:rsidR="007F23ED">
        <w:t xml:space="preserve">its emphasis on a holistic approach and </w:t>
      </w:r>
      <w:r w:rsidR="00415880">
        <w:t xml:space="preserve">roots in Daoism. </w:t>
      </w:r>
      <w:r w:rsidR="002176A3">
        <w:t xml:space="preserve">It encourages management to adopt a treetop view when analysing organizational issues to avoid </w:t>
      </w:r>
      <w:r w:rsidR="00404222">
        <w:t xml:space="preserve">the </w:t>
      </w:r>
      <w:r w:rsidR="00E32070">
        <w:t xml:space="preserve">silo mentality </w:t>
      </w:r>
      <w:r w:rsidR="00404222">
        <w:t xml:space="preserve">that is often </w:t>
      </w:r>
      <w:r w:rsidR="005B3934">
        <w:t xml:space="preserve">narrow and </w:t>
      </w:r>
      <w:r w:rsidR="005B3934">
        <w:lastRenderedPageBreak/>
        <w:t>unconstructive</w:t>
      </w:r>
      <w:r w:rsidR="00147C56">
        <w:t xml:space="preserve"> </w:t>
      </w:r>
      <w:r w:rsidR="00147C56">
        <w:fldChar w:fldCharType="begin"/>
      </w:r>
      <w:r w:rsidR="00F83129">
        <w:instrText xml:space="preserve"> ADDIN ZOTERO_ITEM CSL_CITATION {"citationID":"brUBKyQn","properties":{"formattedCitation":"(Yu, 2021, 2023)","plainCitation":"(Yu, 2021, 2023)","noteIndex":0},"citationItems":[{"id":477,"uris":["http://zotero.org/users/local/zH9ZQvD1/items/ZB6E9T3D"],"itemData":{"id":477,"type":"article-journal","abstract":"This paper attempts to theorise about China’s strategy in combating the coronavirus pandemic with an embryonic framework - 3H (Heart-Head-Hand) framework. By adopting a descriptive approach, the paper introduces the case of coronavirus outbreak in China and how the public health administration coped with it. The 3H framework has been applied to analyse China’s strategy, and the framework’s assumptions are initially tested.,The pandemic case is created based on credible reports, press releases from different respected sources, World Health Organization (WHO) statistics, interview transcripts and broadcasting stations’ video clippings. Interpretive analysis with pragmatism approach has been conducted in analysing the data and information collected. Triangulation, wherever possible, has been done to validate the data and information.,As an exploratory study, its findings show that 3H framework distinguishes the effectiveness of a country’s strategy and practice for combating the pandemic. Countries, which failed to observe the assumed principles of 3H domains tend to have much more infected cases and deaths.,The 3H framework conceptualised a holistic management approach and its assumptions have been initially tested with this pandemic case. The framework shows its predictability value for a country’s pandemic management effectiveness.","archive_location":"world","container-title":"Public Administration and Policy","DOI":"10.1108/PAP-12-2020-0055","ISSN":"2517-679X","issue":"1","language":"en","note":"publisher: Emerald Publishing Limited","page":"76-91","source":"www.emerald.com","title":"An analysis of China’s strategy in combating the coronavirus pandemic with the 3H framework","volume":"24","author":[{"family":"Yu","given":"Eddie"}],"issued":{"date-parts":[["2021",4,6]]}}},{"id":480,"uris":["http://zotero.org/users/local/zH9ZQvD1/items/YZDBG4FX"],"itemData":{"id":480,"type":"document","title":"Introducing Eddie Yu’s 3H Holistic Management Framework","author":[{"family":"Yu","given":"Eddie"}],"issued":{"date-parts":[["2023"]]}}}],"schema":"https://github.com/citation-style-language/schema/raw/master/csl-citation.json"} </w:instrText>
      </w:r>
      <w:r w:rsidR="00147C56">
        <w:fldChar w:fldCharType="separate"/>
      </w:r>
      <w:r w:rsidR="00F83129" w:rsidRPr="00F83129">
        <w:rPr>
          <w:rFonts w:ascii="Aptos" w:hAnsi="Aptos"/>
        </w:rPr>
        <w:t>(Yu, 2021, 2023)</w:t>
      </w:r>
      <w:r w:rsidR="00147C56">
        <w:fldChar w:fldCharType="end"/>
      </w:r>
      <w:r w:rsidR="00726486">
        <w:t>.</w:t>
      </w:r>
      <w:r w:rsidR="00A15EAC">
        <w:t xml:space="preserve"> </w:t>
      </w:r>
      <w:r w:rsidR="00D87AAD">
        <w:t>Yu’s 3H framework is flexible</w:t>
      </w:r>
      <w:r w:rsidR="00DF1A9D">
        <w:t xml:space="preserve">, allowing for context </w:t>
      </w:r>
      <w:r w:rsidR="00CA51DF">
        <w:t>and</w:t>
      </w:r>
      <w:r w:rsidR="00DF1A9D">
        <w:t xml:space="preserve"> company-specific applications</w:t>
      </w:r>
      <w:r w:rsidR="00FE4B83">
        <w:t>.</w:t>
      </w:r>
      <w:r w:rsidR="00DD593A">
        <w:t xml:space="preserve"> </w:t>
      </w:r>
      <w:r w:rsidR="00610E6C">
        <w:t>Applying the 3H fram</w:t>
      </w:r>
      <w:r w:rsidR="009024E5">
        <w:t xml:space="preserve">ework descriptively, I can </w:t>
      </w:r>
      <w:r w:rsidR="00C963CF">
        <w:t xml:space="preserve">assess </w:t>
      </w:r>
      <w:r w:rsidR="00FE2D8C">
        <w:t>the alignment of the three domains within AIA (2010-2017</w:t>
      </w:r>
      <w:r w:rsidR="003517AB">
        <w:t>) and</w:t>
      </w:r>
      <w:r w:rsidR="00C963CF">
        <w:t xml:space="preserve"> </w:t>
      </w:r>
      <w:r w:rsidR="00A15EAC">
        <w:t xml:space="preserve">derive insights on AIA’s key success factors. </w:t>
      </w:r>
    </w:p>
    <w:p w14:paraId="03272F76" w14:textId="77777777" w:rsidR="006B1DD1" w:rsidRDefault="006B1DD1" w:rsidP="0061119E">
      <w:pPr>
        <w:spacing w:line="360" w:lineRule="auto"/>
      </w:pPr>
    </w:p>
    <w:p w14:paraId="329ADF67" w14:textId="0B519BCE" w:rsidR="008C63E9" w:rsidRDefault="008C63E9" w:rsidP="0061119E">
      <w:pPr>
        <w:pStyle w:val="Heading2"/>
        <w:spacing w:line="360" w:lineRule="auto"/>
      </w:pPr>
      <w:bookmarkStart w:id="6" w:name="_Toc184573478"/>
      <w:r>
        <w:t>R</w:t>
      </w:r>
      <w:r w:rsidR="00317649">
        <w:t>esearch questions and objectives</w:t>
      </w:r>
      <w:bookmarkEnd w:id="6"/>
    </w:p>
    <w:p w14:paraId="5AEBE942" w14:textId="671135DA" w:rsidR="002578DE" w:rsidRDefault="00F91BD9" w:rsidP="0061119E">
      <w:pPr>
        <w:spacing w:line="360" w:lineRule="auto"/>
      </w:pPr>
      <w:r>
        <w:t xml:space="preserve">The objectives of this </w:t>
      </w:r>
      <w:r w:rsidR="00AE0A59">
        <w:t>paper are:</w:t>
      </w:r>
    </w:p>
    <w:p w14:paraId="6BB92DBF" w14:textId="55AAE17D" w:rsidR="00AE0A59" w:rsidRDefault="00C971FC" w:rsidP="0061119E">
      <w:pPr>
        <w:pStyle w:val="ListParagraph"/>
        <w:numPr>
          <w:ilvl w:val="0"/>
          <w:numId w:val="3"/>
        </w:numPr>
        <w:spacing w:line="360" w:lineRule="auto"/>
      </w:pPr>
      <w:r>
        <w:t xml:space="preserve">To analyse AIA’s management practices between 2010-2017 through the lens of the 3H </w:t>
      </w:r>
      <w:r w:rsidR="00786CC3">
        <w:t>framework.</w:t>
      </w:r>
    </w:p>
    <w:p w14:paraId="5BC0A6CE" w14:textId="62E12E56" w:rsidR="00AE0A59" w:rsidRDefault="00786CC3" w:rsidP="0061119E">
      <w:pPr>
        <w:pStyle w:val="ListParagraph"/>
        <w:numPr>
          <w:ilvl w:val="0"/>
          <w:numId w:val="3"/>
        </w:numPr>
        <w:spacing w:line="360" w:lineRule="auto"/>
      </w:pPr>
      <w:r>
        <w:t xml:space="preserve">To assess the level of synthesis amongst the three domains </w:t>
      </w:r>
      <w:r w:rsidR="007C53BE">
        <w:t>(Heart, Head and Hand) in AIA.</w:t>
      </w:r>
    </w:p>
    <w:p w14:paraId="7F50D84E" w14:textId="0D0DF6C8" w:rsidR="00AE0A59" w:rsidRDefault="00AE0A59" w:rsidP="0061119E">
      <w:pPr>
        <w:spacing w:line="360" w:lineRule="auto"/>
      </w:pPr>
      <w:r>
        <w:t>The questions that will guide this paper are:</w:t>
      </w:r>
    </w:p>
    <w:p w14:paraId="665B5B48" w14:textId="0D7FB4B8" w:rsidR="00AE0A59" w:rsidRDefault="007D1530" w:rsidP="0061119E">
      <w:pPr>
        <w:pStyle w:val="ListParagraph"/>
        <w:numPr>
          <w:ilvl w:val="0"/>
          <w:numId w:val="4"/>
        </w:numPr>
        <w:spacing w:line="360" w:lineRule="auto"/>
      </w:pPr>
      <w:r>
        <w:t xml:space="preserve">How effective did AIA implement the 3H </w:t>
      </w:r>
      <w:r w:rsidR="002A53DF">
        <w:t>holistic management framework across the organisation between 2010-2017?</w:t>
      </w:r>
    </w:p>
    <w:p w14:paraId="61C09445" w14:textId="6B767FD3" w:rsidR="00AE0A59" w:rsidRDefault="00CC4ABE" w:rsidP="0061119E">
      <w:pPr>
        <w:pStyle w:val="ListParagraph"/>
        <w:numPr>
          <w:ilvl w:val="0"/>
          <w:numId w:val="4"/>
        </w:numPr>
        <w:spacing w:line="360" w:lineRule="auto"/>
      </w:pPr>
      <w:r>
        <w:t>How did the alignment of the three domains (Heart, Head and Hand) contribute to AIA’s organizational performance?</w:t>
      </w:r>
    </w:p>
    <w:p w14:paraId="11E24346" w14:textId="77777777" w:rsidR="00317649" w:rsidRDefault="00317649" w:rsidP="0061119E">
      <w:pPr>
        <w:spacing w:line="360" w:lineRule="auto"/>
      </w:pPr>
    </w:p>
    <w:p w14:paraId="20B45CED" w14:textId="46411B9D" w:rsidR="00317649" w:rsidRDefault="00317649" w:rsidP="0061119E">
      <w:pPr>
        <w:pStyle w:val="Heading2"/>
        <w:spacing w:line="360" w:lineRule="auto"/>
      </w:pPr>
      <w:bookmarkStart w:id="7" w:name="_Toc184573479"/>
      <w:r>
        <w:t>Rationale of the research</w:t>
      </w:r>
      <w:bookmarkEnd w:id="7"/>
    </w:p>
    <w:p w14:paraId="33C65B74" w14:textId="5C97E05E" w:rsidR="00AA7C77" w:rsidRDefault="0061518B" w:rsidP="0061119E">
      <w:pPr>
        <w:spacing w:line="360" w:lineRule="auto"/>
      </w:pPr>
      <w:r>
        <w:t xml:space="preserve">The </w:t>
      </w:r>
      <w:r w:rsidR="00C85DDB">
        <w:t xml:space="preserve">life insurance industry in Asia is a significant growth engine, driven by ageing population, growing middle class, and increasing </w:t>
      </w:r>
      <w:r w:rsidR="008E2D5D">
        <w:t xml:space="preserve">protection &amp; insurance awareness. The industry plays a crucial role in providing </w:t>
      </w:r>
      <w:r w:rsidR="00F05105">
        <w:t>risk management, financial security and economic development across the region</w:t>
      </w:r>
      <w:r w:rsidR="00907C9F">
        <w:t xml:space="preserve"> </w:t>
      </w:r>
      <w:r w:rsidR="00907C9F">
        <w:fldChar w:fldCharType="begin"/>
      </w:r>
      <w:r w:rsidR="00907C9F">
        <w:instrText xml:space="preserve"> ADDIN ZOTERO_ITEM CSL_CITATION {"citationID":"ehlZVx1Q","properties":{"formattedCitation":"(Deloitte Center for Financial Services, 2023; KPMG China, 2023; McKinsey &amp; Company, 2023)","plainCitation":"(Deloitte Center for Financial Services, 2023; KPMG China, 2023; McKinsey &amp; Company, 2023)","noteIndex":0},"citationItems":[{"id":292,"uris":["http://zotero.org/users/local/zH9ZQvD1/items/ATKZBSRZ"],"itemData":{"id":292,"type":"report","abstract":"A look at the insurance industry trends and how insurers are evolving and moving toward a more customer-centric business model","language":"en-us","title":"2024 insurance outlook","URL":"https://www2.deloitte.com/us/en/insights/industry/financial-services/financial-services-industry-outlooks/insurance-industry-outlook.html","author":[{"family":"Deloitte Center for Financial Services","given":""}],"accessed":{"date-parts":[["2024",7,20]]},"issued":{"date-parts":[["2023"]]}}},{"id":240,"uris":["http://zotero.org/users/local/zH9ZQvD1/items/NNM33NEM"],"itemData":{"id":240,"type":"report","abstract":"Navigating the region’s Life and Non-Life M&amp;A landscape","language":"en-GB","title":"Asia Pacific Insurance Sector Opportunities - KPMG China","URL":"https://kpmg.com/cn/en/home/insights/2022/12/asia-pacific-insurance-sector-opportunities.html","author":[{"family":"KPMG China","given":""}],"accessed":{"date-parts":[["2024",7,3]]},"issued":{"date-parts":[["2023",9,19]]}}},{"id":242,"uris":["http://zotero.org/users/local/zH9ZQvD1/items/KV6UY7S4"],"itemData":{"id":242,"type":"report","title":"Asian life insurance: 2023 McKinsey Global Insurance Report | McKinsey","URL":"https://www.mckinsey.com/industries/financial-services/our-insights/global-insurance-report-2023-navigating-asias-evolving-market","author":[{"family":"McKinsey &amp; Company","given":""}],"accessed":{"date-parts":[["2024",7,3]]},"issued":{"date-parts":[["2023"]]}}}],"schema":"https://github.com/citation-style-language/schema/raw/master/csl-citation.json"} </w:instrText>
      </w:r>
      <w:r w:rsidR="00907C9F">
        <w:fldChar w:fldCharType="separate"/>
      </w:r>
      <w:r w:rsidR="00907C9F" w:rsidRPr="00907C9F">
        <w:rPr>
          <w:rFonts w:ascii="Aptos" w:hAnsi="Aptos"/>
        </w:rPr>
        <w:t xml:space="preserve">(Deloitte </w:t>
      </w:r>
      <w:proofErr w:type="spellStart"/>
      <w:r w:rsidR="00907C9F" w:rsidRPr="00907C9F">
        <w:rPr>
          <w:rFonts w:ascii="Aptos" w:hAnsi="Aptos"/>
        </w:rPr>
        <w:t>Center</w:t>
      </w:r>
      <w:proofErr w:type="spellEnd"/>
      <w:r w:rsidR="00907C9F" w:rsidRPr="00907C9F">
        <w:rPr>
          <w:rFonts w:ascii="Aptos" w:hAnsi="Aptos"/>
        </w:rPr>
        <w:t xml:space="preserve"> for Financial Services, 2023; KPMG China, 2023; McKinsey &amp; Company, 2023)</w:t>
      </w:r>
      <w:r w:rsidR="00907C9F">
        <w:fldChar w:fldCharType="end"/>
      </w:r>
      <w:r w:rsidR="00F05105">
        <w:t xml:space="preserve">. </w:t>
      </w:r>
      <w:proofErr w:type="gramStart"/>
      <w:r w:rsidR="00F05105">
        <w:t>AIA’s</w:t>
      </w:r>
      <w:proofErr w:type="gramEnd"/>
      <w:r w:rsidR="00F05105">
        <w:t xml:space="preserve"> headquarter is in Hong Kong, and </w:t>
      </w:r>
      <w:r w:rsidR="000C4944">
        <w:t>Hong Kong is one of the leading life insurance markets in the world</w:t>
      </w:r>
      <w:r w:rsidR="00723393">
        <w:t>.</w:t>
      </w:r>
      <w:r w:rsidR="00636175">
        <w:t xml:space="preserve"> </w:t>
      </w:r>
      <w:r w:rsidR="00723393">
        <w:t xml:space="preserve">The </w:t>
      </w:r>
      <w:r w:rsidR="009F623A">
        <w:t>industry plays a crucial role in Hong Kong’s overall economy</w:t>
      </w:r>
      <w:r w:rsidR="004B463B">
        <w:t xml:space="preserve"> </w:t>
      </w:r>
      <w:r w:rsidR="009F623A">
        <w:t xml:space="preserve">and </w:t>
      </w:r>
      <w:r w:rsidR="004B463B">
        <w:t xml:space="preserve">contributes significantly to the </w:t>
      </w:r>
      <w:r w:rsidR="00AA7C77">
        <w:t xml:space="preserve">labour force. </w:t>
      </w:r>
      <w:r w:rsidR="005E2B97">
        <w:t>In 2023, Hong Kong recorded total gross premiums of US$ 62 billion</w:t>
      </w:r>
      <w:r w:rsidR="00266B29">
        <w:t xml:space="preserve"> and </w:t>
      </w:r>
      <w:r w:rsidR="00FF3A6E">
        <w:t xml:space="preserve">the industry </w:t>
      </w:r>
      <w:r w:rsidR="00753334">
        <w:t>contributed roughly</w:t>
      </w:r>
      <w:r w:rsidR="006E2F7D">
        <w:t xml:space="preserve"> 3.6% of Hong Kong’s GDP in 2022 (</w:t>
      </w:r>
      <w:r w:rsidR="006E2F7D">
        <w:fldChar w:fldCharType="begin"/>
      </w:r>
      <w:r w:rsidR="006E2F7D">
        <w:instrText xml:space="preserve"> ADDIN ZOTERO_ITEM CSL_CITATION {"citationID":"bq2HclFn","properties":{"formattedCitation":"(C&amp;SD HKSAR, 2024; Insurance Authority, 2024)","plainCitation":"(C&amp;SD HKSAR, 2024; Insurance Authority, 2024)","noteIndex":0},"citationItems":[{"id":518,"uris":["http://zotero.org/users/local/zH9ZQvD1/items/EKIYFUZF"],"itemData":{"id":518,"type":"document","publisher":"Census and Statistics Department Hong Kong Special Administrative Region","title":"Statistical Digest of the Services Sector (2024)","URL":"https://www.censtatd.gov.hk/en/data/stat_report/product/B1080007/att/B10800072024AN24B0100.pdf","author":[{"family":"C&amp;SD HKSAR","given":""}],"issued":{"date-parts":[["2024"]]}}},{"id":512,"uris":["http://zotero.org/users/local/zH9ZQvD1/items/5XGYDSSY"],"itemData":{"id":512,"type":"document","language":"en","publisher":"Insurance Authority","source":"Zotero","title":"Highlights of Industry Statistics - Long Term Insurance Business","URL":"https://www.ia.org.hk/en/infocenter/statistics/files/Highlights_2023_LT_Eng.pdf","author":[{"family":"Insurance Authority","given":""}],"issued":{"date-parts":[["2024"]]}}}],"schema":"https://github.com/citation-style-language/schema/raw/master/csl-citation.json"} </w:instrText>
      </w:r>
      <w:r w:rsidR="006E2F7D">
        <w:fldChar w:fldCharType="separate"/>
      </w:r>
      <w:r w:rsidR="006E2F7D" w:rsidRPr="006E2F7D">
        <w:rPr>
          <w:rFonts w:ascii="Aptos" w:hAnsi="Aptos"/>
        </w:rPr>
        <w:t>(C&amp;SD HKSAR, 2024; Insurance Authority, 2024)</w:t>
      </w:r>
      <w:r w:rsidR="006E2F7D">
        <w:fldChar w:fldCharType="end"/>
      </w:r>
      <w:r w:rsidR="00085697">
        <w:t xml:space="preserve">. </w:t>
      </w:r>
      <w:r w:rsidR="00266B29">
        <w:t xml:space="preserve"> </w:t>
      </w:r>
    </w:p>
    <w:p w14:paraId="1CA8D0B0" w14:textId="409F9D9D" w:rsidR="002438D9" w:rsidRDefault="003D15BE" w:rsidP="0061119E">
      <w:pPr>
        <w:pStyle w:val="Heading3"/>
        <w:spacing w:line="360" w:lineRule="auto"/>
      </w:pPr>
      <w:bookmarkStart w:id="8" w:name="_Toc184573480"/>
      <w:r>
        <w:lastRenderedPageBreak/>
        <w:t xml:space="preserve">Theoretical </w:t>
      </w:r>
      <w:r w:rsidR="00821E95">
        <w:t>implications</w:t>
      </w:r>
      <w:bookmarkEnd w:id="8"/>
    </w:p>
    <w:p w14:paraId="172DCD8A" w14:textId="1100F0CA" w:rsidR="00821E95" w:rsidRDefault="00B466AC" w:rsidP="0061119E">
      <w:pPr>
        <w:spacing w:line="360" w:lineRule="auto"/>
      </w:pPr>
      <w:r>
        <w:t>By analysing a major life insur</w:t>
      </w:r>
      <w:r w:rsidR="00AB3C87">
        <w:t xml:space="preserve">er in Asia with Yu’s 3H holistic management framework, this paper will contribute to the </w:t>
      </w:r>
      <w:r w:rsidR="0049159A">
        <w:t>literature on holistic management approaches. The case study I will be conducting will provide insights into the framework’s applicability and effectiveness.</w:t>
      </w:r>
    </w:p>
    <w:p w14:paraId="240975DF" w14:textId="77777777" w:rsidR="00122B4F" w:rsidRPr="00821E95" w:rsidRDefault="00122B4F" w:rsidP="0061119E">
      <w:pPr>
        <w:spacing w:line="360" w:lineRule="auto"/>
      </w:pPr>
    </w:p>
    <w:p w14:paraId="42E7F404" w14:textId="6FC56FF5" w:rsidR="0049159A" w:rsidRDefault="005B2EF6" w:rsidP="0061119E">
      <w:pPr>
        <w:pStyle w:val="Heading3"/>
        <w:spacing w:line="360" w:lineRule="auto"/>
      </w:pPr>
      <w:bookmarkStart w:id="9" w:name="_Toc184573481"/>
      <w:r>
        <w:t>Industry implications</w:t>
      </w:r>
      <w:bookmarkEnd w:id="9"/>
    </w:p>
    <w:p w14:paraId="65239267" w14:textId="0E0EE7B1" w:rsidR="00317649" w:rsidRDefault="007C737E" w:rsidP="0061119E">
      <w:pPr>
        <w:spacing w:line="360" w:lineRule="auto"/>
      </w:pPr>
      <w:r>
        <w:t xml:space="preserve">The Asian life insurance industry is rapidly </w:t>
      </w:r>
      <w:r w:rsidR="00A02364">
        <w:t>growing yet</w:t>
      </w:r>
      <w:r w:rsidR="008A6FE8">
        <w:t xml:space="preserve"> faces challenges that require a balanced approach in management to sustain its growth trajectory. </w:t>
      </w:r>
      <w:r w:rsidR="00A02364">
        <w:t xml:space="preserve">This paper will explore how the 3H holistic management framework addresses </w:t>
      </w:r>
      <w:r w:rsidR="004B537A">
        <w:t>these challenges and provide insights for life insurers in the region.</w:t>
      </w:r>
    </w:p>
    <w:p w14:paraId="66E87BA5" w14:textId="77777777" w:rsidR="00122B4F" w:rsidRDefault="00122B4F" w:rsidP="0061119E">
      <w:pPr>
        <w:spacing w:line="360" w:lineRule="auto"/>
      </w:pPr>
    </w:p>
    <w:p w14:paraId="7BDDCDA3" w14:textId="187E08BE" w:rsidR="00246F1D" w:rsidRDefault="00060555" w:rsidP="0061119E">
      <w:pPr>
        <w:pStyle w:val="Heading3"/>
        <w:spacing w:line="360" w:lineRule="auto"/>
      </w:pPr>
      <w:bookmarkStart w:id="10" w:name="_Toc184573482"/>
      <w:r>
        <w:t xml:space="preserve">Organizational </w:t>
      </w:r>
      <w:r w:rsidR="00246F1D">
        <w:t>implications</w:t>
      </w:r>
      <w:bookmarkEnd w:id="10"/>
    </w:p>
    <w:p w14:paraId="24BD550A" w14:textId="311E24DD" w:rsidR="00AE0A59" w:rsidRDefault="001C5610" w:rsidP="0061119E">
      <w:pPr>
        <w:spacing w:line="360" w:lineRule="auto"/>
      </w:pPr>
      <w:r>
        <w:t xml:space="preserve">This paper will </w:t>
      </w:r>
      <w:r w:rsidR="000220FB">
        <w:t xml:space="preserve">assess the relationship between holistic management of heart, head and hand domains </w:t>
      </w:r>
      <w:r w:rsidR="00060555">
        <w:t xml:space="preserve">and organizational practices. This could provide actionable insights </w:t>
      </w:r>
      <w:r w:rsidR="003D607F">
        <w:t xml:space="preserve">for improving efficiency and effectiveness in other </w:t>
      </w:r>
      <w:r w:rsidR="000344E4">
        <w:t xml:space="preserve">firms </w:t>
      </w:r>
      <w:r w:rsidR="00B62B75">
        <w:t>in the overall financial industry.</w:t>
      </w:r>
    </w:p>
    <w:p w14:paraId="18A6EBA7" w14:textId="77777777" w:rsidR="00AE0A59" w:rsidRDefault="00AE0A59" w:rsidP="0061119E">
      <w:pPr>
        <w:spacing w:line="360" w:lineRule="auto"/>
      </w:pPr>
    </w:p>
    <w:p w14:paraId="46B50106" w14:textId="4E663921" w:rsidR="003D11F8" w:rsidRDefault="003D11F8" w:rsidP="0061119E">
      <w:pPr>
        <w:pStyle w:val="Heading1"/>
        <w:spacing w:line="360" w:lineRule="auto"/>
      </w:pPr>
      <w:bookmarkStart w:id="11" w:name="_Toc184573483"/>
      <w:r>
        <w:t>Literature review</w:t>
      </w:r>
      <w:bookmarkEnd w:id="11"/>
    </w:p>
    <w:p w14:paraId="3F30856E" w14:textId="155A5759" w:rsidR="00F07A60" w:rsidRDefault="00015D21" w:rsidP="0061119E">
      <w:pPr>
        <w:pStyle w:val="Heading2"/>
        <w:spacing w:line="360" w:lineRule="auto"/>
      </w:pPr>
      <w:bookmarkStart w:id="12" w:name="_Toc184573484"/>
      <w:r>
        <w:t>Overview of concepts</w:t>
      </w:r>
      <w:bookmarkEnd w:id="12"/>
    </w:p>
    <w:p w14:paraId="30EC81B1" w14:textId="0A8D2E2F" w:rsidR="00015D21" w:rsidRDefault="00144E8F" w:rsidP="0061119E">
      <w:pPr>
        <w:pStyle w:val="Heading3"/>
        <w:spacing w:line="360" w:lineRule="auto"/>
      </w:pPr>
      <w:bookmarkStart w:id="13" w:name="_Toc184573485"/>
      <w:r>
        <w:t xml:space="preserve">Yu’s 3H </w:t>
      </w:r>
      <w:r w:rsidR="00CC6E99">
        <w:t xml:space="preserve">holistic management </w:t>
      </w:r>
      <w:r>
        <w:t>framework</w:t>
      </w:r>
      <w:bookmarkEnd w:id="13"/>
    </w:p>
    <w:p w14:paraId="79DD30D5" w14:textId="784B46FF" w:rsidR="00C85EB8" w:rsidRDefault="00CC6E99" w:rsidP="0061119E">
      <w:pPr>
        <w:spacing w:line="360" w:lineRule="auto"/>
      </w:pPr>
      <w:r>
        <w:t xml:space="preserve">Yu’s 3H holistic management framework </w:t>
      </w:r>
      <w:r w:rsidR="00F25354">
        <w:t>is an innovative and comprehensive approach to managing organisations and people</w:t>
      </w:r>
      <w:r w:rsidR="00CC6CA3">
        <w:t xml:space="preserve">. It emphasises the integration of three </w:t>
      </w:r>
      <w:r w:rsidR="00AD14C5">
        <w:t xml:space="preserve">key domains: Heart, Head, and Hand. </w:t>
      </w:r>
      <w:r w:rsidR="00AE5F65">
        <w:t xml:space="preserve">Developed by Eddie Yu, the framework </w:t>
      </w:r>
      <w:r w:rsidR="000E399E">
        <w:t xml:space="preserve">combines practical theories from </w:t>
      </w:r>
      <w:r w:rsidR="008172E2">
        <w:t>W</w:t>
      </w:r>
      <w:r w:rsidR="000E399E">
        <w:t>estern management theories</w:t>
      </w:r>
      <w:r w:rsidR="008172E2">
        <w:t xml:space="preserve"> and Eastern philosophical traditions </w:t>
      </w:r>
      <w:r w:rsidR="008172E2">
        <w:fldChar w:fldCharType="begin"/>
      </w:r>
      <w:r w:rsidR="008172E2">
        <w:instrText xml:space="preserve"> ADDIN ZOTERO_ITEM CSL_CITATION {"citationID":"FuxBYjCR","properties":{"formattedCitation":"(Yu, 2023)","plainCitation":"(Yu, 2023)","noteIndex":0},"citationItems":[{"id":480,"uris":["http://zotero.org/users/local/zH9ZQvD1/items/YZDBG4FX"],"itemData":{"id":480,"type":"document","title":"Introducing Eddie Yu’s 3H Holistic Management Framework","author":[{"family":"Yu","given":"Eddie"}],"issued":{"date-parts":[["2023"]]}}}],"schema":"https://github.com/citation-style-language/schema/raw/master/csl-citation.json"} </w:instrText>
      </w:r>
      <w:r w:rsidR="008172E2">
        <w:fldChar w:fldCharType="separate"/>
      </w:r>
      <w:r w:rsidR="008172E2" w:rsidRPr="008172E2">
        <w:rPr>
          <w:rFonts w:ascii="Aptos" w:hAnsi="Aptos"/>
        </w:rPr>
        <w:t>(Yu, 2023)</w:t>
      </w:r>
      <w:r w:rsidR="008172E2">
        <w:fldChar w:fldCharType="end"/>
      </w:r>
      <w:r w:rsidR="0073794E">
        <w:t>.</w:t>
      </w:r>
    </w:p>
    <w:p w14:paraId="00EE1DA8" w14:textId="77777777" w:rsidR="00B24B7A" w:rsidRDefault="00B24B7A" w:rsidP="0061119E">
      <w:pPr>
        <w:spacing w:line="360" w:lineRule="auto"/>
      </w:pPr>
    </w:p>
    <w:p w14:paraId="00ED939A" w14:textId="205CEE4B" w:rsidR="00643D64" w:rsidRDefault="00643D64" w:rsidP="0061119E">
      <w:pPr>
        <w:pStyle w:val="Heading4"/>
        <w:spacing w:line="360" w:lineRule="auto"/>
      </w:pPr>
      <w:r>
        <w:lastRenderedPageBreak/>
        <w:t>Heart (H1)</w:t>
      </w:r>
    </w:p>
    <w:p w14:paraId="191BC261" w14:textId="2FC226B3" w:rsidR="00643D64" w:rsidRDefault="00070B45" w:rsidP="0061119E">
      <w:pPr>
        <w:spacing w:line="360" w:lineRule="auto"/>
      </w:pPr>
      <w:r>
        <w:t xml:space="preserve">The heart domain focuses on people-related aspects, including leadership, </w:t>
      </w:r>
      <w:r w:rsidR="00967D13">
        <w:t xml:space="preserve">motivation, </w:t>
      </w:r>
      <w:r>
        <w:t xml:space="preserve">and team building. </w:t>
      </w:r>
      <w:r w:rsidR="00967D13">
        <w:t>It addresses the emotional</w:t>
      </w:r>
      <w:r w:rsidR="004702B3">
        <w:t xml:space="preserve">, moral and </w:t>
      </w:r>
      <w:r w:rsidR="00967D13">
        <w:t xml:space="preserve">ethical appeals to foster a positive </w:t>
      </w:r>
      <w:r w:rsidR="00B71FFB">
        <w:t xml:space="preserve">organizational culture. The heart domain is critical is </w:t>
      </w:r>
      <w:r w:rsidR="00A26360">
        <w:t>driving employee engagement across the organization and aligning employees with organizational values, visions and goals.</w:t>
      </w:r>
    </w:p>
    <w:p w14:paraId="4177A6C7" w14:textId="77777777" w:rsidR="00B24B7A" w:rsidRDefault="00B24B7A" w:rsidP="0061119E">
      <w:pPr>
        <w:spacing w:line="360" w:lineRule="auto"/>
      </w:pPr>
    </w:p>
    <w:p w14:paraId="153F1166" w14:textId="1664789A" w:rsidR="00643D64" w:rsidRDefault="00643D64" w:rsidP="0061119E">
      <w:pPr>
        <w:pStyle w:val="Heading4"/>
        <w:spacing w:line="360" w:lineRule="auto"/>
      </w:pPr>
      <w:r>
        <w:t xml:space="preserve">Head </w:t>
      </w:r>
      <w:r>
        <w:t>(H</w:t>
      </w:r>
      <w:r>
        <w:t>2</w:t>
      </w:r>
      <w:r>
        <w:t>)</w:t>
      </w:r>
    </w:p>
    <w:p w14:paraId="2F8B2A95" w14:textId="002CE158" w:rsidR="00643D64" w:rsidRDefault="00EE2797" w:rsidP="0061119E">
      <w:pPr>
        <w:spacing w:line="360" w:lineRule="auto"/>
      </w:pPr>
      <w:r>
        <w:t xml:space="preserve">The head domain </w:t>
      </w:r>
      <w:r w:rsidR="003B5E73">
        <w:t xml:space="preserve">focuses on strategic, organizational and operating model related areas. </w:t>
      </w:r>
      <w:r w:rsidR="00CE0D71">
        <w:t>It encompasses the organization’s vision, mission, planning</w:t>
      </w:r>
      <w:r w:rsidR="00E77B0F">
        <w:t xml:space="preserve"> &amp; control</w:t>
      </w:r>
      <w:r w:rsidR="00CE0D71">
        <w:t xml:space="preserve">, and organizational structure design. </w:t>
      </w:r>
      <w:r w:rsidR="00BA64FA">
        <w:t xml:space="preserve">This domain stresses on the importance of logical and strategic </w:t>
      </w:r>
      <w:r w:rsidR="00B542D3">
        <w:t>thinking and</w:t>
      </w:r>
      <w:r w:rsidR="00BA64FA">
        <w:t xml:space="preserve"> </w:t>
      </w:r>
      <w:r w:rsidR="00AC28A1">
        <w:t xml:space="preserve">plays a critical role in ensuring the organization </w:t>
      </w:r>
      <w:r w:rsidR="00B542D3">
        <w:t>is on the right path to achieve its goals.</w:t>
      </w:r>
    </w:p>
    <w:p w14:paraId="65E198CA" w14:textId="77777777" w:rsidR="00B24B7A" w:rsidRDefault="00B24B7A" w:rsidP="0061119E">
      <w:pPr>
        <w:spacing w:line="360" w:lineRule="auto"/>
      </w:pPr>
    </w:p>
    <w:p w14:paraId="10F318B2" w14:textId="4B035D45" w:rsidR="00643D64" w:rsidRDefault="00643D64" w:rsidP="0061119E">
      <w:pPr>
        <w:pStyle w:val="Heading4"/>
        <w:spacing w:line="360" w:lineRule="auto"/>
      </w:pPr>
      <w:r>
        <w:t xml:space="preserve">Hand </w:t>
      </w:r>
      <w:r>
        <w:t>(H</w:t>
      </w:r>
      <w:r>
        <w:t>3</w:t>
      </w:r>
      <w:r>
        <w:t>)</w:t>
      </w:r>
    </w:p>
    <w:p w14:paraId="59070DF3" w14:textId="165FAA10" w:rsidR="00643D64" w:rsidRDefault="00B542D3" w:rsidP="0061119E">
      <w:pPr>
        <w:spacing w:line="360" w:lineRule="auto"/>
      </w:pPr>
      <w:r>
        <w:t xml:space="preserve">The hand domain </w:t>
      </w:r>
      <w:r w:rsidR="00887BEA">
        <w:t xml:space="preserve">focuses on task-oriented and competence related issues. It involves </w:t>
      </w:r>
      <w:r w:rsidR="00BF5A3C">
        <w:t xml:space="preserve">supporting, </w:t>
      </w:r>
      <w:r w:rsidR="008C7A1A">
        <w:t xml:space="preserve">learning, </w:t>
      </w:r>
      <w:r w:rsidR="00BF5A3C">
        <w:t>coaching and t</w:t>
      </w:r>
      <w:r w:rsidR="008C7A1A">
        <w:t xml:space="preserve">raining to equip employees with the necessary skills for operational and execution success. </w:t>
      </w:r>
      <w:r w:rsidR="00750E45">
        <w:t>This domain emphasizes on execution and skill development to drive organizational performance.</w:t>
      </w:r>
    </w:p>
    <w:p w14:paraId="556F8355" w14:textId="77777777" w:rsidR="00B24B7A" w:rsidRDefault="00B24B7A" w:rsidP="0061119E">
      <w:pPr>
        <w:spacing w:line="360" w:lineRule="auto"/>
      </w:pPr>
    </w:p>
    <w:p w14:paraId="09B8E66C" w14:textId="3D4A3C48" w:rsidR="00A4215B" w:rsidRDefault="00900411" w:rsidP="0061119E">
      <w:pPr>
        <w:pStyle w:val="Heading4"/>
        <w:spacing w:line="360" w:lineRule="auto"/>
      </w:pPr>
      <w:r>
        <w:t>Holistic approach</w:t>
      </w:r>
    </w:p>
    <w:p w14:paraId="32C59901" w14:textId="332CB3A1" w:rsidR="00750E45" w:rsidRPr="0090266C" w:rsidRDefault="00010FE4" w:rsidP="0061119E">
      <w:pPr>
        <w:spacing w:line="360" w:lineRule="auto"/>
      </w:pPr>
      <w:r>
        <w:t xml:space="preserve">Depending on the organization, the weightings for each domain may be different. </w:t>
      </w:r>
      <w:r w:rsidR="00623EDB">
        <w:t xml:space="preserve">Yu’s 3H framework </w:t>
      </w:r>
      <w:r w:rsidR="009C31E2">
        <w:t>emphasizes that the organizational performance (OP) is a function of the leader’s ability to integrate the three domains</w:t>
      </w:r>
      <w:r w:rsidR="0090266C">
        <w:t xml:space="preserve">, indicating that </w:t>
      </w:r>
      <w:r w:rsidR="001B136D">
        <w:t>the level of holistic management is dependent on the level of synthesis created among the integration</w:t>
      </w:r>
      <w:r w:rsidR="0090266C">
        <w:t xml:space="preserve"> of </w:t>
      </w:r>
      <w:r w:rsidR="0090266C" w:rsidRPr="0090266C">
        <w:t>H1, H2 and H3.</w:t>
      </w:r>
      <w:r w:rsidR="00BD4D8B">
        <w:t xml:space="preserve"> In this paper, </w:t>
      </w:r>
      <w:r w:rsidR="006C4104">
        <w:t>I will be assessing OP based on the following formula:</w:t>
      </w:r>
    </w:p>
    <w:p w14:paraId="2FC3CE16" w14:textId="77777777" w:rsidR="00676414" w:rsidRPr="0090266C" w:rsidRDefault="00676414" w:rsidP="0061119E">
      <w:pPr>
        <w:spacing w:line="360" w:lineRule="auto"/>
        <w:rPr>
          <w:i/>
          <w:iCs/>
        </w:rPr>
      </w:pPr>
      <w:r w:rsidRPr="0090266C">
        <w:rPr>
          <w:i/>
          <w:iCs/>
        </w:rPr>
        <w:t xml:space="preserve">OP = f (H1 </w:t>
      </w:r>
      <w:r w:rsidRPr="0090266C">
        <w:rPr>
          <w:i/>
          <w:iCs/>
          <w:sz w:val="36"/>
          <w:szCs w:val="36"/>
        </w:rPr>
        <w:t xml:space="preserve">∩ </w:t>
      </w:r>
      <w:r w:rsidRPr="0090266C">
        <w:rPr>
          <w:i/>
          <w:iCs/>
        </w:rPr>
        <w:t xml:space="preserve">H2 </w:t>
      </w:r>
      <w:r w:rsidRPr="0090266C">
        <w:rPr>
          <w:i/>
          <w:iCs/>
          <w:sz w:val="36"/>
          <w:szCs w:val="36"/>
        </w:rPr>
        <w:t xml:space="preserve">∩ </w:t>
      </w:r>
      <w:r w:rsidRPr="0090266C">
        <w:rPr>
          <w:i/>
          <w:iCs/>
        </w:rPr>
        <w:t xml:space="preserve">H3), where </w:t>
      </w:r>
      <w:r w:rsidRPr="0090266C">
        <w:rPr>
          <w:i/>
          <w:iCs/>
          <w:sz w:val="36"/>
          <w:szCs w:val="36"/>
        </w:rPr>
        <w:t xml:space="preserve">∩ </w:t>
      </w:r>
      <w:r w:rsidRPr="0090266C">
        <w:rPr>
          <w:i/>
          <w:iCs/>
        </w:rPr>
        <w:t>represents the intersection of the three domains.</w:t>
      </w:r>
    </w:p>
    <w:p w14:paraId="2F792069" w14:textId="0514FA19" w:rsidR="0090266C" w:rsidRPr="0090266C" w:rsidRDefault="0090266C" w:rsidP="0061119E">
      <w:pPr>
        <w:spacing w:line="360" w:lineRule="auto"/>
        <w:jc w:val="center"/>
        <w:rPr>
          <w:i/>
          <w:iCs/>
        </w:rPr>
      </w:pPr>
      <w:r w:rsidRPr="004E2471">
        <w:rPr>
          <w:rFonts w:ascii="Garamond" w:hAnsi="Garamond"/>
          <w:noProof/>
        </w:rPr>
        <w:lastRenderedPageBreak/>
        <w:drawing>
          <wp:inline distT="0" distB="0" distL="0" distR="0" wp14:anchorId="10CB56B2" wp14:editId="4C60B448">
            <wp:extent cx="5037198" cy="3102785"/>
            <wp:effectExtent l="0" t="0" r="0" b="2540"/>
            <wp:docPr id="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Description automatically generated"/>
                    <pic:cNvPicPr/>
                  </pic:nvPicPr>
                  <pic:blipFill>
                    <a:blip r:embed="rId9"/>
                    <a:stretch>
                      <a:fillRect/>
                    </a:stretch>
                  </pic:blipFill>
                  <pic:spPr>
                    <a:xfrm>
                      <a:off x="0" y="0"/>
                      <a:ext cx="5115220" cy="3150844"/>
                    </a:xfrm>
                    <a:prstGeom prst="rect">
                      <a:avLst/>
                    </a:prstGeom>
                  </pic:spPr>
                </pic:pic>
              </a:graphicData>
            </a:graphic>
          </wp:inline>
        </w:drawing>
      </w:r>
    </w:p>
    <w:p w14:paraId="4D09CE5C" w14:textId="6740E73D" w:rsidR="0090266C" w:rsidRPr="00A53210" w:rsidRDefault="00377EFA" w:rsidP="0061119E">
      <w:pPr>
        <w:spacing w:line="360" w:lineRule="auto"/>
        <w:jc w:val="center"/>
      </w:pPr>
      <w:r>
        <w:t xml:space="preserve">Figure 1: </w:t>
      </w:r>
      <w:r w:rsidR="0034212B">
        <w:t xml:space="preserve">Venn diagram showing </w:t>
      </w:r>
      <w:r w:rsidR="00074453">
        <w:t xml:space="preserve">four different scenarios under the 3H holistic management framework </w:t>
      </w:r>
      <w:r w:rsidR="00A53210">
        <w:fldChar w:fldCharType="begin"/>
      </w:r>
      <w:r w:rsidR="00A53210">
        <w:instrText xml:space="preserve"> ADDIN ZOTERO_ITEM CSL_CITATION {"citationID":"odNtrEw1","properties":{"formattedCitation":"(Yu, 2023)","plainCitation":"(Yu, 2023)","noteIndex":0},"citationItems":[{"id":480,"uris":["http://zotero.org/users/local/zH9ZQvD1/items/YZDBG4FX"],"itemData":{"id":480,"type":"document","title":"Introducing Eddie Yu’s 3H Holistic Management Framework","author":[{"family":"Yu","given":"Eddie"}],"issued":{"date-parts":[["2023"]]}}}],"schema":"https://github.com/citation-style-language/schema/raw/master/csl-citation.json"} </w:instrText>
      </w:r>
      <w:r w:rsidR="00A53210">
        <w:fldChar w:fldCharType="separate"/>
      </w:r>
      <w:r w:rsidR="00A53210" w:rsidRPr="00A53210">
        <w:rPr>
          <w:rFonts w:ascii="Aptos" w:hAnsi="Aptos"/>
        </w:rPr>
        <w:t>(Yu, 2023)</w:t>
      </w:r>
      <w:r w:rsidR="00A53210">
        <w:fldChar w:fldCharType="end"/>
      </w:r>
    </w:p>
    <w:p w14:paraId="035148E4" w14:textId="0D1F0AFD" w:rsidR="00A3726F" w:rsidRDefault="006E1214" w:rsidP="0061119E">
      <w:pPr>
        <w:spacing w:line="360" w:lineRule="auto"/>
      </w:pPr>
      <w:r w:rsidRPr="0065148B">
        <w:t xml:space="preserve">The 3H framework </w:t>
      </w:r>
      <w:r w:rsidR="00E969DD" w:rsidRPr="0065148B">
        <w:t xml:space="preserve">encourages </w:t>
      </w:r>
      <w:r w:rsidR="00BE22C6" w:rsidRPr="0065148B">
        <w:t>management to take a broader perspective on organizational issues to avoid silo mentality</w:t>
      </w:r>
      <w:r w:rsidR="00242D01" w:rsidRPr="0065148B">
        <w:t xml:space="preserve">. The framework is flexible and is proven to be applicable across various </w:t>
      </w:r>
      <w:r w:rsidR="001705BC" w:rsidRPr="0065148B">
        <w:t xml:space="preserve">contexts and industries, such as </w:t>
      </w:r>
      <w:r w:rsidR="00425FE6">
        <w:t xml:space="preserve">assessment of </w:t>
      </w:r>
      <w:r w:rsidR="001705BC" w:rsidRPr="0065148B">
        <w:t xml:space="preserve">the Hong Kong police force </w:t>
      </w:r>
      <w:r w:rsidR="00057349" w:rsidRPr="0065148B">
        <w:t xml:space="preserve">and </w:t>
      </w:r>
      <w:r w:rsidR="00570CE8" w:rsidRPr="0065148B">
        <w:t xml:space="preserve">national policies </w:t>
      </w:r>
      <w:r w:rsidR="004E7A0E" w:rsidRPr="0065148B">
        <w:fldChar w:fldCharType="begin"/>
      </w:r>
      <w:r w:rsidR="0065148B" w:rsidRPr="0065148B">
        <w:instrText xml:space="preserve"> ADDIN ZOTERO_ITEM CSL_CITATION {"citationID":"zBIfIBdw","properties":{"formattedCitation":"(Cheung &amp; Yu, 2020; Stephanie, 2024; Yan, 2022; Yu, 2021)","plainCitation":"(Cheung &amp; Yu, 2020; Stephanie, 2024; Yan, 2022; Yu, 2021)","noteIndex":0},"citationItems":[{"id":523,"uris":["http://zotero.org/users/local/zH9ZQvD1/items/K9ZKCJ2H"],"itemData":{"id":523,"type":"article-journal","abstract":"Purpose The purpose of this paper is to review the strategic planning process of the Hong Kong Police Force (the Force) and its outcomes for the planning cycle of 2019-2021. Design/methodology/approach Based on an insider's perspective drawn from documentation, internal reports and field observation, this study is an analysis of the five-step strategic planning process of the Force as a case study over the two-year period by using the 3-H (Heart-Head-Hand) framework and futures studies. Findings This study demonstrates the Force's strategic management in practice. The 3-H framework and the Six Pillars Foresight Process are found to be useful tools in strategic planning. When the Heart, Head and Hand elements are developed and integrated as a mindset during the process, they help theorise the practice and experience of police officers towards a holistic and effective strategic management. Coupled with the foresight process, the Force will be more agile and outward focused in the Volatile, Uncertain, Complex and Ambiguous (VUCA) world. Originality/value This is the first study to apply the 3-H framework and futures thinking in analysing the process in a police organisation in Hong Kong. While strategic planning is an important process to set directions for an organisation to move forward, this study describes the process in terms of relevant practice and theoretical concepts. It is hoped that such experience can serve as reference for practitioners in other government departments and police organisations.","container-title":"Public Administration and Policy","DOI":"10.1108/PAP-06-2020-0027","ISSN":"2517-679X","issue":"3","note":"publisher: Emerald Publishing Limited","page":"245-258","source":"Emerald Insight","title":"A review of the strategic planning process in the Hong Kong Police Force","volume":"23","author":[{"family":"Cheung","given":"Hoi-yan"},{"family":"Yu","given":"Eddie"}],"issued":{"date-parts":[["2020",1,1]]}}},{"id":526,"uris":["http://zotero.org/users/local/zH9ZQvD1/items/LJWG3AKS"],"itemData":{"id":526,"type":"article-journal","language":"en","source":"Zotero","title":"TOWARDS A HOLISTIC MANAGEMENT FRAMEWORK","author":[{"family":"Stephanie","given":"Yeung"}],"issued":{"date-parts":[["2024"]]}}},{"id":522,"uris":["http://zotero.org/users/local/zH9ZQvD1/items/RTJ6ZBGP"],"itemData":{"id":522,"type":"article-journal","language":"en","source":"Zotero","title":"Towards developing a holistic strategic management in the Hong Kong police force","author":[{"family":"Yan","given":"Cheung Hoi"}],"issued":{"date-parts":[["2022"]]}}},{"id":477,"uris":["http://zotero.org/users/local/zH9ZQvD1/items/ZB6E9T3D"],"itemData":{"id":477,"type":"article-journal","abstract":"This paper attempts to theorise about China’s strategy in combating the coronavirus pandemic with an embryonic framework - 3H (Heart-Head-Hand) framework. By adopting a descriptive approach, the paper introduces the case of coronavirus outbreak in China and how the public health administration coped with it. The 3H framework has been applied to analyse China’s strategy, and the framework’s assumptions are initially tested.,The pandemic case is created based on credible reports, press releases from different respected sources, World Health Organization (WHO) statistics, interview transcripts and broadcasting stations’ video clippings. Interpretive analysis with pragmatism approach has been conducted in analysing the data and information collected. Triangulation, wherever possible, has been done to validate the data and information.,As an exploratory study, its findings show that 3H framework distinguishes the effectiveness of a country’s strategy and practice for combating the pandemic. Countries, which failed to observe the assumed principles of 3H domains tend to have much more infected cases and deaths.,The 3H framework conceptualised a holistic management approach and its assumptions have been initially tested with this pandemic case. The framework shows its predictability value for a country’s pandemic management effectiveness.","archive_location":"world","container-title":"Public Administration and Policy","DOI":"10.1108/PAP-12-2020-0055","ISSN":"2517-679X","issue":"1","language":"en","note":"publisher: Emerald Publishing Limited","page":"76-91","source":"www.emerald.com","title":"An analysis of China’s strategy in combating the coronavirus pandemic with the 3H framework","volume":"24","author":[{"family":"Yu","given":"Eddie"}],"issued":{"date-parts":[["2021",4,6]]}}}],"schema":"https://github.com/citation-style-language/schema/raw/master/csl-citation.json"} </w:instrText>
      </w:r>
      <w:r w:rsidR="004E7A0E" w:rsidRPr="0065148B">
        <w:fldChar w:fldCharType="separate"/>
      </w:r>
      <w:r w:rsidR="0065148B" w:rsidRPr="0065148B">
        <w:rPr>
          <w:rFonts w:ascii="Aptos" w:hAnsi="Aptos"/>
        </w:rPr>
        <w:t>(Cheung &amp; Yu, 2020; Stephanie, 2024; Yan, 2022; Yu, 2021)</w:t>
      </w:r>
      <w:r w:rsidR="004E7A0E" w:rsidRPr="0065148B">
        <w:fldChar w:fldCharType="end"/>
      </w:r>
      <w:r w:rsidR="0065148B" w:rsidRPr="0065148B">
        <w:t>.</w:t>
      </w:r>
      <w:r w:rsidR="00B11528">
        <w:t xml:space="preserve"> </w:t>
      </w:r>
      <w:r w:rsidR="002A5F1B">
        <w:t xml:space="preserve">The framework </w:t>
      </w:r>
      <w:r w:rsidR="00B14244">
        <w:t>strives to create win-win relationships with stakeholders</w:t>
      </w:r>
      <w:r w:rsidR="0032661C">
        <w:t>, emphasizing on responsible culture, sustainability, and corporate social responsibility.</w:t>
      </w:r>
      <w:r w:rsidR="002F17D4">
        <w:t xml:space="preserve"> </w:t>
      </w:r>
      <w:r w:rsidR="0085002B">
        <w:t xml:space="preserve">The integrated and holistic approach of the 3H framework </w:t>
      </w:r>
      <w:r w:rsidR="00D7678C">
        <w:t xml:space="preserve">is </w:t>
      </w:r>
      <w:r w:rsidR="00F54EB1">
        <w:t xml:space="preserve">crucial for addressing complex challenges in today’s rapidly evolving business environment. </w:t>
      </w:r>
      <w:r w:rsidR="00E22FD5">
        <w:t xml:space="preserve">In the following sections, I will be </w:t>
      </w:r>
      <w:r w:rsidR="00D379F3">
        <w:t>explaining the relevant management theories related to each of the H domains.</w:t>
      </w:r>
    </w:p>
    <w:p w14:paraId="07CF376B" w14:textId="77777777" w:rsidR="00D7678C" w:rsidRDefault="00D7678C" w:rsidP="0061119E">
      <w:pPr>
        <w:spacing w:line="360" w:lineRule="auto"/>
      </w:pPr>
    </w:p>
    <w:p w14:paraId="54A61474" w14:textId="054BEF33" w:rsidR="002848B6" w:rsidRPr="00E52509" w:rsidRDefault="00436CB1" w:rsidP="0061119E">
      <w:pPr>
        <w:pStyle w:val="Heading3"/>
        <w:spacing w:line="360" w:lineRule="auto"/>
      </w:pPr>
      <w:bookmarkStart w:id="14" w:name="_Toc184573486"/>
      <w:r w:rsidRPr="00E52509">
        <w:t>Heart domain theories</w:t>
      </w:r>
      <w:bookmarkEnd w:id="14"/>
    </w:p>
    <w:p w14:paraId="10789E8A" w14:textId="5003B9E0" w:rsidR="007D64A7" w:rsidRDefault="00EB6AD9" w:rsidP="0061119E">
      <w:pPr>
        <w:spacing w:line="360" w:lineRule="auto"/>
      </w:pPr>
      <w:r>
        <w:t>The heart domain in Yu’s 3H framework focuses on people-</w:t>
      </w:r>
      <w:r w:rsidR="000204BD">
        <w:t>related</w:t>
      </w:r>
      <w:r>
        <w:t xml:space="preserve"> aspect</w:t>
      </w:r>
      <w:r w:rsidR="000204BD">
        <w:t xml:space="preserve"> </w:t>
      </w:r>
      <w:r w:rsidR="005B2DCB">
        <w:t>of leadership, focusing on engagement and emotional connection of employees</w:t>
      </w:r>
      <w:r w:rsidR="00EA62DA">
        <w:t>. This is closely associated with</w:t>
      </w:r>
      <w:r w:rsidR="001564D0">
        <w:t xml:space="preserve"> the concepts of </w:t>
      </w:r>
      <w:r w:rsidR="00C63FE9">
        <w:t xml:space="preserve">transformational leadership </w:t>
      </w:r>
      <w:r w:rsidR="001564D0">
        <w:t xml:space="preserve">theory </w:t>
      </w:r>
      <w:r w:rsidR="00C63FE9">
        <w:t>and organizational commitmen</w:t>
      </w:r>
      <w:r w:rsidR="001564D0">
        <w:t xml:space="preserve">t theory. </w:t>
      </w:r>
    </w:p>
    <w:p w14:paraId="7A045C40" w14:textId="77777777" w:rsidR="002D459D" w:rsidRPr="00E52509" w:rsidRDefault="002D459D" w:rsidP="0061119E">
      <w:pPr>
        <w:spacing w:line="360" w:lineRule="auto"/>
      </w:pPr>
    </w:p>
    <w:p w14:paraId="7641BDF2" w14:textId="2D0C6F4A" w:rsidR="00E52509" w:rsidRPr="00E52509" w:rsidRDefault="00E52509" w:rsidP="0061119E">
      <w:pPr>
        <w:pStyle w:val="Heading4"/>
        <w:spacing w:line="360" w:lineRule="auto"/>
      </w:pPr>
      <w:r w:rsidRPr="00E52509">
        <w:lastRenderedPageBreak/>
        <w:t>Transformational leadership theory</w:t>
      </w:r>
    </w:p>
    <w:p w14:paraId="062E6A8D" w14:textId="07997BA3" w:rsidR="00802138" w:rsidRDefault="00383A88" w:rsidP="0061119E">
      <w:pPr>
        <w:spacing w:line="360" w:lineRule="auto"/>
      </w:pPr>
      <w:r>
        <w:t xml:space="preserve">Burns </w:t>
      </w:r>
      <w:r w:rsidR="00F4133C">
        <w:t xml:space="preserve">first introduced the concepts of transformational and transactional leadership in 1978, and </w:t>
      </w:r>
      <w:r w:rsidR="00AC4246">
        <w:t xml:space="preserve">the concepts were further </w:t>
      </w:r>
      <w:r w:rsidR="00C62CE9">
        <w:t xml:space="preserve">synthesized and expanded by Bass </w:t>
      </w:r>
      <w:r w:rsidR="00D13C20">
        <w:fldChar w:fldCharType="begin"/>
      </w:r>
      <w:r w:rsidR="00D13C20">
        <w:instrText xml:space="preserve"> ADDIN ZOTERO_ITEM CSL_CITATION {"citationID":"jccVk10d","properties":{"formattedCitation":"(Bass, 1999)","plainCitation":"(Bass, 1999)","noteIndex":0},"citationItems":[{"id":422,"uris":["http://zotero.org/users/local/zH9ZQvD1/items/32A824XK"],"itemData":{"id":422,"type":"article-journal","abstract":"The interests of the organization and its members need to be aligned. Such is a task for the transformational leader. In contrast to the transactional leader who practises contingent reinforcement of followers, the transformational leader inspires, intellectually stimulates, and is individually considerate of them. Transformational leadership may be directive or participative. Requiring higher moral development, transformational leadership is recognized universally as a concept. Furthermore, contrary to earlier expectations, women leaders tend to be more transformational than their male counterparts. Although a six-factor model of transformational/ transactional leadership best fits a diversity of samples according to confirmatory factor analyses, whether fewer factors are necessary remains an open question. Another important research question that has only been partially answered is why transformational leadership is more effective than transactional leadership in a wide variety of business, military, industrial, hospital, and educational circumstances.","container-title":"European Journal of Work and Organizational Psychology","DOI":"10.1080/135943299398410","ISSN":"1359-432X","issue":"1","note":"publisher: Routledge\n_eprint: https://doi.org/10.1080/135943299398410","page":"9-32","source":"Taylor and Francis+NEJM","title":"Two Decades of Research and Development in Transformational Leadership","volume":"8","author":[{"family":"Bass","given":"Bernard M."}],"issued":{"date-parts":[["1999",3,1]]}}}],"schema":"https://github.com/citation-style-language/schema/raw/master/csl-citation.json"} </w:instrText>
      </w:r>
      <w:r w:rsidR="00D13C20">
        <w:fldChar w:fldCharType="separate"/>
      </w:r>
      <w:r w:rsidR="00D13C20" w:rsidRPr="00D13C20">
        <w:rPr>
          <w:rFonts w:ascii="Aptos" w:hAnsi="Aptos"/>
        </w:rPr>
        <w:t>(Bass, 1999)</w:t>
      </w:r>
      <w:r w:rsidR="00D13C20">
        <w:fldChar w:fldCharType="end"/>
      </w:r>
      <w:r w:rsidR="00D13C20">
        <w:t xml:space="preserve">. </w:t>
      </w:r>
      <w:r w:rsidR="00893F23">
        <w:t xml:space="preserve">Transformational leaders inspire, intellectually stimulate, </w:t>
      </w:r>
      <w:r w:rsidR="006C6CB7">
        <w:t>show individual c</w:t>
      </w:r>
      <w:r w:rsidR="00E65673">
        <w:t>onsiderations</w:t>
      </w:r>
      <w:r w:rsidR="00D2166A">
        <w:t xml:space="preserve">, and motivate </w:t>
      </w:r>
      <w:r w:rsidR="008F4768">
        <w:t>their followers to put organizational goals ahead of self-interest</w:t>
      </w:r>
      <w:r w:rsidR="00E65673">
        <w:t xml:space="preserve">s. </w:t>
      </w:r>
      <w:r w:rsidR="007B7392">
        <w:t xml:space="preserve">Decades of study have </w:t>
      </w:r>
      <w:r w:rsidR="009A18FD">
        <w:t xml:space="preserve">shown that transformational leaders display four key </w:t>
      </w:r>
      <w:r w:rsidR="0015760B">
        <w:t xml:space="preserve">interrelated </w:t>
      </w:r>
      <w:r w:rsidR="009A18FD">
        <w:t xml:space="preserve">components: </w:t>
      </w:r>
      <w:r w:rsidR="001775D9">
        <w:t xml:space="preserve">(1.) idealized influence (or charisma), (2.) </w:t>
      </w:r>
      <w:r w:rsidR="0075701A">
        <w:t>inspirational motivation, (3.) intellectual stimulation, and (4.) individualized consideration</w:t>
      </w:r>
      <w:r w:rsidR="00FB2D8E">
        <w:t xml:space="preserve"> </w:t>
      </w:r>
      <w:r w:rsidR="00FB2D8E">
        <w:fldChar w:fldCharType="begin"/>
      </w:r>
      <w:r w:rsidR="00D50931">
        <w:instrText xml:space="preserve"> ADDIN ZOTERO_ITEM CSL_CITATION {"citationID":"Ju4CXETi","properties":{"formattedCitation":"(Bass, 1990, 1997)","plainCitation":"(Bass, 1990, 1997)","noteIndex":0},"citationItems":[{"id":448,"uris":["http://zotero.org/users/local/zH9ZQvD1/items/QXRUM2XN"],"itemData":{"id":448,"type":"article-journal","container-title":"Organizational Dynamics","DOI":"10.1016/0090-2616(90)90061-S","ISSN":"0090-2616","issue":"3","journalAbbreviation":"Organizational Dynamics","page":"19-31","source":"ScienceDirect","title":"From transactional to transformational leadership: Learning to share the vision","title-short":"From transactional to transformational leadership","volume":"18","author":[{"family":"Bass","given":"Bernard M."}],"issued":{"date-parts":[["1990",12,1]]}}},{"id":452,"uris":["http://zotero.org/users/local/zH9ZQvD1/items/J52TBUAI"],"itemData":{"id":452,"type":"article-journal","abstract":"There is universality in the transactional–transformational leadership paradigm. That is, the same conception of phenomena and relationships can be observed in a wide range of organizations and cultures. Exceptions can be understood as a consequence of unusual attributes of the organizations or cultures. Three corollaries are discussed. Supportive evidence has been gathered in studies conducted in organizations in business, education, the military, the government, and the independent sector. Likewise, supportive evidence has been accumulated from all but 1 continent to document the applicability of the paradigm. (PsycInfo Database Record (c) 2021 APA, all rights reserved)","container-title":"American Psychologist","DOI":"10.1037/0003-066X.52.2.130","ISSN":"1935-990X","issue":"2","note":"publisher-place: US\npublisher: American Psychological Association","page":"130-139","source":"APA PsycNet","title":"Does the transactional–transformational leadership paradigm transcend organizational and national boundaries?","volume":"52","author":[{"family":"Bass","given":"Bernard M."}],"issued":{"date-parts":[["1997"]]}}}],"schema":"https://github.com/citation-style-language/schema/raw/master/csl-citation.json"} </w:instrText>
      </w:r>
      <w:r w:rsidR="00FB2D8E">
        <w:fldChar w:fldCharType="separate"/>
      </w:r>
      <w:r w:rsidR="00D50931" w:rsidRPr="00D50931">
        <w:rPr>
          <w:rFonts w:ascii="Aptos" w:hAnsi="Aptos"/>
        </w:rPr>
        <w:t>(Bass, 1990, 1997)</w:t>
      </w:r>
      <w:r w:rsidR="00FB2D8E">
        <w:fldChar w:fldCharType="end"/>
      </w:r>
      <w:r w:rsidR="0075701A">
        <w:t xml:space="preserve">. </w:t>
      </w:r>
      <w:r w:rsidR="00B873D1">
        <w:t xml:space="preserve">In contrast to transactional </w:t>
      </w:r>
      <w:r w:rsidR="007B6B5D">
        <w:t>leadership, where leaders focus on rewards and punishments</w:t>
      </w:r>
      <w:r w:rsidR="0038061C">
        <w:t>, transformational leadership emphasizes on motivation</w:t>
      </w:r>
      <w:r w:rsidR="00B96C94">
        <w:t xml:space="preserve">, </w:t>
      </w:r>
      <w:r w:rsidR="00802138">
        <w:t>striving towards a vision</w:t>
      </w:r>
      <w:r w:rsidR="00D50931">
        <w:t xml:space="preserve"> collectively</w:t>
      </w:r>
      <w:r w:rsidR="00802138">
        <w:t xml:space="preserve">, and developing strong emotional connections between leaders and </w:t>
      </w:r>
      <w:r w:rsidR="000129FC">
        <w:t xml:space="preserve">employees </w:t>
      </w:r>
      <w:r w:rsidR="000129FC">
        <w:fldChar w:fldCharType="begin"/>
      </w:r>
      <w:r w:rsidR="003F2541">
        <w:instrText xml:space="preserve"> ADDIN ZOTERO_ITEM CSL_CITATION {"citationID":"fRRz6pRr","properties":{"formattedCitation":"(Bass, 1990, 1999; Dvir et al., 2002)","plainCitation":"(Bass, 1990, 1999; Dvir et al., 2002)","noteIndex":0},"citationItems":[{"id":448,"uris":["http://zotero.org/users/local/zH9ZQvD1/items/QXRUM2XN"],"itemData":{"id":448,"type":"article-journal","container-title":"Organizational Dynamics","DOI":"10.1016/0090-2616(90)90061-S","ISSN":"0090-2616","issue":"3","journalAbbreviation":"Organizational Dynamics","page":"19-31","source":"ScienceDirect","title":"From transactional to transformational leadership: Learning to share the vision","title-short":"From transactional to transformational leadership","volume":"18","author":[{"family":"Bass","given":"Bernard M."}],"issued":{"date-parts":[["1990",12,1]]}}},{"id":422,"uris":["http://zotero.org/users/local/zH9ZQvD1/items/32A824XK"],"itemData":{"id":422,"type":"article-journal","abstract":"The interests of the organization and its members need to be aligned. Such is a task for the transformational leader. In contrast to the transactional leader who practises contingent reinforcement of followers, the transformational leader inspires, intellectually stimulates, and is individually considerate of them. Transformational leadership may be directive or participative. Requiring higher moral development, transformational leadership is recognized universally as a concept. Furthermore, contrary to earlier expectations, women leaders tend to be more transformational than their male counterparts. Although a six-factor model of transformational/ transactional leadership best fits a diversity of samples according to confirmatory factor analyses, whether fewer factors are necessary remains an open question. Another important research question that has only been partially answered is why transformational leadership is more effective than transactional leadership in a wide variety of business, military, industrial, hospital, and educational circumstances.","container-title":"European Journal of Work and Organizational Psychology","DOI":"10.1080/135943299398410","ISSN":"1359-432X","issue":"1","note":"publisher: Routledge\n_eprint: https://doi.org/10.1080/135943299398410","page":"9-32","source":"Taylor and Francis+NEJM","title":"Two Decades of Research and Development in Transformational Leadership","volume":"8","author":[{"family":"Bass","given":"Bernard M."}],"issued":{"date-parts":[["1999",3,1]]}}},{"id":456,"uris":["http://zotero.org/users/local/zH9ZQvD1/items/JF9B3PLU"],"itemData":{"id":456,"type":"article-journal","abstract":"In a longitudinal, randomized field experiment, we tested the impact of transformational leadership, enhanced by training, on follower development and performance. Experimental group leaders received transformational leadership training, and control group leaders, eclectic leadership training. The sample included 54 military leaders, their 90 direct followers, and 724 indirect followers. Results indicated the leaders in the experimental group had a more positive impact on direct followers' development and on indirect followers' performance than did the leaders in the control group.","container-title":"Academy of Management Journal","DOI":"10.5465/3069307","ISSN":"0001-4273","issue":"4","journalAbbreviation":"AMJ","note":"publisher: Academy of Management","page":"735-744","source":"journals.aom.org (Atypon)","title":"Impact of Transformational Leadership on Follower Development and Performance: A Field Experiment","title-short":"Impact of Transformational Leadership on Follower Development and Performance","volume":"45","author":[{"family":"Dvir","given":"Taly"},{"family":"Eden","given":"Dov"},{"family":"Avolio","given":"Bruce J."},{"family":"Shamir","given":"Boas"}],"issued":{"date-parts":[["2002",8]]}}}],"schema":"https://github.com/citation-style-language/schema/raw/master/csl-citation.json"} </w:instrText>
      </w:r>
      <w:r w:rsidR="000129FC">
        <w:fldChar w:fldCharType="separate"/>
      </w:r>
      <w:r w:rsidR="003F2541" w:rsidRPr="003F2541">
        <w:rPr>
          <w:rFonts w:ascii="Aptos" w:hAnsi="Aptos"/>
        </w:rPr>
        <w:t>(Bass, 1990, 1999; Dvir et al., 2002)</w:t>
      </w:r>
      <w:r w:rsidR="000129FC">
        <w:fldChar w:fldCharType="end"/>
      </w:r>
      <w:r w:rsidR="00AD5CA8">
        <w:t>.</w:t>
      </w:r>
    </w:p>
    <w:p w14:paraId="50D15BCA" w14:textId="442B15D8" w:rsidR="00AD5CA8" w:rsidRDefault="004411CD" w:rsidP="0061119E">
      <w:pPr>
        <w:spacing w:line="360" w:lineRule="auto"/>
      </w:pPr>
      <w:r>
        <w:t xml:space="preserve">Bass (1999) </w:t>
      </w:r>
      <w:r w:rsidR="007A6A78">
        <w:t xml:space="preserve">analysed two decades of research </w:t>
      </w:r>
      <w:r w:rsidR="00C46C4F">
        <w:t xml:space="preserve">on leadership and have shown that transformational leadership is </w:t>
      </w:r>
      <w:r w:rsidR="008F4987">
        <w:t>more effective than transactional leadership</w:t>
      </w:r>
      <w:r w:rsidR="0065617C">
        <w:t xml:space="preserve">. Studies have shown that transformational leadership </w:t>
      </w:r>
      <w:r w:rsidR="006039FD">
        <w:t>deliver</w:t>
      </w:r>
      <w:r w:rsidR="00EE43EB">
        <w:t>ed</w:t>
      </w:r>
      <w:r w:rsidR="006039FD">
        <w:t xml:space="preserve"> superior results across </w:t>
      </w:r>
      <w:r w:rsidR="0038027A">
        <w:t>a broad range of organizational context</w:t>
      </w:r>
      <w:r w:rsidR="00EF63ED">
        <w:t xml:space="preserve"> and cultures</w:t>
      </w:r>
      <w:r w:rsidR="00785185">
        <w:t xml:space="preserve">, including </w:t>
      </w:r>
      <w:r w:rsidR="00307B92">
        <w:t xml:space="preserve">military, educational, and business </w:t>
      </w:r>
      <w:r w:rsidR="00EF63ED">
        <w:t xml:space="preserve">settings </w:t>
      </w:r>
      <w:r w:rsidR="00307B92">
        <w:fldChar w:fldCharType="begin"/>
      </w:r>
      <w:r w:rsidR="009E330D">
        <w:instrText xml:space="preserve"> ADDIN ZOTERO_ITEM CSL_CITATION {"citationID":"6BE5ZJX2","properties":{"formattedCitation":"(Bass, 1997, 1999; Zhang et al., 2011)","plainCitation":"(Bass, 1997, 1999; Zhang et al., 2011)","noteIndex":0},"citationItems":[{"id":452,"uris":["http://zotero.org/users/local/zH9ZQvD1/items/J52TBUAI"],"itemData":{"id":452,"type":"article-journal","abstract":"There is universality in the transactional–transformational leadership paradigm. That is, the same conception of phenomena and relationships can be observed in a wide range of organizations and cultures. Exceptions can be understood as a consequence of unusual attributes of the organizations or cultures. Three corollaries are discussed. Supportive evidence has been gathered in studies conducted in organizations in business, education, the military, the government, and the independent sector. Likewise, supportive evidence has been accumulated from all but 1 continent to document the applicability of the paradigm. (PsycInfo Database Record (c) 2021 APA, all rights reserved)","container-title":"American Psychologist","DOI":"10.1037/0003-066X.52.2.130","ISSN":"1935-990X","issue":"2","note":"publisher-place: US\npublisher: American Psychological Association","page":"130-139","source":"APA PsycNet","title":"Does the transactional–transformational leadership paradigm transcend organizational and national boundaries?","volume":"52","author":[{"family":"Bass","given":"Bernard M."}],"issued":{"date-parts":[["1997"]]}}},{"id":422,"uris":["http://zotero.org/users/local/zH9ZQvD1/items/32A824XK"],"itemData":{"id":422,"type":"article-journal","abstract":"The interests of the organization and its members need to be aligned. Such is a task for the transformational leader. In contrast to the transactional leader who practises contingent reinforcement of followers, the transformational leader inspires, intellectually stimulates, and is individually considerate of them. Transformational leadership may be directive or participative. Requiring higher moral development, transformational leadership is recognized universally as a concept. Furthermore, contrary to earlier expectations, women leaders tend to be more transformational than their male counterparts. Although a six-factor model of transformational/ transactional leadership best fits a diversity of samples according to confirmatory factor analyses, whether fewer factors are necessary remains an open question. Another important research question that has only been partially answered is why transformational leadership is more effective than transactional leadership in a wide variety of business, military, industrial, hospital, and educational circumstances.","container-title":"European Journal of Work and Organizational Psychology","DOI":"10.1080/135943299398410","ISSN":"1359-432X","issue":"1","note":"publisher: Routledge\n_eprint: https://doi.org/10.1080/135943299398410","page":"9-32","source":"Taylor and Francis+NEJM","title":"Two Decades of Research and Development in Transformational Leadership","volume":"8","author":[{"family":"Bass","given":"Bernard M."}],"issued":{"date-parts":[["1999",3,1]]}}},{"id":457,"uris":["http://zotero.org/users/local/zH9ZQvD1/items/D6SV6PIN"],"itemData":{"id":457,"type":"article-journal","abstract":"This study develops a model in which transformational leadership affects team coordination and performance through the conflict management approaches adopted by team members. Data were collected from three different sources in a lagged design from 108 teams in a large enterprise in China. Results support the reasoning that transformational leadership promotes team coordination and thereby team performance by encouraging teams to adopt a cooperative, as opposed to competitive, approach to conflict management. These results suggest that transformational leadership may help team members manage conflicts for their mutual benefit. This is an important mechanism through which transformational leadership enhances team coordination and, in turn, achieves higher team performance.","container-title":"Journal of Management Studies","DOI":"10.1111/j.1467-6486.2010.00974.x","ISSN":"1467-6486","issue":"7","language":"en","license":"© 2010 The Authors. Journal of Management Studies © 2010 Blackwell Publishing Ltd and Society for the Advancement of Management Studies","note":"_eprint: https://onlinelibrary.wiley.com/doi/pdf/10.1111/j.1467-6486.2010.00974.x","page":"1586-1611","source":"Wiley Online Library","title":"Linking Transformational Leadership and Team Performance: A Conflict Management Approach","title-short":"Linking Transformational Leadership and Team Performance","volume":"48","author":[{"family":"Zhang","given":"Xin-an"},{"family":"Cao","given":"Qing"},{"family":"Tjosvold","given":"Dean"}],"issued":{"date-parts":[["2011"]]}}}],"schema":"https://github.com/citation-style-language/schema/raw/master/csl-citation.json"} </w:instrText>
      </w:r>
      <w:r w:rsidR="00307B92">
        <w:fldChar w:fldCharType="separate"/>
      </w:r>
      <w:r w:rsidR="009E330D" w:rsidRPr="009E330D">
        <w:rPr>
          <w:rFonts w:ascii="Aptos" w:hAnsi="Aptos"/>
        </w:rPr>
        <w:t>(Bass, 1997, 1999; Zhang et al., 2011)</w:t>
      </w:r>
      <w:r w:rsidR="00307B92">
        <w:fldChar w:fldCharType="end"/>
      </w:r>
      <w:r w:rsidR="00EF63ED">
        <w:t xml:space="preserve">, and </w:t>
      </w:r>
      <w:r w:rsidR="007F4793">
        <w:t>hence, transformational leadership is relevant to the heart domain of the 3H framework.</w:t>
      </w:r>
    </w:p>
    <w:p w14:paraId="08697817" w14:textId="12B9DA4A" w:rsidR="006C4753" w:rsidRDefault="006E650F" w:rsidP="0061119E">
      <w:pPr>
        <w:spacing w:line="360" w:lineRule="auto"/>
      </w:pPr>
      <w:r>
        <w:t xml:space="preserve">There is strong empirical evidence supporting the effectiveness of transformational. </w:t>
      </w:r>
      <w:r w:rsidR="00C94E98">
        <w:t>A longitudinal</w:t>
      </w:r>
      <w:r w:rsidR="006C4753">
        <w:t xml:space="preserve">, randomized field experiment was conducted by Dvir et al. (2002) </w:t>
      </w:r>
      <w:r w:rsidR="008C0541">
        <w:t>and demonstrated that transformationa</w:t>
      </w:r>
      <w:r w:rsidR="00414F79">
        <w:t xml:space="preserve">l leadership training had a positive impact on followers’ development and performance. </w:t>
      </w:r>
      <w:r w:rsidR="00DC5FF8">
        <w:t xml:space="preserve">This study </w:t>
      </w:r>
      <w:r w:rsidR="00A738EA">
        <w:t xml:space="preserve">provides support to </w:t>
      </w:r>
      <w:r w:rsidR="00DC5FF8">
        <w:t xml:space="preserve">cultivate transformational leadership behaviours, </w:t>
      </w:r>
      <w:r w:rsidR="00D47EAF">
        <w:t>which is aligned with the developmental aspects of the heart domain</w:t>
      </w:r>
      <w:r w:rsidR="007F1800">
        <w:t xml:space="preserve"> </w:t>
      </w:r>
      <w:r w:rsidR="006C4753">
        <w:fldChar w:fldCharType="begin"/>
      </w:r>
      <w:r w:rsidR="006C4753">
        <w:instrText xml:space="preserve"> ADDIN ZOTERO_ITEM CSL_CITATION {"citationID":"VUmOWgJ5","properties":{"formattedCitation":"(Dvir et al., 2002)","plainCitation":"(Dvir et al., 2002)","noteIndex":0},"citationItems":[{"id":456,"uris":["http://zotero.org/users/local/zH9ZQvD1/items/JF9B3PLU"],"itemData":{"id":456,"type":"article-journal","abstract":"In a longitudinal, randomized field experiment, we tested the impact of transformational leadership, enhanced by training, on follower development and performance. Experimental group leaders received transformational leadership training, and control group leaders, eclectic leadership training. The sample included 54 military leaders, their 90 direct followers, and 724 indirect followers. Results indicated the leaders in the experimental group had a more positive impact on direct followers' development and on indirect followers' performance than did the leaders in the control group.","container-title":"Academy of Management Journal","DOI":"10.5465/3069307","ISSN":"0001-4273","issue":"4","journalAbbreviation":"AMJ","note":"publisher: Academy of Management","page":"735-744","source":"journals.aom.org (Atypon)","title":"Impact of Transformational Leadership on Follower Development and Performance: A Field Experiment","title-short":"Impact of Transformational Leadership on Follower Development and Performance","volume":"45","author":[{"family":"Dvir","given":"Taly"},{"family":"Eden","given":"Dov"},{"family":"Avolio","given":"Bruce J."},{"family":"Shamir","given":"Boas"}],"issued":{"date-parts":[["2002",8]]}}}],"schema":"https://github.com/citation-style-language/schema/raw/master/csl-citation.json"} </w:instrText>
      </w:r>
      <w:r w:rsidR="006C4753">
        <w:fldChar w:fldCharType="separate"/>
      </w:r>
      <w:r w:rsidR="006C4753" w:rsidRPr="006C4753">
        <w:rPr>
          <w:rFonts w:ascii="Aptos" w:hAnsi="Aptos"/>
        </w:rPr>
        <w:t>(Dvir et al., 2002)</w:t>
      </w:r>
      <w:r w:rsidR="006C4753">
        <w:fldChar w:fldCharType="end"/>
      </w:r>
      <w:r w:rsidR="007F1800">
        <w:t>.</w:t>
      </w:r>
    </w:p>
    <w:p w14:paraId="42A93DFA" w14:textId="77777777" w:rsidR="002D7B39" w:rsidRDefault="002D7B39" w:rsidP="0061119E">
      <w:pPr>
        <w:spacing w:line="360" w:lineRule="auto"/>
      </w:pPr>
    </w:p>
    <w:p w14:paraId="3D087A13" w14:textId="2CCB7329" w:rsidR="00E52509" w:rsidRDefault="00C7331D" w:rsidP="0061119E">
      <w:pPr>
        <w:pStyle w:val="Heading4"/>
        <w:spacing w:line="360" w:lineRule="auto"/>
      </w:pPr>
      <w:r>
        <w:t xml:space="preserve">Organizational commitment </w:t>
      </w:r>
      <w:r w:rsidR="00C63FE9">
        <w:t>theory</w:t>
      </w:r>
    </w:p>
    <w:p w14:paraId="37811B3B" w14:textId="18622AF1" w:rsidR="00C122F9" w:rsidRDefault="003655AD" w:rsidP="0061119E">
      <w:pPr>
        <w:spacing w:line="360" w:lineRule="auto"/>
      </w:pPr>
      <w:r>
        <w:t xml:space="preserve">Organizational commitment theory focuses on the psychological attachment of employees towards the organization, and </w:t>
      </w:r>
      <w:r w:rsidR="00D65A90">
        <w:t xml:space="preserve">this concept is closely linked </w:t>
      </w:r>
      <w:r w:rsidR="002F61DD">
        <w:t>to the people-aspect of transformational leadership</w:t>
      </w:r>
      <w:r w:rsidR="00490D2A">
        <w:t xml:space="preserve"> </w:t>
      </w:r>
      <w:r w:rsidR="00490D2A">
        <w:fldChar w:fldCharType="begin"/>
      </w:r>
      <w:r w:rsidR="00490D2A">
        <w:instrText xml:space="preserve"> ADDIN ZOTERO_ITEM CSL_CITATION {"citationID":"OhbFGguS","properties":{"formattedCitation":"(Meyer &amp; Allen, 1991)","plainCitation":"(Meyer &amp; Allen, 1991)","noteIndex":0},"citationItems":[{"id":460,"uris":["http://zotero.org/users/local/zH9ZQvD1/items/6LKUGUTJ"],"itemData":{"id":460,"type":"article-journal","abstract":"Diversity in the conceptualization and measurement of organizational commitment has made it difficult to interpret the results of an accumulating body of research. In this article, we go beyond the existing distinction between attitudinal and behavioral commitment and argue that commitment, as a psychological state, has at least three separable components reflecting (a) a desire (affective commitment), (b) a need (continuance commitment), and (c) an obligation (normative commitment) to maintain employment in an organization. Each component is considered to develop as a function of different antecedents and to have different implications for on-the-job behavior. The aim of this reconceptualization is to aid in the synthesis of existing research and to serve as a framework for future research.","container-title":"Human Resource Management Review","DOI":"10.1016/1053-4822(91)90011-Z","ISSN":"1053-4822","issue":"1","journalAbbreviation":"Human Resource Management Review","page":"61-89","source":"ScienceDirect","title":"A three-component conceptualization of organizational commitment","volume":"1","author":[{"family":"Meyer","given":"John P."},{"family":"Allen","given":"Natalie J."}],"issued":{"date-parts":[["1991",3,1]]}}}],"schema":"https://github.com/citation-style-language/schema/raw/master/csl-citation.json"} </w:instrText>
      </w:r>
      <w:r w:rsidR="00490D2A">
        <w:fldChar w:fldCharType="separate"/>
      </w:r>
      <w:r w:rsidR="00490D2A" w:rsidRPr="00490D2A">
        <w:rPr>
          <w:rFonts w:ascii="Aptos" w:hAnsi="Aptos"/>
        </w:rPr>
        <w:t>(Meyer &amp; Allen, 1991)</w:t>
      </w:r>
      <w:r w:rsidR="00490D2A">
        <w:fldChar w:fldCharType="end"/>
      </w:r>
      <w:r w:rsidR="002F61DD">
        <w:t>.</w:t>
      </w:r>
      <w:r w:rsidR="00C22FE9">
        <w:t xml:space="preserve"> </w:t>
      </w:r>
      <w:r w:rsidR="00FC2F9D">
        <w:t>The three-component model of organizational commitment</w:t>
      </w:r>
      <w:r w:rsidR="00020B37">
        <w:t xml:space="preserve"> by Meyer and Allen </w:t>
      </w:r>
      <w:r w:rsidR="00D21A1C">
        <w:t xml:space="preserve">emphasizes </w:t>
      </w:r>
      <w:r w:rsidR="00FE0790">
        <w:t xml:space="preserve">on </w:t>
      </w:r>
      <w:r w:rsidR="003A25D7">
        <w:t>three distinct psychological states</w:t>
      </w:r>
      <w:r w:rsidR="00FE0790">
        <w:t xml:space="preserve"> of commitment</w:t>
      </w:r>
      <w:r w:rsidR="003A25D7">
        <w:t>: affective (desire), continuance (need), and normative (obligation)</w:t>
      </w:r>
      <w:r w:rsidR="00004733">
        <w:t xml:space="preserve">. </w:t>
      </w:r>
      <w:r w:rsidR="00B8049B">
        <w:t>Researches have shown that a</w:t>
      </w:r>
      <w:r w:rsidR="008550B6">
        <w:t xml:space="preserve">ll three forms of commitment </w:t>
      </w:r>
      <w:r w:rsidR="00B8049B">
        <w:t xml:space="preserve">are </w:t>
      </w:r>
      <w:r w:rsidR="008550B6">
        <w:t xml:space="preserve">negatively </w:t>
      </w:r>
      <w:r w:rsidR="008873C2">
        <w:t xml:space="preserve">correlated to </w:t>
      </w:r>
      <w:r w:rsidR="008873C2">
        <w:lastRenderedPageBreak/>
        <w:t xml:space="preserve">turnovers and </w:t>
      </w:r>
      <w:r w:rsidR="005A42DC">
        <w:t>turnover intentions</w:t>
      </w:r>
      <w:r w:rsidR="00C849EE">
        <w:t xml:space="preserve">, while affective commitment was </w:t>
      </w:r>
      <w:r w:rsidR="00D061ED">
        <w:t xml:space="preserve">positively correlated </w:t>
      </w:r>
      <w:r w:rsidR="001F5CAC">
        <w:t>with attendance behaviour, work performance, and well-being</w:t>
      </w:r>
      <w:r w:rsidR="009D62DA">
        <w:t xml:space="preserve"> </w:t>
      </w:r>
      <w:r w:rsidR="009D62DA">
        <w:fldChar w:fldCharType="begin"/>
      </w:r>
      <w:r w:rsidR="009D62DA">
        <w:instrText xml:space="preserve"> ADDIN ZOTERO_ITEM CSL_CITATION {"citationID":"HbJ5D6Tz","properties":{"formattedCitation":"(Meyer et al., 2002; Meyer &amp; Allen, 1991)","plainCitation":"(Meyer et al., 2002; Meyer &amp; Allen, 1991)","noteIndex":0},"citationItems":[{"id":466,"uris":["http://zotero.org/users/local/zH9ZQvD1/items/EKSE2QDX"],"itemData":{"id":466,"type":"article-journal","abstract":"The authors conducted meta-analyses to assess (a) relations among affective, continuance, and normative commitment to the organization and (b) relations between the three forms of commitment and variables identified as their antecedents, correlates, and consequences in Meyer and Allen's (1991) Three-Component Model. They found that the three forms of commitment are related yet distinguishable from one another as well as from job satisfaction, job involvement, and occupational commitment. Affective and continuance commitment generally correlated as expected with their hypothesized antecedent variables; no unique antecedents of normative commitment were identified. Also, as expected, all three forms of commitment related negatively to withdrawal cognition and turnover, and affective commitment had the strongest and most favorable correlations with organization-relevant (attendance, performance, and organizational citizenship behavior) and employee-relevant (stress and work–family conflict) outcomes. Normative commitment was also associated with desirable outcomes, albeit not as strongly. Continuance commitment was unrelated, or related negatively, to these outcomes. Comparisons of studies conducted within and outside North America revealed considerable similarity yet suggested that more systematic primary research concerning cultural differences is warranted.","container-title":"Journal of Vocational Behavior","DOI":"10.1006/jvbe.2001.1842","ISSN":"0001-8791","issue":"1","journalAbbreviation":"Journal of Vocational Behavior","page":"20-52","source":"ScienceDirect","title":"Affective, Continuance, and Normative Commitment to the Organization: A Meta-analysis of Antecedents, Correlates, and Consequences","title-short":"Affective, Continuance, and Normative Commitment to the Organization","volume":"61","author":[{"family":"Meyer","given":"John P."},{"family":"Stanley","given":"David J."},{"family":"Herscovitch","given":"Lynne"},{"family":"Topolnytsky","given":"Laryssa"}],"issued":{"date-parts":[["2002",8,1]]}}},{"id":460,"uris":["http://zotero.org/users/local/zH9ZQvD1/items/6LKUGUTJ"],"itemData":{"id":460,"type":"article-journal","abstract":"Diversity in the conceptualization and measurement of organizational commitment has made it difficult to interpret the results of an accumulating body of research. In this article, we go beyond the existing distinction between attitudinal and behavioral commitment and argue that commitment, as a psychological state, has at least three separable components reflecting (a) a desire (affective commitment), (b) a need (continuance commitment), and (c) an obligation (normative commitment) to maintain employment in an organization. Each component is considered to develop as a function of different antecedents and to have different implications for on-the-job behavior. The aim of this reconceptualization is to aid in the synthesis of existing research and to serve as a framework for future research.","container-title":"Human Resource Management Review","DOI":"10.1016/1053-4822(91)90011-Z","ISSN":"1053-4822","issue":"1","journalAbbreviation":"Human Resource Management Review","page":"61-89","source":"ScienceDirect","title":"A three-component conceptualization of organizational commitment","volume":"1","author":[{"family":"Meyer","given":"John P."},{"family":"Allen","given":"Natalie J."}],"issued":{"date-parts":[["1991",3,1]]}}}],"schema":"https://github.com/citation-style-language/schema/raw/master/csl-citation.json"} </w:instrText>
      </w:r>
      <w:r w:rsidR="009D62DA">
        <w:fldChar w:fldCharType="separate"/>
      </w:r>
      <w:r w:rsidR="009D62DA" w:rsidRPr="009D62DA">
        <w:rPr>
          <w:rFonts w:ascii="Aptos" w:hAnsi="Aptos"/>
        </w:rPr>
        <w:t>(Meyer et al., 2002; Meyer &amp; Allen, 1991)</w:t>
      </w:r>
      <w:r w:rsidR="009D62DA">
        <w:fldChar w:fldCharType="end"/>
      </w:r>
      <w:r w:rsidR="00F06E84">
        <w:t xml:space="preserve">. The affective commitment </w:t>
      </w:r>
      <w:r w:rsidR="00FC1882">
        <w:t>is denoted by the individual’s emotional attachment, identification, and involvement with the organization</w:t>
      </w:r>
      <w:r w:rsidR="00135380">
        <w:t xml:space="preserve"> </w:t>
      </w:r>
      <w:r w:rsidR="00135380">
        <w:fldChar w:fldCharType="begin"/>
      </w:r>
      <w:r w:rsidR="00135380">
        <w:instrText xml:space="preserve"> ADDIN ZOTERO_ITEM CSL_CITATION {"citationID":"LLhahlE0","properties":{"formattedCitation":"(Meyer et al., 2002)","plainCitation":"(Meyer et al., 2002)","noteIndex":0},"citationItems":[{"id":466,"uris":["http://zotero.org/users/local/zH9ZQvD1/items/EKSE2QDX"],"itemData":{"id":466,"type":"article-journal","abstract":"The authors conducted meta-analyses to assess (a) relations among affective, continuance, and normative commitment to the organization and (b) relations between the three forms of commitment and variables identified as their antecedents, correlates, and consequences in Meyer and Allen's (1991) Three-Component Model. They found that the three forms of commitment are related yet distinguishable from one another as well as from job satisfaction, job involvement, and occupational commitment. Affective and continuance commitment generally correlated as expected with their hypothesized antecedent variables; no unique antecedents of normative commitment were identified. Also, as expected, all three forms of commitment related negatively to withdrawal cognition and turnover, and affective commitment had the strongest and most favorable correlations with organization-relevant (attendance, performance, and organizational citizenship behavior) and employee-relevant (stress and work–family conflict) outcomes. Normative commitment was also associated with desirable outcomes, albeit not as strongly. Continuance commitment was unrelated, or related negatively, to these outcomes. Comparisons of studies conducted within and outside North America revealed considerable similarity yet suggested that more systematic primary research concerning cultural differences is warranted.","container-title":"Journal of Vocational Behavior","DOI":"10.1006/jvbe.2001.1842","ISSN":"0001-8791","issue":"1","journalAbbreviation":"Journal of Vocational Behavior","page":"20-52","source":"ScienceDirect","title":"Affective, Continuance, and Normative Commitment to the Organization: A Meta-analysis of Antecedents, Correlates, and Consequences","title-short":"Affective, Continuance, and Normative Commitment to the Organization","volume":"61","author":[{"family":"Meyer","given":"John P."},{"family":"Stanley","given":"David J."},{"family":"Herscovitch","given":"Lynne"},{"family":"Topolnytsky","given":"Laryssa"}],"issued":{"date-parts":[["2002",8,1]]}}}],"schema":"https://github.com/citation-style-language/schema/raw/master/csl-citation.json"} </w:instrText>
      </w:r>
      <w:r w:rsidR="00135380">
        <w:fldChar w:fldCharType="separate"/>
      </w:r>
      <w:r w:rsidR="00135380" w:rsidRPr="00135380">
        <w:rPr>
          <w:rFonts w:ascii="Aptos" w:hAnsi="Aptos"/>
        </w:rPr>
        <w:t>(Meyer et al., 2002)</w:t>
      </w:r>
      <w:r w:rsidR="00135380">
        <w:fldChar w:fldCharType="end"/>
      </w:r>
      <w:r w:rsidR="00FC1882">
        <w:t xml:space="preserve">, and </w:t>
      </w:r>
      <w:r w:rsidR="004036A5">
        <w:t xml:space="preserve">is </w:t>
      </w:r>
      <w:r w:rsidR="00EE56E2">
        <w:t>closely associated with the concepts of transformational leadership and the heart domain under the 3H framework.</w:t>
      </w:r>
    </w:p>
    <w:p w14:paraId="6CE18742" w14:textId="77777777" w:rsidR="00D42AE3" w:rsidRDefault="00D42AE3" w:rsidP="0061119E">
      <w:pPr>
        <w:spacing w:line="360" w:lineRule="auto"/>
      </w:pPr>
    </w:p>
    <w:p w14:paraId="2C16F45C" w14:textId="74D400A2" w:rsidR="0059769F" w:rsidRDefault="00CA4E2A" w:rsidP="0061119E">
      <w:pPr>
        <w:pStyle w:val="Heading4"/>
        <w:spacing w:line="360" w:lineRule="auto"/>
      </w:pPr>
      <w:r>
        <w:t>Connecti</w:t>
      </w:r>
      <w:r w:rsidR="00456E97">
        <w:t xml:space="preserve">on </w:t>
      </w:r>
      <w:r>
        <w:t xml:space="preserve">with </w:t>
      </w:r>
      <w:r w:rsidR="00EF1AC2">
        <w:t>the heart domain</w:t>
      </w:r>
    </w:p>
    <w:p w14:paraId="11C0CA20" w14:textId="04B96582" w:rsidR="0059769F" w:rsidRDefault="00441BC8" w:rsidP="0061119E">
      <w:pPr>
        <w:spacing w:line="360" w:lineRule="auto"/>
      </w:pPr>
      <w:r>
        <w:t xml:space="preserve">Extensive research has been conducted over the years on the topic of leadership, </w:t>
      </w:r>
      <w:r w:rsidR="0095749B">
        <w:t>an</w:t>
      </w:r>
      <w:r w:rsidR="00A850CB">
        <w:t xml:space="preserve">d the importance of transformational leadership and its positive impact on </w:t>
      </w:r>
      <w:r w:rsidR="00EF74E9">
        <w:t xml:space="preserve">followers and organizational commitment </w:t>
      </w:r>
      <w:r w:rsidR="006D5F3E">
        <w:t xml:space="preserve">remains valid, and </w:t>
      </w:r>
      <w:r w:rsidR="00C87958">
        <w:t xml:space="preserve">the concepts </w:t>
      </w:r>
      <w:r w:rsidR="00411673">
        <w:t xml:space="preserve">of transformational leadership and organizational commitment </w:t>
      </w:r>
      <w:r w:rsidR="006D5F3E">
        <w:t>continue</w:t>
      </w:r>
      <w:r w:rsidR="00411673">
        <w:t xml:space="preserve"> </w:t>
      </w:r>
      <w:r w:rsidR="006D5F3E">
        <w:t xml:space="preserve">to be relevant and applicable </w:t>
      </w:r>
      <w:r w:rsidR="006D5F3E">
        <w:fldChar w:fldCharType="begin"/>
      </w:r>
      <w:r w:rsidR="006D5F3E">
        <w:instrText xml:space="preserve"> ADDIN ZOTERO_ITEM CSL_CITATION {"citationID":"TaMVzDpC","properties":{"formattedCitation":"(Dinh et al., 2014; Hiller et al., 2011)","plainCitation":"(Dinh et al., 2014; Hiller et al., 2011)","noteIndex":0},"citationItems":[{"id":437,"uris":["http://zotero.org/users/local/zH9ZQvD1/items/MUV5N6LU"],"itemData":{"id":437,"type":"article-journal","abstract":"Scholarly research on the topic of leadership has witnessed a dramatic increase over the last decade, resulting in the development of diverse leadership theories. To take stock of established and developing theories since the beginning of the new millennium, we conducted an extensive qualitative review of leadership theory across 10 top-tier academic publishing outlets that included The Leadership Quarterly, Administrative Science Quarterly, American Psychologist, Journal of Management, Academy of Management Journal, Academy of Management Review, Journal of Applied Psychology, Organizational Behavior and Human Decision Processes, Organizational Science, and Personnel Psychology. We then combined two existing frameworks (Gardner, Lowe, Moss, Mahoney, &amp; Cogliser, 2010; Lord &amp; Dinh, 2012) to provide a process-oriented framework that emphasizes both forms of emergence and levels of analysis as a means to integrate diverse leadership theories. We then describe the implications of the findings for future leadership research and theory.","collection-title":"Leadership Quarterly 25th Anniversary Issue","container-title":"The Leadership Quarterly","DOI":"10.1016/j.leaqua.2013.11.005","ISSN":"1048-9843","issue":"1","journalAbbreviation":"The Leadership Quarterly","page":"36-62","source":"ScienceDirect","title":"Leadership theory and research in the new millennium: Current theoretical trends and changing perspectives","title-short":"Leadership theory and research in the new millennium","volume":"25","author":[{"family":"Dinh","given":"Jessica E."},{"family":"Lord","given":"Robert G."},{"family":"Gardner","given":"William L."},{"family":"Meuser","given":"Jeremy D."},{"family":"Liden","given":"Robert C."},{"family":"Hu","given":"Jinyu"}],"issued":{"date-parts":[["2014",2,1]]}}},{"id":435,"uris":["http://zotero.org/users/local/zH9ZQvD1/items/JQ4DLMLN"],"itemData":{"id":435,"type":"article-journal","abstract":"A significant question in management research is, “What criteria should be used to evaluate the effects of leadership?” In this review, the authors systematically summarize various ways the field of leadership has (and has not) sought to answer questions about whether, when, and how leadership affects outcomes. A total of 1,161 empirical studies over 25 years, spanning micro- and macro-oriented perspectives, were content coded to answer six basic questions that set the scope of leadership science. The authors first descriptively summarize these criterion issues in the empirical literature and draw comparisons across areas (e.g., To what extent have leader-member exchange, transformational, and strategic leadership research differentially examined various outcomes?). Second, the authors explore the implications of criterion selection issues for the further advancement of leadership theory and offer concrete recommendations for future leadership research.","container-title":"Journal of Management","DOI":"10.1177/0149206310393520","ISSN":"0149-2063","issue":"4","language":"en","note":"publisher: SAGE Publications Inc","page":"1137-1177","source":"SAGE Journals","title":"Searching for Outcomes of Leadership: A 25-Year Review","title-short":"Searching for Outcomes of Leadership","volume":"37","author":[{"family":"Hiller","given":"Nathan J."},{"family":"DeChurch","given":"Leslie A."},{"family":"Murase","given":"Toshio"},{"family":"Doty","given":"Daniel"}],"issued":{"date-parts":[["2011",7,1]]}}}],"schema":"https://github.com/citation-style-language/schema/raw/master/csl-citation.json"} </w:instrText>
      </w:r>
      <w:r w:rsidR="006D5F3E">
        <w:fldChar w:fldCharType="separate"/>
      </w:r>
      <w:r w:rsidR="006D5F3E" w:rsidRPr="006D5F3E">
        <w:rPr>
          <w:rFonts w:ascii="Aptos" w:hAnsi="Aptos"/>
        </w:rPr>
        <w:t>(Dinh et al., 2014; Hiller et al., 2011)</w:t>
      </w:r>
      <w:r w:rsidR="006D5F3E">
        <w:fldChar w:fldCharType="end"/>
      </w:r>
      <w:r w:rsidR="00411673">
        <w:t>.</w:t>
      </w:r>
      <w:r w:rsidR="00EB52EF">
        <w:t xml:space="preserve"> The two theories emphasize the critical role of people-related emotional </w:t>
      </w:r>
      <w:r w:rsidR="006D5FD8">
        <w:t>connections and</w:t>
      </w:r>
      <w:r w:rsidR="00EB52EF">
        <w:t xml:space="preserve"> is highly relevant to the heart domain of Yu’s </w:t>
      </w:r>
      <w:r w:rsidR="00DF72BE">
        <w:t>3H framework.</w:t>
      </w:r>
      <w:r w:rsidR="000A6984">
        <w:t xml:space="preserve"> </w:t>
      </w:r>
    </w:p>
    <w:p w14:paraId="6C674E43" w14:textId="77777777" w:rsidR="00D42AE3" w:rsidRDefault="00D42AE3" w:rsidP="0061119E">
      <w:pPr>
        <w:spacing w:line="360" w:lineRule="auto"/>
      </w:pPr>
    </w:p>
    <w:p w14:paraId="5EE7B328" w14:textId="02457985" w:rsidR="00B42956" w:rsidRDefault="00436CB1" w:rsidP="0061119E">
      <w:pPr>
        <w:pStyle w:val="Heading3"/>
        <w:spacing w:line="360" w:lineRule="auto"/>
      </w:pPr>
      <w:bookmarkStart w:id="15" w:name="_Toc184573487"/>
      <w:r>
        <w:t>Head domain theories</w:t>
      </w:r>
      <w:bookmarkEnd w:id="15"/>
    </w:p>
    <w:p w14:paraId="6D232842" w14:textId="427680B5" w:rsidR="000F2B76" w:rsidRDefault="005B01EA" w:rsidP="0061119E">
      <w:pPr>
        <w:spacing w:line="360" w:lineRule="auto"/>
      </w:pPr>
      <w:r>
        <w:t xml:space="preserve">The head domain </w:t>
      </w:r>
      <w:r w:rsidR="00971C57">
        <w:t xml:space="preserve">in Yu’s 3H framework focuses on strategic, </w:t>
      </w:r>
      <w:r w:rsidR="000F2B76">
        <w:t xml:space="preserve">operational </w:t>
      </w:r>
      <w:r w:rsidR="00DB677C">
        <w:t xml:space="preserve">processes </w:t>
      </w:r>
      <w:r w:rsidR="000F2B76">
        <w:t>and organizational</w:t>
      </w:r>
      <w:r w:rsidR="00C82C77">
        <w:t xml:space="preserve"> design related a</w:t>
      </w:r>
      <w:r w:rsidR="000F2B76">
        <w:t xml:space="preserve">reas. </w:t>
      </w:r>
      <w:r w:rsidR="009E3ED8">
        <w:t xml:space="preserve">The head domain </w:t>
      </w:r>
      <w:r w:rsidR="00540B8A">
        <w:t xml:space="preserve">focuses on </w:t>
      </w:r>
      <w:r w:rsidR="00AF39FA">
        <w:t xml:space="preserve">the </w:t>
      </w:r>
      <w:r w:rsidR="00540B8A">
        <w:t xml:space="preserve">logical and strategic </w:t>
      </w:r>
      <w:r w:rsidR="00476B46">
        <w:t xml:space="preserve">thinking </w:t>
      </w:r>
      <w:r w:rsidR="00AF39FA">
        <w:t xml:space="preserve">aspects </w:t>
      </w:r>
      <w:r w:rsidR="00476B46">
        <w:t>and is closely linked to the concepts of resource-based view theory and the balanced scorecard theory.</w:t>
      </w:r>
    </w:p>
    <w:p w14:paraId="7961AB35" w14:textId="77777777" w:rsidR="005B01EA" w:rsidRDefault="005B01EA" w:rsidP="0061119E">
      <w:pPr>
        <w:spacing w:line="360" w:lineRule="auto"/>
      </w:pPr>
    </w:p>
    <w:p w14:paraId="5FFA3595" w14:textId="4166F974" w:rsidR="00860F12" w:rsidRDefault="00860F12" w:rsidP="0061119E">
      <w:pPr>
        <w:pStyle w:val="Heading4"/>
        <w:spacing w:line="360" w:lineRule="auto"/>
      </w:pPr>
      <w:r>
        <w:t>Resource-based view theory</w:t>
      </w:r>
    </w:p>
    <w:p w14:paraId="38193AF8" w14:textId="4AC02509" w:rsidR="00387C5C" w:rsidRDefault="008C1227" w:rsidP="0061119E">
      <w:pPr>
        <w:spacing w:line="360" w:lineRule="auto"/>
      </w:pPr>
      <w:r>
        <w:t xml:space="preserve">Barney (1991) pioneered </w:t>
      </w:r>
      <w:r w:rsidR="00DA4215">
        <w:t xml:space="preserve">the concept resource-based view theory as </w:t>
      </w:r>
      <w:r w:rsidR="00E87C0F">
        <w:t>he examined the link</w:t>
      </w:r>
      <w:r w:rsidR="002D0D5D">
        <w:t>age</w:t>
      </w:r>
      <w:r w:rsidR="00E87C0F">
        <w:t xml:space="preserve"> between </w:t>
      </w:r>
      <w:r w:rsidR="00B823EB">
        <w:t xml:space="preserve">organizational </w:t>
      </w:r>
      <w:r w:rsidR="00E87C0F">
        <w:t>resources and sustained competitive advantage</w:t>
      </w:r>
      <w:r w:rsidR="00554BA5">
        <w:t>, and</w:t>
      </w:r>
      <w:r w:rsidR="00387C5C">
        <w:t xml:space="preserve"> concluded that </w:t>
      </w:r>
      <w:r w:rsidR="000772AD">
        <w:t xml:space="preserve">sustainable competitive advantage can be achieved if resources </w:t>
      </w:r>
      <w:r w:rsidR="008628E2">
        <w:t xml:space="preserve">are valuable, rare, inimitable, and non-substitutable (VRIN) </w:t>
      </w:r>
      <w:r w:rsidR="008628E2">
        <w:fldChar w:fldCharType="begin"/>
      </w:r>
      <w:r w:rsidR="002A0018">
        <w:instrText xml:space="preserve"> ADDIN ZOTERO_ITEM CSL_CITATION {"citationID":"Hb95i4xN","properties":{"formattedCitation":"(Barney, 1991)","plainCitation":"(Barney, 1991)","noteIndex":0},"citationItems":[{"id":530,"uris":["http://zotero.org/users/local/zH9ZQvD1/items/R5Y8KNJ7"],"itemData":{"id":530,"type":"article-journal","abstract":"Understanding sources of sustained competitive advantage has become a major area of research in strategic management. Building on the assumptions that strategic resources are heterogeneously distributed acrossfirms and that these differences are stable over time, this article examines the link betweenfirm resources and sustained competitive advantage. Four empirical indicators of the potential of firm resources to generate sustained competitive advantage-value, rareness, imitability, and substitutability-are discussed. The model is applied by analyzing the potential of severalfirm resourcesfor generating sustained competitive advantages. The article concludes by examining implications of this firm resource model of sustained competitive advantage for other business disciplines.","container-title":"Journal of Management","DOI":"10.1177/014920639101700108","ISSN":"0149-2063","issue":"1","language":"en","note":"publisher: SAGE Publications Inc","page":"99-120","source":"SAGE Journals","title":"Firm Resources and Sustained Competitive Advantage","volume":"17","author":[{"family":"Barney","given":"Jay"}],"issued":{"date-parts":[["1991",3,1]]}}}],"schema":"https://github.com/citation-style-language/schema/raw/master/csl-citation.json"} </w:instrText>
      </w:r>
      <w:r w:rsidR="008628E2">
        <w:fldChar w:fldCharType="separate"/>
      </w:r>
      <w:r w:rsidR="002A0018" w:rsidRPr="002A0018">
        <w:rPr>
          <w:rFonts w:ascii="Aptos" w:hAnsi="Aptos"/>
        </w:rPr>
        <w:t>(Barney, 1991)</w:t>
      </w:r>
      <w:r w:rsidR="008628E2">
        <w:fldChar w:fldCharType="end"/>
      </w:r>
      <w:r w:rsidR="005E6504">
        <w:t xml:space="preserve">. </w:t>
      </w:r>
      <w:r w:rsidR="00F77C7E">
        <w:t xml:space="preserve">Building on Barney’s </w:t>
      </w:r>
      <w:r w:rsidR="000D56C3">
        <w:t xml:space="preserve">work, </w:t>
      </w:r>
      <w:proofErr w:type="spellStart"/>
      <w:r w:rsidR="000D56C3">
        <w:t>Peteraf</w:t>
      </w:r>
      <w:proofErr w:type="spellEnd"/>
      <w:r w:rsidR="000D56C3">
        <w:t xml:space="preserve"> (1993) </w:t>
      </w:r>
      <w:r w:rsidR="00626B88">
        <w:t>articulated four essential conditions on competitive advantage: resource heterogeneity, ex post limits to competition, imperfect resource mobility, and ex ante limits to competition</w:t>
      </w:r>
      <w:r w:rsidR="00C35CE3">
        <w:t xml:space="preserve">, </w:t>
      </w:r>
      <w:r w:rsidR="008D763C">
        <w:t>and emphasized that all four conditions will need to be met for organizations to maintain their advantage</w:t>
      </w:r>
      <w:r w:rsidR="00DE455D">
        <w:t>s</w:t>
      </w:r>
      <w:r w:rsidR="008D763C">
        <w:t xml:space="preserve"> over </w:t>
      </w:r>
      <w:r w:rsidR="00DE455D">
        <w:t xml:space="preserve">their competitors </w:t>
      </w:r>
      <w:r w:rsidR="00DE455D">
        <w:fldChar w:fldCharType="begin"/>
      </w:r>
      <w:r w:rsidR="00DE455D">
        <w:instrText xml:space="preserve"> ADDIN ZOTERO_ITEM CSL_CITATION {"citationID":"EMlqDtvr","properties":{"formattedCitation":"(Peteraf, 1993)","plainCitation":"(Peteraf, 1993)","noteIndex":0},"citationItems":[{"id":528,"uris":["http://zotero.org/users/local/zH9ZQvD1/items/YG5CAU2U"],"itemData":{"id":528,"type":"article-journal","abstract":"Abstract\n            This paper elucidates the underlying economics of the resource</w:instrText>
      </w:r>
      <w:r w:rsidR="00DE455D">
        <w:rPr>
          <w:rFonts w:ascii="Cambria Math" w:hAnsi="Cambria Math" w:cs="Cambria Math"/>
        </w:rPr>
        <w:instrText>‐</w:instrText>
      </w:r>
      <w:r w:rsidR="00DE455D">
        <w:instrText>based view of competitive advantage and integrates existing perspectives into a parsimonious model of resources and firm performance. The essence of this model is that four conditions underlie sustained competitive advantage, all of which must be met. These include superior resources (heterogeneity within an industry), ex post limits to competition, imperfect resource mobility, and ex ante limits to competition. In the concluding section, applications of the model for both single business strategy and corporate strategy are discussed.","container-title":"Strategic Management Journal","DOI":"10.1002/smj.4250140303","ISSN":"0143-2095, 1097-0266","issue":"3","journalAbbreviation":"Strategic Management Journal","language":"en","license":"http://onlinelibrary.wiley.com/termsAndConditions#vor","page":"179-191","source":"DOI.org (Crossref)","title":"The cornerstones of competitive advantage: A resource</w:instrText>
      </w:r>
      <w:r w:rsidR="00DE455D">
        <w:rPr>
          <w:rFonts w:ascii="Cambria Math" w:hAnsi="Cambria Math" w:cs="Cambria Math"/>
        </w:rPr>
        <w:instrText>‐</w:instrText>
      </w:r>
      <w:r w:rsidR="00DE455D">
        <w:instrText xml:space="preserve">based view","title-short":"The cornerstones of competitive advantage","volume":"14","author":[{"family":"Peteraf","given":"Margaret A."}],"issued":{"date-parts":[["1993",3]]}}}],"schema":"https://github.com/citation-style-language/schema/raw/master/csl-citation.json"} </w:instrText>
      </w:r>
      <w:r w:rsidR="00DE455D">
        <w:fldChar w:fldCharType="separate"/>
      </w:r>
      <w:r w:rsidR="00DE455D" w:rsidRPr="00DE455D">
        <w:rPr>
          <w:rFonts w:ascii="Aptos" w:hAnsi="Aptos"/>
        </w:rPr>
        <w:t>(</w:t>
      </w:r>
      <w:proofErr w:type="spellStart"/>
      <w:r w:rsidR="00DE455D" w:rsidRPr="00DE455D">
        <w:rPr>
          <w:rFonts w:ascii="Aptos" w:hAnsi="Aptos"/>
        </w:rPr>
        <w:t>Peteraf</w:t>
      </w:r>
      <w:proofErr w:type="spellEnd"/>
      <w:r w:rsidR="00DE455D" w:rsidRPr="00DE455D">
        <w:rPr>
          <w:rFonts w:ascii="Aptos" w:hAnsi="Aptos"/>
        </w:rPr>
        <w:t>, 1993)</w:t>
      </w:r>
      <w:r w:rsidR="00DE455D">
        <w:fldChar w:fldCharType="end"/>
      </w:r>
      <w:r w:rsidR="00374A81">
        <w:t>.</w:t>
      </w:r>
    </w:p>
    <w:p w14:paraId="210ABBC1" w14:textId="31773F13" w:rsidR="00032519" w:rsidRDefault="00994A0C" w:rsidP="0061119E">
      <w:pPr>
        <w:spacing w:line="360" w:lineRule="auto"/>
      </w:pPr>
      <w:r>
        <w:lastRenderedPageBreak/>
        <w:t>Barney’s resource</w:t>
      </w:r>
      <w:r w:rsidR="0067549C">
        <w:t xml:space="preserve">-based view theory emphasizes </w:t>
      </w:r>
      <w:r w:rsidR="007C7C8F">
        <w:t xml:space="preserve">on adopting an internal </w:t>
      </w:r>
      <w:r w:rsidR="004528E8">
        <w:t xml:space="preserve">assessment of </w:t>
      </w:r>
      <w:r w:rsidR="0067549C">
        <w:t>the organization’s strengths and weaknesses to</w:t>
      </w:r>
      <w:r w:rsidR="003D4C38">
        <w:t xml:space="preserve"> </w:t>
      </w:r>
      <w:r w:rsidR="00782E78">
        <w:t>identify sources of competitive advantage</w:t>
      </w:r>
      <w:r w:rsidR="00830D55">
        <w:t xml:space="preserve">. </w:t>
      </w:r>
      <w:r w:rsidR="004528E8">
        <w:t xml:space="preserve">In 1995, Barney further </w:t>
      </w:r>
      <w:r w:rsidR="00606BD0">
        <w:t xml:space="preserve">expanded his original theory to </w:t>
      </w:r>
      <w:r w:rsidR="00056EE6">
        <w:t>incorporate the VRIO framework, in which resource</w:t>
      </w:r>
      <w:r w:rsidR="00E3145D">
        <w:t xml:space="preserve">s and capabilities </w:t>
      </w:r>
      <w:r w:rsidR="00056EE6">
        <w:t xml:space="preserve">must be valuable, rare, </w:t>
      </w:r>
      <w:r w:rsidR="003646BF">
        <w:t xml:space="preserve">imitable, and </w:t>
      </w:r>
      <w:r w:rsidR="0008111F">
        <w:t xml:space="preserve">exploited by the </w:t>
      </w:r>
      <w:r w:rsidR="00E3145D">
        <w:t>organization</w:t>
      </w:r>
      <w:r w:rsidR="00AC0097">
        <w:t xml:space="preserve"> </w:t>
      </w:r>
      <w:r w:rsidR="00AC0097">
        <w:fldChar w:fldCharType="begin"/>
      </w:r>
      <w:r w:rsidR="002A0018">
        <w:instrText xml:space="preserve"> ADDIN ZOTERO_ITEM CSL_CITATION {"citationID":"HNv7okY3","properties":{"formattedCitation":"(Barney, 1995)","plainCitation":"(Barney, 1995)","noteIndex":0},"citationItems":[{"id":536,"uris":["http://zotero.org/users/local/zH9ZQvD1/items/2D63AJZX"],"itemData":{"id":536,"type":"article-journal","container-title":"Academy of Management Perspectives","DOI":"10.5465/ame.1995.9512032192","ISSN":"1558-9080, 1943-4529","issue":"4","journalAbbreviation":"AMP","language":"en","page":"49-61","source":"DOI.org (Crossref)","title":"Looking inside for competitive advantage","volume":"9","author":[{"family":"Barney","given":"Jay"}],"issued":{"date-parts":[["1995",11]]}}}],"schema":"https://github.com/citation-style-language/schema/raw/master/csl-citation.json"} </w:instrText>
      </w:r>
      <w:r w:rsidR="00AC0097">
        <w:fldChar w:fldCharType="separate"/>
      </w:r>
      <w:r w:rsidR="002A0018" w:rsidRPr="002A0018">
        <w:rPr>
          <w:rFonts w:ascii="Aptos" w:hAnsi="Aptos"/>
        </w:rPr>
        <w:t>(Barney, 1995)</w:t>
      </w:r>
      <w:r w:rsidR="00AC0097">
        <w:fldChar w:fldCharType="end"/>
      </w:r>
      <w:r w:rsidR="00AC0097">
        <w:t>.</w:t>
      </w:r>
      <w:r w:rsidR="00B83060">
        <w:t xml:space="preserve"> The internal </w:t>
      </w:r>
      <w:r w:rsidR="00F03659">
        <w:t>focus</w:t>
      </w:r>
      <w:r w:rsidR="00565CA2">
        <w:t>ed</w:t>
      </w:r>
      <w:r w:rsidR="00F03659">
        <w:t xml:space="preserve"> approach of identifying competitive advantage is aligned with the head domain </w:t>
      </w:r>
      <w:r w:rsidR="00EC06C3">
        <w:t xml:space="preserve">in the 3H framework, where decisions on organizational </w:t>
      </w:r>
      <w:r w:rsidR="00A5143F">
        <w:t xml:space="preserve">designs </w:t>
      </w:r>
      <w:r w:rsidR="00EC06C3">
        <w:t>and strategic directions are made.</w:t>
      </w:r>
      <w:r w:rsidR="00FB0484">
        <w:t xml:space="preserve"> The resource-based </w:t>
      </w:r>
      <w:r w:rsidR="00B26434">
        <w:t xml:space="preserve">view </w:t>
      </w:r>
      <w:r w:rsidR="00FB0484">
        <w:t xml:space="preserve">theory was introduced in </w:t>
      </w:r>
      <w:r w:rsidR="00C44FED">
        <w:t>1991,</w:t>
      </w:r>
      <w:r w:rsidR="00FB0484">
        <w:t xml:space="preserve"> but it has continued to evolve over time. </w:t>
      </w:r>
      <w:r w:rsidR="00C44FED">
        <w:t>Extensions to the theory and VRIO framework have been proposed to ensure that</w:t>
      </w:r>
      <w:r w:rsidR="000E0BAB">
        <w:t xml:space="preserve"> the concepts </w:t>
      </w:r>
      <w:r w:rsidR="00C44FED">
        <w:t>remain</w:t>
      </w:r>
      <w:r w:rsidR="000E0BAB">
        <w:t xml:space="preserve"> </w:t>
      </w:r>
      <w:r w:rsidR="00C44FED">
        <w:t>relevant in today’s business setting</w:t>
      </w:r>
      <w:r w:rsidR="004566C8">
        <w:t xml:space="preserve">, and suggestions </w:t>
      </w:r>
      <w:r w:rsidR="000E0BAB">
        <w:t xml:space="preserve">have been made to integrate resource-based </w:t>
      </w:r>
      <w:r w:rsidR="00B26434">
        <w:t xml:space="preserve">view theory with other strategic management research to enhance its practical application </w:t>
      </w:r>
      <w:r w:rsidR="002D5068">
        <w:fldChar w:fldCharType="begin"/>
      </w:r>
      <w:r w:rsidR="002A0018">
        <w:instrText xml:space="preserve"> ADDIN ZOTERO_ITEM CSL_CITATION {"citationID":"aBR6tNce","properties":{"formattedCitation":"(Barney, 2001; Barney et al., 2011)","plainCitation":"(Barney, 2001; Barney et al., 2011)","noteIndex":0},"citationItems":[{"id":532,"uris":["http://zotero.org/users/local/zH9ZQvD1/items/BKC9U45N"],"itemData":{"id":532,"type":"article-journal","abstract":"The resource-based view can be positioned relative to at least three theoretical traditions: SCPbased theories of industry determinants of ﬁrm performance, neo-classical microeconomics, and evolutionary economics. In the 1991 article, only the ﬁrst of these ways of positioning the resourcebased view is explored. This article brieﬂy discusses some of the implications of positioning the resource-based view relative to these other two literatures; it also discusses some of the empirical implications of each of these different resource-based theories. © 2001 Elsevier Science Inc. All rights reserved.","container-title":"Journal of Management","DOI":"10.1177/014920630102700602","ISSN":"0149-2063, 1557-1211","issue":"6","journalAbbreviation":"Journal of Management","language":"en","license":"https://journals.sagepub.com/page/policies/text-and-data-mining-license","page":"643-650","source":"DOI.org (Crossref)","title":"Resource-based theories of competitive advantage: A ten-year retrospective on the resource-based view","title-short":"Resource-based theories of competitive advantage","volume":"27","author":[{"family":"Barney","given":"Jay"}],"issued":{"date-parts":[["2001",12]]}}},{"id":534,"uris":["http://zotero.org/users/local/zH9ZQvD1/items/JBVU2LHB"],"itemData":{"id":534,"type":"article-journal","abstract":"Since the 1991 publication of the first Journal of Management special issue devoted to resource-based inquiry, resource-based theory (RBT) has evolved from a nascent, upstart perspective to one of the most prominent and powerful theories for understanding organizations. Indeed, 20 years after that landmark issue, RBT appears to have reached maturity as a theory. One implication of this maturity is that RBT lies at a critical juncture, one that will be followed either by revitalization of the theory or by its decline. In this introductory article, the authors provide a brief overview of the contributions provided by the commentaries and articles contained in this third Journal of Management special issue on RBT. These contributions center on five themes: interlinkages with other perspectives, processes of resource acquisition and development, the micro-foundations of RBT, RBT and sustainability, and method and measurement issues. Their view is that the commentaries and articles collectively offer a foundation for extending RBT in meaningful new directions and steering clear of decline. They also offer their thoughts about some key opportunities within each of the themes for further revitalizing research involving the RBT.","container-title":"Journal of Management","DOI":"10.1177/0149206310391805","ISSN":"0149-2063, 1557-1211","issue":"5","journalAbbreviation":"Journal of Management","language":"en","page":"1299-1315","source":"DOI.org (Crossref)","title":"The Future of Resource-Based Theory: Revitalization or Decline?","title-short":"The Future of Resource-Based Theory","volume":"37","editor":[{"family":"Barney","given":"Jay"},{"family":"Ketchen","given":"David J."},{"family":"Wright","given":"Mike"}],"author":[{"family":"Barney","given":"Jay"},{"family":"Ketchen","given":"David J."},{"family":"Wright","given":"Mike"}],"issued":{"date-parts":[["2011",9]]}}}],"schema":"https://github.com/citation-style-language/schema/raw/master/csl-citation.json"} </w:instrText>
      </w:r>
      <w:r w:rsidR="002D5068">
        <w:fldChar w:fldCharType="separate"/>
      </w:r>
      <w:r w:rsidR="002A0018" w:rsidRPr="002A0018">
        <w:rPr>
          <w:rFonts w:ascii="Aptos" w:hAnsi="Aptos"/>
        </w:rPr>
        <w:t>(Barney, 2001; Barney et al., 2011)</w:t>
      </w:r>
      <w:r w:rsidR="002D5068">
        <w:fldChar w:fldCharType="end"/>
      </w:r>
      <w:r w:rsidR="00B26434">
        <w:t>.</w:t>
      </w:r>
    </w:p>
    <w:p w14:paraId="0968C188" w14:textId="77777777" w:rsidR="005B01EA" w:rsidRDefault="005B01EA" w:rsidP="0061119E">
      <w:pPr>
        <w:spacing w:line="360" w:lineRule="auto"/>
      </w:pPr>
    </w:p>
    <w:p w14:paraId="48B34960" w14:textId="3BBC5964" w:rsidR="00860F12" w:rsidRDefault="00860F12" w:rsidP="0061119E">
      <w:pPr>
        <w:pStyle w:val="Heading4"/>
        <w:spacing w:line="360" w:lineRule="auto"/>
      </w:pPr>
      <w:r>
        <w:t>Balanced scorecard theory</w:t>
      </w:r>
    </w:p>
    <w:p w14:paraId="0723CD1E" w14:textId="2B5E8895" w:rsidR="00660662" w:rsidRDefault="003E0059" w:rsidP="0061119E">
      <w:pPr>
        <w:spacing w:line="360" w:lineRule="auto"/>
      </w:pPr>
      <w:r>
        <w:t xml:space="preserve">Another key concept associated with the head domain is the balanced scorecard theory, </w:t>
      </w:r>
      <w:r w:rsidR="0005005D">
        <w:t xml:space="preserve">which complements the resource-based view theory by </w:t>
      </w:r>
      <w:r w:rsidR="004A1129">
        <w:t xml:space="preserve">providing a practical framework to translate </w:t>
      </w:r>
      <w:r w:rsidR="000E711D">
        <w:t xml:space="preserve">strategic directions into actionable measures and plans. </w:t>
      </w:r>
      <w:r w:rsidR="00064474">
        <w:t xml:space="preserve">The balanced scorecard was introduced by Kaplan and Norton </w:t>
      </w:r>
      <w:r w:rsidR="009F648A">
        <w:t>in 1992</w:t>
      </w:r>
      <w:r w:rsidR="0072259F">
        <w:t xml:space="preserve">, and </w:t>
      </w:r>
      <w:r w:rsidR="002848A5">
        <w:t>it is a</w:t>
      </w:r>
      <w:r w:rsidR="009F648A">
        <w:t>n</w:t>
      </w:r>
      <w:r w:rsidR="002848A5">
        <w:t xml:space="preserve"> </w:t>
      </w:r>
      <w:r w:rsidR="009F648A">
        <w:t xml:space="preserve">enhanced </w:t>
      </w:r>
      <w:r w:rsidR="002848A5">
        <w:t>performance management system that integrates financial measures with operational m</w:t>
      </w:r>
      <w:r w:rsidR="00D27EEB">
        <w:t xml:space="preserve">easures across three additional perspectives: customers, internal business processes, and </w:t>
      </w:r>
      <w:r w:rsidR="00F86408">
        <w:t xml:space="preserve">innovation and learning </w:t>
      </w:r>
      <w:r w:rsidR="004555EC">
        <w:t>perspectives</w:t>
      </w:r>
      <w:r w:rsidR="00F86408">
        <w:t xml:space="preserve"> </w:t>
      </w:r>
      <w:r w:rsidR="00F86408">
        <w:fldChar w:fldCharType="begin"/>
      </w:r>
      <w:r w:rsidR="004174F5">
        <w:instrText xml:space="preserve"> ADDIN ZOTERO_ITEM CSL_CITATION {"citationID":"Q2kELk4w","properties":{"formattedCitation":"(Kaplan &amp; Norton, 1992)","plainCitation":"(Kaplan &amp; Norton, 1992)","noteIndex":0},"citationItems":[{"id":539,"uris":["http://zotero.org/users/local/zH9ZQvD1/items/WCZANP7J"],"itemData":{"id":539,"type":"article-journal","container-title":"Harvard Business Review","issue":"1","page":"71-79","title":"The Balanced Scorecard - Measures That Drive Performance","volume":"70","author":[{"family":"Kaplan","given":"Robert"},{"family":"Norton","given":"David"}],"issued":{"date-parts":[["1992"]]}}}],"schema":"https://github.com/citation-style-language/schema/raw/master/csl-citation.json"} </w:instrText>
      </w:r>
      <w:r w:rsidR="00F86408">
        <w:fldChar w:fldCharType="separate"/>
      </w:r>
      <w:r w:rsidR="004174F5" w:rsidRPr="004174F5">
        <w:rPr>
          <w:rFonts w:ascii="Aptos" w:hAnsi="Aptos"/>
        </w:rPr>
        <w:t>(Kaplan &amp; Norton, 1992)</w:t>
      </w:r>
      <w:r w:rsidR="00F86408">
        <w:fldChar w:fldCharType="end"/>
      </w:r>
      <w:r w:rsidR="004555EC">
        <w:t xml:space="preserve">. </w:t>
      </w:r>
    </w:p>
    <w:p w14:paraId="72C4393B" w14:textId="33C92053" w:rsidR="00B33790" w:rsidRDefault="00F64E9E" w:rsidP="0061119E">
      <w:pPr>
        <w:spacing w:line="360" w:lineRule="auto"/>
      </w:pPr>
      <w:r>
        <w:t xml:space="preserve">Kaplan and Norton </w:t>
      </w:r>
      <w:r w:rsidR="00B106DF">
        <w:t xml:space="preserve">expanded </w:t>
      </w:r>
      <w:r>
        <w:t xml:space="preserve">their balanced scorecard </w:t>
      </w:r>
      <w:r w:rsidR="003754A5">
        <w:t xml:space="preserve">concept in 1996 </w:t>
      </w:r>
      <w:r w:rsidR="005B11BD">
        <w:t>to demonstrate its effectiveness in translating strategy and vision into a coherent set of performance measures</w:t>
      </w:r>
      <w:r w:rsidR="009A3C05">
        <w:t xml:space="preserve">, which </w:t>
      </w:r>
      <w:r w:rsidR="006F6377">
        <w:t>could be further aligned with departmental and personal goals</w:t>
      </w:r>
      <w:r w:rsidR="00FE70A3">
        <w:t xml:space="preserve">. This greatly improved communication, planning and performance management across </w:t>
      </w:r>
      <w:r w:rsidR="00055854">
        <w:t xml:space="preserve">the organisation </w:t>
      </w:r>
      <w:r w:rsidR="00055854">
        <w:fldChar w:fldCharType="begin"/>
      </w:r>
      <w:r w:rsidR="004174F5">
        <w:instrText xml:space="preserve"> ADDIN ZOTERO_ITEM CSL_CITATION {"citationID":"Gf6cZosH","properties":{"formattedCitation":"(Kaplan &amp; Norton, 1996)","plainCitation":"(Kaplan &amp; Norton, 1996)","noteIndex":0},"citationItems":[{"id":541,"uris":["http://zotero.org/users/local/zH9ZQvD1/items/MM69EUN9"],"itemData":{"id":541,"type":"book","edition":"Nachdr.","event-place":"Boston, Mass","ISBN":"978-0-87584-651-4","language":"en","number-of-pages":"322","publisher":"Harvard Business School Press","publisher-place":"Boston, Mass","source":"K10plus ISBN","title":"The balanced scorecard: translating strategy into action","title-short":"The balanced scorecard","author":[{"family":"Kaplan","given":"Robert"},{"family":"Norton","given":"David"}],"issued":{"date-parts":[["1996"]]}}}],"schema":"https://github.com/citation-style-language/schema/raw/master/csl-citation.json"} </w:instrText>
      </w:r>
      <w:r w:rsidR="00055854">
        <w:fldChar w:fldCharType="separate"/>
      </w:r>
      <w:r w:rsidR="004174F5" w:rsidRPr="004174F5">
        <w:rPr>
          <w:rFonts w:ascii="Aptos" w:hAnsi="Aptos"/>
        </w:rPr>
        <w:t>(Kaplan &amp; Norton, 1996)</w:t>
      </w:r>
      <w:r w:rsidR="00055854">
        <w:fldChar w:fldCharType="end"/>
      </w:r>
      <w:r w:rsidR="007B62FB">
        <w:t>.</w:t>
      </w:r>
      <w:r w:rsidR="006F2E70">
        <w:t xml:space="preserve"> </w:t>
      </w:r>
      <w:r w:rsidR="00B106DF">
        <w:t xml:space="preserve">In 2001, </w:t>
      </w:r>
      <w:r w:rsidR="006F2E70">
        <w:t xml:space="preserve">Kaplan and </w:t>
      </w:r>
      <w:r w:rsidR="00B106DF">
        <w:t xml:space="preserve">Norton </w:t>
      </w:r>
      <w:r w:rsidR="00A8307B">
        <w:t xml:space="preserve">further explored the </w:t>
      </w:r>
      <w:r w:rsidR="005A569B">
        <w:t xml:space="preserve">idea of evolving the balanced scorecard measurement tool </w:t>
      </w:r>
      <w:r w:rsidR="00BD7825">
        <w:t xml:space="preserve">into a strategic management system. </w:t>
      </w:r>
      <w:r w:rsidR="007A6BBF">
        <w:t>They introduced the strategy map</w:t>
      </w:r>
      <w:r w:rsidR="00C36D28">
        <w:t>, and demonstrated how</w:t>
      </w:r>
      <w:r w:rsidR="00712E14">
        <w:t xml:space="preserve"> this strategic management system can facilitate strategy implementation and value creation </w:t>
      </w:r>
      <w:r w:rsidR="00712E14">
        <w:fldChar w:fldCharType="begin"/>
      </w:r>
      <w:r w:rsidR="00712E14">
        <w:instrText xml:space="preserve"> ADDIN ZOTERO_ITEM CSL_CITATION {"citationID":"93XetmXp","properties":{"formattedCitation":"(Kaplan &amp; Norton, 2001)","plainCitation":"(Kaplan &amp; Norton, 2001)","noteIndex":0},"citationItems":[{"id":544,"uris":["http://zotero.org/users/local/zH9ZQvD1/items/7E668QN7"],"itemData":{"id":544,"type":"article-journal","container-title":"Accounting Horizons","DOI":"10.2308/acch.2001.15.1.87","ISSN":"0888-7993, 1558-7975","issue":"1","language":"en","page":"87-104","source":"DOI.org (Crossref)","title":"Transforming the Balanced Scorecard from Performance Measurement to Strategic Management: Part I","title-short":"Transforming the Balanced Scorecard from Performance Measurement to Strategic Management","volume":"15","author":[{"family":"Kaplan","given":"Robert"},{"family":"Norton","given":"David"}],"issued":{"date-parts":[["2001",3,1]]}}}],"schema":"https://github.com/citation-style-language/schema/raw/master/csl-citation.json"} </w:instrText>
      </w:r>
      <w:r w:rsidR="00712E14">
        <w:fldChar w:fldCharType="separate"/>
      </w:r>
      <w:r w:rsidR="00712E14" w:rsidRPr="00712E14">
        <w:rPr>
          <w:rFonts w:ascii="Aptos" w:hAnsi="Aptos"/>
        </w:rPr>
        <w:t>(Kaplan &amp; Norton, 2001)</w:t>
      </w:r>
      <w:r w:rsidR="00712E14">
        <w:fldChar w:fldCharType="end"/>
      </w:r>
      <w:r w:rsidR="00D127DB">
        <w:t>.</w:t>
      </w:r>
    </w:p>
    <w:p w14:paraId="1ACFFB48" w14:textId="38579DC6" w:rsidR="005B01EA" w:rsidRDefault="005B01EA" w:rsidP="0061119E">
      <w:pPr>
        <w:spacing w:line="360" w:lineRule="auto"/>
      </w:pPr>
    </w:p>
    <w:p w14:paraId="65BDB531" w14:textId="39795A3F" w:rsidR="00860F12" w:rsidRDefault="00860F12" w:rsidP="0061119E">
      <w:pPr>
        <w:pStyle w:val="Heading4"/>
        <w:spacing w:line="360" w:lineRule="auto"/>
      </w:pPr>
      <w:r>
        <w:lastRenderedPageBreak/>
        <w:t>Connecti</w:t>
      </w:r>
      <w:r w:rsidR="00456E97">
        <w:t xml:space="preserve">on </w:t>
      </w:r>
      <w:r>
        <w:t xml:space="preserve">with </w:t>
      </w:r>
      <w:r w:rsidR="000D0C24">
        <w:t>the head domain</w:t>
      </w:r>
    </w:p>
    <w:p w14:paraId="5ABE570B" w14:textId="1111B07B" w:rsidR="005C58CA" w:rsidRDefault="009F3089" w:rsidP="0061119E">
      <w:pPr>
        <w:spacing w:line="360" w:lineRule="auto"/>
      </w:pPr>
      <w:r>
        <w:t xml:space="preserve">Both the resource-based view theory and the balanced scorecard theory contribute to the head domain of Yu’s 3H framework. </w:t>
      </w:r>
      <w:r w:rsidR="00220468">
        <w:t xml:space="preserve">The resource-based view theory provides a solid foundation in understanding how internal resources and capabilities can become sustained competitive advantage, and the </w:t>
      </w:r>
      <w:r w:rsidR="00630418">
        <w:t xml:space="preserve">balanced scorecard theory </w:t>
      </w:r>
      <w:r w:rsidR="0071453B">
        <w:t>connects the organization’s strategic direction with practical</w:t>
      </w:r>
      <w:r w:rsidR="00F23201">
        <w:t xml:space="preserve">, multi-dimensional </w:t>
      </w:r>
      <w:r w:rsidR="0071453B">
        <w:t>and measurable goals.</w:t>
      </w:r>
      <w:r w:rsidR="0095565F">
        <w:t xml:space="preserve"> Both theories emphasize the importance of logical and strategic planning</w:t>
      </w:r>
      <w:r w:rsidR="00FB3C29">
        <w:t xml:space="preserve"> and are </w:t>
      </w:r>
      <w:r w:rsidR="00B03AAC">
        <w:t xml:space="preserve">associated with the </w:t>
      </w:r>
      <w:r w:rsidR="00A747C4">
        <w:t>head domain of the 3H framework.</w:t>
      </w:r>
    </w:p>
    <w:p w14:paraId="3E0C41C0" w14:textId="77777777" w:rsidR="005C58CA" w:rsidRDefault="005C58CA" w:rsidP="0061119E">
      <w:pPr>
        <w:spacing w:line="360" w:lineRule="auto"/>
      </w:pPr>
    </w:p>
    <w:p w14:paraId="11ED999C" w14:textId="1F62117B" w:rsidR="00436CB1" w:rsidRDefault="005143FE" w:rsidP="0061119E">
      <w:pPr>
        <w:pStyle w:val="Heading3"/>
        <w:spacing w:line="360" w:lineRule="auto"/>
      </w:pPr>
      <w:bookmarkStart w:id="16" w:name="_Toc184573488"/>
      <w:r>
        <w:t>Hand</w:t>
      </w:r>
      <w:r w:rsidR="00436CB1">
        <w:t xml:space="preserve"> domain theories</w:t>
      </w:r>
      <w:bookmarkEnd w:id="16"/>
    </w:p>
    <w:p w14:paraId="5BEB0EB1" w14:textId="1F169E48" w:rsidR="002E6E11" w:rsidRDefault="000D517B" w:rsidP="0061119E">
      <w:pPr>
        <w:spacing w:line="360" w:lineRule="auto"/>
      </w:pPr>
      <w:r w:rsidRPr="000C643F">
        <w:t xml:space="preserve">The competence-based approach and learning organization theories are influential frameworks in strategic management, and </w:t>
      </w:r>
      <w:r w:rsidR="00E06334" w:rsidRPr="000C643F">
        <w:t xml:space="preserve">both theories are relevant to the hand domain of Yu’s 3H framework. </w:t>
      </w:r>
      <w:r w:rsidR="00CB2CAA" w:rsidRPr="000C643F">
        <w:t xml:space="preserve">The hand domain </w:t>
      </w:r>
      <w:r w:rsidR="00AC6416" w:rsidRPr="000C643F">
        <w:t>focuses on task and competence related issues</w:t>
      </w:r>
      <w:r w:rsidR="00BF2249" w:rsidRPr="000C643F">
        <w:t xml:space="preserve">, and involves learning, coaching and training </w:t>
      </w:r>
      <w:r w:rsidR="00217719" w:rsidRPr="000C643F">
        <w:t>to enable employees to</w:t>
      </w:r>
      <w:r w:rsidR="00217719">
        <w:t xml:space="preserve"> perform for operational and execution success. </w:t>
      </w:r>
      <w:r w:rsidR="000C643F">
        <w:t>The competence-based approach and learning organization theories can provide insights for organizations to leverage their internal capabilities to achieve sustainable competitive advantage.</w:t>
      </w:r>
    </w:p>
    <w:p w14:paraId="14D01878" w14:textId="77777777" w:rsidR="000C643F" w:rsidRDefault="000C643F" w:rsidP="0061119E">
      <w:pPr>
        <w:spacing w:line="360" w:lineRule="auto"/>
      </w:pPr>
    </w:p>
    <w:p w14:paraId="4AEDBEB5" w14:textId="77777777" w:rsidR="00535BA1" w:rsidRDefault="00535BA1" w:rsidP="0061119E">
      <w:pPr>
        <w:pStyle w:val="Heading4"/>
        <w:spacing w:line="360" w:lineRule="auto"/>
      </w:pPr>
      <w:r>
        <w:t>Competence-based approach theory</w:t>
      </w:r>
    </w:p>
    <w:p w14:paraId="41A1B64B" w14:textId="64329B37" w:rsidR="00653084" w:rsidRDefault="00CD3363" w:rsidP="0061119E">
      <w:pPr>
        <w:spacing w:line="360" w:lineRule="auto"/>
      </w:pPr>
      <w:r>
        <w:t xml:space="preserve">Prahalad and Hamel </w:t>
      </w:r>
      <w:r w:rsidR="00B76378">
        <w:t xml:space="preserve">(1990) </w:t>
      </w:r>
      <w:r>
        <w:t>first introduced the concept of core competencies as the key foundation for competitive advantage</w:t>
      </w:r>
      <w:r w:rsidR="00B76378">
        <w:t xml:space="preserve"> in 1990</w:t>
      </w:r>
      <w:r w:rsidR="00AD4CBE">
        <w:t xml:space="preserve">. </w:t>
      </w:r>
      <w:r w:rsidR="00653084">
        <w:t xml:space="preserve">Core competencies are </w:t>
      </w:r>
      <w:r w:rsidR="008F6150">
        <w:t>defined as the collective learning in the organization that provide access to diverse market</w:t>
      </w:r>
      <w:r w:rsidR="003046E8">
        <w:t>s</w:t>
      </w:r>
      <w:r w:rsidR="008F6150">
        <w:t>, contributes to customer benefits</w:t>
      </w:r>
      <w:r w:rsidR="00244B73">
        <w:t xml:space="preserve">, and are difficult for competitors to imitate. </w:t>
      </w:r>
      <w:r w:rsidR="00C87655">
        <w:t xml:space="preserve">Furthermore, </w:t>
      </w:r>
      <w:r w:rsidR="00305BD6">
        <w:t xml:space="preserve">Prahalad and Hamel </w:t>
      </w:r>
      <w:r w:rsidR="00941764">
        <w:t xml:space="preserve">emphasized </w:t>
      </w:r>
      <w:r w:rsidR="00305BD6">
        <w:t>on the importance of cross-organizational collaboration and long-term competence development</w:t>
      </w:r>
      <w:r w:rsidR="00C21F19">
        <w:t xml:space="preserve"> as key to navigate the changing markets more effectively</w:t>
      </w:r>
      <w:r w:rsidR="00AA58FE">
        <w:t xml:space="preserve"> </w:t>
      </w:r>
      <w:r w:rsidR="00AA58FE">
        <w:fldChar w:fldCharType="begin"/>
      </w:r>
      <w:r w:rsidR="00AA58FE">
        <w:instrText xml:space="preserve"> ADDIN ZOTERO_ITEM CSL_CITATION {"citationID":"Lwrwf632","properties":{"formattedCitation":"(Prahalad &amp; Hamel, 1990)","plainCitation":"(Prahalad &amp; Hamel, 1990)","noteIndex":0},"citationItems":[{"id":559,"uris":["http://zotero.org/users/local/zH9ZQvD1/items/NDLLH4Y3"],"itemData":{"id":559,"type":"article-journal","container-title":"Harvard Business Review","language":"en","page":"275-292","title":"The Core Competence of the Corporation","volume":"68","author":[{"family":"Prahalad","given":"C"},{"family":"Hamel","given":"G"}],"issued":{"date-parts":[["1990"]]}}}],"schema":"https://github.com/citation-style-language/schema/raw/master/csl-citation.json"} </w:instrText>
      </w:r>
      <w:r w:rsidR="00AA58FE">
        <w:fldChar w:fldCharType="separate"/>
      </w:r>
      <w:r w:rsidR="00AA58FE" w:rsidRPr="00AA58FE">
        <w:rPr>
          <w:rFonts w:ascii="Aptos" w:hAnsi="Aptos"/>
        </w:rPr>
        <w:t>(Prahalad &amp; Hamel, 1990)</w:t>
      </w:r>
      <w:r w:rsidR="00AA58FE">
        <w:fldChar w:fldCharType="end"/>
      </w:r>
      <w:r w:rsidR="00AA58FE">
        <w:t xml:space="preserve">. </w:t>
      </w:r>
      <w:r w:rsidR="00681A08">
        <w:t>In 1993, Prahalad further expanded on the core competence conce</w:t>
      </w:r>
      <w:r w:rsidR="00694F50">
        <w:t xml:space="preserve">pt </w:t>
      </w:r>
      <w:r w:rsidR="00785974">
        <w:t xml:space="preserve">and </w:t>
      </w:r>
      <w:r w:rsidR="00C21F19">
        <w:t xml:space="preserve">stressed on the importance of growth and new business development over restructuring and cost-cutting initiatives </w:t>
      </w:r>
      <w:r w:rsidR="00B303B1">
        <w:fldChar w:fldCharType="begin"/>
      </w:r>
      <w:r w:rsidR="00B303B1">
        <w:instrText xml:space="preserve"> ADDIN ZOTERO_ITEM CSL_CITATION {"citationID":"OCUaugiU","properties":{"formattedCitation":"(Prahalad, 1993)","plainCitation":"(Prahalad, 1993)","noteIndex":0},"citationItems":[{"id":561,"uris":["http://zotero.org/users/local/zH9ZQvD1/items/VC87P5UU"],"itemData":{"id":561,"type":"article-journal","container-title":"Research-Technology Management","DOI":"10.1080/08956308.1993.11670940","ISSN":"0895-6308, 1930-0166","issue":"6","journalAbbreviation":"Research-Technology Management","language":"en","page":"40-47","source":"DOI.org (Crossref)","title":"The Role of Core Competencies in the Corporation","volume":"36","author":[{"family":"Prahalad","given":"C"}],"issued":{"date-parts":[["1993",11]]}}}],"schema":"https://github.com/citation-style-language/schema/raw/master/csl-citation.json"} </w:instrText>
      </w:r>
      <w:r w:rsidR="00B303B1">
        <w:fldChar w:fldCharType="separate"/>
      </w:r>
      <w:r w:rsidR="00B303B1" w:rsidRPr="00B303B1">
        <w:rPr>
          <w:rFonts w:ascii="Aptos" w:hAnsi="Aptos"/>
        </w:rPr>
        <w:t>(Prahalad, 1993)</w:t>
      </w:r>
      <w:r w:rsidR="00B303B1">
        <w:fldChar w:fldCharType="end"/>
      </w:r>
      <w:r w:rsidR="00B303B1">
        <w:t>.</w:t>
      </w:r>
    </w:p>
    <w:p w14:paraId="43CE70E8" w14:textId="48C13C15" w:rsidR="00B303B1" w:rsidRDefault="001151F6" w:rsidP="0061119E">
      <w:pPr>
        <w:spacing w:line="360" w:lineRule="auto"/>
      </w:pPr>
      <w:r>
        <w:t xml:space="preserve">Linking to the hand domain’s focus on skills and execution, Yang proposed </w:t>
      </w:r>
      <w:r w:rsidR="00FC05AB">
        <w:t xml:space="preserve">an integrated model of core competence and core capability, suggesting that </w:t>
      </w:r>
      <w:r w:rsidR="003517DB">
        <w:t xml:space="preserve">core competencies and </w:t>
      </w:r>
      <w:r w:rsidR="003517DB">
        <w:lastRenderedPageBreak/>
        <w:t xml:space="preserve">capabilities are key to core competitiveness and long-term business excellence </w:t>
      </w:r>
      <w:r w:rsidR="003517DB">
        <w:fldChar w:fldCharType="begin"/>
      </w:r>
      <w:r w:rsidR="003517DB">
        <w:instrText xml:space="preserve"> ADDIN ZOTERO_ITEM CSL_CITATION {"citationID":"hDbvx1sv","properties":{"formattedCitation":"(Yang, 2013)","plainCitation":"(Yang, 2013)","noteIndex":0},"citationItems":[{"id":562,"uris":["http://zotero.org/users/local/zH9ZQvD1/items/YC47GUWT"],"itemData":{"id":562,"type":"article-journal","abstract":"There is much research discussing the issues of core competence, core capability, business performance and corporate growth. But the lack of studies exploring their causality is an important research gap. In this research, we develop a framework of a core capabilities operation system, which systematically integrates these critical initiatives, and can be used to develop the extended model of business development. In order to conduct the empirical study, we also design a strategic map of an enterprises' long-term development model. In this model the elements of a fundamental field cultivate the core competences, and further develop the core capabilities. These core competences and capabilities are the drivers of core competitiveness, which force the long-term development and excellent business. Based on this framework, we can develop the structure equation model, and the related questionnaire for the empirical study, in order to determine the critical initiatives and the relationships among these constructs. Based on the analytic results, the causalities among these critical initiatives can be confirmed. We also discover that ‘good organisation culture’ and ‘excellent management team’ are the most important firm’ fundamentals, which support the successful implementation of core competences and core capabilities. Herewith the ‘specialised technologies’, ‘powerful IT system’ and capturing the customers' needs' are the core competences, and ‘product lifetime management’ and ‘total quality management’ are the important capabilities. Core competitiveness is composed of  ‘business development strategies’, ‘leader of core products’, and ‘innovative products’, which can result in the firm's excellent business performances.","container-title":"Total Quality Management &amp; Business Excellence","DOI":"10.1080/14783363.2013.820024","ISSN":"1478-3363","issue":"1-2","note":"publisher: Routledge\n_eprint: https://doi.org/10.1080/14783363.2013.820024","page":"173-189","source":"Taylor and Francis+NEJM","title":"The integrated model of core competence and core capability","volume":"26","author":[{"family":"Yang","given":"Ching-Chow"}],"issued":{"date-parts":[["2013"]]}}}],"schema":"https://github.com/citation-style-language/schema/raw/master/csl-citation.json"} </w:instrText>
      </w:r>
      <w:r w:rsidR="003517DB">
        <w:fldChar w:fldCharType="separate"/>
      </w:r>
      <w:r w:rsidR="003517DB" w:rsidRPr="003517DB">
        <w:rPr>
          <w:rFonts w:ascii="Aptos" w:hAnsi="Aptos"/>
        </w:rPr>
        <w:t>(Yang, 2013)</w:t>
      </w:r>
      <w:r w:rsidR="003517DB">
        <w:fldChar w:fldCharType="end"/>
      </w:r>
      <w:r w:rsidR="00A64626">
        <w:t xml:space="preserve">. This model emphasizes the importance </w:t>
      </w:r>
      <w:r w:rsidR="00EB41F0">
        <w:t xml:space="preserve">of aligning core competences </w:t>
      </w:r>
      <w:r w:rsidR="00C40387">
        <w:t>and capabilities to develop an integrated system fo</w:t>
      </w:r>
      <w:r w:rsidR="00D5369E">
        <w:t>r sustainable competitive advantage.</w:t>
      </w:r>
    </w:p>
    <w:p w14:paraId="2097AAF8" w14:textId="77777777" w:rsidR="001E04FD" w:rsidRDefault="00820066" w:rsidP="0061119E">
      <w:pPr>
        <w:spacing w:line="360" w:lineRule="auto"/>
      </w:pPr>
      <w:r>
        <w:t xml:space="preserve">Going deeper </w:t>
      </w:r>
      <w:r w:rsidR="00E13794">
        <w:t xml:space="preserve">into the individual level, McClelland (1973) challenged traditional intelligence testing and argued that </w:t>
      </w:r>
      <w:r w:rsidR="00E63B12">
        <w:t>it is better to assess individuals via competence-based assessment</w:t>
      </w:r>
      <w:r w:rsidR="00D06954">
        <w:t xml:space="preserve">, as such assessments can test skills directly linked to job performance other than abstract intelligence measurements. </w:t>
      </w:r>
      <w:r w:rsidR="0053715C">
        <w:t xml:space="preserve">The work by McClelland had laid the groundwork for competency-based human resource management </w:t>
      </w:r>
      <w:r w:rsidR="0053715C">
        <w:fldChar w:fldCharType="begin"/>
      </w:r>
      <w:r w:rsidR="0053715C">
        <w:instrText xml:space="preserve"> ADDIN ZOTERO_ITEM CSL_CITATION {"citationID":"R31aRZP5","properties":{"formattedCitation":"(McClelland, 1973)","plainCitation":"(McClelland, 1973)","noteIndex":0},"citationItems":[{"id":565,"uris":["http://zotero.org/users/local/zH9ZQvD1/items/JH653JBK"],"itemData":{"id":565,"type":"article-journal","container-title":"American Psychologist","DOI":"10.1037/h0034092","ISSN":"1935-990X, 0003-066X","issue":"1","journalAbbreviation":"American Psychologist","language":"en","page":"1-14","source":"DOI.org (Crossref)","title":"Testing for competence rather than for \"intelligence.\"","volume":"28","author":[{"family":"McClelland","given":"David"}],"issued":{"date-parts":[["1973"]]}}}],"schema":"https://github.com/citation-style-language/schema/raw/master/csl-citation.json"} </w:instrText>
      </w:r>
      <w:r w:rsidR="0053715C">
        <w:fldChar w:fldCharType="separate"/>
      </w:r>
      <w:r w:rsidR="0053715C" w:rsidRPr="0053715C">
        <w:rPr>
          <w:rFonts w:ascii="Aptos" w:hAnsi="Aptos"/>
        </w:rPr>
        <w:t>(McClelland, 1973)</w:t>
      </w:r>
      <w:r w:rsidR="0053715C">
        <w:fldChar w:fldCharType="end"/>
      </w:r>
      <w:r w:rsidR="001E04FD">
        <w:t>.</w:t>
      </w:r>
    </w:p>
    <w:p w14:paraId="66420499" w14:textId="77777777" w:rsidR="00535BA1" w:rsidRDefault="00535BA1" w:rsidP="0061119E">
      <w:pPr>
        <w:spacing w:line="360" w:lineRule="auto"/>
      </w:pPr>
    </w:p>
    <w:p w14:paraId="6CEB2562" w14:textId="35400109" w:rsidR="003F1936" w:rsidRDefault="00C927DD" w:rsidP="0061119E">
      <w:pPr>
        <w:pStyle w:val="Heading4"/>
        <w:spacing w:line="360" w:lineRule="auto"/>
      </w:pPr>
      <w:r>
        <w:t xml:space="preserve">Learning organization </w:t>
      </w:r>
      <w:r w:rsidR="003F1936">
        <w:t>theory</w:t>
      </w:r>
    </w:p>
    <w:p w14:paraId="6B62878B" w14:textId="0D4D4BEA" w:rsidR="003946EF" w:rsidRDefault="001E04FD" w:rsidP="0061119E">
      <w:pPr>
        <w:spacing w:line="360" w:lineRule="auto"/>
      </w:pPr>
      <w:r>
        <w:t xml:space="preserve">Closely associated with the competence-based approach theory is the learning organization theory, which provides a framework to understand how organizations can continuously update and improve their capabilities. </w:t>
      </w:r>
      <w:r w:rsidR="00B044C0">
        <w:t xml:space="preserve">In </w:t>
      </w:r>
      <w:r w:rsidR="00597AF9">
        <w:t xml:space="preserve">Senge and Sterman’s 1992 paper, </w:t>
      </w:r>
      <w:r w:rsidR="00A646D6">
        <w:t xml:space="preserve">they argued that managers need to become systems thinkers to effectively navigate the interconnections and </w:t>
      </w:r>
      <w:r w:rsidR="00C66875">
        <w:t xml:space="preserve">effects of decisions in complex business environments. </w:t>
      </w:r>
      <w:r w:rsidR="005E62CB">
        <w:t xml:space="preserve">Senge and Sterman suggested utilizing simulation tools to develop systems thinking and promote organizational learning, </w:t>
      </w:r>
      <w:r w:rsidR="0031167E">
        <w:t xml:space="preserve">and they emphasized the importance to balance local decision-making with global thinking </w:t>
      </w:r>
      <w:r w:rsidR="0031167E">
        <w:fldChar w:fldCharType="begin"/>
      </w:r>
      <w:r w:rsidR="0031167E">
        <w:instrText xml:space="preserve"> ADDIN ZOTERO_ITEM CSL_CITATION {"citationID":"a4W3Evd7","properties":{"formattedCitation":"(Senge &amp; Sterman, 1992)","plainCitation":"(Senge &amp; Sterman, 1992)","noteIndex":0},"citationItems":[{"id":546,"uris":["http://zotero.org/users/local/zH9ZQvD1/items/HNICLLQA"],"itemData":{"id":546,"type":"article-journal","abstract":"To learn more rapidly and increase flexibility in a world of growing complexity and change, firms are experimenting with new modes of organization, new reward systems, and less authoritarian values - for example, reducing hierarchy, increasing local decision-making responsibility and individual incentives, and rewarding innovation. But local decision making and individual autonomy lead to management anarchy unless managers account for the interconnections and long-term side-effects of their local decisions. Laudable goals such as 'empowering' and 'enabling' individuals often prove counterproductive unless managers can act locally and think globally. Managers must become 'systems thinkers' as well as better learners. This paper reports on one approach to these issues: forming collaborative action research partnerships with corporations to 1) develop new tools to accelerate learning, and 2) test those tools in real organizations where managers face pressing issues. We argue that simulation is an important element of successful learning laboratories to develop systems thinking and promote organizational learning. A case study focused on improving quality and total cost performance in the insurance industry is presented to illustrate how these tools can both produce insight and focus change.","container-title":"European Journal of Operational Research","DOI":"10.1016/0377-2217(92)90011-W","ISSN":"03772217","issue":"1","journalAbbreviation":"European Journal of Operational Research","language":"en","license":"https://www.elsevier.com/tdm/userlicense/1.0/","page":"137-150","source":"DOI.org (Crossref)","title":"Systems thinking and organizational learning: Acting locally and thinking globally in the organization of the future","title-short":"Systems thinking and organizational learning","volume":"59","author":[{"family":"Senge","given":"Peter"},{"family":"Sterman","given":"John"}],"issued":{"date-parts":[["1992",5]]}}}],"schema":"https://github.com/citation-style-language/schema/raw/master/csl-citation.json"} </w:instrText>
      </w:r>
      <w:r w:rsidR="0031167E">
        <w:fldChar w:fldCharType="separate"/>
      </w:r>
      <w:r w:rsidR="0031167E" w:rsidRPr="0031167E">
        <w:rPr>
          <w:rFonts w:ascii="Aptos" w:hAnsi="Aptos"/>
        </w:rPr>
        <w:t>(Senge &amp; Sterman, 1992)</w:t>
      </w:r>
      <w:r w:rsidR="0031167E">
        <w:fldChar w:fldCharType="end"/>
      </w:r>
      <w:r w:rsidR="0031167E">
        <w:t>.</w:t>
      </w:r>
    </w:p>
    <w:p w14:paraId="08E88600" w14:textId="426D96A3" w:rsidR="0031167E" w:rsidRDefault="006A36A8" w:rsidP="0061119E">
      <w:pPr>
        <w:spacing w:line="360" w:lineRule="auto"/>
      </w:pPr>
      <w:r>
        <w:t xml:space="preserve">In 1995, Senge </w:t>
      </w:r>
      <w:r w:rsidR="00CB17CF">
        <w:t xml:space="preserve">laid out five core disciplines in </w:t>
      </w:r>
      <w:r w:rsidR="006C0619">
        <w:t>his book “</w:t>
      </w:r>
      <w:r w:rsidR="00CB17CF">
        <w:t>The Fifth Discipline</w:t>
      </w:r>
      <w:r w:rsidR="006C0619">
        <w:t>”</w:t>
      </w:r>
      <w:r w:rsidR="00182195">
        <w:t xml:space="preserve">: personal mastery, mental models, shared vision, team learning, and systems thinking. </w:t>
      </w:r>
      <w:r w:rsidR="006C0619">
        <w:t xml:space="preserve">These disciplines </w:t>
      </w:r>
      <w:r w:rsidR="00672CFA">
        <w:t>collective contribute to the organization’s ability to adapt and perform in changing environments</w:t>
      </w:r>
      <w:r w:rsidR="00FD7E89">
        <w:t xml:space="preserve">, and systems thinking, which is the fifth discipline, integrates all the disciplines enabling a holistic understanding of the organization </w:t>
      </w:r>
      <w:r w:rsidR="00FD7E89">
        <w:fldChar w:fldCharType="begin"/>
      </w:r>
      <w:r w:rsidR="00FD7E89">
        <w:instrText xml:space="preserve"> ADDIN ZOTERO_ITEM CSL_CITATION {"citationID":"JGrhbNhc","properties":{"formattedCitation":"(Senge, 1997)","plainCitation":"(Senge, 1997)","noteIndex":0},"citationItems":[{"id":548,"uris":["http://zotero.org/users/local/zH9ZQvD1/items/PMHXJMLE"],"itemData":{"id":548,"type":"article-journal","abstract":"Learning is now widely accepted as the currency of survival in an era of constant change. Many businesses, however, are struggling to learn how to learn. The cultural and structural issues they need to confront in order to acquire the flexibility and responsiveness to learn were articulated in 1990 in The Fifth Discipline by Peter M Senge of Massachusetts Institute of Technology. Measuring Business Excellence revisits this now landmark work to review its continuing relevance to the aspirant learning organization.","container-title":"Measuring Business Excellence","DOI":"10.1108/eb025496","ISSN":"1368-3047","issue":"3","language":"en","license":"https://www.emerald.com/insight/site-policies","page":"46-51","source":"DOI.org (Crossref)","title":"THE FIFTH DISCIPLINE","volume":"1","author":[{"family":"Senge","given":"Peter"}],"issued":{"date-parts":[["1997",3,1]]}}}],"schema":"https://github.com/citation-style-language/schema/raw/master/csl-citation.json"} </w:instrText>
      </w:r>
      <w:r w:rsidR="00FD7E89">
        <w:fldChar w:fldCharType="separate"/>
      </w:r>
      <w:r w:rsidR="00FD7E89" w:rsidRPr="00FD7E89">
        <w:rPr>
          <w:rFonts w:ascii="Aptos" w:hAnsi="Aptos"/>
        </w:rPr>
        <w:t>(Senge, 1997)</w:t>
      </w:r>
      <w:r w:rsidR="00FD7E89">
        <w:fldChar w:fldCharType="end"/>
      </w:r>
      <w:r w:rsidR="003020FA">
        <w:t>.</w:t>
      </w:r>
    </w:p>
    <w:p w14:paraId="71EEF79C" w14:textId="1A4BC6E0" w:rsidR="00B044C0" w:rsidRDefault="00F23728" w:rsidP="0061119E">
      <w:pPr>
        <w:spacing w:line="360" w:lineRule="auto"/>
      </w:pPr>
      <w:r>
        <w:t xml:space="preserve">While Senge focused on five disciplines, Garvin (1993) </w:t>
      </w:r>
      <w:r w:rsidR="00E6041F">
        <w:t>proposed a more practical approach</w:t>
      </w:r>
      <w:r w:rsidR="00896D2E">
        <w:t xml:space="preserve"> for creating learning organizations. Garvin emphasized on three critical elements (3M): meaning, management, and measurement, and defined learning organizations as skills in five </w:t>
      </w:r>
      <w:r w:rsidR="00CD76EE">
        <w:t xml:space="preserve">activities: (1.) problem solving, (2.) experimentation, (3.) learning from </w:t>
      </w:r>
      <w:r w:rsidR="00B70B1C">
        <w:t>experience</w:t>
      </w:r>
      <w:r w:rsidR="00CD76EE">
        <w:t xml:space="preserve">, (4.) </w:t>
      </w:r>
      <w:r w:rsidR="00B70B1C">
        <w:t>learning from best practices</w:t>
      </w:r>
      <w:r w:rsidR="00B70B1C">
        <w:t xml:space="preserve">, and (5.) </w:t>
      </w:r>
      <w:r w:rsidR="001F597A">
        <w:t xml:space="preserve">knowledge transfer. </w:t>
      </w:r>
      <w:r w:rsidR="004B7307">
        <w:t xml:space="preserve">While Senge adopted a more conceptual approach, </w:t>
      </w:r>
      <w:r w:rsidR="001B2897">
        <w:t>emphasizing on mindset changes, Garvin’s model is more action-oriented</w:t>
      </w:r>
      <w:r w:rsidR="00180380">
        <w:t xml:space="preserve"> </w:t>
      </w:r>
      <w:r w:rsidR="00180380">
        <w:fldChar w:fldCharType="begin"/>
      </w:r>
      <w:r w:rsidR="00180380">
        <w:instrText xml:space="preserve"> ADDIN ZOTERO_ITEM CSL_CITATION {"citationID":"td5nfAgW","properties":{"formattedCitation":"(Garvin, 1993)","plainCitation":"(Garvin, 1993)","noteIndex":0},"citationItems":[{"id":554,"uris":["http://zotero.org/users/local/zH9ZQvD1/items/D2RNNX9H"],"itemData":{"id":554,"type":"article-journal","abstract":"Continuous improvement programs are proliferating as corporations seek to better themselves and gain an edge. Unfortunately, however, failed programs far outnumber successes, and improvement rates remain low. That's because most companies have failed to grasp a basic truth. Before people and companies can improve, they first must learn. And to do this, they need to look beyond rhetoric and high philosophy and focus on the fundamentals. Three critical issues must be addressed before a company can truly become a learning organization, writes HBS Professor David Garvin. First is the question of meaning: a well-grounded, easy-to-apply definition of a learning organization. Second comes management: clearer operational guidelines for practice. Finally, better tools for measurement can assess an organization's rate and level of learning. Using these \"three Ms\" as a framework, Garvin defines learning organizations as skilled at five main activities: systematic problem solving, experimentation with new approaches, learning from past experience, learning from the best practices of others, and transferring knowledge quickly and efficiently throughout the organization. And since you can't manage something if you can't measure it, a complete learning audit is a must. That includes measuring cognitive and behavioral changes as well as tangible improvements in results. No learning organization is built overnight. Success comes from carefully cultivated attitudes, commitments, and management processes that accrue slowly and steadily. The first step is to foster an environment conducive to learning. Analog Devices, Chaparral Steel, Xerox, GE, and other companies provide enlightened examples.","container-title":"Harvard Business Review","ISSN":"0017-8012","issue":"4","journalAbbreviation":"Harv Bus Rev","language":"eng","note":"PMID: 10127041","page":"78-91","source":"PubMed","title":"Building a learning organization","volume":"71","author":[{"family":"Garvin","given":"David"}],"issued":{"date-parts":[["1993"]]}}}],"schema":"https://github.com/citation-style-language/schema/raw/master/csl-citation.json"} </w:instrText>
      </w:r>
      <w:r w:rsidR="00180380">
        <w:fldChar w:fldCharType="separate"/>
      </w:r>
      <w:r w:rsidR="00180380" w:rsidRPr="00180380">
        <w:rPr>
          <w:rFonts w:ascii="Aptos" w:hAnsi="Aptos"/>
        </w:rPr>
        <w:t>(Garvin, 1993)</w:t>
      </w:r>
      <w:r w:rsidR="00180380">
        <w:fldChar w:fldCharType="end"/>
      </w:r>
      <w:r w:rsidR="001B2897">
        <w:t xml:space="preserve">. </w:t>
      </w:r>
    </w:p>
    <w:p w14:paraId="047B5656" w14:textId="77777777" w:rsidR="00B044C0" w:rsidRDefault="00B044C0" w:rsidP="0061119E">
      <w:pPr>
        <w:spacing w:line="360" w:lineRule="auto"/>
      </w:pPr>
    </w:p>
    <w:p w14:paraId="1957C1C7" w14:textId="3BEDDC76" w:rsidR="003946EF" w:rsidRDefault="003946EF" w:rsidP="0061119E">
      <w:pPr>
        <w:pStyle w:val="Heading4"/>
        <w:spacing w:line="360" w:lineRule="auto"/>
      </w:pPr>
      <w:r>
        <w:t>Connection with the hand domain</w:t>
      </w:r>
    </w:p>
    <w:p w14:paraId="56B1AB3C" w14:textId="203E2C0D" w:rsidR="003946EF" w:rsidRDefault="00375528" w:rsidP="0061119E">
      <w:pPr>
        <w:spacing w:line="360" w:lineRule="auto"/>
      </w:pPr>
      <w:r>
        <w:t xml:space="preserve">The competence-based approach and learning organization theory </w:t>
      </w:r>
      <w:r w:rsidR="00731FF3">
        <w:t xml:space="preserve">emphasize on the </w:t>
      </w:r>
      <w:r w:rsidR="005628FB">
        <w:t xml:space="preserve">importance </w:t>
      </w:r>
      <w:r w:rsidR="00731FF3">
        <w:t>of skill development, execution, and continuous improvement and learning</w:t>
      </w:r>
      <w:r w:rsidR="00142144">
        <w:t>. Both theories provide a robust foundation for the hand domain of Yu’s 3H framework</w:t>
      </w:r>
      <w:r w:rsidR="00F31154">
        <w:t xml:space="preserve">, as they provide a comprehensive view on how organizations </w:t>
      </w:r>
      <w:r w:rsidR="0059133C">
        <w:t>can develop an</w:t>
      </w:r>
      <w:r w:rsidR="003B5123">
        <w:t>d leverage internal capabilities to drive sustainable competitive advantage in the rapidly evolving business environment.</w:t>
      </w:r>
    </w:p>
    <w:p w14:paraId="7251B702" w14:textId="77777777" w:rsidR="006D548B" w:rsidRDefault="006D548B" w:rsidP="0061119E">
      <w:pPr>
        <w:spacing w:line="360" w:lineRule="auto"/>
      </w:pPr>
    </w:p>
    <w:p w14:paraId="41A7C224" w14:textId="7214034F" w:rsidR="00DA2AFF" w:rsidRDefault="00DA2AFF" w:rsidP="0061119E">
      <w:pPr>
        <w:pStyle w:val="Heading3"/>
        <w:spacing w:line="360" w:lineRule="auto"/>
      </w:pPr>
      <w:bookmarkStart w:id="17" w:name="_Toc184573489"/>
      <w:r>
        <w:t>Integration of theories with 3H framework</w:t>
      </w:r>
      <w:bookmarkEnd w:id="17"/>
      <w:r>
        <w:t xml:space="preserve"> </w:t>
      </w:r>
    </w:p>
    <w:p w14:paraId="6CDAA4B5" w14:textId="13152DDB" w:rsidR="004A1933" w:rsidRDefault="006671BE" w:rsidP="0061119E">
      <w:pPr>
        <w:spacing w:line="360" w:lineRule="auto"/>
      </w:pPr>
      <w:r>
        <w:t>Yu’s 3H holistic management framework allows for integration of various management theories across its three domains</w:t>
      </w:r>
      <w:r w:rsidR="00117EE6">
        <w:t xml:space="preserve"> </w:t>
      </w:r>
      <w:r w:rsidR="00117EE6">
        <w:fldChar w:fldCharType="begin"/>
      </w:r>
      <w:r w:rsidR="00117EE6">
        <w:instrText xml:space="preserve"> ADDIN ZOTERO_ITEM CSL_CITATION {"citationID":"4V3yvLob","properties":{"formattedCitation":"(Yu, 2023)","plainCitation":"(Yu, 2023)","noteIndex":0},"citationItems":[{"id":480,"uris":["http://zotero.org/users/local/zH9ZQvD1/items/YZDBG4FX"],"itemData":{"id":480,"type":"document","title":"Introducing Eddie Yu’s 3H Holistic Management Framework","author":[{"family":"Yu","given":"Eddie"}],"issued":{"date-parts":[["2023"]]}}}],"schema":"https://github.com/citation-style-language/schema/raw/master/csl-citation.json"} </w:instrText>
      </w:r>
      <w:r w:rsidR="00117EE6">
        <w:fldChar w:fldCharType="separate"/>
      </w:r>
      <w:r w:rsidR="00117EE6" w:rsidRPr="00117EE6">
        <w:rPr>
          <w:rFonts w:ascii="Aptos" w:hAnsi="Aptos"/>
        </w:rPr>
        <w:t>(Yu, 2023)</w:t>
      </w:r>
      <w:r w:rsidR="00117EE6">
        <w:fldChar w:fldCharType="end"/>
      </w:r>
      <w:r w:rsidR="00117EE6">
        <w:t xml:space="preserve">. In the heart domain, transformational leadership </w:t>
      </w:r>
      <w:r w:rsidR="00B9492D">
        <w:t xml:space="preserve">focuses on inspiring and motivating followers, while organizational commitment theory </w:t>
      </w:r>
      <w:r w:rsidR="009F5F56">
        <w:t>provides insights into the employees’ psychological attachment to the organization. These two theories are aligned with the heart domain</w:t>
      </w:r>
      <w:r w:rsidR="00CD0471">
        <w:t>’s focus on emotional and people-related aspects.</w:t>
      </w:r>
    </w:p>
    <w:p w14:paraId="127F27A8" w14:textId="43EE2609" w:rsidR="004A1933" w:rsidRDefault="009946AF" w:rsidP="0061119E">
      <w:pPr>
        <w:spacing w:line="360" w:lineRule="auto"/>
      </w:pPr>
      <w:r>
        <w:t xml:space="preserve">In the head domain, I have highlighted the relevance of resource-based view theory and the balanced scorecard theory. </w:t>
      </w:r>
      <w:r w:rsidR="001D1587">
        <w:t xml:space="preserve">The resource-based view theory emphasizes on utilizing </w:t>
      </w:r>
      <w:r w:rsidR="00B93898">
        <w:t xml:space="preserve">an organization’s internal resources for competitive advantage, and the balanced scorecard framework provides a multi-dimensional </w:t>
      </w:r>
      <w:r w:rsidR="00265C3A">
        <w:t>approach to performance management and strategy execution. These two theories are relevant to the logical and strategic focus of the head domain.</w:t>
      </w:r>
    </w:p>
    <w:p w14:paraId="0D3CDC31" w14:textId="08241D36" w:rsidR="00265C3A" w:rsidRDefault="00265C3A" w:rsidP="0061119E">
      <w:pPr>
        <w:spacing w:line="360" w:lineRule="auto"/>
      </w:pPr>
      <w:r>
        <w:t xml:space="preserve">In the hand domain, </w:t>
      </w:r>
      <w:r w:rsidR="00B369A8">
        <w:t xml:space="preserve">the competence-based approach theory stresses on developing core competencies for sustainable competitive advantage, and the learning organization theory focuses on </w:t>
      </w:r>
      <w:r w:rsidR="00BE4F87">
        <w:t xml:space="preserve">continuous skill development, improvement and learning </w:t>
      </w:r>
      <w:r w:rsidR="00735AE3">
        <w:t xml:space="preserve">in the increasingly complex business environment. These theories are relevant to the hand domain as it focuses on </w:t>
      </w:r>
      <w:r w:rsidR="0051258C">
        <w:t>execution and skill development to drive performance.</w:t>
      </w:r>
    </w:p>
    <w:p w14:paraId="360B8AD8" w14:textId="65E3275B" w:rsidR="0051258C" w:rsidRDefault="0051258C" w:rsidP="0061119E">
      <w:pPr>
        <w:spacing w:line="360" w:lineRule="auto"/>
      </w:pPr>
      <w:r>
        <w:t xml:space="preserve">By integrating </w:t>
      </w:r>
      <w:r w:rsidR="00662AE6">
        <w:t>the above theories within the 3H framework, organizations can derive a holistic approach to management that addresses employee</w:t>
      </w:r>
      <w:r w:rsidR="000510B6">
        <w:t>s</w:t>
      </w:r>
      <w:r w:rsidR="005318E2">
        <w:t xml:space="preserve"> (people), strategy, and </w:t>
      </w:r>
      <w:r w:rsidR="000510B6">
        <w:t xml:space="preserve">competencies &amp; </w:t>
      </w:r>
      <w:r w:rsidR="005318E2">
        <w:lastRenderedPageBreak/>
        <w:t>capabilities concurrently</w:t>
      </w:r>
      <w:r w:rsidR="000510B6">
        <w:t>. The integrated view enables</w:t>
      </w:r>
      <w:r w:rsidR="00B5177D">
        <w:t xml:space="preserve"> more comprehensive understanding of the organization’s dynamics and can effectively guide leadership and management practices.</w:t>
      </w:r>
    </w:p>
    <w:p w14:paraId="38119855" w14:textId="77777777" w:rsidR="00E105EE" w:rsidRDefault="00E105EE" w:rsidP="0061119E">
      <w:pPr>
        <w:spacing w:line="360" w:lineRule="auto"/>
      </w:pPr>
    </w:p>
    <w:p w14:paraId="23E34242" w14:textId="38CCE37E" w:rsidR="003D11F8" w:rsidRDefault="003D11F8" w:rsidP="0061119E">
      <w:pPr>
        <w:pStyle w:val="Heading1"/>
        <w:spacing w:line="360" w:lineRule="auto"/>
      </w:pPr>
      <w:bookmarkStart w:id="18" w:name="_Toc184573490"/>
      <w:r>
        <w:t>Research method</w:t>
      </w:r>
      <w:bookmarkEnd w:id="18"/>
    </w:p>
    <w:p w14:paraId="0019AB48" w14:textId="50C4434E" w:rsidR="0040637B" w:rsidRDefault="004E0434" w:rsidP="0061119E">
      <w:pPr>
        <w:spacing w:line="360" w:lineRule="auto"/>
      </w:pPr>
      <w:r>
        <w:t xml:space="preserve">This paper employs a qualitative case study approach to evaluate the applicability of Yu’s 3H holistic management </w:t>
      </w:r>
      <w:r w:rsidR="00CB7C69">
        <w:t xml:space="preserve">framework </w:t>
      </w:r>
      <w:r w:rsidR="008F6B6F">
        <w:t xml:space="preserve">to leadership, strategy, </w:t>
      </w:r>
      <w:r w:rsidR="00405AE6">
        <w:t xml:space="preserve">and performance </w:t>
      </w:r>
      <w:r w:rsidR="0001456F">
        <w:t xml:space="preserve">in the context of AIA Group. </w:t>
      </w:r>
      <w:r w:rsidR="001B2C0C">
        <w:t>The case study method</w:t>
      </w:r>
      <w:r w:rsidR="00FB722C">
        <w:t xml:space="preserve"> is particularly useful to </w:t>
      </w:r>
      <w:r w:rsidR="001411BF">
        <w:t xml:space="preserve">conceptualize and operationalize the related constructs of </w:t>
      </w:r>
      <w:r w:rsidR="008F5A8B">
        <w:t>the heart, head and hand domains, and the organization’s performance</w:t>
      </w:r>
      <w:r w:rsidR="00811DB6">
        <w:t xml:space="preserve"> </w:t>
      </w:r>
      <w:r w:rsidR="00811DB6">
        <w:fldChar w:fldCharType="begin"/>
      </w:r>
      <w:r w:rsidR="00811DB6">
        <w:instrText xml:space="preserve"> ADDIN ZOTERO_ITEM CSL_CITATION {"citationID":"Wywwbkb6","properties":{"formattedCitation":"(Yu, 2023)","plainCitation":"(Yu, 2023)","noteIndex":0},"citationItems":[{"id":480,"uris":["http://zotero.org/users/local/zH9ZQvD1/items/YZDBG4FX"],"itemData":{"id":480,"type":"document","title":"Introducing Eddie Yu’s 3H Holistic Management Framework","author":[{"family":"Yu","given":"Eddie"}],"issued":{"date-parts":[["2023"]]}}}],"schema":"https://github.com/citation-style-language/schema/raw/master/csl-citation.json"} </w:instrText>
      </w:r>
      <w:r w:rsidR="00811DB6">
        <w:fldChar w:fldCharType="separate"/>
      </w:r>
      <w:r w:rsidR="00811DB6" w:rsidRPr="00811DB6">
        <w:rPr>
          <w:rFonts w:ascii="Aptos" w:hAnsi="Aptos"/>
        </w:rPr>
        <w:t>(Yu, 2023)</w:t>
      </w:r>
      <w:r w:rsidR="00811DB6">
        <w:fldChar w:fldCharType="end"/>
      </w:r>
      <w:r w:rsidR="00811DB6">
        <w:t>.</w:t>
      </w:r>
    </w:p>
    <w:p w14:paraId="7F732377" w14:textId="77777777" w:rsidR="00352608" w:rsidRDefault="00352608" w:rsidP="0061119E">
      <w:pPr>
        <w:spacing w:line="360" w:lineRule="auto"/>
      </w:pPr>
    </w:p>
    <w:p w14:paraId="73C98BBE" w14:textId="5027DA80" w:rsidR="0079523C" w:rsidRDefault="0079523C" w:rsidP="0061119E">
      <w:pPr>
        <w:pStyle w:val="Heading2"/>
        <w:spacing w:line="360" w:lineRule="auto"/>
      </w:pPr>
      <w:bookmarkStart w:id="19" w:name="_Toc184573491"/>
      <w:r>
        <w:t>Research design</w:t>
      </w:r>
      <w:bookmarkEnd w:id="19"/>
    </w:p>
    <w:p w14:paraId="0C328C8E" w14:textId="33CED55B" w:rsidR="00352608" w:rsidRDefault="00AB52A9" w:rsidP="0061119E">
      <w:pPr>
        <w:spacing w:line="360" w:lineRule="auto"/>
      </w:pPr>
      <w:r>
        <w:t>This paper</w:t>
      </w:r>
      <w:r w:rsidR="00DB3ECF">
        <w:t xml:space="preserve"> will adopt a single-case study approach, focusing on AIA Group</w:t>
      </w:r>
      <w:r w:rsidR="00486114">
        <w:t>, specifically for the period between 2010-2017</w:t>
      </w:r>
      <w:r w:rsidR="00DB3ECF">
        <w:t xml:space="preserve">. </w:t>
      </w:r>
      <w:r w:rsidR="00486114">
        <w:t xml:space="preserve">This approach is appropriate </w:t>
      </w:r>
      <w:r w:rsidR="00713185">
        <w:t xml:space="preserve">since </w:t>
      </w:r>
      <w:r w:rsidR="00E66EDB">
        <w:t xml:space="preserve">the case study represents a unique period </w:t>
      </w:r>
      <w:r w:rsidR="0025396B">
        <w:t>for AIA</w:t>
      </w:r>
      <w:r w:rsidR="007242D4">
        <w:t xml:space="preserve">, as the company separated itself from its struggling </w:t>
      </w:r>
      <w:r w:rsidR="00713185">
        <w:t xml:space="preserve">American </w:t>
      </w:r>
      <w:r w:rsidR="007242D4">
        <w:t xml:space="preserve">parent </w:t>
      </w:r>
      <w:r w:rsidR="00635000">
        <w:t>company and</w:t>
      </w:r>
      <w:r w:rsidR="00E144EB">
        <w:t xml:space="preserve"> started a new chapter </w:t>
      </w:r>
      <w:r w:rsidR="008F501D">
        <w:t>after its October 2010 IPO. AIA Group is now one of the largest publicly listed life insurance companies</w:t>
      </w:r>
      <w:r w:rsidR="00635000">
        <w:t xml:space="preserve"> in the world</w:t>
      </w:r>
      <w:r w:rsidR="00BD0175">
        <w:t>, and it</w:t>
      </w:r>
      <w:r w:rsidR="00362729">
        <w:t xml:space="preserve"> offers a rich context for evaluating the applicability of Yu’s 3H framework.</w:t>
      </w:r>
    </w:p>
    <w:p w14:paraId="5DFCACB8" w14:textId="77777777" w:rsidR="00352608" w:rsidRDefault="00352608" w:rsidP="0061119E">
      <w:pPr>
        <w:spacing w:line="360" w:lineRule="auto"/>
      </w:pPr>
    </w:p>
    <w:p w14:paraId="7A0B3004" w14:textId="36B6981C" w:rsidR="0079523C" w:rsidRDefault="0079523C" w:rsidP="0061119E">
      <w:pPr>
        <w:pStyle w:val="Heading2"/>
        <w:spacing w:line="360" w:lineRule="auto"/>
      </w:pPr>
      <w:bookmarkStart w:id="20" w:name="_Toc184573492"/>
      <w:r>
        <w:t>Data collection</w:t>
      </w:r>
      <w:bookmarkEnd w:id="20"/>
    </w:p>
    <w:p w14:paraId="1A3E0563" w14:textId="68B915E0" w:rsidR="0079523C" w:rsidRDefault="008A6A81" w:rsidP="0061119E">
      <w:pPr>
        <w:spacing w:line="360" w:lineRule="auto"/>
      </w:pPr>
      <w:r>
        <w:t xml:space="preserve">Data for this paper will be collected from multiple sources for triangulation and </w:t>
      </w:r>
      <w:r w:rsidR="00493B8F">
        <w:t>to enhance the validity of the findings. The key sources of data included:</w:t>
      </w:r>
    </w:p>
    <w:p w14:paraId="6C2437EB" w14:textId="4F363319" w:rsidR="00493B8F" w:rsidRDefault="00493B8F" w:rsidP="0061119E">
      <w:pPr>
        <w:pStyle w:val="ListParagraph"/>
        <w:numPr>
          <w:ilvl w:val="0"/>
          <w:numId w:val="7"/>
        </w:numPr>
        <w:spacing w:line="360" w:lineRule="auto"/>
      </w:pPr>
      <w:r>
        <w:t>Annual reports</w:t>
      </w:r>
      <w:r w:rsidR="00AE7BC0">
        <w:t>: AIA Group’s annual reports between 201</w:t>
      </w:r>
      <w:r w:rsidR="009B13B5">
        <w:t>0</w:t>
      </w:r>
      <w:r w:rsidR="00643C6B">
        <w:t xml:space="preserve"> and </w:t>
      </w:r>
      <w:r w:rsidR="009B13B5">
        <w:t xml:space="preserve">2017 will be analysed to gather information </w:t>
      </w:r>
      <w:r w:rsidR="00643C6B">
        <w:t xml:space="preserve">on the company’s vision, </w:t>
      </w:r>
      <w:r w:rsidR="00484422">
        <w:t xml:space="preserve">strategy, organizational changes, financial performance, </w:t>
      </w:r>
      <w:r w:rsidR="00BD2446">
        <w:t>business performance, and leadership statements.</w:t>
      </w:r>
    </w:p>
    <w:p w14:paraId="7BEF5A9F" w14:textId="77941DDD" w:rsidR="00493B8F" w:rsidRDefault="00493B8F" w:rsidP="0061119E">
      <w:pPr>
        <w:pStyle w:val="ListParagraph"/>
        <w:numPr>
          <w:ilvl w:val="0"/>
          <w:numId w:val="7"/>
        </w:numPr>
        <w:spacing w:line="360" w:lineRule="auto"/>
      </w:pPr>
      <w:r>
        <w:t>Press releases</w:t>
      </w:r>
      <w:r w:rsidR="00BD2446">
        <w:t xml:space="preserve">: </w:t>
      </w:r>
      <w:r w:rsidR="00C41444">
        <w:t xml:space="preserve">Press releases from AIA Group between 2010 and 2017 will be </w:t>
      </w:r>
      <w:r w:rsidR="00775D8F">
        <w:t xml:space="preserve">analysed to identify key directional changes, </w:t>
      </w:r>
      <w:r w:rsidR="001E53A1">
        <w:t xml:space="preserve">key </w:t>
      </w:r>
      <w:r w:rsidR="00775D8F">
        <w:t xml:space="preserve">initiatives, organizational changes, </w:t>
      </w:r>
      <w:r w:rsidR="001E53A1">
        <w:t xml:space="preserve">and business performance. </w:t>
      </w:r>
    </w:p>
    <w:p w14:paraId="1011A70F" w14:textId="71DBB0A3" w:rsidR="00493B8F" w:rsidRDefault="00AE3077" w:rsidP="0061119E">
      <w:pPr>
        <w:pStyle w:val="ListParagraph"/>
        <w:numPr>
          <w:ilvl w:val="0"/>
          <w:numId w:val="7"/>
        </w:numPr>
        <w:spacing w:line="360" w:lineRule="auto"/>
      </w:pPr>
      <w:r>
        <w:lastRenderedPageBreak/>
        <w:t>N</w:t>
      </w:r>
      <w:r w:rsidR="00493B8F">
        <w:t>ews articles</w:t>
      </w:r>
      <w:r>
        <w:t xml:space="preserve"> and published interviews</w:t>
      </w:r>
      <w:r w:rsidR="001E53A1">
        <w:t xml:space="preserve">: Reputable financial and business news sources </w:t>
      </w:r>
      <w:r>
        <w:t xml:space="preserve">and interviews </w:t>
      </w:r>
      <w:r w:rsidR="001E53A1">
        <w:t xml:space="preserve">will be </w:t>
      </w:r>
      <w:r w:rsidR="00BF072A">
        <w:t>examined to gather perspectives on AIA Group’s performance</w:t>
      </w:r>
      <w:r w:rsidR="00BA4907">
        <w:t xml:space="preserve">, </w:t>
      </w:r>
      <w:r w:rsidR="00BF072A">
        <w:t>leadership</w:t>
      </w:r>
      <w:r w:rsidR="00BA4907">
        <w:t xml:space="preserve">’s views, and </w:t>
      </w:r>
      <w:r w:rsidR="008211AB">
        <w:t>strategies.</w:t>
      </w:r>
    </w:p>
    <w:p w14:paraId="25C89077" w14:textId="60AA5B09" w:rsidR="008211AB" w:rsidRDefault="00493B8F" w:rsidP="0061119E">
      <w:pPr>
        <w:pStyle w:val="ListParagraph"/>
        <w:numPr>
          <w:ilvl w:val="0"/>
          <w:numId w:val="7"/>
        </w:numPr>
        <w:spacing w:line="360" w:lineRule="auto"/>
      </w:pPr>
      <w:r>
        <w:t>Company website</w:t>
      </w:r>
      <w:r w:rsidR="008211AB">
        <w:t xml:space="preserve">: The official website of AIA Group and its local business units’ websites will be used to collect information on the company’s vision, strategy, </w:t>
      </w:r>
      <w:r w:rsidR="00D7093F">
        <w:t>and business development.</w:t>
      </w:r>
    </w:p>
    <w:p w14:paraId="124DAB18" w14:textId="0C922BF6" w:rsidR="00493B8F" w:rsidRDefault="00D36765" w:rsidP="0061119E">
      <w:pPr>
        <w:pStyle w:val="ListParagraph"/>
        <w:numPr>
          <w:ilvl w:val="0"/>
          <w:numId w:val="7"/>
        </w:numPr>
        <w:spacing w:line="360" w:lineRule="auto"/>
      </w:pPr>
      <w:r>
        <w:t>Insurance Authority</w:t>
      </w:r>
      <w:r w:rsidR="007F0E6D">
        <w:t xml:space="preserve">: Data and reports from the Insurance Authority, an independent financial regulator in Hong Kong, will be </w:t>
      </w:r>
      <w:r w:rsidR="00E40A9D">
        <w:t xml:space="preserve">examined to identify </w:t>
      </w:r>
      <w:r w:rsidR="00E04D52">
        <w:t xml:space="preserve">market trends and </w:t>
      </w:r>
      <w:r w:rsidR="00783AEA">
        <w:t>the performance of AIA Group’s largest</w:t>
      </w:r>
      <w:r w:rsidR="003C0A7B">
        <w:t xml:space="preserve"> value contributor, the Hong Kong market.</w:t>
      </w:r>
    </w:p>
    <w:p w14:paraId="1DB90322" w14:textId="77777777" w:rsidR="00010C92" w:rsidRDefault="00010C92" w:rsidP="0061119E">
      <w:pPr>
        <w:spacing w:line="360" w:lineRule="auto"/>
      </w:pPr>
    </w:p>
    <w:p w14:paraId="5637EAF2" w14:textId="51696604" w:rsidR="009B640A" w:rsidRDefault="009B640A" w:rsidP="0061119E">
      <w:pPr>
        <w:pStyle w:val="Heading2"/>
        <w:spacing w:line="360" w:lineRule="auto"/>
      </w:pPr>
      <w:bookmarkStart w:id="21" w:name="_Toc184573493"/>
      <w:r>
        <w:t>Data analysis</w:t>
      </w:r>
      <w:bookmarkEnd w:id="21"/>
    </w:p>
    <w:p w14:paraId="7BA42768" w14:textId="69E2F152" w:rsidR="00351F25" w:rsidRDefault="00F238C0" w:rsidP="0061119E">
      <w:pPr>
        <w:spacing w:line="360" w:lineRule="auto"/>
      </w:pPr>
      <w:r>
        <w:t xml:space="preserve">The collected data will be examined using a thematic </w:t>
      </w:r>
      <w:r w:rsidR="001F7D25">
        <w:t>analysis approach</w:t>
      </w:r>
      <w:r w:rsidR="00E55CEE">
        <w:t xml:space="preserve">, guided by the three domains under Yu’s 3H holistic management framework, namely heart, head, and hand. </w:t>
      </w:r>
      <w:r w:rsidR="00B60B85">
        <w:t>The following steps will be taken:</w:t>
      </w:r>
    </w:p>
    <w:p w14:paraId="7A59F6E9" w14:textId="2EF59F2C" w:rsidR="00351F25" w:rsidRPr="00CD2F3B" w:rsidRDefault="00A435A4" w:rsidP="0061119E">
      <w:pPr>
        <w:pStyle w:val="ListParagraph"/>
        <w:numPr>
          <w:ilvl w:val="0"/>
          <w:numId w:val="8"/>
        </w:numPr>
        <w:spacing w:line="360" w:lineRule="auto"/>
      </w:pPr>
      <w:r>
        <w:t xml:space="preserve">Preparation: </w:t>
      </w:r>
      <w:r w:rsidR="00390CAA">
        <w:t xml:space="preserve">Go through the </w:t>
      </w:r>
      <w:r>
        <w:t xml:space="preserve">collected materials </w:t>
      </w:r>
      <w:r w:rsidR="00390CAA">
        <w:t xml:space="preserve">in detail </w:t>
      </w:r>
      <w:r>
        <w:t xml:space="preserve">to gain a comprehensive understanding of AIA’s </w:t>
      </w:r>
      <w:r w:rsidR="008A27D8">
        <w:t xml:space="preserve">vision, </w:t>
      </w:r>
      <w:r w:rsidR="008A27D8" w:rsidRPr="00CD2F3B">
        <w:t>strategy, operating model, and business performance.</w:t>
      </w:r>
    </w:p>
    <w:p w14:paraId="22ADE1BD" w14:textId="455D4CB0" w:rsidR="00925E6E" w:rsidRPr="00CD2F3B" w:rsidRDefault="002C5D77" w:rsidP="0061119E">
      <w:pPr>
        <w:pStyle w:val="ListParagraph"/>
        <w:numPr>
          <w:ilvl w:val="0"/>
          <w:numId w:val="8"/>
        </w:numPr>
        <w:spacing w:line="360" w:lineRule="auto"/>
      </w:pPr>
      <w:r w:rsidRPr="00CD2F3B">
        <w:t xml:space="preserve">Coding: </w:t>
      </w:r>
      <w:r w:rsidR="008B793F" w:rsidRPr="00CD2F3B">
        <w:t xml:space="preserve">The data will be coded to identify relevant information that aligns with the three domains under the 3H framework. </w:t>
      </w:r>
    </w:p>
    <w:p w14:paraId="5FC362B1" w14:textId="7C6E2241" w:rsidR="00A61DD4" w:rsidRPr="00CD2F3B" w:rsidRDefault="00A61DD4" w:rsidP="0061119E">
      <w:pPr>
        <w:pStyle w:val="ListParagraph"/>
        <w:numPr>
          <w:ilvl w:val="1"/>
          <w:numId w:val="8"/>
        </w:numPr>
        <w:spacing w:line="360" w:lineRule="auto"/>
      </w:pPr>
      <w:r w:rsidRPr="00CD2F3B">
        <w:t xml:space="preserve">Heart domain: </w:t>
      </w:r>
      <w:r w:rsidR="00733249" w:rsidRPr="00CD2F3B">
        <w:t>L</w:t>
      </w:r>
      <w:r w:rsidRPr="00CD2F3B">
        <w:t>eadership approach, organizational culture, company vision, employee engagement</w:t>
      </w:r>
      <w:r w:rsidR="007F71E8" w:rsidRPr="00CD2F3B">
        <w:t xml:space="preserve"> between 2010-2017</w:t>
      </w:r>
    </w:p>
    <w:p w14:paraId="7E7115D4" w14:textId="15E6E68B" w:rsidR="00A61DD4" w:rsidRPr="00CD2F3B" w:rsidRDefault="00733249" w:rsidP="0061119E">
      <w:pPr>
        <w:pStyle w:val="ListParagraph"/>
        <w:numPr>
          <w:ilvl w:val="1"/>
          <w:numId w:val="8"/>
        </w:numPr>
        <w:spacing w:line="360" w:lineRule="auto"/>
      </w:pPr>
      <w:r w:rsidRPr="00CD2F3B">
        <w:t>Head domain: Strategic planning, organizational</w:t>
      </w:r>
      <w:r w:rsidR="005F3319" w:rsidRPr="00CD2F3B">
        <w:t xml:space="preserve"> </w:t>
      </w:r>
      <w:r w:rsidR="005A75B8" w:rsidRPr="00CD2F3B">
        <w:t>restructuring</w:t>
      </w:r>
      <w:r w:rsidR="005F3319" w:rsidRPr="00CD2F3B">
        <w:t>, key performance measurement systems</w:t>
      </w:r>
      <w:r w:rsidR="007F71E8" w:rsidRPr="00CD2F3B">
        <w:t xml:space="preserve"> in the post IPO period.</w:t>
      </w:r>
    </w:p>
    <w:p w14:paraId="7A842F8F" w14:textId="09D2E327" w:rsidR="005F3319" w:rsidRPr="00CD2F3B" w:rsidRDefault="005F3319" w:rsidP="0061119E">
      <w:pPr>
        <w:pStyle w:val="ListParagraph"/>
        <w:numPr>
          <w:ilvl w:val="1"/>
          <w:numId w:val="8"/>
        </w:numPr>
        <w:spacing w:line="360" w:lineRule="auto"/>
      </w:pPr>
      <w:r w:rsidRPr="00CD2F3B">
        <w:t xml:space="preserve">Hand domain: Competency development programs, </w:t>
      </w:r>
      <w:r w:rsidR="00C537AB" w:rsidRPr="00CD2F3B">
        <w:t>learning and development programs</w:t>
      </w:r>
      <w:r w:rsidR="007F71E8" w:rsidRPr="00CD2F3B">
        <w:t xml:space="preserve"> </w:t>
      </w:r>
      <w:r w:rsidR="00AD7851" w:rsidRPr="00CD2F3B">
        <w:t>offered between 2010-2017.</w:t>
      </w:r>
    </w:p>
    <w:p w14:paraId="0419306A" w14:textId="5DD65E58" w:rsidR="00925E6E" w:rsidRPr="00CD2F3B" w:rsidRDefault="00F61253" w:rsidP="0061119E">
      <w:pPr>
        <w:pStyle w:val="ListParagraph"/>
        <w:numPr>
          <w:ilvl w:val="0"/>
          <w:numId w:val="8"/>
        </w:numPr>
        <w:spacing w:line="360" w:lineRule="auto"/>
      </w:pPr>
      <w:r w:rsidRPr="00CD2F3B">
        <w:t>Theme development</w:t>
      </w:r>
      <w:r w:rsidR="00BF7ACC" w:rsidRPr="00CD2F3B">
        <w:t xml:space="preserve"> and review</w:t>
      </w:r>
      <w:r w:rsidRPr="00CD2F3B">
        <w:t xml:space="preserve">: Codes </w:t>
      </w:r>
      <w:r w:rsidR="00945919" w:rsidRPr="00CD2F3B">
        <w:t xml:space="preserve">will be categorized into potential themes within each of the three domains of the 3H framework. </w:t>
      </w:r>
      <w:r w:rsidR="00BF7ACC" w:rsidRPr="00CD2F3B">
        <w:t>The identified themes will be reviewed to ensure alignment with the 3H framework.</w:t>
      </w:r>
    </w:p>
    <w:p w14:paraId="67CBDA68" w14:textId="460DD53F" w:rsidR="00BF7ACC" w:rsidRDefault="00453D73" w:rsidP="0061119E">
      <w:pPr>
        <w:pStyle w:val="ListParagraph"/>
        <w:numPr>
          <w:ilvl w:val="0"/>
          <w:numId w:val="8"/>
        </w:numPr>
        <w:spacing w:line="360" w:lineRule="auto"/>
      </w:pPr>
      <w:r w:rsidRPr="00CD2F3B">
        <w:t>Theme definition and naming</w:t>
      </w:r>
      <w:r>
        <w:t xml:space="preserve">: </w:t>
      </w:r>
      <w:r w:rsidR="006F3985">
        <w:t xml:space="preserve">Definitions will be developed for each theme in </w:t>
      </w:r>
      <w:r w:rsidR="00BE775F">
        <w:t>relations to AIA and the 3H framework.</w:t>
      </w:r>
    </w:p>
    <w:p w14:paraId="2FE88CEB" w14:textId="58F46C84" w:rsidR="00925E6E" w:rsidRDefault="00925E6E" w:rsidP="0061119E">
      <w:pPr>
        <w:pStyle w:val="ListParagraph"/>
        <w:numPr>
          <w:ilvl w:val="0"/>
          <w:numId w:val="8"/>
        </w:numPr>
        <w:spacing w:line="360" w:lineRule="auto"/>
      </w:pPr>
      <w:r>
        <w:lastRenderedPageBreak/>
        <w:t>Reporting: The final analysis will be summarized</w:t>
      </w:r>
      <w:r w:rsidR="0062055D">
        <w:t xml:space="preserve"> to demonstrate how AIA</w:t>
      </w:r>
      <w:r w:rsidR="00AE0FA0">
        <w:t>’</w:t>
      </w:r>
      <w:r w:rsidR="0062055D">
        <w:t>s leadership, strategy, and performance align with or deviat</w:t>
      </w:r>
      <w:r w:rsidR="00597F7B">
        <w:t xml:space="preserve">e with the </w:t>
      </w:r>
      <w:r w:rsidR="006C5492">
        <w:t>fundamental principles of Yu’s 3H framework.</w:t>
      </w:r>
    </w:p>
    <w:p w14:paraId="7BA18E92" w14:textId="0B58B7C1" w:rsidR="00E55CEE" w:rsidRDefault="00E35BE1" w:rsidP="0061119E">
      <w:pPr>
        <w:spacing w:line="360" w:lineRule="auto"/>
      </w:pPr>
      <w:r>
        <w:t xml:space="preserve">The analysis </w:t>
      </w:r>
      <w:r w:rsidR="00433BA8">
        <w:t>will be structured focusing on the three domains of the 3H framework:</w:t>
      </w:r>
    </w:p>
    <w:p w14:paraId="1906345D" w14:textId="5CB4A854" w:rsidR="00433BA8" w:rsidRDefault="00433BA8" w:rsidP="0061119E">
      <w:pPr>
        <w:pStyle w:val="ListParagraph"/>
        <w:numPr>
          <w:ilvl w:val="0"/>
          <w:numId w:val="9"/>
        </w:numPr>
        <w:spacing w:line="360" w:lineRule="auto"/>
      </w:pPr>
      <w:r>
        <w:t>Heart</w:t>
      </w:r>
      <w:r w:rsidR="00190676">
        <w:t xml:space="preserve"> domain</w:t>
      </w:r>
      <w:r>
        <w:t xml:space="preserve">: </w:t>
      </w:r>
      <w:r w:rsidR="00C004AB">
        <w:t>A</w:t>
      </w:r>
      <w:r w:rsidR="00800A10">
        <w:t xml:space="preserve">nalyse AIA’s leadership </w:t>
      </w:r>
      <w:r w:rsidR="007E6A8E">
        <w:t>approach and</w:t>
      </w:r>
      <w:r w:rsidR="00800A10">
        <w:t xml:space="preserve"> understand how the </w:t>
      </w:r>
      <w:r w:rsidR="007E6A8E">
        <w:t xml:space="preserve">leadership team motivates and engage with its employees. </w:t>
      </w:r>
    </w:p>
    <w:p w14:paraId="11E1325C" w14:textId="3CFD3F8A" w:rsidR="009771F6" w:rsidRDefault="009771F6" w:rsidP="0061119E">
      <w:pPr>
        <w:pStyle w:val="ListParagraph"/>
        <w:numPr>
          <w:ilvl w:val="0"/>
          <w:numId w:val="9"/>
        </w:numPr>
        <w:spacing w:line="360" w:lineRule="auto"/>
      </w:pPr>
      <w:r>
        <w:t>Head</w:t>
      </w:r>
      <w:r w:rsidR="00190676">
        <w:t xml:space="preserve"> domain</w:t>
      </w:r>
      <w:r>
        <w:t>:</w:t>
      </w:r>
      <w:r w:rsidR="007E6A8E">
        <w:t xml:space="preserve"> </w:t>
      </w:r>
      <w:r w:rsidR="00C004AB">
        <w:t>S</w:t>
      </w:r>
      <w:r w:rsidR="00802C6D">
        <w:t xml:space="preserve">tudy how AIA aligns its strategy with its vision, </w:t>
      </w:r>
      <w:r w:rsidR="005B4E2D">
        <w:t>how it translates this strategy into executable actions, and how the organization measures progress.</w:t>
      </w:r>
    </w:p>
    <w:p w14:paraId="00F21FC4" w14:textId="4BF1A20F" w:rsidR="00E35BE1" w:rsidRDefault="009771F6" w:rsidP="0061119E">
      <w:pPr>
        <w:pStyle w:val="ListParagraph"/>
        <w:numPr>
          <w:ilvl w:val="0"/>
          <w:numId w:val="9"/>
        </w:numPr>
        <w:spacing w:line="360" w:lineRule="auto"/>
      </w:pPr>
      <w:r>
        <w:t>Hand</w:t>
      </w:r>
      <w:r w:rsidR="00190676">
        <w:t xml:space="preserve"> domain</w:t>
      </w:r>
      <w:r>
        <w:t>:</w:t>
      </w:r>
      <w:r w:rsidR="005B4E2D">
        <w:t xml:space="preserve"> </w:t>
      </w:r>
      <w:r w:rsidR="00C004AB">
        <w:t>E</w:t>
      </w:r>
      <w:r w:rsidR="003D7B2E">
        <w:t xml:space="preserve">xamine AIA’s competency and capability development programs, operational execution, and learning and training practices. </w:t>
      </w:r>
    </w:p>
    <w:p w14:paraId="5E31F41B" w14:textId="77777777" w:rsidR="009771F6" w:rsidRDefault="009771F6" w:rsidP="0061119E">
      <w:pPr>
        <w:spacing w:line="360" w:lineRule="auto"/>
      </w:pPr>
    </w:p>
    <w:p w14:paraId="37BB1705" w14:textId="1F8410CA" w:rsidR="0090761E" w:rsidRDefault="0090761E" w:rsidP="0061119E">
      <w:pPr>
        <w:pStyle w:val="Heading2"/>
        <w:spacing w:line="360" w:lineRule="auto"/>
      </w:pPr>
      <w:bookmarkStart w:id="22" w:name="_Toc184573494"/>
      <w:r>
        <w:t>Validity and reliability</w:t>
      </w:r>
      <w:bookmarkEnd w:id="22"/>
    </w:p>
    <w:p w14:paraId="6BBFAF53" w14:textId="758317F7" w:rsidR="00E55CEE" w:rsidRDefault="0090761E" w:rsidP="0061119E">
      <w:pPr>
        <w:spacing w:line="360" w:lineRule="auto"/>
      </w:pPr>
      <w:r>
        <w:t xml:space="preserve">To ensure validity and reliability of this study, </w:t>
      </w:r>
      <w:r w:rsidR="00F742F4">
        <w:t xml:space="preserve">data triangulation </w:t>
      </w:r>
      <w:r w:rsidR="008C5549">
        <w:t xml:space="preserve">will be applied </w:t>
      </w:r>
      <w:r w:rsidR="00F742F4">
        <w:t xml:space="preserve">– </w:t>
      </w:r>
      <w:r w:rsidR="00480F3B">
        <w:t>multiple data sources will be used to cross-reference findings and provide a comprehensive view of AIA’s practices.</w:t>
      </w:r>
    </w:p>
    <w:p w14:paraId="1A1D1759" w14:textId="77777777" w:rsidR="00010C92" w:rsidRDefault="00010C92" w:rsidP="0061119E">
      <w:pPr>
        <w:spacing w:line="360" w:lineRule="auto"/>
      </w:pPr>
    </w:p>
    <w:p w14:paraId="626CBBA3" w14:textId="62F2B526" w:rsidR="00F742F4" w:rsidRDefault="00F742F4" w:rsidP="0061119E">
      <w:pPr>
        <w:pStyle w:val="Heading2"/>
        <w:spacing w:line="360" w:lineRule="auto"/>
      </w:pPr>
      <w:bookmarkStart w:id="23" w:name="_Toc184573495"/>
      <w:r>
        <w:t>Limitations</w:t>
      </w:r>
      <w:bookmarkEnd w:id="23"/>
    </w:p>
    <w:p w14:paraId="300FFEBE" w14:textId="116E2698" w:rsidR="00F742F4" w:rsidRDefault="001F3588" w:rsidP="0061119E">
      <w:pPr>
        <w:spacing w:line="360" w:lineRule="auto"/>
      </w:pPr>
      <w:r>
        <w:t xml:space="preserve">This study relies on publicly available data, which may not be able to fully capture the complexity of AIA’s internal processes and practices. </w:t>
      </w:r>
      <w:r w:rsidR="0068685A">
        <w:t xml:space="preserve">In addition, this paper uses a single-case study, which may </w:t>
      </w:r>
      <w:r w:rsidR="00B2707B">
        <w:t xml:space="preserve">limit the relevance of the findings to other organizations or industries. </w:t>
      </w:r>
      <w:r w:rsidR="00035816">
        <w:t>Despite such limitations, th</w:t>
      </w:r>
      <w:r w:rsidR="00766228">
        <w:t xml:space="preserve">is case study on AIA through the lens of Yu’s 3H framework can provide valuable insights into the framework’s applicability and </w:t>
      </w:r>
      <w:r w:rsidR="000D305D">
        <w:t>enable deeper understanding of leadership, strategy, and performance in large, multinational organizations.</w:t>
      </w:r>
    </w:p>
    <w:p w14:paraId="648B6619" w14:textId="77777777" w:rsidR="00CD2F3B" w:rsidRDefault="00CD2F3B" w:rsidP="0061119E">
      <w:pPr>
        <w:spacing w:line="360" w:lineRule="auto"/>
      </w:pPr>
    </w:p>
    <w:p w14:paraId="74BE0304" w14:textId="3F170A67" w:rsidR="00401882" w:rsidRPr="007B50A4" w:rsidRDefault="00401882" w:rsidP="0061119E">
      <w:pPr>
        <w:pStyle w:val="Heading1"/>
        <w:spacing w:line="360" w:lineRule="auto"/>
      </w:pPr>
      <w:bookmarkStart w:id="24" w:name="_Toc184573496"/>
      <w:r w:rsidRPr="007B50A4">
        <w:lastRenderedPageBreak/>
        <w:t xml:space="preserve">Case study </w:t>
      </w:r>
      <w:r w:rsidR="005C3937" w:rsidRPr="007B50A4">
        <w:t>analysis: AIA Group</w:t>
      </w:r>
      <w:bookmarkEnd w:id="24"/>
    </w:p>
    <w:p w14:paraId="1C383117" w14:textId="7240248E" w:rsidR="005C3937" w:rsidRPr="007B50A4" w:rsidRDefault="005C3937" w:rsidP="0061119E">
      <w:pPr>
        <w:pStyle w:val="Heading2"/>
        <w:spacing w:line="360" w:lineRule="auto"/>
      </w:pPr>
      <w:bookmarkStart w:id="25" w:name="_Toc184573497"/>
      <w:r w:rsidRPr="007B50A4">
        <w:t>Company overview</w:t>
      </w:r>
      <w:bookmarkEnd w:id="25"/>
    </w:p>
    <w:p w14:paraId="6A2FC097" w14:textId="16E38E6B" w:rsidR="00CC3DBF" w:rsidRDefault="00B02DD3" w:rsidP="0061119E">
      <w:pPr>
        <w:spacing w:line="360" w:lineRule="auto"/>
      </w:pPr>
      <w:r w:rsidRPr="00B02DD3">
        <w:t xml:space="preserve">AIA </w:t>
      </w:r>
      <w:r w:rsidR="005C04C7">
        <w:t>Group is one of the world's leading life insurance companies, with business operations focused on the Asia-Pacific region. AIA underwent significant transformation between 2010-2017</w:t>
      </w:r>
      <w:r w:rsidR="004D2ADA">
        <w:t>.</w:t>
      </w:r>
      <w:r w:rsidR="009629EE">
        <w:t xml:space="preserve"> In 2010, AIA separated from its struggling American parent</w:t>
      </w:r>
      <w:r w:rsidR="00B407F1">
        <w:t xml:space="preserve"> company,</w:t>
      </w:r>
      <w:r w:rsidR="009629EE">
        <w:t xml:space="preserve"> American International Group (AIG)</w:t>
      </w:r>
      <w:r w:rsidR="008B3525">
        <w:t>, and successfully completed its IPO in October</w:t>
      </w:r>
      <w:r w:rsidR="00AD788C">
        <w:t xml:space="preserve">. </w:t>
      </w:r>
      <w:r w:rsidR="00027036">
        <w:t xml:space="preserve">The IPO was </w:t>
      </w:r>
      <w:r w:rsidR="0007124F">
        <w:t>the world’s third largest IPO</w:t>
      </w:r>
      <w:r w:rsidR="00BF3298">
        <w:t xml:space="preserve">, and it provided AIA with new capital to invest in growth </w:t>
      </w:r>
      <w:r w:rsidR="0007124F">
        <w:fldChar w:fldCharType="begin"/>
      </w:r>
      <w:r w:rsidR="0007124F">
        <w:instrText xml:space="preserve"> ADDIN ZOTERO_ITEM CSL_CITATION {"citationID":"xx437CeP","properties":{"formattedCitation":"(AIA Group Ltd., 2010)","plainCitation":"(AIA Group Ltd., 2010)","noteIndex":0},"citationItems":[{"id":495,"uris":["http://zotero.org/users/local/zH9ZQvD1/items/AW68PZMT"],"itemData":{"id":495,"type":"article-journal","language":"en","source":"Zotero","title":"AIA’S SUCCESSFUL LISTING ON THE HONG KONG STOCK EXCHANGE","URL":"https://www.aia.com/content/dam/group/en/docs/press-release/2010/aia-press-release-eng-29oct2010.pdf","author":[{"family":"AIA Group Ltd.","given":""}],"issued":{"date-parts":[["2010"]]}}}],"schema":"https://github.com/citation-style-language/schema/raw/master/csl-citation.json"} </w:instrText>
      </w:r>
      <w:r w:rsidR="0007124F">
        <w:fldChar w:fldCharType="separate"/>
      </w:r>
      <w:r w:rsidR="0007124F" w:rsidRPr="0007124F">
        <w:rPr>
          <w:rFonts w:ascii="Aptos" w:hAnsi="Aptos"/>
        </w:rPr>
        <w:t>(AIA Group Ltd., 2010)</w:t>
      </w:r>
      <w:r w:rsidR="0007124F">
        <w:fldChar w:fldCharType="end"/>
      </w:r>
      <w:r w:rsidR="00BF3298">
        <w:t>.</w:t>
      </w:r>
    </w:p>
    <w:p w14:paraId="65D6B52B" w14:textId="66EC5A8B" w:rsidR="00F97366" w:rsidRDefault="00F97366" w:rsidP="0061119E">
      <w:pPr>
        <w:spacing w:line="360" w:lineRule="auto"/>
      </w:pPr>
      <w:r>
        <w:t>Mark Tucker, AIA’s new Group CEO, joined from Prudential in July 2010, br</w:t>
      </w:r>
      <w:r w:rsidR="00AF5BBF">
        <w:t xml:space="preserve">ought </w:t>
      </w:r>
      <w:r>
        <w:t xml:space="preserve">new perspectives to the organization. </w:t>
      </w:r>
      <w:r w:rsidR="00654A52">
        <w:t>Under Tucker’s leadership, AIA</w:t>
      </w:r>
      <w:r w:rsidR="00F57391">
        <w:t xml:space="preserve"> chartered a new vision to be the pre-eminent life insurance provider in the Asia-Pacific region</w:t>
      </w:r>
      <w:r w:rsidR="00B64B34">
        <w:t xml:space="preserve">, and aimed to expand the business prudently and profitably in all </w:t>
      </w:r>
      <w:r w:rsidR="00E347F5">
        <w:t xml:space="preserve">markets </w:t>
      </w:r>
      <w:r w:rsidR="00E347F5">
        <w:fldChar w:fldCharType="begin"/>
      </w:r>
      <w:r w:rsidR="00E347F5">
        <w:instrText xml:space="preserve"> ADDIN ZOTERO_ITEM CSL_CITATION {"citationID":"uFsCAoj6","properties":{"formattedCitation":"(AIA Group Ltd., 2011b)","plainCitation":"(AIA Group Ltd., 2011b)","noteIndex":0},"citationItems":[{"id":490,"uris":["http://zotero.org/users/local/zH9ZQvD1/items/3DXQRM8T"],"itemData":{"id":490,"type":"report","title":"AIA Group Limited Annual Report 2010","URL":"https://www.aia.com/content/dam/group-wise/en/docs/annual-report/aia-annual-report-2010-eng.pdf.coredownload.inline.pdf","author":[{"family":"AIA Group Ltd.","given":""}],"issued":{"date-parts":[["2011"]]}}}],"schema":"https://github.com/citation-style-language/schema/raw/master/csl-citation.json"} </w:instrText>
      </w:r>
      <w:r w:rsidR="00E347F5">
        <w:fldChar w:fldCharType="separate"/>
      </w:r>
      <w:r w:rsidR="00E347F5" w:rsidRPr="00E347F5">
        <w:rPr>
          <w:rFonts w:ascii="Aptos" w:hAnsi="Aptos"/>
        </w:rPr>
        <w:t>(AIA Group Ltd., 2011b)</w:t>
      </w:r>
      <w:r w:rsidR="00E347F5">
        <w:fldChar w:fldCharType="end"/>
      </w:r>
      <w:r w:rsidR="00E347F5">
        <w:t>.</w:t>
      </w:r>
    </w:p>
    <w:p w14:paraId="45EEAAE0" w14:textId="3E0F6E25" w:rsidR="00B176D6" w:rsidRPr="00B02DD3" w:rsidRDefault="00E45C7D" w:rsidP="0061119E">
      <w:pPr>
        <w:spacing w:line="360" w:lineRule="auto"/>
      </w:pPr>
      <w:r>
        <w:t xml:space="preserve">The path of transformation was not easy, and AIA faced </w:t>
      </w:r>
      <w:r w:rsidR="001604AE">
        <w:t xml:space="preserve">multiple challenges, including </w:t>
      </w:r>
      <w:r w:rsidR="000157DF">
        <w:t>negative press</w:t>
      </w:r>
      <w:r w:rsidR="00327546">
        <w:t xml:space="preserve"> due to AIG’s global problems, </w:t>
      </w:r>
      <w:r w:rsidR="009F2438">
        <w:t xml:space="preserve">the fallout from Prudential’s failed takeover attempt, </w:t>
      </w:r>
      <w:r w:rsidR="00EB5268">
        <w:t xml:space="preserve">impact from the worst flooding in Bangkok in 50 years, </w:t>
      </w:r>
      <w:r w:rsidR="0026112E">
        <w:t xml:space="preserve">economic challenges in China, </w:t>
      </w:r>
      <w:r w:rsidR="00FA2261">
        <w:t xml:space="preserve">loss of customer confidence, </w:t>
      </w:r>
      <w:r w:rsidR="009F2438">
        <w:t xml:space="preserve">and </w:t>
      </w:r>
      <w:r w:rsidR="00BF6031">
        <w:t xml:space="preserve">low </w:t>
      </w:r>
      <w:r w:rsidR="003B6601">
        <w:t xml:space="preserve">morale </w:t>
      </w:r>
      <w:r w:rsidR="009F2438">
        <w:t xml:space="preserve">of </w:t>
      </w:r>
      <w:r w:rsidR="003B6601">
        <w:t>agents and employees</w:t>
      </w:r>
      <w:r w:rsidR="009F2438">
        <w:t xml:space="preserve"> </w:t>
      </w:r>
      <w:r w:rsidR="001C0BAE">
        <w:fldChar w:fldCharType="begin"/>
      </w:r>
      <w:r w:rsidR="007A3EB9">
        <w:instrText xml:space="preserve"> ADDIN ZOTERO_ITEM CSL_CITATION {"citationID":"zvJnqmcH","properties":{"formattedCitation":"(AIA Group Ltd., 2011b, 2012; Cheng, 2013)","plainCitation":"(AIA Group Ltd., 2011b, 2012; Cheng, 2013)","noteIndex":0},"citationItems":[{"id":490,"uris":["http://zotero.org/users/local/zH9ZQvD1/items/3DXQRM8T"],"itemData":{"id":490,"type":"report","title":"AIA Group Limited Annual Report 2010","URL":"https://www.aia.com/content/dam/group-wise/en/docs/annual-report/aia-annual-report-2010-eng.pdf.coredownload.inline.pdf","author":[{"family":"AIA Group Ltd.","given":""}],"issued":{"date-parts":[["2011"]]}}},{"id":497,"uris":["http://zotero.org/users/local/zH9ZQvD1/items/MQNHHYRA"],"itemData":{"id":497,"type":"report","title":"AIA Group Limited Annual Report 2011","URL":"https://www.aia.com/content/dam/group-wise/en/docs/annual-report/aia-annual-report-2011-eng.pdf.coredownload.inline.pdf","author":[{"family":"AIA Group Ltd.","given":""}],"issued":{"date-parts":[["2012"]]}}},{"id":472,"uris":["http://zotero.org/users/local/zH9ZQvD1/items/ZN9JNR6S"],"itemData":{"id":472,"type":"webpage","abstract":"CEO Mark Tucker is using his newfound independence from AIG to expand the Hong Kong insurer’s franchise across the region.","container-title":"Institutional Investor","language":"en","note":"section: Portfolio","title":"AIA Group Stakes Its Claim for Leadership of Asia’s Insurance Market","URL":"https://www.institutionalinvestor.com/article/2bsu1279xbcv5jjz2fzls/portfolio/aia-group-stakes-its-claim-for-leadership-of-asias-insurance-market","author":[{"family":"Cheng","given":"Allen"}],"accessed":{"date-parts":[["2024",11,23]]},"issued":{"date-parts":[["2013",2,21]]}}}],"schema":"https://github.com/citation-style-language/schema/raw/master/csl-citation.json"} </w:instrText>
      </w:r>
      <w:r w:rsidR="001C0BAE">
        <w:fldChar w:fldCharType="separate"/>
      </w:r>
      <w:r w:rsidR="007A3EB9" w:rsidRPr="007A3EB9">
        <w:rPr>
          <w:rFonts w:ascii="Aptos" w:hAnsi="Aptos"/>
        </w:rPr>
        <w:t>(AIA Group Ltd., 2011b, 2012; Cheng, 2013)</w:t>
      </w:r>
      <w:r w:rsidR="001C0BAE">
        <w:fldChar w:fldCharType="end"/>
      </w:r>
      <w:r w:rsidR="007A3EB9">
        <w:t>.</w:t>
      </w:r>
      <w:r w:rsidR="008D0AC0">
        <w:t xml:space="preserve"> Despite </w:t>
      </w:r>
      <w:r w:rsidR="00497BA5">
        <w:t xml:space="preserve">such challenges, AIA </w:t>
      </w:r>
      <w:r w:rsidR="00E87155">
        <w:t xml:space="preserve">successfully transformed its </w:t>
      </w:r>
      <w:r w:rsidR="0066358C">
        <w:t xml:space="preserve">senior </w:t>
      </w:r>
      <w:r w:rsidR="00E87155">
        <w:t xml:space="preserve">management team, </w:t>
      </w:r>
      <w:r w:rsidR="00AD60E5">
        <w:t xml:space="preserve">united its workforce </w:t>
      </w:r>
      <w:r w:rsidR="00096F74">
        <w:t xml:space="preserve">through a </w:t>
      </w:r>
      <w:r w:rsidR="00AD60E5">
        <w:t xml:space="preserve">new vision, </w:t>
      </w:r>
      <w:r w:rsidR="00096F74">
        <w:t xml:space="preserve">and implemented new strategies that </w:t>
      </w:r>
      <w:r w:rsidR="00CB7524">
        <w:t>enabled AIA to regain its market leading position</w:t>
      </w:r>
      <w:r w:rsidR="00B176D6">
        <w:t>s</w:t>
      </w:r>
      <w:r w:rsidR="00CB7524">
        <w:t xml:space="preserve"> and </w:t>
      </w:r>
      <w:r w:rsidR="00B176D6">
        <w:t xml:space="preserve">build a foundation for further growth. In the following sections, </w:t>
      </w:r>
      <w:r w:rsidR="00481A5A">
        <w:t>I</w:t>
      </w:r>
      <w:r w:rsidR="00B176D6">
        <w:t xml:space="preserve"> </w:t>
      </w:r>
      <w:r w:rsidR="003D6468">
        <w:t xml:space="preserve">will </w:t>
      </w:r>
      <w:r w:rsidR="007B2023">
        <w:t>analyse AIA</w:t>
      </w:r>
      <w:r w:rsidR="005E498C">
        <w:t>’s development</w:t>
      </w:r>
      <w:r w:rsidR="000340E1">
        <w:t xml:space="preserve"> between 2010-2017</w:t>
      </w:r>
      <w:r w:rsidR="005E498C">
        <w:t xml:space="preserve"> with Yu’s 3H framework</w:t>
      </w:r>
      <w:r w:rsidR="00481A5A">
        <w:t xml:space="preserve"> and </w:t>
      </w:r>
      <w:r w:rsidR="005D6D71">
        <w:t>investigate</w:t>
      </w:r>
      <w:r w:rsidR="00481A5A">
        <w:t xml:space="preserve"> each of the heart, head, and hand domains.</w:t>
      </w:r>
    </w:p>
    <w:p w14:paraId="355BB805" w14:textId="3BFF309A" w:rsidR="00227B95" w:rsidRPr="008D62DC" w:rsidRDefault="00227B95" w:rsidP="0061119E">
      <w:pPr>
        <w:spacing w:line="360" w:lineRule="auto"/>
        <w:rPr>
          <w:highlight w:val="yellow"/>
        </w:rPr>
      </w:pPr>
    </w:p>
    <w:p w14:paraId="64891182" w14:textId="33C6DE92" w:rsidR="00515357" w:rsidRPr="002A3881" w:rsidRDefault="00515357" w:rsidP="0061119E">
      <w:pPr>
        <w:pStyle w:val="Heading2"/>
        <w:spacing w:line="360" w:lineRule="auto"/>
      </w:pPr>
      <w:bookmarkStart w:id="26" w:name="_Toc184573498"/>
      <w:r w:rsidRPr="002A3881">
        <w:t>Heart (H1)</w:t>
      </w:r>
      <w:r w:rsidR="001A6ACF" w:rsidRPr="002A3881">
        <w:t xml:space="preserve"> domain analysis</w:t>
      </w:r>
      <w:bookmarkEnd w:id="26"/>
    </w:p>
    <w:p w14:paraId="7731808E" w14:textId="1B72B35C" w:rsidR="009332EE" w:rsidRDefault="00D873C9" w:rsidP="0061119E">
      <w:pPr>
        <w:spacing w:line="360" w:lineRule="auto"/>
      </w:pPr>
      <w:r>
        <w:t xml:space="preserve">AIA’s annual reports published </w:t>
      </w:r>
      <w:r w:rsidR="009F3ABB">
        <w:t xml:space="preserve">between the years of </w:t>
      </w:r>
      <w:r>
        <w:t xml:space="preserve">2010 and 2017 </w:t>
      </w:r>
      <w:r w:rsidR="006B31F7">
        <w:t xml:space="preserve">have shown great evidence </w:t>
      </w:r>
      <w:r w:rsidR="00EC4BD4">
        <w:t>that AIA exhibited characteristics of transformational leadership and organizational commitment, closely aligned with the heart (H1) domain of Yu’s 3H framework.</w:t>
      </w:r>
    </w:p>
    <w:p w14:paraId="603D1E70" w14:textId="77777777" w:rsidR="00EC4BD4" w:rsidRDefault="00EC4BD4" w:rsidP="0061119E">
      <w:pPr>
        <w:spacing w:line="360" w:lineRule="auto"/>
      </w:pPr>
    </w:p>
    <w:p w14:paraId="2A701135" w14:textId="156AE72E" w:rsidR="009332EE" w:rsidRDefault="009F3ABB" w:rsidP="0061119E">
      <w:pPr>
        <w:pStyle w:val="Heading3"/>
        <w:spacing w:line="360" w:lineRule="auto"/>
      </w:pPr>
      <w:bookmarkStart w:id="27" w:name="_Toc184573499"/>
      <w:r>
        <w:lastRenderedPageBreak/>
        <w:t xml:space="preserve">Leadership transition </w:t>
      </w:r>
      <w:r w:rsidR="007F0D7F">
        <w:t>and reorganization</w:t>
      </w:r>
      <w:bookmarkEnd w:id="27"/>
    </w:p>
    <w:p w14:paraId="4472D6CD" w14:textId="2A64B258" w:rsidR="009332EE" w:rsidRDefault="00733C30" w:rsidP="0061119E">
      <w:pPr>
        <w:spacing w:line="360" w:lineRule="auto"/>
      </w:pPr>
      <w:r>
        <w:t xml:space="preserve">AIA underwent significant leadership changes </w:t>
      </w:r>
      <w:r w:rsidR="002308E0">
        <w:t xml:space="preserve">throughout </w:t>
      </w:r>
      <w:r w:rsidR="000340E1">
        <w:t>this</w:t>
      </w:r>
      <w:r w:rsidR="00D86092">
        <w:t xml:space="preserve"> period, with one of the key changes occurring </w:t>
      </w:r>
      <w:r w:rsidR="001D5A9F">
        <w:t xml:space="preserve">in the third quarter of 2010. Mark Tucker was appointed as the new Group CEO in July 2010, </w:t>
      </w:r>
      <w:r w:rsidR="00593F56">
        <w:t>and the company successfully became an independent</w:t>
      </w:r>
      <w:r w:rsidR="00FA0492">
        <w:t xml:space="preserve"> </w:t>
      </w:r>
      <w:r w:rsidR="00593F56">
        <w:t xml:space="preserve">company </w:t>
      </w:r>
      <w:r w:rsidR="00DF08C4">
        <w:t xml:space="preserve">through its IPO in October 2010 </w:t>
      </w:r>
      <w:r w:rsidR="00DF08C4">
        <w:fldChar w:fldCharType="begin"/>
      </w:r>
      <w:r w:rsidR="00DF08C4">
        <w:instrText xml:space="preserve"> ADDIN ZOTERO_ITEM CSL_CITATION {"citationID":"F4kQqN4N","properties":{"formattedCitation":"(AIA Group Ltd., 2010)","plainCitation":"(AIA Group Ltd., 2010)","noteIndex":0},"citationItems":[{"id":495,"uris":["http://zotero.org/users/local/zH9ZQvD1/items/AW68PZMT"],"itemData":{"id":495,"type":"article-journal","language":"en","source":"Zotero","title":"AIA’S SUCCESSFUL LISTING ON THE HONG KONG STOCK EXCHANGE","URL":"https://www.aia.com/content/dam/group/en/docs/press-release/2010/aia-press-release-eng-29oct2010.pdf","author":[{"family":"AIA Group Ltd.","given":""}],"issued":{"date-parts":[["2010"]]}}}],"schema":"https://github.com/citation-style-language/schema/raw/master/csl-citation.json"} </w:instrText>
      </w:r>
      <w:r w:rsidR="00DF08C4">
        <w:fldChar w:fldCharType="separate"/>
      </w:r>
      <w:r w:rsidR="00DF08C4" w:rsidRPr="00DF08C4">
        <w:rPr>
          <w:rFonts w:ascii="Aptos" w:hAnsi="Aptos"/>
        </w:rPr>
        <w:t>(AIA Group Ltd., 2010)</w:t>
      </w:r>
      <w:r w:rsidR="00DF08C4">
        <w:fldChar w:fldCharType="end"/>
      </w:r>
      <w:r w:rsidR="00DF08C4">
        <w:t xml:space="preserve">. </w:t>
      </w:r>
      <w:r w:rsidR="004155D0">
        <w:t>Tucker immediately put in place a new, world-class senior management team</w:t>
      </w:r>
      <w:r w:rsidR="009A2AB0">
        <w:t xml:space="preserve"> that has significant Asia market experience and proven track record of shareholder value creation</w:t>
      </w:r>
      <w:r w:rsidR="007A1BED">
        <w:t xml:space="preserve">. In </w:t>
      </w:r>
      <w:r w:rsidR="0093695A">
        <w:t xml:space="preserve">the </w:t>
      </w:r>
      <w:r w:rsidR="007A1BED">
        <w:t xml:space="preserve">first </w:t>
      </w:r>
      <w:r w:rsidR="0093695A">
        <w:t xml:space="preserve">annual results presentation </w:t>
      </w:r>
      <w:r w:rsidR="00F230BD">
        <w:t>post-</w:t>
      </w:r>
      <w:r w:rsidR="0093695A">
        <w:t xml:space="preserve">IPO, AIA further strengthened </w:t>
      </w:r>
      <w:r w:rsidR="00915762">
        <w:t>its operating mode</w:t>
      </w:r>
      <w:r w:rsidR="00992817">
        <w:t>l by executing on the empowerment model</w:t>
      </w:r>
      <w:r w:rsidR="006974AA">
        <w:t>, where significantly higher decision rights and authorities are empowered to the country CEO</w:t>
      </w:r>
      <w:r w:rsidR="009D739F">
        <w:t>s</w:t>
      </w:r>
      <w:r w:rsidR="006974AA">
        <w:t xml:space="preserve">, </w:t>
      </w:r>
      <w:r w:rsidR="00E1343F">
        <w:t>and repurposed the Group office</w:t>
      </w:r>
      <w:r w:rsidR="009D739F">
        <w:t xml:space="preserve">’s role to focus on supporting, challenging, and guiding the local markets </w:t>
      </w:r>
      <w:r w:rsidR="009D739F">
        <w:fldChar w:fldCharType="begin"/>
      </w:r>
      <w:r w:rsidR="009D739F">
        <w:instrText xml:space="preserve"> ADDIN ZOTERO_ITEM CSL_CITATION {"citationID":"ZNAVgZco","properties":{"formattedCitation":"(AIA Group Ltd., 2011b, 2011a)","plainCitation":"(AIA Group Ltd., 2011b, 2011a)","noteIndex":0},"citationItems":[{"id":490,"uris":["http://zotero.org/users/local/zH9ZQvD1/items/3DXQRM8T"],"itemData":{"id":490,"type":"report","title":"AIA Group Limited Annual Report 2010","URL":"https://www.aia.com/content/dam/group-wise/en/docs/annual-report/aia-annual-report-2010-eng.pdf.coredownload.inline.pdf","author":[{"family":"AIA Group Ltd.","given":""}],"issued":{"date-parts":[["2011"]]}}},{"id":489,"uris":["http://zotero.org/users/local/zH9ZQvD1/items/VSL8J2RZ"],"itemData":{"id":489,"type":"report","title":"AIA Group Limited 2010 Results Presentation","URL":"https://www.aia.com/content/dam/group-wise/en/docs/download-library/2010/2010fy-aia-analyst-presentation-eng.pdf.coredownload.inline.pdf","author":[{"family":"AIA Group Ltd.","given":""}],"issued":{"date-parts":[["2011"]]}}}],"schema":"https://github.com/citation-style-language/schema/raw/master/csl-citation.json"} </w:instrText>
      </w:r>
      <w:r w:rsidR="009D739F">
        <w:fldChar w:fldCharType="separate"/>
      </w:r>
      <w:r w:rsidR="009D739F" w:rsidRPr="009D739F">
        <w:rPr>
          <w:rFonts w:ascii="Aptos" w:hAnsi="Aptos"/>
        </w:rPr>
        <w:t>(AIA Group Ltd., 2011b, 2011a)</w:t>
      </w:r>
      <w:r w:rsidR="009D739F">
        <w:fldChar w:fldCharType="end"/>
      </w:r>
      <w:r w:rsidR="00CA2894">
        <w:t xml:space="preserve">. Tucker’s approach aligns </w:t>
      </w:r>
      <w:r w:rsidR="00A90B2F">
        <w:t xml:space="preserve">with </w:t>
      </w:r>
      <w:r w:rsidR="000156A9">
        <w:t>the idealized influence</w:t>
      </w:r>
      <w:r w:rsidR="00A90B2F">
        <w:t xml:space="preserve"> and individualized consideration components of transformational leadership.</w:t>
      </w:r>
    </w:p>
    <w:p w14:paraId="1911EB82" w14:textId="77777777" w:rsidR="00DF08C4" w:rsidRDefault="00DF08C4" w:rsidP="0061119E">
      <w:pPr>
        <w:spacing w:line="360" w:lineRule="auto"/>
      </w:pPr>
    </w:p>
    <w:p w14:paraId="0F99DE94" w14:textId="398A15CE" w:rsidR="009F3ABB" w:rsidRDefault="002C0DA7" w:rsidP="0061119E">
      <w:pPr>
        <w:pStyle w:val="Heading3"/>
        <w:spacing w:line="360" w:lineRule="auto"/>
      </w:pPr>
      <w:bookmarkStart w:id="28" w:name="_Toc184573500"/>
      <w:r>
        <w:t>Vision and operating philosophy</w:t>
      </w:r>
      <w:bookmarkEnd w:id="28"/>
    </w:p>
    <w:p w14:paraId="688C6DEC" w14:textId="24185793" w:rsidR="00721A09" w:rsidRDefault="00C9449F" w:rsidP="0061119E">
      <w:pPr>
        <w:spacing w:line="360" w:lineRule="auto"/>
      </w:pPr>
      <w:r>
        <w:t>Tucker’s leadership was characterized by a clear vision</w:t>
      </w:r>
      <w:r w:rsidR="00F377EB">
        <w:t xml:space="preserve"> and strategy, focusing on profitable growth </w:t>
      </w:r>
      <w:r w:rsidR="00A644C4">
        <w:t xml:space="preserve">and market leadership. The vision to be the pre-eminent life insurance provider in the Asia Pacific region </w:t>
      </w:r>
      <w:r w:rsidR="001D78FA">
        <w:t>was communicated consistently within the organization and shared publicly</w:t>
      </w:r>
      <w:r w:rsidR="005D110F">
        <w:t xml:space="preserve"> </w:t>
      </w:r>
      <w:r w:rsidR="00E91F02">
        <w:fldChar w:fldCharType="begin"/>
      </w:r>
      <w:r w:rsidR="00E91F02">
        <w:instrText xml:space="preserve"> ADDIN ZOTERO_ITEM CSL_CITATION {"citationID":"D0L43fAI","properties":{"formattedCitation":"(AIA Group Ltd., 2011b; Cheng, 2013)","plainCitation":"(AIA Group Ltd., 2011b; Cheng, 2013)","noteIndex":0},"citationItems":[{"id":490,"uris":["http://zotero.org/users/local/zH9ZQvD1/items/3DXQRM8T"],"itemData":{"id":490,"type":"report","title":"AIA Group Limited Annual Report 2010","URL":"https://www.aia.com/content/dam/group-wise/en/docs/annual-report/aia-annual-report-2010-eng.pdf.coredownload.inline.pdf","author":[{"family":"AIA Group Ltd.","given":""}],"issued":{"date-parts":[["2011"]]}}},{"id":472,"uris":["http://zotero.org/users/local/zH9ZQvD1/items/ZN9JNR6S"],"itemData":{"id":472,"type":"webpage","abstract":"CEO Mark Tucker is using his newfound independence from AIG to expand the Hong Kong insurer’s franchise across the region.","container-title":"Institutional Investor","language":"en","note":"section: Portfolio","title":"AIA Group Stakes Its Claim for Leadership of Asia’s Insurance Market","URL":"https://www.institutionalinvestor.com/article/2bsu1279xbcv5jjz2fzls/portfolio/aia-group-stakes-its-claim-for-leadership-of-asias-insurance-market","author":[{"family":"Cheng","given":"Allen"}],"accessed":{"date-parts":[["2024",11,23]]},"issued":{"date-parts":[["2013",2,21]]}}}],"schema":"https://github.com/citation-style-language/schema/raw/master/csl-citation.json"} </w:instrText>
      </w:r>
      <w:r w:rsidR="00E91F02">
        <w:fldChar w:fldCharType="separate"/>
      </w:r>
      <w:r w:rsidR="00E91F02" w:rsidRPr="00E91F02">
        <w:rPr>
          <w:rFonts w:ascii="Aptos" w:hAnsi="Aptos"/>
        </w:rPr>
        <w:t>(AIA Group Ltd., 2011b; Cheng, 2013)</w:t>
      </w:r>
      <w:r w:rsidR="00E91F02">
        <w:fldChar w:fldCharType="end"/>
      </w:r>
      <w:r w:rsidR="003F58EB">
        <w:t xml:space="preserve">, and </w:t>
      </w:r>
      <w:r w:rsidR="00630C3F">
        <w:t xml:space="preserve">it </w:t>
      </w:r>
      <w:r w:rsidR="00C76CAD">
        <w:t xml:space="preserve">injected </w:t>
      </w:r>
      <w:r w:rsidR="00630C3F">
        <w:t>strong confidence to employees</w:t>
      </w:r>
      <w:r w:rsidR="00C76CAD">
        <w:t xml:space="preserve">, distributors, </w:t>
      </w:r>
      <w:r w:rsidR="00630C3F">
        <w:t xml:space="preserve">and investors. </w:t>
      </w:r>
      <w:r w:rsidR="00212410">
        <w:t xml:space="preserve">Since </w:t>
      </w:r>
      <w:r w:rsidR="008F0476">
        <w:t xml:space="preserve">2011, AIA </w:t>
      </w:r>
      <w:r w:rsidR="00681B09">
        <w:t>identified the</w:t>
      </w:r>
      <w:r w:rsidR="00976835">
        <w:t>ir</w:t>
      </w:r>
      <w:r w:rsidR="00681B09">
        <w:t xml:space="preserve"> new operating philosophy </w:t>
      </w:r>
      <w:r w:rsidR="00976835">
        <w:t xml:space="preserve">as </w:t>
      </w:r>
      <w:r w:rsidR="00681B09">
        <w:t>“Doing the Right Thing, in the Right Way, with the Right People”</w:t>
      </w:r>
      <w:r w:rsidR="00414CBC">
        <w:t xml:space="preserve">. </w:t>
      </w:r>
      <w:r w:rsidR="007C14FF">
        <w:t xml:space="preserve">Supporting the operating philosophy </w:t>
      </w:r>
      <w:r w:rsidR="0013401D">
        <w:t xml:space="preserve">were 12 operating principles that guided employees’ values, actions, and </w:t>
      </w:r>
      <w:r w:rsidR="00414CBC">
        <w:t xml:space="preserve">behaviours </w:t>
      </w:r>
      <w:r w:rsidR="00414CBC">
        <w:fldChar w:fldCharType="begin"/>
      </w:r>
      <w:r w:rsidR="00414CBC">
        <w:instrText xml:space="preserve"> ADDIN ZOTERO_ITEM CSL_CITATION {"citationID":"aemR2frp","properties":{"formattedCitation":"(AIA Group Ltd., 2012, 2013)","plainCitation":"(AIA Group Ltd., 2012, 2013)","noteIndex":0},"citationItems":[{"id":497,"uris":["http://zotero.org/users/local/zH9ZQvD1/items/MQNHHYRA"],"itemData":{"id":497,"type":"report","title":"AIA Group Limited Annual Report 2011","URL":"https://www.aia.com/content/dam/group-wise/en/docs/annual-report/aia-annual-report-2011-eng.pdf.coredownload.inline.pdf","author":[{"family":"AIA Group Ltd.","given":""}],"issued":{"date-parts":[["2012"]]}}},{"id":499,"uris":["http://zotero.org/users/local/zH9ZQvD1/items/YIA8GSGU"],"itemData":{"id":499,"type":"report","title":"AIA Group Limited Annual Report 2012","URL":"https://www.aia.com/content/dam/group-wise/en/docs/annual-report/aia-annual-report-2012-eng.pdf.coredownload.inline.pdf","author":[{"family":"AIA Group Ltd.","given":""}],"issued":{"date-parts":[["2013"]]}}}],"schema":"https://github.com/citation-style-language/schema/raw/master/csl-citation.json"} </w:instrText>
      </w:r>
      <w:r w:rsidR="00414CBC">
        <w:fldChar w:fldCharType="separate"/>
      </w:r>
      <w:r w:rsidR="00414CBC" w:rsidRPr="00780928">
        <w:rPr>
          <w:rFonts w:ascii="Aptos" w:hAnsi="Aptos"/>
        </w:rPr>
        <w:t>(AIA Group Ltd., 2012, 2013)</w:t>
      </w:r>
      <w:r w:rsidR="00414CBC">
        <w:fldChar w:fldCharType="end"/>
      </w:r>
      <w:r w:rsidR="00414CBC">
        <w:t>.</w:t>
      </w:r>
      <w:r w:rsidR="00414CBC">
        <w:t xml:space="preserve"> </w:t>
      </w:r>
      <w:r w:rsidR="001800E4">
        <w:t xml:space="preserve">Significant resources were deployed to articulate </w:t>
      </w:r>
      <w:r w:rsidR="00212410">
        <w:t>the new</w:t>
      </w:r>
      <w:r w:rsidR="0096436D">
        <w:t xml:space="preserve"> philosophy and principes across </w:t>
      </w:r>
      <w:r w:rsidR="00976835">
        <w:t xml:space="preserve">all </w:t>
      </w:r>
      <w:r w:rsidR="0096436D">
        <w:t>the markets</w:t>
      </w:r>
      <w:r w:rsidR="00976835">
        <w:t xml:space="preserve">, </w:t>
      </w:r>
      <w:r w:rsidR="009F590E">
        <w:t>including workshops</w:t>
      </w:r>
      <w:r w:rsidR="009939F6">
        <w:t>, leadership conferences,</w:t>
      </w:r>
      <w:r w:rsidR="00CC1E5D">
        <w:t xml:space="preserve"> and continued communications from management. </w:t>
      </w:r>
      <w:r w:rsidR="00215BB6">
        <w:t xml:space="preserve">The </w:t>
      </w:r>
      <w:r w:rsidR="00D07967">
        <w:t xml:space="preserve">successful launch of a new strategy and new operating philosophy across the organization demonstrated the </w:t>
      </w:r>
      <w:r w:rsidR="00662DD2">
        <w:t xml:space="preserve">inspirational </w:t>
      </w:r>
      <w:r w:rsidR="005F3265">
        <w:t>motivation and individualized consideration components of transformational leadership</w:t>
      </w:r>
      <w:r w:rsidR="00D07967">
        <w:t xml:space="preserve">. </w:t>
      </w:r>
      <w:r w:rsidR="00330D1B">
        <w:t>In addition, t</w:t>
      </w:r>
      <w:r w:rsidR="00D07967">
        <w:t>he emotional connection</w:t>
      </w:r>
      <w:r w:rsidR="001B5D27">
        <w:t>s</w:t>
      </w:r>
      <w:r w:rsidR="00330D1B">
        <w:t xml:space="preserve"> between </w:t>
      </w:r>
      <w:r w:rsidR="001B5D27">
        <w:t xml:space="preserve">employees </w:t>
      </w:r>
      <w:r w:rsidR="00D07967">
        <w:t xml:space="preserve">and </w:t>
      </w:r>
      <w:r w:rsidR="002B2588">
        <w:t xml:space="preserve">alignment of personal </w:t>
      </w:r>
      <w:r w:rsidR="00B12D2F">
        <w:t xml:space="preserve">values </w:t>
      </w:r>
      <w:r w:rsidR="002B2588">
        <w:t xml:space="preserve">with the organization’s </w:t>
      </w:r>
      <w:r w:rsidR="00B12D2F">
        <w:t xml:space="preserve">values </w:t>
      </w:r>
      <w:r w:rsidR="00A133E2">
        <w:t>are key aspects of organizational commitment</w:t>
      </w:r>
      <w:r w:rsidR="00742D65">
        <w:t xml:space="preserve"> theory.</w:t>
      </w:r>
    </w:p>
    <w:p w14:paraId="621D40A6" w14:textId="77777777" w:rsidR="00742D65" w:rsidRDefault="00742D65" w:rsidP="0061119E">
      <w:pPr>
        <w:spacing w:line="360" w:lineRule="auto"/>
      </w:pPr>
    </w:p>
    <w:p w14:paraId="77EE3531" w14:textId="11E6CF44" w:rsidR="00CB12CD" w:rsidRPr="00DF7036" w:rsidRDefault="00CB12CD" w:rsidP="0061119E">
      <w:pPr>
        <w:pStyle w:val="Heading3"/>
        <w:spacing w:line="360" w:lineRule="auto"/>
      </w:pPr>
      <w:bookmarkStart w:id="29" w:name="_Toc184573501"/>
      <w:r w:rsidRPr="00DF7036">
        <w:lastRenderedPageBreak/>
        <w:t>Employee engagement</w:t>
      </w:r>
      <w:r w:rsidR="00E8112C">
        <w:t xml:space="preserve">, community engagement, </w:t>
      </w:r>
      <w:r w:rsidR="00464B51">
        <w:t>and loyalty</w:t>
      </w:r>
      <w:bookmarkEnd w:id="29"/>
    </w:p>
    <w:p w14:paraId="5B9DEC32" w14:textId="4925033B" w:rsidR="006E6163" w:rsidRDefault="008327C7" w:rsidP="0061119E">
      <w:pPr>
        <w:spacing w:line="360" w:lineRule="auto"/>
      </w:pPr>
      <w:r w:rsidRPr="00DF7036">
        <w:t xml:space="preserve">The leadership </w:t>
      </w:r>
      <w:r w:rsidR="00F91453" w:rsidRPr="00DF7036">
        <w:t xml:space="preserve">team </w:t>
      </w:r>
      <w:r w:rsidRPr="00DF7036">
        <w:t xml:space="preserve">understood </w:t>
      </w:r>
      <w:r w:rsidR="00F91453" w:rsidRPr="00DF7036">
        <w:t xml:space="preserve">that success is dependent on the quality of </w:t>
      </w:r>
      <w:r w:rsidR="006E6163" w:rsidRPr="00DF7036">
        <w:t xml:space="preserve">the people within its organization, and hence, AIA </w:t>
      </w:r>
      <w:r w:rsidR="004B195B" w:rsidRPr="00DF7036">
        <w:t xml:space="preserve">invested heavily </w:t>
      </w:r>
      <w:r w:rsidR="00DF7036">
        <w:t>on</w:t>
      </w:r>
      <w:r w:rsidR="004B195B" w:rsidRPr="00DF7036">
        <w:t xml:space="preserve"> employee engagement and development for the 21,000 employees across all markets.</w:t>
      </w:r>
      <w:r w:rsidR="008348A4" w:rsidRPr="00DF7036">
        <w:t xml:space="preserve"> In 2011, AIA introduced </w:t>
      </w:r>
      <w:r w:rsidR="009D719A">
        <w:t>their first Gallup Q12 employee engagement survey</w:t>
      </w:r>
      <w:r w:rsidR="00533DBF">
        <w:t xml:space="preserve"> to allow employees to share feedback on how to make </w:t>
      </w:r>
      <w:r w:rsidR="00DD6BB3">
        <w:t xml:space="preserve">AIA a great workplace. </w:t>
      </w:r>
      <w:r w:rsidR="004C4DE5">
        <w:t xml:space="preserve">By 2016, </w:t>
      </w:r>
      <w:r w:rsidR="00CE0676">
        <w:t>99% of the employees participated in the survey, showing high levels of participation</w:t>
      </w:r>
      <w:r w:rsidR="00E37102">
        <w:t xml:space="preserve"> </w:t>
      </w:r>
      <w:r w:rsidR="00E37102">
        <w:fldChar w:fldCharType="begin"/>
      </w:r>
      <w:r w:rsidR="00E37102">
        <w:instrText xml:space="preserve"> ADDIN ZOTERO_ITEM CSL_CITATION {"citationID":"DfzkKW0s","properties":{"formattedCitation":"(AIA Group Ltd., 2013, 2017)","plainCitation":"(AIA Group Ltd., 2013, 2017)","noteIndex":0},"citationItems":[{"id":499,"uris":["http://zotero.org/users/local/zH9ZQvD1/items/YIA8GSGU"],"itemData":{"id":499,"type":"report","title":"AIA Group Limited Annual Report 2012","URL":"https://www.aia.com/content/dam/group-wise/en/docs/annual-report/aia-annual-report-2012-eng.pdf.coredownload.inline.pdf","author":[{"family":"AIA Group Ltd.","given":""}],"issued":{"date-parts":[["2013"]]}}},{"id":507,"uris":["http://zotero.org/users/local/zH9ZQvD1/items/UCU8AES9"],"itemData":{"id":507,"type":"report","title":"AIA Group Limited Annual Report 2016","URL":"https://www.aia.com/content/dam/group/en/docs/annual-report/aia-annual-report-2016-eng.pdf.coredownload.inline.pdf","author":[{"family":"AIA Group Ltd.","given":""}],"issued":{"date-parts":[["2017"]]}}}],"schema":"https://github.com/citation-style-language/schema/raw/master/csl-citation.json"} </w:instrText>
      </w:r>
      <w:r w:rsidR="00E37102">
        <w:fldChar w:fldCharType="separate"/>
      </w:r>
      <w:r w:rsidR="00E37102" w:rsidRPr="00E37102">
        <w:rPr>
          <w:rFonts w:ascii="Aptos" w:hAnsi="Aptos"/>
        </w:rPr>
        <w:t>(AIA Group Ltd., 2013, 2017)</w:t>
      </w:r>
      <w:r w:rsidR="00E37102">
        <w:fldChar w:fldCharType="end"/>
      </w:r>
      <w:r w:rsidR="00E00E82">
        <w:t>.</w:t>
      </w:r>
    </w:p>
    <w:p w14:paraId="1E449FE7" w14:textId="20EFFABB" w:rsidR="005072C7" w:rsidRDefault="00455A20" w:rsidP="0061119E">
      <w:pPr>
        <w:spacing w:line="360" w:lineRule="auto"/>
      </w:pPr>
      <w:r>
        <w:t xml:space="preserve">AIA also encouraged its employees to actively engage in </w:t>
      </w:r>
      <w:r w:rsidR="008A7A4D">
        <w:t xml:space="preserve">corporate </w:t>
      </w:r>
      <w:r w:rsidR="0026026C">
        <w:t>social responsibility initiatives</w:t>
      </w:r>
      <w:r w:rsidR="008B6C9B">
        <w:t>, both in the employees’ local markets and across the region</w:t>
      </w:r>
      <w:r w:rsidR="006B4CC1">
        <w:t xml:space="preserve">. </w:t>
      </w:r>
      <w:r w:rsidR="00746E01">
        <w:t xml:space="preserve">When the worst flood in 50 years hit Bangkok in 2011, AIA </w:t>
      </w:r>
      <w:r w:rsidR="006E5E7E">
        <w:t xml:space="preserve">employees helped move people out of flooded </w:t>
      </w:r>
      <w:r w:rsidR="00883816">
        <w:t>areas and</w:t>
      </w:r>
      <w:r w:rsidR="006E5E7E">
        <w:t xml:space="preserve"> provided food and support</w:t>
      </w:r>
      <w:r w:rsidR="00DF549A">
        <w:t xml:space="preserve"> </w:t>
      </w:r>
      <w:r w:rsidR="00DF549A">
        <w:fldChar w:fldCharType="begin"/>
      </w:r>
      <w:r w:rsidR="00DF549A">
        <w:instrText xml:space="preserve"> ADDIN ZOTERO_ITEM CSL_CITATION {"citationID":"jV9ht9sn","properties":{"formattedCitation":"(AIA Group Ltd., 2012)","plainCitation":"(AIA Group Ltd., 2012)","noteIndex":0},"citationItems":[{"id":497,"uris":["http://zotero.org/users/local/zH9ZQvD1/items/MQNHHYRA"],"itemData":{"id":497,"type":"report","title":"AIA Group Limited Annual Report 2011","URL":"https://www.aia.com/content/dam/group-wise/en/docs/annual-report/aia-annual-report-2011-eng.pdf.coredownload.inline.pdf","author":[{"family":"AIA Group Ltd.","given":""}],"issued":{"date-parts":[["2012"]]}}}],"schema":"https://github.com/citation-style-language/schema/raw/master/csl-citation.json"} </w:instrText>
      </w:r>
      <w:r w:rsidR="00DF549A">
        <w:fldChar w:fldCharType="separate"/>
      </w:r>
      <w:r w:rsidR="00DF549A" w:rsidRPr="00DF549A">
        <w:rPr>
          <w:rFonts w:ascii="Aptos" w:hAnsi="Aptos"/>
        </w:rPr>
        <w:t>(AIA Group Ltd., 2012)</w:t>
      </w:r>
      <w:r w:rsidR="00DF549A">
        <w:fldChar w:fldCharType="end"/>
      </w:r>
      <w:r w:rsidR="006E5E7E">
        <w:t xml:space="preserve">. </w:t>
      </w:r>
      <w:r w:rsidR="00A37669">
        <w:t xml:space="preserve">In 2014, </w:t>
      </w:r>
      <w:r w:rsidR="00DF549A">
        <w:t xml:space="preserve">to address children dropping out from school due to long distances, </w:t>
      </w:r>
      <w:r w:rsidR="00D314DA">
        <w:t>AIA employees launched 12 cycling events across Vietnam</w:t>
      </w:r>
      <w:r w:rsidR="008E0EAD">
        <w:t xml:space="preserve"> and donated 770 bicycles to underprivileged children in 22 provinces and cities</w:t>
      </w:r>
      <w:r w:rsidR="003C0417">
        <w:t xml:space="preserve"> </w:t>
      </w:r>
      <w:r w:rsidR="003C0417">
        <w:fldChar w:fldCharType="begin"/>
      </w:r>
      <w:r w:rsidR="003C0417">
        <w:instrText xml:space="preserve"> ADDIN ZOTERO_ITEM CSL_CITATION {"citationID":"mql7Fc7I","properties":{"formattedCitation":"(AIA Group Ltd., 2014)","plainCitation":"(AIA Group Ltd., 2014)","noteIndex":0},"citationItems":[{"id":501,"uris":["http://zotero.org/users/local/zH9ZQvD1/items/XN7ZQUIF"],"itemData":{"id":501,"type":"report","title":"AIA Group Limited Annual Report 2013","URL":"https://www.aia.com/content/dam/group-wise/en/docs/annual-report/aia-annual-report-2013-eng.pdf.coredownload.inline.pdf","author":[{"family":"AIA Group Ltd.","given":""}],"issued":{"date-parts":[["2014"]]}}}],"schema":"https://github.com/citation-style-language/schema/raw/master/csl-citation.json"} </w:instrText>
      </w:r>
      <w:r w:rsidR="003C0417">
        <w:fldChar w:fldCharType="separate"/>
      </w:r>
      <w:r w:rsidR="003C0417" w:rsidRPr="003C0417">
        <w:rPr>
          <w:rFonts w:ascii="Aptos" w:hAnsi="Aptos"/>
        </w:rPr>
        <w:t>(AIA Group Ltd., 2014)</w:t>
      </w:r>
      <w:r w:rsidR="003C0417">
        <w:fldChar w:fldCharType="end"/>
      </w:r>
      <w:r w:rsidR="00DF549A">
        <w:t xml:space="preserve">. </w:t>
      </w:r>
      <w:r w:rsidR="00677158">
        <w:t>Committed to improv</w:t>
      </w:r>
      <w:r w:rsidR="00B57A65">
        <w:t xml:space="preserve">e </w:t>
      </w:r>
      <w:r w:rsidR="00677158">
        <w:t xml:space="preserve">economic and social development of Jakarta, in 2015, AIA employees distributed free micro-insurance </w:t>
      </w:r>
      <w:r w:rsidR="006B68B4">
        <w:t>to food hawkers, ojek drivers, couriers, and janitors</w:t>
      </w:r>
      <w:r w:rsidR="00AB18E1">
        <w:t xml:space="preserve">, to enable the community to be protected by insurance </w:t>
      </w:r>
      <w:r w:rsidR="00AB18E1">
        <w:fldChar w:fldCharType="begin"/>
      </w:r>
      <w:r w:rsidR="00AB18E1">
        <w:instrText xml:space="preserve"> ADDIN ZOTERO_ITEM CSL_CITATION {"citationID":"XqB4K7i1","properties":{"formattedCitation":"(AIA Group Ltd., 2016)","plainCitation":"(AIA Group Ltd., 2016)","noteIndex":0},"citationItems":[{"id":505,"uris":["http://zotero.org/users/local/zH9ZQvD1/items/89DPZLLE"],"itemData":{"id":505,"type":"report","title":"AIA Group Limited Annual Report 2015","URL":"https://www.aia.com/content/dam/group/en/docs/annual-report/aia-annual-report-2015-eng.pdf.coredownload.inline.pdf","author":[{"family":"AIA Group Ltd.","given":""}],"issued":{"date-parts":[["2016"]]}}}],"schema":"https://github.com/citation-style-language/schema/raw/master/csl-citation.json"} </w:instrText>
      </w:r>
      <w:r w:rsidR="00AB18E1">
        <w:fldChar w:fldCharType="separate"/>
      </w:r>
      <w:r w:rsidR="00AB18E1" w:rsidRPr="00AB18E1">
        <w:rPr>
          <w:rFonts w:ascii="Aptos" w:hAnsi="Aptos"/>
        </w:rPr>
        <w:t>(AIA Group Ltd., 2016)</w:t>
      </w:r>
      <w:r w:rsidR="00AB18E1">
        <w:fldChar w:fldCharType="end"/>
      </w:r>
      <w:r w:rsidR="005C369E">
        <w:t>.</w:t>
      </w:r>
      <w:r w:rsidR="00D97DA8">
        <w:t xml:space="preserve"> AIA’s </w:t>
      </w:r>
      <w:r w:rsidR="005072C7">
        <w:t>holistic approach to employee engagement</w:t>
      </w:r>
      <w:r w:rsidR="008B560F">
        <w:t xml:space="preserve"> and </w:t>
      </w:r>
      <w:r w:rsidR="00701070">
        <w:t>community servicing</w:t>
      </w:r>
      <w:r w:rsidR="008B560F">
        <w:t xml:space="preserve"> </w:t>
      </w:r>
      <w:r w:rsidR="00D97DA8">
        <w:t xml:space="preserve">likely contributed to </w:t>
      </w:r>
      <w:r w:rsidR="00701070">
        <w:t xml:space="preserve">increased </w:t>
      </w:r>
      <w:r w:rsidR="00D97DA8">
        <w:t>affective commitment amongst employees.</w:t>
      </w:r>
      <w:r w:rsidR="00E873DA">
        <w:t xml:space="preserve"> The high</w:t>
      </w:r>
      <w:r w:rsidR="00802A3C">
        <w:t xml:space="preserve"> level of engagement and participation also indicated strong organizational commitment.</w:t>
      </w:r>
    </w:p>
    <w:p w14:paraId="2CCD8FC7" w14:textId="77777777" w:rsidR="00121955" w:rsidRDefault="00121955" w:rsidP="0061119E">
      <w:pPr>
        <w:spacing w:line="360" w:lineRule="auto"/>
      </w:pPr>
    </w:p>
    <w:p w14:paraId="3356147C" w14:textId="089E7565" w:rsidR="00201F05" w:rsidRDefault="00BE55D7" w:rsidP="0061119E">
      <w:pPr>
        <w:pStyle w:val="Heading3"/>
        <w:spacing w:line="360" w:lineRule="auto"/>
      </w:pPr>
      <w:bookmarkStart w:id="30" w:name="_Toc184573502"/>
      <w:r>
        <w:t>Summary on heart domain</w:t>
      </w:r>
      <w:bookmarkEnd w:id="30"/>
    </w:p>
    <w:p w14:paraId="5786D916" w14:textId="74C3A8B3" w:rsidR="00201F05" w:rsidRDefault="002226EE" w:rsidP="0061119E">
      <w:pPr>
        <w:spacing w:line="360" w:lineRule="auto"/>
      </w:pPr>
      <w:r>
        <w:t xml:space="preserve">AIA’s approach to the heart domain between </w:t>
      </w:r>
      <w:r w:rsidR="00930680">
        <w:t xml:space="preserve">2010 and 2017 </w:t>
      </w:r>
      <w:r w:rsidR="00D26B23">
        <w:t xml:space="preserve">strongly aligns with the characteristics of transformational leadership and organizational commitment theories. Led by Mark Tucker, AIA’s focus on </w:t>
      </w:r>
      <w:r w:rsidR="002174B0">
        <w:t xml:space="preserve">building a visionary leadership team, </w:t>
      </w:r>
      <w:r w:rsidR="007746AE">
        <w:t xml:space="preserve">empowering </w:t>
      </w:r>
      <w:r w:rsidR="001A7704">
        <w:t xml:space="preserve">local markets, </w:t>
      </w:r>
      <w:r w:rsidR="001D536C">
        <w:t xml:space="preserve">charting a clear vision with the right operating philosophy and principles, </w:t>
      </w:r>
      <w:r w:rsidR="001A7704">
        <w:t>and driving employee engagement</w:t>
      </w:r>
      <w:r w:rsidR="009066F0">
        <w:t xml:space="preserve"> contributed to its strong performance during this period. </w:t>
      </w:r>
      <w:r w:rsidR="00C77542">
        <w:t xml:space="preserve">Such efforts </w:t>
      </w:r>
      <w:r w:rsidR="00C85487">
        <w:t xml:space="preserve">aligned with the </w:t>
      </w:r>
      <w:r w:rsidR="00C77542">
        <w:t xml:space="preserve">heart domain </w:t>
      </w:r>
      <w:r w:rsidR="00013060">
        <w:t xml:space="preserve">would have played a significant role in </w:t>
      </w:r>
      <w:r w:rsidR="00C85487">
        <w:t>pr</w:t>
      </w:r>
      <w:r w:rsidR="00721907">
        <w:t xml:space="preserve">oviding stability and strength for AIA to navigate its </w:t>
      </w:r>
      <w:r w:rsidR="0061419E">
        <w:t xml:space="preserve">early </w:t>
      </w:r>
      <w:r w:rsidR="00721907">
        <w:t xml:space="preserve">challenges </w:t>
      </w:r>
      <w:r w:rsidR="0061419E">
        <w:t>in 2010.</w:t>
      </w:r>
    </w:p>
    <w:p w14:paraId="6E03C5D5" w14:textId="77777777" w:rsidR="00DE588A" w:rsidRPr="00515357" w:rsidRDefault="00DE588A" w:rsidP="0061119E">
      <w:pPr>
        <w:spacing w:line="360" w:lineRule="auto"/>
      </w:pPr>
    </w:p>
    <w:p w14:paraId="5722FFD9" w14:textId="2F69B8AF" w:rsidR="00401882" w:rsidRDefault="00401882" w:rsidP="0061119E">
      <w:pPr>
        <w:pStyle w:val="Heading2"/>
        <w:spacing w:line="360" w:lineRule="auto"/>
      </w:pPr>
      <w:bookmarkStart w:id="31" w:name="_Toc184573503"/>
      <w:r>
        <w:lastRenderedPageBreak/>
        <w:t>Hea</w:t>
      </w:r>
      <w:r w:rsidR="00481445">
        <w:t>d</w:t>
      </w:r>
      <w:r>
        <w:t xml:space="preserve"> (H</w:t>
      </w:r>
      <w:r w:rsidR="00121955">
        <w:t>2</w:t>
      </w:r>
      <w:r>
        <w:t>)</w:t>
      </w:r>
      <w:r w:rsidR="001A6ACF">
        <w:t xml:space="preserve"> domain analysis</w:t>
      </w:r>
      <w:bookmarkEnd w:id="31"/>
    </w:p>
    <w:p w14:paraId="49C9B92E" w14:textId="0D77E9F2" w:rsidR="000F46E5" w:rsidRDefault="00F073B9" w:rsidP="0061119E">
      <w:pPr>
        <w:spacing w:line="360" w:lineRule="auto"/>
      </w:pPr>
      <w:r>
        <w:t xml:space="preserve">In the years immediately following the IPO, </w:t>
      </w:r>
      <w:r w:rsidR="000F46E5">
        <w:t xml:space="preserve">AIA showed </w:t>
      </w:r>
      <w:r w:rsidR="00F16CE2">
        <w:t xml:space="preserve">a strong focus on strategic planning, </w:t>
      </w:r>
      <w:r w:rsidR="004E4BE8">
        <w:t xml:space="preserve">organizational </w:t>
      </w:r>
      <w:r>
        <w:t>re</w:t>
      </w:r>
      <w:r w:rsidR="004E4BE8">
        <w:t xml:space="preserve">structuring, </w:t>
      </w:r>
      <w:r>
        <w:t xml:space="preserve">and the adoption of </w:t>
      </w:r>
      <w:r w:rsidR="001524A2">
        <w:t>effective key performance measurement</w:t>
      </w:r>
      <w:r w:rsidR="00FE26B0">
        <w:t xml:space="preserve">s. </w:t>
      </w:r>
      <w:r w:rsidR="00585C39">
        <w:t xml:space="preserve">These </w:t>
      </w:r>
      <w:r w:rsidR="00FE26B0">
        <w:t xml:space="preserve">characteristics </w:t>
      </w:r>
      <w:r w:rsidR="00585C39">
        <w:t>are closely aligned with the</w:t>
      </w:r>
      <w:r w:rsidR="00FE26B0">
        <w:t xml:space="preserve"> resource-based view </w:t>
      </w:r>
      <w:r w:rsidR="00521619">
        <w:t xml:space="preserve">and balanced scorecard </w:t>
      </w:r>
      <w:r w:rsidR="00F6793B">
        <w:t>theories</w:t>
      </w:r>
      <w:r w:rsidR="00585C39">
        <w:t xml:space="preserve">, and they </w:t>
      </w:r>
      <w:r w:rsidR="00746A3C">
        <w:t xml:space="preserve">correspond well </w:t>
      </w:r>
      <w:r w:rsidR="00F6793B">
        <w:t>with the head domain of Yu’s 3H framework.</w:t>
      </w:r>
    </w:p>
    <w:p w14:paraId="4395F89A" w14:textId="77777777" w:rsidR="000F46E5" w:rsidRDefault="000F46E5" w:rsidP="0061119E">
      <w:pPr>
        <w:spacing w:line="360" w:lineRule="auto"/>
      </w:pPr>
    </w:p>
    <w:p w14:paraId="4DE386D1" w14:textId="67A1A2A0" w:rsidR="004C14BA" w:rsidRDefault="003925BE" w:rsidP="0061119E">
      <w:pPr>
        <w:pStyle w:val="Heading3"/>
        <w:spacing w:line="360" w:lineRule="auto"/>
      </w:pPr>
      <w:bookmarkStart w:id="32" w:name="_Toc184573504"/>
      <w:r>
        <w:t xml:space="preserve">Strategic vision </w:t>
      </w:r>
      <w:r w:rsidR="001D0385">
        <w:t xml:space="preserve">and </w:t>
      </w:r>
      <w:r w:rsidR="00D77F09">
        <w:t>execution</w:t>
      </w:r>
      <w:bookmarkEnd w:id="32"/>
    </w:p>
    <w:p w14:paraId="0E564BD6" w14:textId="77777777" w:rsidR="00A43E68" w:rsidRDefault="00C60949" w:rsidP="0061119E">
      <w:pPr>
        <w:spacing w:line="360" w:lineRule="auto"/>
      </w:pPr>
      <w:r>
        <w:t xml:space="preserve">AIA’s strategic vision </w:t>
      </w:r>
      <w:r w:rsidR="005F20FA">
        <w:t xml:space="preserve">was centred on capturing the </w:t>
      </w:r>
      <w:r w:rsidR="008730CD">
        <w:t xml:space="preserve">most </w:t>
      </w:r>
      <w:r w:rsidR="005F20FA">
        <w:t xml:space="preserve">significant and growing opportunities in the Asia-Pacific region. </w:t>
      </w:r>
      <w:r w:rsidR="00105FF0">
        <w:t xml:space="preserve">With mortality protection gap standing at over US$ </w:t>
      </w:r>
      <w:r w:rsidR="008068BC">
        <w:t>50</w:t>
      </w:r>
      <w:r w:rsidR="00105FF0">
        <w:t xml:space="preserve"> trillion</w:t>
      </w:r>
      <w:r w:rsidR="00183B4D">
        <w:t xml:space="preserve"> </w:t>
      </w:r>
      <w:r w:rsidR="001B2C2E">
        <w:t>in the region</w:t>
      </w:r>
      <w:r w:rsidR="00183B4D">
        <w:t xml:space="preserve">, and China </w:t>
      </w:r>
      <w:r w:rsidR="00136A12">
        <w:t xml:space="preserve">having the broadest gap, AIA </w:t>
      </w:r>
      <w:r w:rsidR="005940C5">
        <w:t xml:space="preserve">opted for a strategy </w:t>
      </w:r>
      <w:r w:rsidR="001B2C2E">
        <w:t xml:space="preserve">that focuses </w:t>
      </w:r>
      <w:r w:rsidR="008E7B73">
        <w:t>solely</w:t>
      </w:r>
      <w:r w:rsidR="001B2C2E">
        <w:t xml:space="preserve"> on Asia-Pacific </w:t>
      </w:r>
      <w:r w:rsidR="00B71B1F">
        <w:t xml:space="preserve">to avoid any distraction </w:t>
      </w:r>
      <w:r w:rsidR="00B71B1F">
        <w:fldChar w:fldCharType="begin"/>
      </w:r>
      <w:r w:rsidR="00B71B1F">
        <w:instrText xml:space="preserve"> ADDIN ZOTERO_ITEM CSL_CITATION {"citationID":"H8N8X1Cc","properties":{"formattedCitation":"(Chen et al., 2020; Thomas, 2015)","plainCitation":"(Chen et al., 2020; Thomas, 2015)","noteIndex":0},"citationItems":[{"id":570,"uris":["http://zotero.org/users/local/zH9ZQvD1/items/6QDFWHZ5"],"itemData":{"id":570,"type":"report","publisher":"Swiss Re Institute","title":"Closing Asia's mortality protection gap","author":[{"family":"Chen","given":"Julia"},{"family":"Dai","given":"Xin"},{"family":"Gong","given":"Zephyr"},{"family":"Guo","given":"Jessie"},{"family":"Ho","given":"Kelvin"},{"family":"Krueger","given":"Finn"},{"family":"Puttaiah","given":"Mahesh"},{"family":"Sharan","given":"Rajeev"},{"family":"Zhan","given":"Georgina"}],"issued":{"date-parts":[["2020"]]}}},{"id":568,"uris":["http://zotero.org/users/local/zH9ZQvD1/items/VI9QLC3B"],"itemData":{"id":568,"type":"report","language":"en","source":"Zotero","title":"Asia’s protection gap underlines need for greater insurance planning","author":[{"family":"Thomas","given":"Stephen"}],"issued":{"date-parts":[["2015"]]}}}],"schema":"https://github.com/citation-style-language/schema/raw/master/csl-citation.json"} </w:instrText>
      </w:r>
      <w:r w:rsidR="00B71B1F">
        <w:fldChar w:fldCharType="separate"/>
      </w:r>
      <w:r w:rsidR="00B71B1F" w:rsidRPr="00B71B1F">
        <w:rPr>
          <w:rFonts w:ascii="Aptos" w:hAnsi="Aptos"/>
        </w:rPr>
        <w:t>(Chen et al., 2020; Thomas, 2015)</w:t>
      </w:r>
      <w:r w:rsidR="00B71B1F">
        <w:fldChar w:fldCharType="end"/>
      </w:r>
      <w:r w:rsidR="00D723D2">
        <w:t xml:space="preserve">. </w:t>
      </w:r>
    </w:p>
    <w:p w14:paraId="3BFD861F" w14:textId="618F529D" w:rsidR="00552414" w:rsidRDefault="00A43E68" w:rsidP="0061119E">
      <w:pPr>
        <w:spacing w:line="360" w:lineRule="auto"/>
      </w:pPr>
      <w:r>
        <w:t>To avoid</w:t>
      </w:r>
      <w:r w:rsidR="008E300A">
        <w:t xml:space="preserve"> </w:t>
      </w:r>
      <w:r w:rsidR="00AC7CB6">
        <w:t xml:space="preserve">spreading management attention and resources thinly across many </w:t>
      </w:r>
      <w:r w:rsidR="002F0A1C">
        <w:t xml:space="preserve">different business lines, AIA focused </w:t>
      </w:r>
      <w:r w:rsidR="00F26867">
        <w:t xml:space="preserve">on its one and only core business: </w:t>
      </w:r>
      <w:r w:rsidR="00B4454E">
        <w:t xml:space="preserve">insurance solutions to address life &amp; health protection </w:t>
      </w:r>
      <w:r w:rsidR="0043426E">
        <w:t xml:space="preserve">gaps. </w:t>
      </w:r>
      <w:r w:rsidR="00131F85">
        <w:t xml:space="preserve">Aligned with the resource-based view theory, </w:t>
      </w:r>
      <w:r w:rsidR="0043426E">
        <w:t>AIA leveraged its internal resources to create competitive advantages</w:t>
      </w:r>
      <w:r w:rsidR="00131F85">
        <w:t xml:space="preserve">. In 2011, AIA </w:t>
      </w:r>
      <w:r w:rsidR="00620847">
        <w:t xml:space="preserve">launched the Premier Agency </w:t>
      </w:r>
      <w:r w:rsidR="007D30F1">
        <w:t>program across all markets</w:t>
      </w:r>
      <w:r w:rsidR="00620847">
        <w:t>, focusing on developing a high-performing, professional</w:t>
      </w:r>
      <w:r w:rsidR="00663A14">
        <w:t xml:space="preserve"> and customer-centric agency force</w:t>
      </w:r>
      <w:r w:rsidR="00ED4CC6">
        <w:t xml:space="preserve">. </w:t>
      </w:r>
      <w:r w:rsidR="007D30F1">
        <w:t>The program was e</w:t>
      </w:r>
      <w:r w:rsidR="00E5430A">
        <w:t xml:space="preserve">xecuted </w:t>
      </w:r>
      <w:r w:rsidR="00FA1C18">
        <w:t>successfully</w:t>
      </w:r>
      <w:r w:rsidR="00E5430A">
        <w:t xml:space="preserve"> and by 2015, AIA </w:t>
      </w:r>
      <w:r w:rsidR="00B97234">
        <w:t xml:space="preserve">had the world’s </w:t>
      </w:r>
      <w:r w:rsidR="005D50EE">
        <w:t>largest number of Million Dollar Round Table (MDRT) members</w:t>
      </w:r>
      <w:r w:rsidR="002B6C94">
        <w:t xml:space="preserve">, a status </w:t>
      </w:r>
      <w:r w:rsidR="00587108">
        <w:t>recognized internationally as the standard of excellence</w:t>
      </w:r>
      <w:r w:rsidR="00FB6EDA">
        <w:t xml:space="preserve"> </w:t>
      </w:r>
      <w:r w:rsidR="00FB6EDA">
        <w:fldChar w:fldCharType="begin"/>
      </w:r>
      <w:r w:rsidR="00FB6EDA">
        <w:instrText xml:space="preserve"> ADDIN ZOTERO_ITEM CSL_CITATION {"citationID":"HwsWBFSq","properties":{"formattedCitation":"(AIA Group Ltd., 2011b, 2016)","plainCitation":"(AIA Group Ltd., 2011b, 2016)","noteIndex":0},"citationItems":[{"id":490,"uris":["http://zotero.org/users/local/zH9ZQvD1/items/3DXQRM8T"],"itemData":{"id":490,"type":"report","title":"AIA Group Limited Annual Report 2010","URL":"https://www.aia.com/content/dam/group-wise/en/docs/annual-report/aia-annual-report-2010-eng.pdf.coredownload.inline.pdf","author":[{"family":"AIA Group Ltd.","given":""}],"issued":{"date-parts":[["2011"]]}}},{"id":505,"uris":["http://zotero.org/users/local/zH9ZQvD1/items/89DPZLLE"],"itemData":{"id":505,"type":"report","title":"AIA Group Limited Annual Report 2015","URL":"https://www.aia.com/content/dam/group/en/docs/annual-report/aia-annual-report-2015-eng.pdf.coredownload.inline.pdf","author":[{"family":"AIA Group Ltd.","given":""}],"issued":{"date-parts":[["2016"]]}}}],"schema":"https://github.com/citation-style-language/schema/raw/master/csl-citation.json"} </w:instrText>
      </w:r>
      <w:r w:rsidR="00FB6EDA">
        <w:fldChar w:fldCharType="separate"/>
      </w:r>
      <w:r w:rsidR="00FB6EDA" w:rsidRPr="00FB6EDA">
        <w:rPr>
          <w:rFonts w:ascii="Aptos" w:hAnsi="Aptos"/>
        </w:rPr>
        <w:t>(AIA Group Ltd., 2011b, 2016)</w:t>
      </w:r>
      <w:r w:rsidR="00FB6EDA">
        <w:fldChar w:fldCharType="end"/>
      </w:r>
      <w:r w:rsidR="00301C82">
        <w:t xml:space="preserve">. </w:t>
      </w:r>
      <w:r w:rsidR="00567F88">
        <w:t>Focusing on sustainable value creation</w:t>
      </w:r>
      <w:r w:rsidR="00A626B2">
        <w:t xml:space="preserve"> and acknowledging the </w:t>
      </w:r>
      <w:r w:rsidR="00E6622C">
        <w:t>significant</w:t>
      </w:r>
      <w:r w:rsidR="0086614A">
        <w:t xml:space="preserve"> </w:t>
      </w:r>
      <w:r w:rsidR="00E6622C">
        <w:t>protection</w:t>
      </w:r>
      <w:r w:rsidR="0086614A">
        <w:t xml:space="preserve"> gaps</w:t>
      </w:r>
      <w:r w:rsidR="00E6622C">
        <w:t>, AIA</w:t>
      </w:r>
      <w:r w:rsidR="0086614A">
        <w:t xml:space="preserve"> proactively </w:t>
      </w:r>
      <w:r w:rsidR="00790817">
        <w:t xml:space="preserve">shifted its focus from investment-related products to life &amp; health protection products. </w:t>
      </w:r>
      <w:r w:rsidR="000943F3">
        <w:t xml:space="preserve">To complement this product strategy, AIA </w:t>
      </w:r>
      <w:r w:rsidR="00554775">
        <w:t>launch</w:t>
      </w:r>
      <w:r w:rsidR="000943F3">
        <w:t>ed</w:t>
      </w:r>
      <w:r w:rsidR="00554775">
        <w:t xml:space="preserve"> </w:t>
      </w:r>
      <w:r w:rsidR="001646FC">
        <w:t xml:space="preserve">the award-winning </w:t>
      </w:r>
      <w:r w:rsidR="00554775">
        <w:t xml:space="preserve">“Mind the Gap” campaign </w:t>
      </w:r>
      <w:r w:rsidR="001646FC">
        <w:t xml:space="preserve">in 2011, </w:t>
      </w:r>
      <w:r w:rsidR="00554775">
        <w:t xml:space="preserve">which </w:t>
      </w:r>
      <w:r w:rsidR="000943F3">
        <w:t xml:space="preserve">aimed to </w:t>
      </w:r>
      <w:r w:rsidR="00C65549">
        <w:t>raise</w:t>
      </w:r>
      <w:r w:rsidR="000943F3">
        <w:t xml:space="preserve"> </w:t>
      </w:r>
      <w:r w:rsidR="00C65549">
        <w:t xml:space="preserve">public awareness </w:t>
      </w:r>
      <w:r w:rsidR="00707F73">
        <w:t>of the need for adequate insurance protection</w:t>
      </w:r>
      <w:r w:rsidR="0097410D">
        <w:t xml:space="preserve"> amongst the population</w:t>
      </w:r>
      <w:r w:rsidR="00707F73">
        <w:t xml:space="preserve"> </w:t>
      </w:r>
      <w:r w:rsidR="00DA07CF">
        <w:fldChar w:fldCharType="begin"/>
      </w:r>
      <w:r w:rsidR="001646FC">
        <w:instrText xml:space="preserve"> ADDIN ZOTERO_ITEM CSL_CITATION {"citationID":"THGyriWB","properties":{"formattedCitation":"(AIA Group Ltd., 2011b, 2012; Hong Kong Business, 2011)","plainCitation":"(AIA Group Ltd., 2011b, 2012; Hong Kong Business, 2011)","noteIndex":0},"citationItems":[{"id":490,"uris":["http://zotero.org/users/local/zH9ZQvD1/items/3DXQRM8T"],"itemData":{"id":490,"type":"report","title":"AIA Group Limited Annual Report 2010","URL":"https://www.aia.com/content/dam/group-wise/en/docs/annual-report/aia-annual-report-2010-eng.pdf.coredownload.inline.pdf","author":[{"family":"AIA Group Ltd.","given":""}],"issued":{"date-parts":[["2011"]]}}},{"id":497,"uris":["http://zotero.org/users/local/zH9ZQvD1/items/MQNHHYRA"],"itemData":{"id":497,"type":"report","title":"AIA Group Limited Annual Report 2011","URL":"https://www.aia.com/content/dam/group-wise/en/docs/annual-report/aia-annual-report-2011-eng.pdf.coredownload.inline.pdf","author":[{"family":"AIA Group Ltd.","given":""}],"issued":{"date-parts":[["2012"]]}}},{"id":571,"uris":["http://zotero.org/users/local/zH9ZQvD1/items/AGE9CEF7"],"itemData":{"id":571,"type":"article-newspaper","abstract":"Executive Care Pro and Multiple Care Pro aimed to bridge the protection gap with the most comprehensive coverage.","language":"en","title":"AIA Hong Kong and Macau unveils new critical illness plans | Hong Kong Business","URL":"https://hongkongbusiness.hk/financial-services/more-news/aia-hong-kong-and-macau-unveils-new-critical-illness-plans","author":[{"family":"Hong Kong Business","given":""}],"accessed":{"date-parts":[["2024",12,7]]},"issued":{"date-parts":[["2011",8,24]]}}}],"schema":"https://github.com/citation-style-language/schema/raw/master/csl-citation.json"} </w:instrText>
      </w:r>
      <w:r w:rsidR="00DA07CF">
        <w:fldChar w:fldCharType="separate"/>
      </w:r>
      <w:r w:rsidR="001646FC" w:rsidRPr="001646FC">
        <w:rPr>
          <w:rFonts w:ascii="Aptos" w:hAnsi="Aptos"/>
        </w:rPr>
        <w:t>(AIA Group Ltd., 2011b, 2012; Hong Kong Business, 2011)</w:t>
      </w:r>
      <w:r w:rsidR="00DA07CF">
        <w:fldChar w:fldCharType="end"/>
      </w:r>
      <w:r w:rsidR="00C40FF7">
        <w:t xml:space="preserve">. </w:t>
      </w:r>
      <w:r w:rsidR="00A53488">
        <w:t xml:space="preserve">AIA’s </w:t>
      </w:r>
      <w:r w:rsidR="00A679D6">
        <w:t>clear strategic vision</w:t>
      </w:r>
      <w:r w:rsidR="00A46158">
        <w:t xml:space="preserve"> and focus to leverage internal strengths to create sustainable competitive advantages in </w:t>
      </w:r>
      <w:r w:rsidR="009D47C4">
        <w:t>the</w:t>
      </w:r>
      <w:r w:rsidR="00A46158">
        <w:t xml:space="preserve"> dynamic market</w:t>
      </w:r>
      <w:r w:rsidR="00E85112">
        <w:t>s it operated in</w:t>
      </w:r>
      <w:r w:rsidR="008823D9">
        <w:t xml:space="preserve"> demonstrated </w:t>
      </w:r>
      <w:r w:rsidR="00552414">
        <w:t>strong alignment with the resource-based view theory</w:t>
      </w:r>
      <w:r w:rsidR="006A04E8">
        <w:t>.</w:t>
      </w:r>
    </w:p>
    <w:p w14:paraId="11CD9FAE" w14:textId="77777777" w:rsidR="004C14BA" w:rsidRDefault="004C14BA" w:rsidP="0061119E">
      <w:pPr>
        <w:spacing w:line="360" w:lineRule="auto"/>
      </w:pPr>
    </w:p>
    <w:p w14:paraId="408F152A" w14:textId="77085CC1" w:rsidR="004C14BA" w:rsidRPr="000F3BFB" w:rsidRDefault="00412C9E" w:rsidP="0061119E">
      <w:pPr>
        <w:pStyle w:val="Heading3"/>
        <w:spacing w:line="360" w:lineRule="auto"/>
      </w:pPr>
      <w:bookmarkStart w:id="33" w:name="_Toc184573505"/>
      <w:r>
        <w:lastRenderedPageBreak/>
        <w:t xml:space="preserve">Optimized </w:t>
      </w:r>
      <w:r w:rsidR="008A39E4">
        <w:t>organizational structure for m</w:t>
      </w:r>
      <w:r w:rsidR="00B64D98" w:rsidRPr="000F3BFB">
        <w:t>arket expansion</w:t>
      </w:r>
      <w:bookmarkEnd w:id="33"/>
    </w:p>
    <w:p w14:paraId="459D1C00" w14:textId="309D0328" w:rsidR="001B3976" w:rsidRDefault="001B3976" w:rsidP="0061119E">
      <w:pPr>
        <w:spacing w:line="360" w:lineRule="auto"/>
      </w:pPr>
      <w:r>
        <w:t xml:space="preserve">AIA was well positioned to capture the growth opportunities in the Asia-Pacific region. </w:t>
      </w:r>
      <w:r w:rsidR="00596D9D">
        <w:t>In 2011, AIA</w:t>
      </w:r>
      <w:r w:rsidR="009D2255">
        <w:t xml:space="preserve"> was operating in 15 markets</w:t>
      </w:r>
      <w:r w:rsidR="00291CDF">
        <w:t>, and u</w:t>
      </w:r>
      <w:r w:rsidR="00525171">
        <w:t xml:space="preserve">nder Tucker’s leadership, </w:t>
      </w:r>
      <w:r w:rsidR="00EF4201">
        <w:t>AIA’s organizational structure was enhanced by incorporating a new tier of Regional Chief Executives</w:t>
      </w:r>
      <w:r w:rsidR="005B695B">
        <w:t xml:space="preserve"> (RCE)</w:t>
      </w:r>
      <w:r w:rsidR="00FB495F">
        <w:t xml:space="preserve">, </w:t>
      </w:r>
      <w:r w:rsidR="00EC4CDA">
        <w:t xml:space="preserve">whom had accountabilities </w:t>
      </w:r>
      <w:r w:rsidR="00FB495F">
        <w:t xml:space="preserve">of a portfolio of markets. </w:t>
      </w:r>
      <w:r w:rsidR="005D1973">
        <w:t>The three R</w:t>
      </w:r>
      <w:r w:rsidR="005B695B">
        <w:t xml:space="preserve">CEs </w:t>
      </w:r>
      <w:r w:rsidR="005D1973">
        <w:t xml:space="preserve">were Gordon Watson, Ng Keng Hooi, and Huynh Thanh Phong. </w:t>
      </w:r>
      <w:r w:rsidR="00CC7277">
        <w:t xml:space="preserve">This new structure allowed AIA to </w:t>
      </w:r>
      <w:r w:rsidR="002C5D9C">
        <w:t>cultivate a growth-focused management culture</w:t>
      </w:r>
      <w:r w:rsidR="005B695B">
        <w:t xml:space="preserve"> – local market CEOs can focus on delivering organic growth, while </w:t>
      </w:r>
      <w:r w:rsidR="00764E8C">
        <w:t xml:space="preserve">RCEs can </w:t>
      </w:r>
      <w:r w:rsidR="00FE001C">
        <w:t xml:space="preserve">exercise more holistic strategic management and </w:t>
      </w:r>
      <w:r w:rsidR="001C5268">
        <w:t xml:space="preserve">actively look for growth opportunities </w:t>
      </w:r>
      <w:r w:rsidR="001C5268">
        <w:fldChar w:fldCharType="begin"/>
      </w:r>
      <w:r w:rsidR="001C5268">
        <w:instrText xml:space="preserve"> ADDIN ZOTERO_ITEM CSL_CITATION {"citationID":"PhuYChtV","properties":{"formattedCitation":"(AIA Group Ltd., 2012)","plainCitation":"(AIA Group Ltd., 2012)","noteIndex":0},"citationItems":[{"id":497,"uris":["http://zotero.org/users/local/zH9ZQvD1/items/MQNHHYRA"],"itemData":{"id":497,"type":"report","title":"AIA Group Limited Annual Report 2011","URL":"https://www.aia.com/content/dam/group-wise/en/docs/annual-report/aia-annual-report-2011-eng.pdf.coredownload.inline.pdf","author":[{"family":"AIA Group Ltd.","given":""}],"issued":{"date-parts":[["2012"]]}}}],"schema":"https://github.com/citation-style-language/schema/raw/master/csl-citation.json"} </w:instrText>
      </w:r>
      <w:r w:rsidR="001C5268">
        <w:fldChar w:fldCharType="separate"/>
      </w:r>
      <w:r w:rsidR="001C5268" w:rsidRPr="001C5268">
        <w:rPr>
          <w:rFonts w:ascii="Aptos" w:hAnsi="Aptos"/>
        </w:rPr>
        <w:t>(AIA Group Ltd., 2012)</w:t>
      </w:r>
      <w:r w:rsidR="001C5268">
        <w:fldChar w:fldCharType="end"/>
      </w:r>
      <w:r w:rsidR="001C5268">
        <w:t>.</w:t>
      </w:r>
    </w:p>
    <w:p w14:paraId="10AA1F60" w14:textId="361B891D" w:rsidR="001C5268" w:rsidRDefault="00CA2764" w:rsidP="0061119E">
      <w:pPr>
        <w:spacing w:line="360" w:lineRule="auto"/>
      </w:pPr>
      <w:r>
        <w:t xml:space="preserve">Leveraging its strong operations in existing markets and </w:t>
      </w:r>
      <w:r w:rsidR="00EF4A73">
        <w:t xml:space="preserve">newly raised capital from the IPO, AIA capitalized on a series of strategic moves: </w:t>
      </w:r>
      <w:r w:rsidR="009A4A91">
        <w:t xml:space="preserve">AIA </w:t>
      </w:r>
      <w:r w:rsidR="00DE7449">
        <w:t>entered</w:t>
      </w:r>
      <w:r w:rsidR="00186878">
        <w:t xml:space="preserve"> the Sri Lankan m</w:t>
      </w:r>
      <w:r w:rsidR="00DE7449">
        <w:t>arket in 2012 via acquisition of Aviva NDB</w:t>
      </w:r>
      <w:r w:rsidR="00051BA6">
        <w:t xml:space="preserve">, and in the same year, strengthened its market position by acquiring ING Malaysia. </w:t>
      </w:r>
      <w:r w:rsidR="00764F82">
        <w:t xml:space="preserve">Focusing on the </w:t>
      </w:r>
      <w:r w:rsidR="00BE2E58">
        <w:t>Southeast</w:t>
      </w:r>
      <w:r w:rsidR="00764F82">
        <w:t xml:space="preserve"> Asian markets, AIA expanded its footprint into Myanmar in 2013 and Cambodia in 2015. </w:t>
      </w:r>
      <w:r w:rsidR="00DD6E4B">
        <w:t xml:space="preserve">Finally, as AIA looked for opportunities to deepen </w:t>
      </w:r>
      <w:r w:rsidR="00961C5B">
        <w:t xml:space="preserve">its presence in existing markets, AIA increased its stake in </w:t>
      </w:r>
      <w:r w:rsidR="00B0536D">
        <w:t xml:space="preserve">the India JV from 26% to 49%, and acquired CBA life and insurance business in Australia and New Zealand in 2017 </w:t>
      </w:r>
      <w:r w:rsidR="00B0536D">
        <w:fldChar w:fldCharType="begin"/>
      </w:r>
      <w:r w:rsidR="00DF5CA8">
        <w:instrText xml:space="preserve"> ADDIN ZOTERO_ITEM CSL_CITATION {"citationID":"RNzxwijL","properties":{"formattedCitation":"(AIA Group Ltd., 2016, 2017, 2018b)","plainCitation":"(AIA Group Ltd., 2016, 2017, 2018b)","noteIndex":0},"citationItems":[{"id":505,"uris":["http://zotero.org/users/local/zH9ZQvD1/items/89DPZLLE"],"itemData":{"id":505,"type":"report","title":"AIA Group Limited Annual Report 2015","URL":"https://www.aia.com/content/dam/group/en/docs/annual-report/aia-annual-report-2015-eng.pdf.coredownload.inline.pdf","author":[{"family":"AIA Group Ltd.","given":""}],"issued":{"date-parts":[["2016"]]}}},{"id":507,"uris":["http://zotero.org/users/local/zH9ZQvD1/items/UCU8AES9"],"itemData":{"id":507,"type":"report","title":"AIA Group Limited Annual Report 2016","URL":"https://www.aia.com/content/dam/group/en/docs/annual-report/aia-annual-report-2016-eng.pdf.coredownload.inline.pdf","author":[{"family":"AIA Group Ltd.","given":""}],"issued":{"date-parts":[["2017"]]}}},{"id":509,"uris":["http://zotero.org/users/local/zH9ZQvD1/items/RH5CGZIM"],"itemData":{"id":509,"type":"report","title":"AIA Group Limited Annual Report 2017","URL":"https://www.aia.com/content/dam/group/en/docs/annual-report/aia-annual-report-2017-eng.pdf.coredownload.inline.pdf","author":[{"family":"AIA Group Ltd.","given":""}],"issued":{"date-parts":[["2018"]]}}}],"schema":"https://github.com/citation-style-language/schema/raw/master/csl-citation.json"} </w:instrText>
      </w:r>
      <w:r w:rsidR="00B0536D">
        <w:fldChar w:fldCharType="separate"/>
      </w:r>
      <w:r w:rsidR="00DF5CA8" w:rsidRPr="00DF5CA8">
        <w:rPr>
          <w:rFonts w:ascii="Aptos" w:hAnsi="Aptos"/>
        </w:rPr>
        <w:t>(AIA Group Ltd., 2016, 2017, 2018b)</w:t>
      </w:r>
      <w:r w:rsidR="00B0536D">
        <w:fldChar w:fldCharType="end"/>
      </w:r>
      <w:r w:rsidR="00B37DC1">
        <w:t xml:space="preserve">. These developments </w:t>
      </w:r>
      <w:r w:rsidR="009727B1">
        <w:t xml:space="preserve">demonstrated AIA’s ability to adjust its organizational structure to capitalize on growth opportunities, </w:t>
      </w:r>
      <w:r w:rsidR="0026105C">
        <w:t>and these are characteristics that align with the resource-based view theory.</w:t>
      </w:r>
    </w:p>
    <w:p w14:paraId="08625CCF" w14:textId="77777777" w:rsidR="004C14BA" w:rsidRDefault="004C14BA" w:rsidP="0061119E">
      <w:pPr>
        <w:spacing w:line="360" w:lineRule="auto"/>
      </w:pPr>
    </w:p>
    <w:p w14:paraId="2011CFF4" w14:textId="32688C84" w:rsidR="004C14BA" w:rsidRDefault="00C078BF" w:rsidP="0061119E">
      <w:pPr>
        <w:pStyle w:val="Heading3"/>
        <w:spacing w:line="360" w:lineRule="auto"/>
      </w:pPr>
      <w:bookmarkStart w:id="34" w:name="_Toc184573506"/>
      <w:r>
        <w:t xml:space="preserve">Performance measurement </w:t>
      </w:r>
      <w:r w:rsidR="003E2FD4">
        <w:t>and management</w:t>
      </w:r>
      <w:bookmarkEnd w:id="34"/>
    </w:p>
    <w:p w14:paraId="6663782A" w14:textId="7008D638" w:rsidR="004C14BA" w:rsidRDefault="00F87D5C" w:rsidP="0061119E">
      <w:pPr>
        <w:spacing w:line="360" w:lineRule="auto"/>
      </w:pPr>
      <w:r>
        <w:t xml:space="preserve">“Aligning incentives with profitable growth” was a key </w:t>
      </w:r>
      <w:r w:rsidR="00AB6063">
        <w:t xml:space="preserve">message </w:t>
      </w:r>
      <w:r>
        <w:t xml:space="preserve">in Tucker’s first </w:t>
      </w:r>
      <w:r w:rsidR="00AB6063">
        <w:t xml:space="preserve">annual results presentation, and this highlighted </w:t>
      </w:r>
      <w:r w:rsidR="00E3749B">
        <w:t xml:space="preserve">AIA’s strong commitment to a comprehensive approach </w:t>
      </w:r>
      <w:r w:rsidR="00AC3719">
        <w:t xml:space="preserve">for </w:t>
      </w:r>
      <w:r w:rsidR="00E3749B">
        <w:t xml:space="preserve">performance measurement and management </w:t>
      </w:r>
      <w:r w:rsidR="00E3749B">
        <w:fldChar w:fldCharType="begin"/>
      </w:r>
      <w:r w:rsidR="00E3749B">
        <w:instrText xml:space="preserve"> ADDIN ZOTERO_ITEM CSL_CITATION {"citationID":"CkmS5nsq","properties":{"formattedCitation":"(AIA Group Ltd., 2011a)","plainCitation":"(AIA Group Ltd., 2011a)","noteIndex":0},"citationItems":[{"id":489,"uris":["http://zotero.org/users/local/zH9ZQvD1/items/VSL8J2RZ"],"itemData":{"id":489,"type":"report","title":"AIA Group Limited 2010 Results Presentation","URL":"https://www.aia.com/content/dam/group-wise/en/docs/download-library/2010/2010fy-aia-analyst-presentation-eng.pdf.coredownload.inline.pdf","author":[{"family":"AIA Group Ltd.","given":""}],"issued":{"date-parts":[["2011"]]}}}],"schema":"https://github.com/citation-style-language/schema/raw/master/csl-citation.json"} </w:instrText>
      </w:r>
      <w:r w:rsidR="00E3749B">
        <w:fldChar w:fldCharType="separate"/>
      </w:r>
      <w:r w:rsidR="00E3749B" w:rsidRPr="00E3749B">
        <w:rPr>
          <w:rFonts w:ascii="Aptos" w:hAnsi="Aptos"/>
        </w:rPr>
        <w:t>(AIA Group Ltd., 2011a)</w:t>
      </w:r>
      <w:r w:rsidR="00E3749B">
        <w:fldChar w:fldCharType="end"/>
      </w:r>
      <w:r w:rsidR="008B2E49">
        <w:t xml:space="preserve">. </w:t>
      </w:r>
      <w:r w:rsidR="003E2D2A">
        <w:t>AIA</w:t>
      </w:r>
      <w:r w:rsidR="008362DA">
        <w:t>’s scorecard was simple yet effective</w:t>
      </w:r>
      <w:r w:rsidR="002F68DB">
        <w:t xml:space="preserve">: 85% of the scores weighting go to </w:t>
      </w:r>
      <w:r w:rsidR="00F27FCE">
        <w:t xml:space="preserve">financial metrics, i.e., </w:t>
      </w:r>
      <w:r w:rsidR="002F68DB">
        <w:t>Value of New Business, Embedded Value, and IFRS Operating Profit</w:t>
      </w:r>
      <w:r w:rsidR="00F27FCE">
        <w:t xml:space="preserve">. The remaining 15% </w:t>
      </w:r>
      <w:r w:rsidR="000B39F3">
        <w:t xml:space="preserve">goes to non-financial metrics, focusing on country/function-specific KPIs. </w:t>
      </w:r>
      <w:r w:rsidR="002210B9">
        <w:t xml:space="preserve">Such KPIs </w:t>
      </w:r>
      <w:r w:rsidR="008F7ECD">
        <w:t xml:space="preserve">would include measurements on customers (e.g., in-force customer </w:t>
      </w:r>
      <w:r w:rsidR="00D4504F">
        <w:t xml:space="preserve">persistency </w:t>
      </w:r>
      <w:r w:rsidR="00BE6C82">
        <w:t>and customer experience</w:t>
      </w:r>
      <w:r w:rsidR="008F7ECD">
        <w:t>), distr</w:t>
      </w:r>
      <w:r w:rsidR="00BE6C82">
        <w:t xml:space="preserve">ibution (e.g., distribution scale and quality), and product (e.g., mix and margin) </w:t>
      </w:r>
      <w:r w:rsidR="00D4504F">
        <w:fldChar w:fldCharType="begin"/>
      </w:r>
      <w:r w:rsidR="00D4504F">
        <w:instrText xml:space="preserve"> ADDIN ZOTERO_ITEM CSL_CITATION {"citationID":"3v097vBs","properties":{"formattedCitation":"(AIA Group Ltd., 2011a)","plainCitation":"(AIA Group Ltd., 2011a)","noteIndex":0},"citationItems":[{"id":489,"uris":["http://zotero.org/users/local/zH9ZQvD1/items/VSL8J2RZ"],"itemData":{"id":489,"type":"report","title":"AIA Group Limited 2010 Results Presentation","URL":"https://www.aia.com/content/dam/group-wise/en/docs/download-library/2010/2010fy-aia-analyst-presentation-eng.pdf.coredownload.inline.pdf","author":[{"family":"AIA Group Ltd.","given":""}],"issued":{"date-parts":[["2011"]]}}}],"schema":"https://github.com/citation-style-language/schema/raw/master/csl-citation.json"} </w:instrText>
      </w:r>
      <w:r w:rsidR="00D4504F">
        <w:fldChar w:fldCharType="separate"/>
      </w:r>
      <w:r w:rsidR="00D4504F" w:rsidRPr="00D4504F">
        <w:rPr>
          <w:rFonts w:ascii="Aptos" w:hAnsi="Aptos"/>
        </w:rPr>
        <w:t>(AIA Group Ltd., 2011a)</w:t>
      </w:r>
      <w:r w:rsidR="00D4504F">
        <w:fldChar w:fldCharType="end"/>
      </w:r>
      <w:r w:rsidR="00BE6C82">
        <w:t>.</w:t>
      </w:r>
      <w:r w:rsidR="00CC5784">
        <w:t xml:space="preserve"> AIA’s holistic approach on performance management, balancing both financial and non-financial KPIs</w:t>
      </w:r>
      <w:r w:rsidR="003F32D3">
        <w:t>, is strongly aligned with the balanced scorecard approach.</w:t>
      </w:r>
    </w:p>
    <w:p w14:paraId="66AF4776" w14:textId="77777777" w:rsidR="00DE7883" w:rsidRDefault="00DE7883" w:rsidP="0061119E">
      <w:pPr>
        <w:spacing w:line="360" w:lineRule="auto"/>
      </w:pPr>
    </w:p>
    <w:p w14:paraId="0A7D0F5E" w14:textId="55401B26" w:rsidR="004C14BA" w:rsidRDefault="004C14BA" w:rsidP="0061119E">
      <w:pPr>
        <w:pStyle w:val="Heading3"/>
        <w:spacing w:line="360" w:lineRule="auto"/>
      </w:pPr>
      <w:bookmarkStart w:id="35" w:name="_Toc184573507"/>
      <w:r>
        <w:t>Summary on h</w:t>
      </w:r>
      <w:r>
        <w:t>ead</w:t>
      </w:r>
      <w:r>
        <w:t xml:space="preserve"> domain</w:t>
      </w:r>
      <w:bookmarkEnd w:id="35"/>
    </w:p>
    <w:p w14:paraId="21F1E812" w14:textId="5549ABD7" w:rsidR="004C14BA" w:rsidRDefault="00692B18" w:rsidP="0061119E">
      <w:pPr>
        <w:spacing w:line="360" w:lineRule="auto"/>
      </w:pPr>
      <w:r>
        <w:t xml:space="preserve">Tucker’s approach to the head domain </w:t>
      </w:r>
      <w:r w:rsidR="00C54BD4">
        <w:t xml:space="preserve">is strongly aligned </w:t>
      </w:r>
      <w:r w:rsidR="001D3DAA">
        <w:t xml:space="preserve">with the resource-based view and balance scorecard theories. </w:t>
      </w:r>
      <w:r w:rsidR="00C50F10">
        <w:t>Guided by a clear strategic vision</w:t>
      </w:r>
      <w:r w:rsidR="00C54BD4">
        <w:t xml:space="preserve"> and </w:t>
      </w:r>
      <w:r w:rsidR="00A42AC8">
        <w:t>managed diligently via a comprehensive set of KPIs</w:t>
      </w:r>
      <w:r w:rsidR="00C50F10">
        <w:t xml:space="preserve">, </w:t>
      </w:r>
      <w:r w:rsidR="00710C64">
        <w:t>AIA’s</w:t>
      </w:r>
      <w:r w:rsidR="00C50F10">
        <w:t xml:space="preserve"> ability to reorganize</w:t>
      </w:r>
      <w:r w:rsidR="00710C64">
        <w:t xml:space="preserve"> its structure</w:t>
      </w:r>
      <w:r w:rsidR="00C50F10">
        <w:t xml:space="preserve"> </w:t>
      </w:r>
      <w:r w:rsidR="005A6F4D">
        <w:t xml:space="preserve">and leverage its internal strengths to derive sustainable competitive advantages </w:t>
      </w:r>
      <w:r w:rsidR="00C438A7">
        <w:t>played a key role in the successful market expansions across Asia-pacific.</w:t>
      </w:r>
    </w:p>
    <w:p w14:paraId="726DC4A4" w14:textId="77777777" w:rsidR="00401882" w:rsidRDefault="00401882" w:rsidP="0061119E">
      <w:pPr>
        <w:spacing w:line="360" w:lineRule="auto"/>
      </w:pPr>
    </w:p>
    <w:p w14:paraId="66E1724F" w14:textId="504601A5" w:rsidR="00401882" w:rsidRDefault="00401882" w:rsidP="0061119E">
      <w:pPr>
        <w:pStyle w:val="Heading2"/>
        <w:spacing w:line="360" w:lineRule="auto"/>
      </w:pPr>
      <w:bookmarkStart w:id="36" w:name="_Toc184573508"/>
      <w:r>
        <w:t>Hand (H3)</w:t>
      </w:r>
      <w:r w:rsidR="001A6ACF">
        <w:t xml:space="preserve"> domain analysis</w:t>
      </w:r>
      <w:bookmarkEnd w:id="36"/>
    </w:p>
    <w:p w14:paraId="3B65397A" w14:textId="15293947" w:rsidR="009D33EB" w:rsidRDefault="00721CB2" w:rsidP="0061119E">
      <w:pPr>
        <w:spacing w:line="360" w:lineRule="auto"/>
      </w:pPr>
      <w:r>
        <w:t>The h</w:t>
      </w:r>
      <w:r w:rsidR="0023680B">
        <w:t xml:space="preserve">and domain analysis of AIA provided strong support </w:t>
      </w:r>
      <w:r w:rsidR="00A251B8">
        <w:t xml:space="preserve">for </w:t>
      </w:r>
      <w:r w:rsidR="0010487F">
        <w:t xml:space="preserve">competency development organization-wide </w:t>
      </w:r>
      <w:r w:rsidR="003718E4">
        <w:t xml:space="preserve">and a commitment to drive a learning organization culture. </w:t>
      </w:r>
      <w:r w:rsidR="006F3369">
        <w:t xml:space="preserve">These characteristics are aligned with </w:t>
      </w:r>
      <w:r w:rsidR="0088633F">
        <w:t xml:space="preserve">the competence-based approach and learning organization </w:t>
      </w:r>
      <w:r w:rsidR="00F670FF">
        <w:t>theories and</w:t>
      </w:r>
      <w:r w:rsidR="0088633F">
        <w:t xml:space="preserve"> </w:t>
      </w:r>
      <w:r w:rsidR="00F670FF">
        <w:t>fit into the hand domain of the 3H framework.</w:t>
      </w:r>
    </w:p>
    <w:p w14:paraId="0A1772BB" w14:textId="77777777" w:rsidR="00F670FF" w:rsidRDefault="00F670FF" w:rsidP="0061119E">
      <w:pPr>
        <w:pStyle w:val="Heading3"/>
        <w:spacing w:line="360" w:lineRule="auto"/>
      </w:pPr>
    </w:p>
    <w:p w14:paraId="52A60182" w14:textId="7C5B99AA" w:rsidR="001B5E7E" w:rsidRDefault="00163D43" w:rsidP="0061119E">
      <w:pPr>
        <w:pStyle w:val="Heading3"/>
        <w:spacing w:line="360" w:lineRule="auto"/>
      </w:pPr>
      <w:bookmarkStart w:id="37" w:name="_Toc184573509"/>
      <w:r>
        <w:t>Competenc</w:t>
      </w:r>
      <w:r w:rsidR="003D3959">
        <w:t>y</w:t>
      </w:r>
      <w:r>
        <w:t xml:space="preserve"> development</w:t>
      </w:r>
      <w:bookmarkEnd w:id="37"/>
    </w:p>
    <w:p w14:paraId="7DC66F12" w14:textId="77777777" w:rsidR="001A4CB3" w:rsidRDefault="008C1D1C" w:rsidP="0061119E">
      <w:pPr>
        <w:spacing w:line="360" w:lineRule="auto"/>
      </w:pPr>
      <w:r>
        <w:t>AIA demonstrated a clear commitment to the competence-based approach</w:t>
      </w:r>
      <w:r w:rsidR="00001AC4">
        <w:t>, investing significantly in training programs for its employees and front-</w:t>
      </w:r>
      <w:r w:rsidR="001124D3">
        <w:t xml:space="preserve">line agents. </w:t>
      </w:r>
      <w:r w:rsidR="00230DFF">
        <w:t xml:space="preserve">The </w:t>
      </w:r>
      <w:r w:rsidR="00CE69F5">
        <w:t>P</w:t>
      </w:r>
      <w:r w:rsidR="00230DFF">
        <w:t xml:space="preserve">remier </w:t>
      </w:r>
      <w:r w:rsidR="00CE69F5">
        <w:t>A</w:t>
      </w:r>
      <w:r w:rsidR="00440709">
        <w:t xml:space="preserve">gency </w:t>
      </w:r>
      <w:r w:rsidR="002C7AC2">
        <w:t>strategy</w:t>
      </w:r>
      <w:r w:rsidR="00440709">
        <w:t>, launched in 2011</w:t>
      </w:r>
      <w:r w:rsidR="00427BB4">
        <w:t xml:space="preserve"> across all markets, focused on </w:t>
      </w:r>
      <w:r w:rsidR="008273D5">
        <w:t xml:space="preserve">uplifting </w:t>
      </w:r>
      <w:r w:rsidR="00CC4C8B">
        <w:t xml:space="preserve">recruitment skills, </w:t>
      </w:r>
      <w:r w:rsidR="008273D5">
        <w:t xml:space="preserve">professionalism and productivity of agents. As a result, AIA achieved </w:t>
      </w:r>
      <w:r w:rsidR="00C53394">
        <w:t xml:space="preserve">the </w:t>
      </w:r>
      <w:r w:rsidR="004E7CCC">
        <w:t xml:space="preserve">world </w:t>
      </w:r>
      <w:r w:rsidR="00C53394">
        <w:t xml:space="preserve">#1 status </w:t>
      </w:r>
      <w:r w:rsidR="004E7CCC">
        <w:t xml:space="preserve">of </w:t>
      </w:r>
      <w:r w:rsidR="00C53394">
        <w:t xml:space="preserve">having the highest number of MDRTs </w:t>
      </w:r>
      <w:r w:rsidR="004E7CCC">
        <w:t xml:space="preserve">since 2015 </w:t>
      </w:r>
      <w:r w:rsidR="00A863B2">
        <w:fldChar w:fldCharType="begin"/>
      </w:r>
      <w:r w:rsidR="00A863B2">
        <w:instrText xml:space="preserve"> ADDIN ZOTERO_ITEM CSL_CITATION {"citationID":"OAdkcqUr","properties":{"formattedCitation":"(AIA Group Ltd., 2011b, 2016)","plainCitation":"(AIA Group Ltd., 2011b, 2016)","noteIndex":0},"citationItems":[{"id":490,"uris":["http://zotero.org/users/local/zH9ZQvD1/items/3DXQRM8T"],"itemData":{"id":490,"type":"report","title":"AIA Group Limited Annual Report 2010","URL":"https://www.aia.com/content/dam/group-wise/en/docs/annual-report/aia-annual-report-2010-eng.pdf.coredownload.inline.pdf","author":[{"family":"AIA Group Ltd.","given":""}],"issued":{"date-parts":[["2011"]]}}},{"id":505,"uris":["http://zotero.org/users/local/zH9ZQvD1/items/89DPZLLE"],"itemData":{"id":505,"type":"report","title":"AIA Group Limited Annual Report 2015","URL":"https://www.aia.com/content/dam/group/en/docs/annual-report/aia-annual-report-2015-eng.pdf.coredownload.inline.pdf","author":[{"family":"AIA Group Ltd.","given":""}],"issued":{"date-parts":[["2016"]]}}}],"schema":"https://github.com/citation-style-language/schema/raw/master/csl-citation.json"} </w:instrText>
      </w:r>
      <w:r w:rsidR="00A863B2">
        <w:fldChar w:fldCharType="separate"/>
      </w:r>
      <w:r w:rsidR="00A863B2" w:rsidRPr="00A863B2">
        <w:rPr>
          <w:rFonts w:ascii="Aptos" w:hAnsi="Aptos"/>
        </w:rPr>
        <w:t>(AIA Group Ltd., 2011b, 2016)</w:t>
      </w:r>
      <w:r w:rsidR="00A863B2">
        <w:fldChar w:fldCharType="end"/>
      </w:r>
      <w:r w:rsidR="00A863B2">
        <w:t>.</w:t>
      </w:r>
    </w:p>
    <w:p w14:paraId="47188F76" w14:textId="6C8D24B7" w:rsidR="0040245C" w:rsidRDefault="0040245C" w:rsidP="0061119E">
      <w:pPr>
        <w:spacing w:line="360" w:lineRule="auto"/>
      </w:pPr>
      <w:r>
        <w:t xml:space="preserve">For employees, a wide range of training programs are available for employees. </w:t>
      </w:r>
      <w:r w:rsidR="00FA244F">
        <w:t xml:space="preserve">To strengthen the middle-to-senior managers, AIA launched “AIA Manager Programme” and “AIA </w:t>
      </w:r>
      <w:r w:rsidR="00B12F72">
        <w:t xml:space="preserve">Manager as Coach Programme” to ensure that managers’ leadership styles are aligned with AIA’s long-term </w:t>
      </w:r>
      <w:r w:rsidR="00665DF7">
        <w:t>goals</w:t>
      </w:r>
      <w:r w:rsidR="0012132C">
        <w:t xml:space="preserve"> </w:t>
      </w:r>
      <w:r w:rsidR="0012132C">
        <w:fldChar w:fldCharType="begin"/>
      </w:r>
      <w:r w:rsidR="0012132C">
        <w:instrText xml:space="preserve"> ADDIN ZOTERO_ITEM CSL_CITATION {"citationID":"Fetso2xw","properties":{"formattedCitation":"(AIA Group Ltd., 2013)","plainCitation":"(AIA Group Ltd., 2013)","noteIndex":0},"citationItems":[{"id":499,"uris":["http://zotero.org/users/local/zH9ZQvD1/items/YIA8GSGU"],"itemData":{"id":499,"type":"report","title":"AIA Group Limited Annual Report 2012","URL":"https://www.aia.com/content/dam/group-wise/en/docs/annual-report/aia-annual-report-2012-eng.pdf.coredownload.inline.pdf","author":[{"family":"AIA Group Ltd.","given":""}],"issued":{"date-parts":[["2013"]]}}}],"schema":"https://github.com/citation-style-language/schema/raw/master/csl-citation.json"} </w:instrText>
      </w:r>
      <w:r w:rsidR="0012132C">
        <w:fldChar w:fldCharType="separate"/>
      </w:r>
      <w:r w:rsidR="0012132C" w:rsidRPr="0012132C">
        <w:rPr>
          <w:rFonts w:ascii="Aptos" w:hAnsi="Aptos"/>
        </w:rPr>
        <w:t>(AIA Group Ltd., 2013)</w:t>
      </w:r>
      <w:r w:rsidR="0012132C">
        <w:fldChar w:fldCharType="end"/>
      </w:r>
      <w:r w:rsidR="002C74DF">
        <w:t xml:space="preserve">. </w:t>
      </w:r>
      <w:r w:rsidR="00B800A5">
        <w:t xml:space="preserve">To develop competency </w:t>
      </w:r>
      <w:r w:rsidR="00703C49">
        <w:t xml:space="preserve">applicable across different markets and functions, AIA invested heavily in </w:t>
      </w:r>
      <w:r w:rsidR="00094D58">
        <w:t xml:space="preserve">job rotation programs. </w:t>
      </w:r>
      <w:r w:rsidR="00AD431C">
        <w:t xml:space="preserve">In 2013, </w:t>
      </w:r>
      <w:r w:rsidR="004169CC">
        <w:t xml:space="preserve">more than 290 roles were transferred allowing employees to gain valuable experience in different geographies and teams. </w:t>
      </w:r>
      <w:r w:rsidR="00F32BAC">
        <w:t xml:space="preserve">The number of roles transferred exceeded 700 by 2014, </w:t>
      </w:r>
      <w:r w:rsidR="00AC0DD9">
        <w:t xml:space="preserve">demonstrating </w:t>
      </w:r>
      <w:r w:rsidR="0038618B">
        <w:t xml:space="preserve">AIA’s strong commitment to competency development </w:t>
      </w:r>
      <w:r w:rsidR="0038618B">
        <w:fldChar w:fldCharType="begin"/>
      </w:r>
      <w:r w:rsidR="0038618B">
        <w:instrText xml:space="preserve"> ADDIN ZOTERO_ITEM CSL_CITATION {"citationID":"r8WcotLw","properties":{"formattedCitation":"(AIA Group Ltd., 2014, 2015)","plainCitation":"(AIA Group Ltd., 2014, 2015)","noteIndex":0},"citationItems":[{"id":501,"uris":["http://zotero.org/users/local/zH9ZQvD1/items/XN7ZQUIF"],"itemData":{"id":501,"type":"report","title":"AIA Group Limited Annual Report 2013","URL":"https://www.aia.com/content/dam/group-wise/en/docs/annual-report/aia-annual-report-2013-eng.pdf.coredownload.inline.pdf","author":[{"family":"AIA Group Ltd.","given":""}],"issued":{"date-parts":[["2014"]]}}},{"id":503,"uris":["http://zotero.org/users/local/zH9ZQvD1/items/ZD82VNV9"],"itemData":{"id":503,"type":"report","title":"AIA Group Limited Annual Report 2014","URL":"https://www.aia.com/content/dam/group-wise/en/docs/annual-report/aia-annual-report-2014-eng.pdf.coredownload.inline.pdf","author":[{"family":"AIA Group Ltd.","given":""}],"issued":{"date-parts":[["2015"]]}}}],"schema":"https://github.com/citation-style-language/schema/raw/master/csl-citation.json"} </w:instrText>
      </w:r>
      <w:r w:rsidR="0038618B">
        <w:fldChar w:fldCharType="separate"/>
      </w:r>
      <w:r w:rsidR="0038618B" w:rsidRPr="0038618B">
        <w:rPr>
          <w:rFonts w:ascii="Aptos" w:hAnsi="Aptos"/>
        </w:rPr>
        <w:t>(AIA Group Ltd., 2014, 2015)</w:t>
      </w:r>
      <w:r w:rsidR="0038618B">
        <w:fldChar w:fldCharType="end"/>
      </w:r>
      <w:r w:rsidR="0038618B">
        <w:t>.</w:t>
      </w:r>
    </w:p>
    <w:p w14:paraId="2A5E9EAA" w14:textId="42C22743" w:rsidR="00115C19" w:rsidRDefault="009C644C" w:rsidP="0061119E">
      <w:pPr>
        <w:spacing w:line="360" w:lineRule="auto"/>
      </w:pPr>
      <w:r>
        <w:lastRenderedPageBreak/>
        <w:t xml:space="preserve"> </w:t>
      </w:r>
    </w:p>
    <w:p w14:paraId="027F3B68" w14:textId="2931AE23" w:rsidR="001B5E7E" w:rsidRDefault="003D3959" w:rsidP="0061119E">
      <w:pPr>
        <w:pStyle w:val="Heading3"/>
        <w:spacing w:line="360" w:lineRule="auto"/>
      </w:pPr>
      <w:bookmarkStart w:id="38" w:name="_Toc184573510"/>
      <w:r>
        <w:t>Being a learning organisation</w:t>
      </w:r>
      <w:bookmarkEnd w:id="38"/>
    </w:p>
    <w:p w14:paraId="6616BCAD" w14:textId="4D03231C" w:rsidR="001B5E7E" w:rsidRDefault="007E66BE" w:rsidP="0061119E">
      <w:pPr>
        <w:spacing w:line="360" w:lineRule="auto"/>
      </w:pPr>
      <w:r>
        <w:t xml:space="preserve">AIA is an organisation that encourages employees to </w:t>
      </w:r>
      <w:r w:rsidR="007E6C25">
        <w:t>strive for improvements</w:t>
      </w:r>
      <w:r>
        <w:t xml:space="preserve"> and have provided the necessary support to facilitate t</w:t>
      </w:r>
      <w:r w:rsidR="00CA6CDD">
        <w:t xml:space="preserve">his. </w:t>
      </w:r>
      <w:r w:rsidR="00990CF9">
        <w:t xml:space="preserve">In 2010, </w:t>
      </w:r>
      <w:r w:rsidR="00CD466E">
        <w:t>2,000 internal training sessions were conducted</w:t>
      </w:r>
      <w:r w:rsidR="00B53BA4">
        <w:t xml:space="preserve"> covering more than 218,000 training hours for over 48,000 employees</w:t>
      </w:r>
      <w:r w:rsidR="002251F3">
        <w:t xml:space="preserve"> </w:t>
      </w:r>
      <w:r w:rsidR="002251F3">
        <w:fldChar w:fldCharType="begin"/>
      </w:r>
      <w:r w:rsidR="002251F3">
        <w:instrText xml:space="preserve"> ADDIN ZOTERO_ITEM CSL_CITATION {"citationID":"asTf9kGJ","properties":{"formattedCitation":"(AIA Group Ltd., 2011b)","plainCitation":"(AIA Group Ltd., 2011b)","noteIndex":0},"citationItems":[{"id":490,"uris":["http://zotero.org/users/local/zH9ZQvD1/items/3DXQRM8T"],"itemData":{"id":490,"type":"report","title":"AIA Group Limited Annual Report 2010","URL":"https://www.aia.com/content/dam/group-wise/en/docs/annual-report/aia-annual-report-2010-eng.pdf.coredownload.inline.pdf","author":[{"family":"AIA Group Ltd.","given":""}],"issued":{"date-parts":[["2011"]]}}}],"schema":"https://github.com/citation-style-language/schema/raw/master/csl-citation.json"} </w:instrText>
      </w:r>
      <w:r w:rsidR="002251F3">
        <w:fldChar w:fldCharType="separate"/>
      </w:r>
      <w:r w:rsidR="002251F3" w:rsidRPr="002251F3">
        <w:rPr>
          <w:rFonts w:ascii="Aptos" w:hAnsi="Aptos"/>
        </w:rPr>
        <w:t>(AIA Group Ltd., 2011b)</w:t>
      </w:r>
      <w:r w:rsidR="002251F3">
        <w:fldChar w:fldCharType="end"/>
      </w:r>
      <w:r w:rsidR="00B53BA4">
        <w:t xml:space="preserve">. </w:t>
      </w:r>
      <w:r w:rsidR="002251F3">
        <w:t>In the following years, AIA continued to</w:t>
      </w:r>
      <w:r w:rsidR="00472A13">
        <w:t xml:space="preserve"> invest in learning by revamping training courses (e.g., “The AIA Manager III” program), </w:t>
      </w:r>
      <w:r w:rsidR="00AF37AB">
        <w:t>offering online training modules</w:t>
      </w:r>
      <w:r w:rsidR="00467FD2">
        <w:t>, and organizing leadership conferences</w:t>
      </w:r>
      <w:r w:rsidR="00B45F23">
        <w:t>.</w:t>
      </w:r>
      <w:r w:rsidR="004F124C">
        <w:t xml:space="preserve"> In 2016, AIA officially launched its AIA Leadership Centre in Bangkok, a</w:t>
      </w:r>
      <w:r w:rsidR="00A9150C">
        <w:t xml:space="preserve"> market-leading training centre with state-of-the-art learning spaces, </w:t>
      </w:r>
      <w:r w:rsidR="00C0151E">
        <w:t>designed to foster a growth-focused, professional,</w:t>
      </w:r>
      <w:r w:rsidR="004D27A5">
        <w:t xml:space="preserve"> and </w:t>
      </w:r>
      <w:r w:rsidR="00C0151E">
        <w:t xml:space="preserve">learning culture </w:t>
      </w:r>
      <w:r w:rsidR="00C0151E">
        <w:fldChar w:fldCharType="begin"/>
      </w:r>
      <w:r w:rsidR="00C0151E">
        <w:instrText xml:space="preserve"> ADDIN ZOTERO_ITEM CSL_CITATION {"citationID":"rwQq7mz2","properties":{"formattedCitation":"(AIA Group Ltd., 2016)","plainCitation":"(AIA Group Ltd., 2016)","noteIndex":0},"citationItems":[{"id":505,"uris":["http://zotero.org/users/local/zH9ZQvD1/items/89DPZLLE"],"itemData":{"id":505,"type":"report","title":"AIA Group Limited Annual Report 2015","URL":"https://www.aia.com/content/dam/group/en/docs/annual-report/aia-annual-report-2015-eng.pdf.coredownload.inline.pdf","author":[{"family":"AIA Group Ltd.","given":""}],"issued":{"date-parts":[["2016"]]}}}],"schema":"https://github.com/citation-style-language/schema/raw/master/csl-citation.json"} </w:instrText>
      </w:r>
      <w:r w:rsidR="00C0151E">
        <w:fldChar w:fldCharType="separate"/>
      </w:r>
      <w:r w:rsidR="00C0151E" w:rsidRPr="00467FD2">
        <w:rPr>
          <w:rFonts w:ascii="Aptos" w:hAnsi="Aptos"/>
        </w:rPr>
        <w:t>(AIA Group Ltd., 2016)</w:t>
      </w:r>
      <w:r w:rsidR="00C0151E">
        <w:fldChar w:fldCharType="end"/>
      </w:r>
      <w:r w:rsidR="00C0151E">
        <w:t>.</w:t>
      </w:r>
      <w:r w:rsidR="00357EB9">
        <w:t xml:space="preserve"> </w:t>
      </w:r>
      <w:r w:rsidR="002C56C8">
        <w:t xml:space="preserve">Continuously updating and improving the workforces’ capabilities is key to </w:t>
      </w:r>
      <w:r w:rsidR="00272E4F">
        <w:t>the organisation’s success, and AIA’s approach to employee development is aligned with the learning organisation theory.</w:t>
      </w:r>
    </w:p>
    <w:p w14:paraId="32AC5B94" w14:textId="77777777" w:rsidR="001B5E7E" w:rsidRDefault="001B5E7E" w:rsidP="0061119E">
      <w:pPr>
        <w:spacing w:line="360" w:lineRule="auto"/>
      </w:pPr>
    </w:p>
    <w:p w14:paraId="59DA37F0" w14:textId="518767CD" w:rsidR="001B5E7E" w:rsidRDefault="001B5E7E" w:rsidP="0061119E">
      <w:pPr>
        <w:pStyle w:val="Heading3"/>
        <w:spacing w:line="360" w:lineRule="auto"/>
      </w:pPr>
      <w:bookmarkStart w:id="39" w:name="_Toc184573511"/>
      <w:r>
        <w:t xml:space="preserve">Summary on </w:t>
      </w:r>
      <w:r>
        <w:t xml:space="preserve">hand </w:t>
      </w:r>
      <w:r>
        <w:t>domain</w:t>
      </w:r>
      <w:bookmarkEnd w:id="39"/>
    </w:p>
    <w:p w14:paraId="57D35F4A" w14:textId="276A6F60" w:rsidR="00633064" w:rsidRDefault="003D3D4F" w:rsidP="0061119E">
      <w:pPr>
        <w:spacing w:line="360" w:lineRule="auto"/>
      </w:pPr>
      <w:r>
        <w:t xml:space="preserve">AIA’s focus on developing its agency force via the Premier Agency model, </w:t>
      </w:r>
      <w:r w:rsidR="00AE6DCB">
        <w:t xml:space="preserve">investing significantly in employee training programs, </w:t>
      </w:r>
      <w:r w:rsidR="00DD4E39">
        <w:t xml:space="preserve">and </w:t>
      </w:r>
      <w:r w:rsidR="00AE6DCB">
        <w:t>launching the AIA Leadership Centre in Bangkok</w:t>
      </w:r>
      <w:r w:rsidR="001E33AB">
        <w:t xml:space="preserve"> enabled AIA to develop a high-performing team that continue</w:t>
      </w:r>
      <w:r w:rsidR="00071809">
        <w:t>d</w:t>
      </w:r>
      <w:r w:rsidR="001E33AB">
        <w:t xml:space="preserve"> to improve. </w:t>
      </w:r>
      <w:r w:rsidR="00071809">
        <w:t xml:space="preserve">These efforts </w:t>
      </w:r>
      <w:r w:rsidR="00D14ED1">
        <w:t xml:space="preserve">in the hand domain </w:t>
      </w:r>
      <w:r w:rsidR="00071809">
        <w:t xml:space="preserve">align with the competence-based </w:t>
      </w:r>
      <w:r w:rsidR="00DF1357">
        <w:t xml:space="preserve">approach and learning organisation </w:t>
      </w:r>
      <w:r w:rsidR="00D14ED1">
        <w:t>theories and</w:t>
      </w:r>
      <w:r w:rsidR="00DF1357">
        <w:t xml:space="preserve"> would have contributed to AIA’s success </w:t>
      </w:r>
      <w:r w:rsidR="00AF1B65">
        <w:t>between the period 2010-2017.</w:t>
      </w:r>
    </w:p>
    <w:p w14:paraId="36FAA9CE" w14:textId="77777777" w:rsidR="009B5928" w:rsidRDefault="009B5928" w:rsidP="0061119E">
      <w:pPr>
        <w:spacing w:line="360" w:lineRule="auto"/>
      </w:pPr>
    </w:p>
    <w:p w14:paraId="6A3C0DE3" w14:textId="72DBAEF1" w:rsidR="001A6ACF" w:rsidRPr="00E30F41" w:rsidRDefault="001A6ACF" w:rsidP="0061119E">
      <w:pPr>
        <w:pStyle w:val="Heading2"/>
        <w:spacing w:line="360" w:lineRule="auto"/>
      </w:pPr>
      <w:bookmarkStart w:id="40" w:name="_Toc184573512"/>
      <w:r w:rsidRPr="00E30F41">
        <w:t>Integration of 3H domains at AIA Group</w:t>
      </w:r>
      <w:bookmarkEnd w:id="40"/>
    </w:p>
    <w:p w14:paraId="760FD8D8" w14:textId="3568AC68" w:rsidR="00F71A04" w:rsidRPr="00E30F41" w:rsidRDefault="00E540A3" w:rsidP="0061119E">
      <w:pPr>
        <w:spacing w:line="360" w:lineRule="auto"/>
      </w:pPr>
      <w:r w:rsidRPr="00E30F41">
        <w:t xml:space="preserve">AIA’s success from 2010 to 2017 can be attributed to </w:t>
      </w:r>
      <w:r w:rsidR="008F3888" w:rsidRPr="00E30F41">
        <w:t xml:space="preserve">the effective integration </w:t>
      </w:r>
      <w:r w:rsidR="00E23F3C" w:rsidRPr="00E30F41">
        <w:t xml:space="preserve">of </w:t>
      </w:r>
      <w:r w:rsidR="00EE0322" w:rsidRPr="00E30F41">
        <w:t>the Heart (H1), Head (H2), and Hand (H3) domains</w:t>
      </w:r>
      <w:r w:rsidR="00654DAA" w:rsidRPr="00E30F41">
        <w:t xml:space="preserve"> of Yu’s </w:t>
      </w:r>
      <w:r w:rsidR="00930CC2" w:rsidRPr="00E30F41">
        <w:t>holistic management framework.</w:t>
      </w:r>
      <w:r w:rsidR="00540080">
        <w:t xml:space="preserve"> </w:t>
      </w:r>
      <w:r w:rsidR="007366AB">
        <w:t>For</w:t>
      </w:r>
      <w:r w:rsidR="00C85FAF">
        <w:t xml:space="preserve"> the heart domain</w:t>
      </w:r>
      <w:r w:rsidR="007366AB">
        <w:t xml:space="preserve">, </w:t>
      </w:r>
      <w:r w:rsidR="002D7872">
        <w:t xml:space="preserve">AIA demonstrated strong transformational leadership characteristics </w:t>
      </w:r>
      <w:r w:rsidR="00247E33">
        <w:t>under the leadership of Mark Tucker</w:t>
      </w:r>
      <w:r w:rsidR="00F56EAA">
        <w:t xml:space="preserve">. The leadership team guided the </w:t>
      </w:r>
      <w:r w:rsidR="00C76ACF">
        <w:t xml:space="preserve">organization towards a clear </w:t>
      </w:r>
      <w:r w:rsidR="00C85FAF">
        <w:t>vision and</w:t>
      </w:r>
      <w:r w:rsidR="00C76ACF">
        <w:t xml:space="preserve"> </w:t>
      </w:r>
      <w:r w:rsidR="00C85FAF">
        <w:t>put in place</w:t>
      </w:r>
      <w:r w:rsidR="00C76ACF">
        <w:t xml:space="preserve"> the right operating philosophy and principles that </w:t>
      </w:r>
      <w:r w:rsidR="00C85FAF">
        <w:t xml:space="preserve">led to strong employee engagement. For the </w:t>
      </w:r>
      <w:r w:rsidR="00A45FF0">
        <w:t xml:space="preserve">head </w:t>
      </w:r>
      <w:r w:rsidR="00C85FAF">
        <w:t xml:space="preserve">domain, </w:t>
      </w:r>
      <w:r w:rsidR="008C1769">
        <w:t>AIA optimized its internal resources and organizational structure</w:t>
      </w:r>
      <w:r w:rsidR="00411F67">
        <w:t xml:space="preserve"> and successfully expanded in the Asia-Pacific region. </w:t>
      </w:r>
      <w:r w:rsidR="009B74C9">
        <w:t xml:space="preserve">The </w:t>
      </w:r>
      <w:r w:rsidR="007B226C">
        <w:t xml:space="preserve">simple yet comprehensive performance management system implemented allowed AIA to effectively drive a </w:t>
      </w:r>
      <w:r w:rsidR="007B226C">
        <w:lastRenderedPageBreak/>
        <w:t xml:space="preserve">performance-focused culture. </w:t>
      </w:r>
      <w:r w:rsidR="00A45FF0">
        <w:t>Lastly, for the hand domain, AIA invested significantly into capability building and on-going training for its employees and distributors</w:t>
      </w:r>
      <w:r w:rsidR="00E4562C">
        <w:t xml:space="preserve">, </w:t>
      </w:r>
      <w:r w:rsidR="00F932AA">
        <w:t xml:space="preserve">and </w:t>
      </w:r>
      <w:r w:rsidR="00E4562C">
        <w:t xml:space="preserve">successfully </w:t>
      </w:r>
      <w:r w:rsidR="00F932AA">
        <w:t xml:space="preserve">built </w:t>
      </w:r>
      <w:r w:rsidR="00E4562C">
        <w:t>a high-performance team that was difficult to be replicated by its competitors.</w:t>
      </w:r>
    </w:p>
    <w:p w14:paraId="41AF8B21" w14:textId="77777777" w:rsidR="00F71A04" w:rsidRPr="003D6B47" w:rsidRDefault="00F71A04" w:rsidP="0061119E">
      <w:pPr>
        <w:spacing w:line="360" w:lineRule="auto"/>
        <w:rPr>
          <w:highlight w:val="yellow"/>
        </w:rPr>
      </w:pPr>
    </w:p>
    <w:p w14:paraId="46D0B28C" w14:textId="09F94C3F" w:rsidR="005B0A25" w:rsidRPr="002764F4" w:rsidRDefault="00CD2F3B" w:rsidP="0061119E">
      <w:pPr>
        <w:pStyle w:val="Heading3"/>
        <w:spacing w:line="360" w:lineRule="auto"/>
      </w:pPr>
      <w:bookmarkStart w:id="41" w:name="_Toc184573513"/>
      <w:r>
        <w:t>Exceptional</w:t>
      </w:r>
      <w:r w:rsidR="006905E6">
        <w:t xml:space="preserve"> </w:t>
      </w:r>
      <w:r w:rsidR="008D3D1A">
        <w:t>results</w:t>
      </w:r>
      <w:bookmarkEnd w:id="41"/>
    </w:p>
    <w:p w14:paraId="54A9FF37" w14:textId="6568E0AB" w:rsidR="00B71592" w:rsidRDefault="00D5318E" w:rsidP="0061119E">
      <w:pPr>
        <w:spacing w:line="360" w:lineRule="auto"/>
      </w:pPr>
      <w:r>
        <w:t xml:space="preserve">The holistic </w:t>
      </w:r>
      <w:r w:rsidR="006950F5">
        <w:t xml:space="preserve">management </w:t>
      </w:r>
      <w:r>
        <w:t xml:space="preserve">approach by AIA has led to remarkable success </w:t>
      </w:r>
      <w:r w:rsidR="006950F5">
        <w:t>between 2010-2017.</w:t>
      </w:r>
      <w:r w:rsidR="00F05299">
        <w:t xml:space="preserve"> </w:t>
      </w:r>
      <w:r w:rsidR="00874C88">
        <w:t>The company was able to generate significant value for its shareholders</w:t>
      </w:r>
      <w:r w:rsidR="00FF6050">
        <w:t>. When comparing key financial metrics between 2010</w:t>
      </w:r>
      <w:r w:rsidR="0038463C">
        <w:t xml:space="preserve"> and </w:t>
      </w:r>
      <w:r w:rsidR="00FF6050">
        <w:t xml:space="preserve">2017 (see </w:t>
      </w:r>
      <w:r w:rsidR="0087633C">
        <w:t xml:space="preserve">figure 1), </w:t>
      </w:r>
      <w:r w:rsidR="00D673F2">
        <w:t>V</w:t>
      </w:r>
      <w:r w:rsidR="0087633C">
        <w:t>alue of New Business</w:t>
      </w:r>
      <w:r w:rsidR="00D673F2">
        <w:t xml:space="preserve"> </w:t>
      </w:r>
      <w:r w:rsidR="00FF6050">
        <w:t>grew by 5.3</w:t>
      </w:r>
      <w:r w:rsidR="0032348C">
        <w:t xml:space="preserve"> times</w:t>
      </w:r>
      <w:r w:rsidR="0087633C">
        <w:t>, Embedded Value Equity up 2.1</w:t>
      </w:r>
      <w:r w:rsidR="0032348C">
        <w:t xml:space="preserve"> times</w:t>
      </w:r>
      <w:r w:rsidR="0087633C">
        <w:t>, Operating Profits after tax up 2.4</w:t>
      </w:r>
      <w:r w:rsidR="0032348C">
        <w:t xml:space="preserve"> times</w:t>
      </w:r>
      <w:r w:rsidR="0087633C">
        <w:t xml:space="preserve">, and </w:t>
      </w:r>
      <w:r w:rsidR="00100CA1">
        <w:t xml:space="preserve">AIA managed to increase dividends </w:t>
      </w:r>
      <w:r w:rsidR="00D86ACE">
        <w:t xml:space="preserve">per share by over 3 times of the 2010 amount. </w:t>
      </w:r>
    </w:p>
    <w:p w14:paraId="4EB8380A" w14:textId="12FF5AA0" w:rsidR="00D86ACE" w:rsidRDefault="002B0E8B" w:rsidP="0061119E">
      <w:pPr>
        <w:spacing w:line="360" w:lineRule="auto"/>
      </w:pPr>
      <w:r>
        <w:t xml:space="preserve">In terms of the success in establishing a strong distribution force, AIA </w:t>
      </w:r>
      <w:r w:rsidR="00153452">
        <w:t xml:space="preserve">managed to build </w:t>
      </w:r>
      <w:r w:rsidR="001B16C6">
        <w:t xml:space="preserve">a world-class agency team </w:t>
      </w:r>
      <w:r w:rsidR="00B679BD">
        <w:t xml:space="preserve">by focusing on its Premier Agency strategy. </w:t>
      </w:r>
      <w:r w:rsidR="00AE0C59">
        <w:t xml:space="preserve">In 2017, AIA became the only </w:t>
      </w:r>
      <w:r w:rsidR="00E544FD">
        <w:t>company to be ranked #1 in the world for MDRT members for three consecutive years</w:t>
      </w:r>
      <w:r w:rsidR="001B16C6">
        <w:t>.</w:t>
      </w:r>
      <w:r w:rsidR="002569B1">
        <w:t xml:space="preserve"> </w:t>
      </w:r>
      <w:r w:rsidR="00E91589">
        <w:t xml:space="preserve">In addition, </w:t>
      </w:r>
      <w:r w:rsidR="00F149CD">
        <w:t xml:space="preserve">AIA’s success in expanding partnership distribution, which includes bank partners, direct partnerships and brokers, cannot be overlooked. </w:t>
      </w:r>
      <w:r w:rsidR="00DD6F6C">
        <w:t>In 2017, the partnership distribution channel generated over US$ 1 billion in VONB</w:t>
      </w:r>
      <w:r w:rsidR="00BE7923">
        <w:t xml:space="preserve">, which is </w:t>
      </w:r>
      <w:r w:rsidR="0030595A">
        <w:t xml:space="preserve">a remarkable achievement when compared </w:t>
      </w:r>
      <w:r w:rsidR="00EC4280">
        <w:t>to total company VONB of US$ 667 million back in 2010</w:t>
      </w:r>
      <w:r w:rsidR="0030595A">
        <w:t xml:space="preserve"> </w:t>
      </w:r>
      <w:r w:rsidR="00D5795D">
        <w:fldChar w:fldCharType="begin"/>
      </w:r>
      <w:r w:rsidR="00EB0AE7">
        <w:instrText xml:space="preserve"> ADDIN ZOTERO_ITEM CSL_CITATION {"citationID":"3Z5hcH8Z","properties":{"formattedCitation":"(AIA Group Ltd., 2018a)","plainCitation":"(AIA Group Ltd., 2018a)","noteIndex":0},"citationItems":[{"id":573,"uris":["http://zotero.org/users/local/zH9ZQvD1/items/VHJA6M95"],"itemData":{"id":573,"type":"report","language":"en","source":"Zotero","title":"AIA Group Limited 2017 Results Presentation","URL":"https://www.aia.com/content/dam/group/en/docs/download-library/2018/FY2017%20Analyst%20Presentation%20(Final).pdf.coredownload.inline.pdf","author":[{"family":"AIA Group Ltd.","given":""}],"issued":{"date-parts":[["2018"]]}}}],"schema":"https://github.com/citation-style-language/schema/raw/master/csl-citation.json"} </w:instrText>
      </w:r>
      <w:r w:rsidR="00D5795D">
        <w:fldChar w:fldCharType="separate"/>
      </w:r>
      <w:r w:rsidR="00D5795D" w:rsidRPr="00E544FD">
        <w:rPr>
          <w:rFonts w:ascii="Aptos" w:hAnsi="Aptos"/>
        </w:rPr>
        <w:t>(AIA Group Ltd., 2018a)</w:t>
      </w:r>
      <w:r w:rsidR="00D5795D">
        <w:fldChar w:fldCharType="end"/>
      </w:r>
      <w:r w:rsidR="0030595A">
        <w:t>.</w:t>
      </w:r>
    </w:p>
    <w:p w14:paraId="06B88BC1" w14:textId="458BCD0B" w:rsidR="00EE24B7" w:rsidRDefault="008A1573" w:rsidP="0061119E">
      <w:pPr>
        <w:spacing w:line="360" w:lineRule="auto"/>
      </w:pPr>
      <w:r>
        <w:t>In terms of custom</w:t>
      </w:r>
      <w:r w:rsidR="006A2CED">
        <w:t>er-related and market expansion performance</w:t>
      </w:r>
      <w:r w:rsidR="00E24C88">
        <w:t>s</w:t>
      </w:r>
      <w:r w:rsidR="006A2CED">
        <w:t>, AIA</w:t>
      </w:r>
      <w:r w:rsidR="00CC4334">
        <w:t xml:space="preserve">’s achievement was </w:t>
      </w:r>
      <w:r w:rsidR="009E40C1">
        <w:t xml:space="preserve">second to none. </w:t>
      </w:r>
      <w:r w:rsidR="005857A9">
        <w:t xml:space="preserve">In 2010, AIA served 23 million </w:t>
      </w:r>
      <w:r w:rsidR="007A7C57">
        <w:t xml:space="preserve">individual </w:t>
      </w:r>
      <w:r w:rsidR="005857A9">
        <w:t xml:space="preserve">policies and provided services to 10 million corporate </w:t>
      </w:r>
      <w:r w:rsidR="00575EE0">
        <w:t xml:space="preserve">client members. By 2017, the number of </w:t>
      </w:r>
      <w:r w:rsidR="007A7C57">
        <w:t xml:space="preserve">individual </w:t>
      </w:r>
      <w:r w:rsidR="00575EE0">
        <w:t xml:space="preserve">policies </w:t>
      </w:r>
      <w:r w:rsidR="00BB50E7">
        <w:t>has</w:t>
      </w:r>
      <w:r w:rsidR="00575EE0">
        <w:t xml:space="preserve"> increased to 30 million, and AIA </w:t>
      </w:r>
      <w:r w:rsidR="00BB1CB5">
        <w:t>served over 16 million corporate client members.</w:t>
      </w:r>
      <w:r w:rsidR="00E82B0C">
        <w:t xml:space="preserve"> </w:t>
      </w:r>
      <w:r w:rsidR="005305CD">
        <w:t xml:space="preserve">And finally, through M&amp;A and greenfield investments, </w:t>
      </w:r>
      <w:r w:rsidR="00E2310F">
        <w:t xml:space="preserve">AIA </w:t>
      </w:r>
      <w:r w:rsidR="005305CD">
        <w:t xml:space="preserve">successfully </w:t>
      </w:r>
      <w:r w:rsidR="00E2310F">
        <w:t xml:space="preserve">increased </w:t>
      </w:r>
      <w:r w:rsidR="004F1705">
        <w:t>its geographical presence from 15 markets in 2010 to 18 by 2017</w:t>
      </w:r>
      <w:r w:rsidR="00BB50E7">
        <w:t xml:space="preserve"> </w:t>
      </w:r>
      <w:r w:rsidR="00BB50E7">
        <w:fldChar w:fldCharType="begin"/>
      </w:r>
      <w:r w:rsidR="00BB50E7">
        <w:instrText xml:space="preserve"> ADDIN ZOTERO_ITEM CSL_CITATION {"citationID":"cdjWxwsn","properties":{"formattedCitation":"(AIA Group Ltd., 2011b, 2018b)","plainCitation":"(AIA Group Ltd., 2011b, 2018b)","noteIndex":0},"citationItems":[{"id":490,"uris":["http://zotero.org/users/local/zH9ZQvD1/items/3DXQRM8T"],"itemData":{"id":490,"type":"report","title":"AIA Group Limited Annual Report 2010","URL":"https://www.aia.com/content/dam/group-wise/en/docs/annual-report/aia-annual-report-2010-eng.pdf.coredownload.inline.pdf","author":[{"family":"AIA Group Ltd.","given":""}],"issued":{"date-parts":[["2011"]]}}},{"id":509,"uris":["http://zotero.org/users/local/zH9ZQvD1/items/RH5CGZIM"],"itemData":{"id":509,"type":"report","title":"AIA Group Limited Annual Report 2017","URL":"https://www.aia.com/content/dam/group/en/docs/annual-report/aia-annual-report-2017-eng.pdf.coredownload.inline.pdf","author":[{"family":"AIA Group Ltd.","given":""}],"issued":{"date-parts":[["2018"]]}}}],"schema":"https://github.com/citation-style-language/schema/raw/master/csl-citation.json"} </w:instrText>
      </w:r>
      <w:r w:rsidR="00BB50E7">
        <w:fldChar w:fldCharType="separate"/>
      </w:r>
      <w:r w:rsidR="00BB50E7" w:rsidRPr="00BB1CB5">
        <w:rPr>
          <w:rFonts w:ascii="Aptos" w:hAnsi="Aptos"/>
        </w:rPr>
        <w:t>(AIA Group Ltd., 2011b, 2018b)</w:t>
      </w:r>
      <w:r w:rsidR="00BB50E7">
        <w:fldChar w:fldCharType="end"/>
      </w:r>
      <w:r w:rsidR="00BB50E7">
        <w:t>.</w:t>
      </w:r>
    </w:p>
    <w:p w14:paraId="7B59507C" w14:textId="609AC6CE" w:rsidR="005D58BF" w:rsidRDefault="00B077F5" w:rsidP="0061119E">
      <w:pPr>
        <w:spacing w:line="360" w:lineRule="auto"/>
        <w:jc w:val="center"/>
      </w:pPr>
      <w:r w:rsidRPr="00B077F5">
        <w:lastRenderedPageBreak/>
        <w:drawing>
          <wp:inline distT="0" distB="0" distL="0" distR="0" wp14:anchorId="1F608C08" wp14:editId="757F4F97">
            <wp:extent cx="6045251" cy="3408407"/>
            <wp:effectExtent l="19050" t="19050" r="12700" b="20955"/>
            <wp:docPr id="1948976289" name="Picture 1" descr="A graph of the number of stoc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976289" name="Picture 1" descr="A graph of the number of stocks&#10;&#10;Description automatically generated with medium confidence"/>
                    <pic:cNvPicPr/>
                  </pic:nvPicPr>
                  <pic:blipFill>
                    <a:blip r:embed="rId10"/>
                    <a:stretch>
                      <a:fillRect/>
                    </a:stretch>
                  </pic:blipFill>
                  <pic:spPr>
                    <a:xfrm>
                      <a:off x="0" y="0"/>
                      <a:ext cx="6089142" cy="3433154"/>
                    </a:xfrm>
                    <a:prstGeom prst="rect">
                      <a:avLst/>
                    </a:prstGeom>
                    <a:ln>
                      <a:solidFill>
                        <a:schemeClr val="tx1"/>
                      </a:solidFill>
                    </a:ln>
                  </pic:spPr>
                </pic:pic>
              </a:graphicData>
            </a:graphic>
          </wp:inline>
        </w:drawing>
      </w:r>
    </w:p>
    <w:p w14:paraId="4FE682B1" w14:textId="527EF98D" w:rsidR="009C236E" w:rsidRDefault="00DF5CA8" w:rsidP="0061119E">
      <w:pPr>
        <w:spacing w:line="360" w:lineRule="auto"/>
        <w:jc w:val="center"/>
      </w:pPr>
      <w:r>
        <w:t xml:space="preserve">Figure </w:t>
      </w:r>
      <w:r w:rsidR="006905E6">
        <w:t>2</w:t>
      </w:r>
      <w:r w:rsidR="00325F11">
        <w:t xml:space="preserve"> </w:t>
      </w:r>
      <w:r>
        <w:t>–</w:t>
      </w:r>
      <w:r w:rsidR="00325F11">
        <w:t xml:space="preserve"> </w:t>
      </w:r>
      <w:r>
        <w:t xml:space="preserve">AIA’s financial results across 2010-2017 </w:t>
      </w:r>
      <w:r>
        <w:fldChar w:fldCharType="begin"/>
      </w:r>
      <w:r w:rsidR="00EB0AE7">
        <w:instrText xml:space="preserve"> ADDIN ZOTERO_ITEM CSL_CITATION {"citationID":"wTYkHp9z","properties":{"formattedCitation":"(AIA Group Ltd., 2018a)","plainCitation":"(AIA Group Ltd., 2018a)","noteIndex":0},"citationItems":[{"id":573,"uris":["http://zotero.org/users/local/zH9ZQvD1/items/VHJA6M95"],"itemData":{"id":573,"type":"report","language":"en","source":"Zotero","title":"AIA Group Limited 2017 Results Presentation","URL":"https://www.aia.com/content/dam/group/en/docs/download-library/2018/FY2017%20Analyst%20Presentation%20(Final).pdf.coredownload.inline.pdf","author":[{"family":"AIA Group Ltd.","given":""}],"issued":{"date-parts":[["2018"]]}}}],"schema":"https://github.com/citation-style-language/schema/raw/master/csl-citation.json"} </w:instrText>
      </w:r>
      <w:r>
        <w:fldChar w:fldCharType="separate"/>
      </w:r>
      <w:r w:rsidRPr="00DF5CA8">
        <w:rPr>
          <w:rFonts w:ascii="Aptos" w:hAnsi="Aptos"/>
        </w:rPr>
        <w:t>(AIA Group Ltd., 2018a)</w:t>
      </w:r>
      <w:r>
        <w:fldChar w:fldCharType="end"/>
      </w:r>
    </w:p>
    <w:p w14:paraId="41CE4EAD" w14:textId="77777777" w:rsidR="00A86682" w:rsidRDefault="00A86682" w:rsidP="0061119E">
      <w:pPr>
        <w:spacing w:line="360" w:lineRule="auto"/>
      </w:pPr>
    </w:p>
    <w:p w14:paraId="619B2878" w14:textId="2F55A14F" w:rsidR="003D11F8" w:rsidRDefault="00072E1D" w:rsidP="0061119E">
      <w:pPr>
        <w:pStyle w:val="Heading1"/>
        <w:spacing w:line="360" w:lineRule="auto"/>
      </w:pPr>
      <w:bookmarkStart w:id="42" w:name="_Toc184573514"/>
      <w:r>
        <w:t>Discussions on findings</w:t>
      </w:r>
      <w:bookmarkEnd w:id="42"/>
    </w:p>
    <w:p w14:paraId="630B710C" w14:textId="54FEDE3C" w:rsidR="00683183" w:rsidRDefault="001C030F" w:rsidP="0061119E">
      <w:pPr>
        <w:spacing w:line="360" w:lineRule="auto"/>
      </w:pPr>
      <w:r>
        <w:t>This paper has successfully achieved its objective</w:t>
      </w:r>
      <w:r w:rsidR="007D7205">
        <w:t>s</w:t>
      </w:r>
      <w:r>
        <w:t xml:space="preserve"> of </w:t>
      </w:r>
      <w:r w:rsidR="00E97725">
        <w:t xml:space="preserve">analysing AIA’s management practices between 2010-2017 through the lens of Yu’s 3H </w:t>
      </w:r>
      <w:r w:rsidR="007D7205">
        <w:t>framework and assessing the level of synthesis amongst the three domains. The analysis showed strong integration across the heart, head, and hand domains</w:t>
      </w:r>
      <w:r w:rsidR="006537D0">
        <w:t>, and this has contributed to the remarkable results of AIA between 2010 to 2017.</w:t>
      </w:r>
    </w:p>
    <w:p w14:paraId="533132EE" w14:textId="77777777" w:rsidR="00997583" w:rsidRDefault="006A3E62" w:rsidP="0061119E">
      <w:pPr>
        <w:spacing w:line="360" w:lineRule="auto"/>
      </w:pPr>
      <w:r>
        <w:t xml:space="preserve">In the heart domain analysis, while AIA demonstrated strong transformational leadership with a clear vision, the study did not cover the potential challenges that may have occurred due to </w:t>
      </w:r>
      <w:r w:rsidR="004F63D3">
        <w:t xml:space="preserve">the different cultures across the diversified Asian-Pacific markets AIA operated in. </w:t>
      </w:r>
      <w:r w:rsidR="00146B15">
        <w:t xml:space="preserve">Change management </w:t>
      </w:r>
      <w:r w:rsidR="00A81F53">
        <w:t xml:space="preserve">between this period </w:t>
      </w:r>
      <w:r w:rsidR="00146B15">
        <w:t xml:space="preserve">could be a topic for future </w:t>
      </w:r>
      <w:r w:rsidR="00A81F53">
        <w:t>research.</w:t>
      </w:r>
      <w:r w:rsidR="00D7140D">
        <w:t xml:space="preserve"> </w:t>
      </w:r>
    </w:p>
    <w:p w14:paraId="77138162" w14:textId="76DB3946" w:rsidR="00B854DE" w:rsidRDefault="00822045" w:rsidP="0061119E">
      <w:pPr>
        <w:spacing w:line="360" w:lineRule="auto"/>
      </w:pPr>
      <w:r>
        <w:t xml:space="preserve">AIA showed great execution success in the head domain analysis, </w:t>
      </w:r>
      <w:r w:rsidR="00AB62DD">
        <w:t xml:space="preserve">particularly in aligning its resources to build competitive advantages and managing performance through a simple yet comprehensive set of KPIs. </w:t>
      </w:r>
      <w:r w:rsidR="003D3D95">
        <w:t>However, t</w:t>
      </w:r>
      <w:r w:rsidR="0028106F">
        <w:t xml:space="preserve">here was limited discussion on how such </w:t>
      </w:r>
      <w:r w:rsidR="003D3D95">
        <w:t xml:space="preserve">internal </w:t>
      </w:r>
      <w:r w:rsidR="0028106F">
        <w:t xml:space="preserve">analysis </w:t>
      </w:r>
      <w:r w:rsidR="003D3D95">
        <w:t>to determine strategic paths forward were conducted</w:t>
      </w:r>
      <w:r w:rsidR="003A49E4">
        <w:t xml:space="preserve">. Details on the analysis </w:t>
      </w:r>
      <w:r w:rsidR="003A49E4">
        <w:lastRenderedPageBreak/>
        <w:t xml:space="preserve">conducted and efforts required </w:t>
      </w:r>
      <w:r w:rsidR="00F817B8">
        <w:t>could be beneficial for other multi-national financial institutions.</w:t>
      </w:r>
    </w:p>
    <w:p w14:paraId="3E22B045" w14:textId="66840533" w:rsidR="00B854DE" w:rsidRDefault="009536A8" w:rsidP="0061119E">
      <w:pPr>
        <w:spacing w:line="360" w:lineRule="auto"/>
      </w:pPr>
      <w:r>
        <w:t>Finally</w:t>
      </w:r>
      <w:r w:rsidR="008400A4">
        <w:t xml:space="preserve">, on the hand domain, the </w:t>
      </w:r>
      <w:r w:rsidR="006E2A48">
        <w:t xml:space="preserve">analysis </w:t>
      </w:r>
      <w:r w:rsidR="007345F3">
        <w:t xml:space="preserve">showed that </w:t>
      </w:r>
      <w:r w:rsidR="006E2A48">
        <w:t xml:space="preserve">AIA has successfully built a world-class workforce by investing in capability building and </w:t>
      </w:r>
      <w:r w:rsidR="00E82764">
        <w:t xml:space="preserve">employee training initiatives. The study, however, was </w:t>
      </w:r>
      <w:r w:rsidR="007345F3">
        <w:t xml:space="preserve">focused on traditional training, such as </w:t>
      </w:r>
      <w:r w:rsidR="008523B4">
        <w:t>compliance &amp; regulatory-related,</w:t>
      </w:r>
      <w:r w:rsidR="007345F3">
        <w:t xml:space="preserve"> </w:t>
      </w:r>
      <w:r w:rsidR="00623AE1">
        <w:t>productivity, and management</w:t>
      </w:r>
      <w:r w:rsidR="00EF464B">
        <w:t xml:space="preserve"> training</w:t>
      </w:r>
      <w:r w:rsidR="00623AE1">
        <w:t xml:space="preserve">, and did not cover digital or technology-relevant competencies. </w:t>
      </w:r>
      <w:r w:rsidR="003B7DE9">
        <w:t xml:space="preserve">Digital competencies </w:t>
      </w:r>
      <w:r w:rsidR="00953A20">
        <w:t>are</w:t>
      </w:r>
      <w:r w:rsidR="005039F5">
        <w:t xml:space="preserve"> crucial in today’s </w:t>
      </w:r>
      <w:r w:rsidR="00953A20">
        <w:t xml:space="preserve">business </w:t>
      </w:r>
      <w:r w:rsidR="005039F5">
        <w:t xml:space="preserve">setting and further research </w:t>
      </w:r>
      <w:r w:rsidR="00953A20">
        <w:t xml:space="preserve">on AIA’s approach, potentially including practices adopted post-2017, would be </w:t>
      </w:r>
      <w:r w:rsidR="00F371DB">
        <w:t>insightful.</w:t>
      </w:r>
    </w:p>
    <w:p w14:paraId="5C45B255" w14:textId="5EB49A6A" w:rsidR="00DF3DD0" w:rsidRDefault="0069317A" w:rsidP="0061119E">
      <w:pPr>
        <w:spacing w:line="360" w:lineRule="auto"/>
      </w:pPr>
      <w:r>
        <w:t xml:space="preserve">This AIA case study validated Yu’s 3H holistic management framework’s applicability and effectiveness in analysing </w:t>
      </w:r>
      <w:r w:rsidR="004F6AD6">
        <w:t xml:space="preserve">multinational organizations. AIA’s success between 2010 and 2017 supported the framework’s </w:t>
      </w:r>
      <w:r w:rsidR="00506976">
        <w:t>theory that</w:t>
      </w:r>
      <w:r w:rsidR="009D1528">
        <w:t xml:space="preserve"> integrating the heart, head, and hand domains </w:t>
      </w:r>
      <w:r w:rsidR="007D5A3D">
        <w:t xml:space="preserve">will lead to </w:t>
      </w:r>
      <w:r w:rsidR="00835253">
        <w:t>superior organizational performance.</w:t>
      </w:r>
    </w:p>
    <w:p w14:paraId="53BCF24A" w14:textId="77777777" w:rsidR="004C71E2" w:rsidRPr="00FD59C7" w:rsidRDefault="004C71E2" w:rsidP="0061119E">
      <w:pPr>
        <w:spacing w:line="360" w:lineRule="auto"/>
      </w:pPr>
    </w:p>
    <w:p w14:paraId="19F96ADB" w14:textId="3CED61FF" w:rsidR="00072E1D" w:rsidRDefault="00072E1D" w:rsidP="0061119E">
      <w:pPr>
        <w:pStyle w:val="Heading1"/>
        <w:spacing w:line="360" w:lineRule="auto"/>
      </w:pPr>
      <w:bookmarkStart w:id="43" w:name="_Toc184573515"/>
      <w:r>
        <w:t>Conclusions</w:t>
      </w:r>
      <w:bookmarkEnd w:id="43"/>
    </w:p>
    <w:p w14:paraId="10DA4F6E" w14:textId="12B00268" w:rsidR="001E2789" w:rsidRDefault="00FB32DF" w:rsidP="0061119E">
      <w:pPr>
        <w:spacing w:line="360" w:lineRule="auto"/>
      </w:pPr>
      <w:r>
        <w:t>This paper adopted a</w:t>
      </w:r>
      <w:r w:rsidR="000252E1">
        <w:t xml:space="preserve"> single-case study approach to evaluate the applicability of Yu’s 3H holistic management framework to leadership, strategy, and performance in the context of AIA</w:t>
      </w:r>
      <w:r w:rsidR="00632404">
        <w:t>, specifically for the period between 2010-2017.</w:t>
      </w:r>
      <w:r w:rsidR="0060206B">
        <w:t xml:space="preserve"> The analysis </w:t>
      </w:r>
      <w:r w:rsidR="00432450">
        <w:t xml:space="preserve">showed </w:t>
      </w:r>
      <w:r w:rsidR="002840B5">
        <w:t>that AIA</w:t>
      </w:r>
      <w:r w:rsidR="00983F3D">
        <w:t xml:space="preserve">’s management practices were closely aligned with the heart, head, and hand domains of the 3H framework, and </w:t>
      </w:r>
      <w:r w:rsidR="001E2789">
        <w:t>the organization’s ability to successfully integrate all three domains contributed to its strong performance between 2010-2017.</w:t>
      </w:r>
    </w:p>
    <w:p w14:paraId="181E9493" w14:textId="603B7D7D" w:rsidR="00BD1070" w:rsidRDefault="00432450" w:rsidP="002C0BB5">
      <w:pPr>
        <w:spacing w:line="360" w:lineRule="auto"/>
        <w:rPr>
          <w:rFonts w:asciiTheme="majorHAnsi" w:eastAsiaTheme="majorEastAsia" w:hAnsiTheme="majorHAnsi" w:cstheme="majorBidi"/>
          <w:color w:val="0F4761" w:themeColor="accent1" w:themeShade="BF"/>
          <w:sz w:val="40"/>
          <w:szCs w:val="40"/>
        </w:rPr>
      </w:pPr>
      <w:r>
        <w:t>Theoretically, t</w:t>
      </w:r>
      <w:r w:rsidR="00BE3C13">
        <w:t xml:space="preserve">his study contributes to the growing body of literature on holistic management </w:t>
      </w:r>
      <w:r w:rsidR="00121734">
        <w:t>studies and</w:t>
      </w:r>
      <w:r w:rsidR="00BE3C13">
        <w:t xml:space="preserve"> d</w:t>
      </w:r>
      <w:r w:rsidR="00121734">
        <w:t>emonstrates Yu’s 3H framework’s relevance in the Asia</w:t>
      </w:r>
      <w:r w:rsidR="00176F8C">
        <w:t xml:space="preserve">n </w:t>
      </w:r>
      <w:r w:rsidR="00121734">
        <w:t xml:space="preserve">life insurance industry. In practice, this study offers valuable insights for other </w:t>
      </w:r>
      <w:r w:rsidR="00FB6B2B">
        <w:t xml:space="preserve">life insurance companies on how to integrate transformational leadership, strategic vision, planning, performance management, and competency development to drive </w:t>
      </w:r>
      <w:r w:rsidR="00495ACE">
        <w:t xml:space="preserve">sustainable growth. Finally, the </w:t>
      </w:r>
      <w:r w:rsidR="00FD5D3F">
        <w:t xml:space="preserve">insights derived from this study are not limited to insurance companies and can be </w:t>
      </w:r>
      <w:r w:rsidR="00E770EE">
        <w:t xml:space="preserve">applied across the overall financial industry. </w:t>
      </w:r>
      <w:r w:rsidR="006212C9">
        <w:t xml:space="preserve">The key concept is to </w:t>
      </w:r>
      <w:r w:rsidR="00B6614F">
        <w:t xml:space="preserve">identify the relevant areas within the heart, head, and </w:t>
      </w:r>
      <w:r w:rsidR="00B6614F">
        <w:lastRenderedPageBreak/>
        <w:t xml:space="preserve">hand domains to be strengthened, and manage the </w:t>
      </w:r>
      <w:r w:rsidR="00864BEF">
        <w:t xml:space="preserve">three </w:t>
      </w:r>
      <w:r w:rsidR="005D0053">
        <w:t>domains’</w:t>
      </w:r>
      <w:r w:rsidR="00B6614F">
        <w:t xml:space="preserve"> </w:t>
      </w:r>
      <w:r w:rsidR="003A6EC2">
        <w:t>interrelationships in a holistic manner.</w:t>
      </w:r>
      <w:r w:rsidR="00BD1070">
        <w:br w:type="page"/>
      </w:r>
    </w:p>
    <w:p w14:paraId="67F15906" w14:textId="467BD81C" w:rsidR="00FD59C7" w:rsidRDefault="00FD59C7" w:rsidP="0061119E">
      <w:pPr>
        <w:pStyle w:val="Heading1"/>
        <w:spacing w:line="360" w:lineRule="auto"/>
      </w:pPr>
      <w:bookmarkStart w:id="44" w:name="_Toc184573516"/>
      <w:r>
        <w:lastRenderedPageBreak/>
        <w:t>References</w:t>
      </w:r>
      <w:bookmarkEnd w:id="44"/>
    </w:p>
    <w:p w14:paraId="041E67FC" w14:textId="77777777" w:rsidR="006C2F26" w:rsidRDefault="00A13323" w:rsidP="006C2F26">
      <w:pPr>
        <w:pStyle w:val="Bibliography"/>
      </w:pPr>
      <w:r>
        <w:fldChar w:fldCharType="begin"/>
      </w:r>
      <w:r w:rsidR="006C2F26">
        <w:instrText xml:space="preserve"> ADDIN ZOTERO_BIBL {"uncited":[],"omitted":[],"custom":[]} CSL_BIBLIOGRAPHY </w:instrText>
      </w:r>
      <w:r>
        <w:fldChar w:fldCharType="separate"/>
      </w:r>
      <w:r w:rsidR="006C2F26">
        <w:t xml:space="preserve">AIA Group Ltd. (2010). </w:t>
      </w:r>
      <w:r w:rsidR="006C2F26">
        <w:rPr>
          <w:i/>
          <w:iCs/>
        </w:rPr>
        <w:t>AIA’S SUCCESSFUL LISTING ON THE HONG KONG STOCK EXCHANGE</w:t>
      </w:r>
      <w:r w:rsidR="006C2F26">
        <w:t>. https://www.aia.com/content/dam/group/en/docs/press-release/2010/aia-press-release-eng-29oct2010.pdf</w:t>
      </w:r>
    </w:p>
    <w:p w14:paraId="1D87E745" w14:textId="77777777" w:rsidR="006C2F26" w:rsidRDefault="006C2F26" w:rsidP="006C2F26">
      <w:pPr>
        <w:pStyle w:val="Bibliography"/>
      </w:pPr>
      <w:r>
        <w:t xml:space="preserve">AIA Group Ltd. (2011a). </w:t>
      </w:r>
      <w:r>
        <w:rPr>
          <w:i/>
          <w:iCs/>
        </w:rPr>
        <w:t>AIA Group Limited 2010 Results Presentation</w:t>
      </w:r>
      <w:r>
        <w:t>. https://www.aia.com/content/dam/group-wise/en/docs/download-library/2010/2010fy-aia-analyst-presentation-eng.pdf.coredownload.inline.pdf</w:t>
      </w:r>
    </w:p>
    <w:p w14:paraId="01C008CE" w14:textId="77777777" w:rsidR="006C2F26" w:rsidRDefault="006C2F26" w:rsidP="006C2F26">
      <w:pPr>
        <w:pStyle w:val="Bibliography"/>
      </w:pPr>
      <w:r>
        <w:t xml:space="preserve">AIA Group Ltd. (2011b). </w:t>
      </w:r>
      <w:r>
        <w:rPr>
          <w:i/>
          <w:iCs/>
        </w:rPr>
        <w:t>AIA Group Limited Annual Report 2010</w:t>
      </w:r>
      <w:r>
        <w:t>. https://www.aia.com/content/dam/group-wise/en/docs/annual-report/aia-annual-report-2010-eng.pdf.coredownload.inline.pdf</w:t>
      </w:r>
    </w:p>
    <w:p w14:paraId="3F1E65EE" w14:textId="77777777" w:rsidR="006C2F26" w:rsidRDefault="006C2F26" w:rsidP="006C2F26">
      <w:pPr>
        <w:pStyle w:val="Bibliography"/>
      </w:pPr>
      <w:r>
        <w:t xml:space="preserve">AIA Group Ltd. (2012). </w:t>
      </w:r>
      <w:r>
        <w:rPr>
          <w:i/>
          <w:iCs/>
        </w:rPr>
        <w:t>AIA Group Limited Annual Report 2011</w:t>
      </w:r>
      <w:r>
        <w:t>. https://www.aia.com/content/dam/group-wise/en/docs/annual-report/aia-annual-report-2011-eng.pdf.coredownload.inline.pdf</w:t>
      </w:r>
    </w:p>
    <w:p w14:paraId="0C3943EB" w14:textId="77777777" w:rsidR="006C2F26" w:rsidRDefault="006C2F26" w:rsidP="006C2F26">
      <w:pPr>
        <w:pStyle w:val="Bibliography"/>
      </w:pPr>
      <w:r>
        <w:t xml:space="preserve">AIA Group Ltd. (2013). </w:t>
      </w:r>
      <w:r>
        <w:rPr>
          <w:i/>
          <w:iCs/>
        </w:rPr>
        <w:t>AIA Group Limited Annual Report 2012</w:t>
      </w:r>
      <w:r>
        <w:t>. https://www.aia.com/content/dam/group-wise/en/docs/annual-report/aia-annual-report-2012-eng.pdf.coredownload.inline.pdf</w:t>
      </w:r>
    </w:p>
    <w:p w14:paraId="0BEF3A6F" w14:textId="77777777" w:rsidR="006C2F26" w:rsidRDefault="006C2F26" w:rsidP="006C2F26">
      <w:pPr>
        <w:pStyle w:val="Bibliography"/>
      </w:pPr>
      <w:r>
        <w:t xml:space="preserve">AIA Group Ltd. (2014). </w:t>
      </w:r>
      <w:r>
        <w:rPr>
          <w:i/>
          <w:iCs/>
        </w:rPr>
        <w:t>AIA Group Limited Annual Report 2013</w:t>
      </w:r>
      <w:r>
        <w:t>. https://www.aia.com/content/dam/group-wise/en/docs/annual-report/aia-annual-report-2013-eng.pdf.coredownload.inline.pdf</w:t>
      </w:r>
    </w:p>
    <w:p w14:paraId="73A1604E" w14:textId="77777777" w:rsidR="006C2F26" w:rsidRDefault="006C2F26" w:rsidP="006C2F26">
      <w:pPr>
        <w:pStyle w:val="Bibliography"/>
      </w:pPr>
      <w:r>
        <w:t xml:space="preserve">AIA Group Ltd. (2015). </w:t>
      </w:r>
      <w:r>
        <w:rPr>
          <w:i/>
          <w:iCs/>
        </w:rPr>
        <w:t>AIA Group Limited Annual Report 2014</w:t>
      </w:r>
      <w:r>
        <w:t>. https://www.aia.com/content/dam/group-wise/en/docs/annual-report/aia-annual-report-2014-eng.pdf.coredownload.inline.pdf</w:t>
      </w:r>
    </w:p>
    <w:p w14:paraId="10F88215" w14:textId="77777777" w:rsidR="006C2F26" w:rsidRDefault="006C2F26" w:rsidP="006C2F26">
      <w:pPr>
        <w:pStyle w:val="Bibliography"/>
      </w:pPr>
      <w:r>
        <w:lastRenderedPageBreak/>
        <w:t xml:space="preserve">AIA Group Ltd. (2016). </w:t>
      </w:r>
      <w:r>
        <w:rPr>
          <w:i/>
          <w:iCs/>
        </w:rPr>
        <w:t>AIA Group Limited Annual Report 2015</w:t>
      </w:r>
      <w:r>
        <w:t>. https://www.aia.com/content/dam/group/en/docs/annual-report/aia-annual-report-2015-eng.pdf.coredownload.inline.pdf</w:t>
      </w:r>
    </w:p>
    <w:p w14:paraId="28A308EB" w14:textId="77777777" w:rsidR="006C2F26" w:rsidRDefault="006C2F26" w:rsidP="006C2F26">
      <w:pPr>
        <w:pStyle w:val="Bibliography"/>
      </w:pPr>
      <w:r>
        <w:t xml:space="preserve">AIA Group Ltd. (2017). </w:t>
      </w:r>
      <w:r>
        <w:rPr>
          <w:i/>
          <w:iCs/>
        </w:rPr>
        <w:t>AIA Group Limited Annual Report 2016</w:t>
      </w:r>
      <w:r>
        <w:t>. https://www.aia.com/content/dam/group/en/docs/annual-report/aia-annual-report-2016-eng.pdf.coredownload.inline.pdf</w:t>
      </w:r>
    </w:p>
    <w:p w14:paraId="1199D612" w14:textId="77777777" w:rsidR="006C2F26" w:rsidRDefault="006C2F26" w:rsidP="006C2F26">
      <w:pPr>
        <w:pStyle w:val="Bibliography"/>
      </w:pPr>
      <w:r>
        <w:t xml:space="preserve">AIA Group Ltd. (2018a). </w:t>
      </w:r>
      <w:r>
        <w:rPr>
          <w:i/>
          <w:iCs/>
        </w:rPr>
        <w:t>AIA Group Limited 2017 Results Presentation</w:t>
      </w:r>
      <w:r>
        <w:t>. https://www.aia.com/content/dam/group/en/docs/download-library/2018/FY2017%20Analyst%20Presentation%20(Final).pdf.coredownload.inline.pdf</w:t>
      </w:r>
    </w:p>
    <w:p w14:paraId="55B63AF1" w14:textId="77777777" w:rsidR="006C2F26" w:rsidRDefault="006C2F26" w:rsidP="006C2F26">
      <w:pPr>
        <w:pStyle w:val="Bibliography"/>
      </w:pPr>
      <w:r>
        <w:t xml:space="preserve">AIA Group Ltd. (2018b). </w:t>
      </w:r>
      <w:r>
        <w:rPr>
          <w:i/>
          <w:iCs/>
        </w:rPr>
        <w:t>AIA Group Limited Annual Report 2017</w:t>
      </w:r>
      <w:r>
        <w:t>. https://www.aia.com/content/dam/group/en/docs/annual-report/aia-annual-report-2017-eng.pdf.coredownload.inline.pdf</w:t>
      </w:r>
    </w:p>
    <w:p w14:paraId="4B00178D" w14:textId="77777777" w:rsidR="006C2F26" w:rsidRDefault="006C2F26" w:rsidP="006C2F26">
      <w:pPr>
        <w:pStyle w:val="Bibliography"/>
      </w:pPr>
      <w:r>
        <w:rPr>
          <w:i/>
          <w:iCs/>
        </w:rPr>
        <w:t>AIA Investor Relations</w:t>
      </w:r>
      <w:r>
        <w:t>. (n.d.). AIA Results and Reports. Retrieved 23 November 2024, from https://www.aia.com/en/investor-relations/overview/results-presentations</w:t>
      </w:r>
    </w:p>
    <w:p w14:paraId="5D945A8E" w14:textId="77777777" w:rsidR="006C2F26" w:rsidRDefault="006C2F26" w:rsidP="006C2F26">
      <w:pPr>
        <w:pStyle w:val="Bibliography"/>
      </w:pPr>
      <w:r>
        <w:rPr>
          <w:i/>
          <w:iCs/>
        </w:rPr>
        <w:t>AIG Program Status</w:t>
      </w:r>
      <w:r>
        <w:t>. (2024, November 19). U.S. Department of the Treasury. https://home.treasury.gov/data/troubled-assets-relief-program/aig/status</w:t>
      </w:r>
    </w:p>
    <w:p w14:paraId="1F62EDBA" w14:textId="77777777" w:rsidR="006C2F26" w:rsidRDefault="006C2F26" w:rsidP="006C2F26">
      <w:pPr>
        <w:pStyle w:val="Bibliography"/>
      </w:pPr>
      <w:r>
        <w:t xml:space="preserve">Barney, J. (1991). Firm Resources and Sustained Competitive Advantage. </w:t>
      </w:r>
      <w:r>
        <w:rPr>
          <w:i/>
          <w:iCs/>
        </w:rPr>
        <w:t>Journal of Management</w:t>
      </w:r>
      <w:r>
        <w:t xml:space="preserve">, </w:t>
      </w:r>
      <w:r>
        <w:rPr>
          <w:i/>
          <w:iCs/>
        </w:rPr>
        <w:t>17</w:t>
      </w:r>
      <w:r>
        <w:t>(1), 99–120. https://doi.org/10.1177/014920639101700108</w:t>
      </w:r>
    </w:p>
    <w:p w14:paraId="3146C0E1" w14:textId="77777777" w:rsidR="006C2F26" w:rsidRDefault="006C2F26" w:rsidP="006C2F26">
      <w:pPr>
        <w:pStyle w:val="Bibliography"/>
      </w:pPr>
      <w:r>
        <w:t xml:space="preserve">Barney, J. (1995). Looking inside for competitive advantage. </w:t>
      </w:r>
      <w:r>
        <w:rPr>
          <w:i/>
          <w:iCs/>
        </w:rPr>
        <w:t>Academy of Management Perspectives</w:t>
      </w:r>
      <w:r>
        <w:t xml:space="preserve">, </w:t>
      </w:r>
      <w:r>
        <w:rPr>
          <w:i/>
          <w:iCs/>
        </w:rPr>
        <w:t>9</w:t>
      </w:r>
      <w:r>
        <w:t>(4), 49–61. https://doi.org/10.5465/ame.1995.9512032192</w:t>
      </w:r>
    </w:p>
    <w:p w14:paraId="02623615" w14:textId="77777777" w:rsidR="006C2F26" w:rsidRDefault="006C2F26" w:rsidP="006C2F26">
      <w:pPr>
        <w:pStyle w:val="Bibliography"/>
      </w:pPr>
      <w:r>
        <w:t xml:space="preserve">Barney, J. (2001). Resource-based theories of competitive advantage: A ten-year retrospective on the resource-based view. </w:t>
      </w:r>
      <w:r>
        <w:rPr>
          <w:i/>
          <w:iCs/>
        </w:rPr>
        <w:t>Journal of Management</w:t>
      </w:r>
      <w:r>
        <w:t xml:space="preserve">, </w:t>
      </w:r>
      <w:r>
        <w:rPr>
          <w:i/>
          <w:iCs/>
        </w:rPr>
        <w:t>27</w:t>
      </w:r>
      <w:r>
        <w:t>(6), 643–650. https://doi.org/10.1177/014920630102700602</w:t>
      </w:r>
    </w:p>
    <w:p w14:paraId="0CC17BE7" w14:textId="77777777" w:rsidR="006C2F26" w:rsidRDefault="006C2F26" w:rsidP="006C2F26">
      <w:pPr>
        <w:pStyle w:val="Bibliography"/>
      </w:pPr>
      <w:r>
        <w:lastRenderedPageBreak/>
        <w:t xml:space="preserve">Barney, J., Ketchen, D. J., &amp; Wright, M. (2011). The Future of Resource-Based Theory: Revitalization or Decline? </w:t>
      </w:r>
      <w:r>
        <w:rPr>
          <w:i/>
          <w:iCs/>
        </w:rPr>
        <w:t>Journal of Management</w:t>
      </w:r>
      <w:r>
        <w:t xml:space="preserve">, </w:t>
      </w:r>
      <w:r>
        <w:rPr>
          <w:i/>
          <w:iCs/>
        </w:rPr>
        <w:t>37</w:t>
      </w:r>
      <w:r>
        <w:t>(5), 1299–1315. https://doi.org/10.1177/0149206310391805</w:t>
      </w:r>
    </w:p>
    <w:p w14:paraId="75BB1034" w14:textId="77777777" w:rsidR="006C2F26" w:rsidRDefault="006C2F26" w:rsidP="006C2F26">
      <w:pPr>
        <w:pStyle w:val="Bibliography"/>
      </w:pPr>
      <w:r>
        <w:t xml:space="preserve">Bass, B. M. (1990). From transactional to transformational leadership: Learning to share the vision. </w:t>
      </w:r>
      <w:r>
        <w:rPr>
          <w:i/>
          <w:iCs/>
        </w:rPr>
        <w:t>Organizational Dynamics</w:t>
      </w:r>
      <w:r>
        <w:t xml:space="preserve">, </w:t>
      </w:r>
      <w:r>
        <w:rPr>
          <w:i/>
          <w:iCs/>
        </w:rPr>
        <w:t>18</w:t>
      </w:r>
      <w:r>
        <w:t>(3), 19–31. https://doi.org/10.1016/0090-2616(90)90061-S</w:t>
      </w:r>
    </w:p>
    <w:p w14:paraId="24699012" w14:textId="77777777" w:rsidR="006C2F26" w:rsidRDefault="006C2F26" w:rsidP="006C2F26">
      <w:pPr>
        <w:pStyle w:val="Bibliography"/>
      </w:pPr>
      <w:r>
        <w:t xml:space="preserve">Bass, B. M. (1997). Does the transactional–transformational leadership paradigm transcend organizational and national boundaries? </w:t>
      </w:r>
      <w:r>
        <w:rPr>
          <w:i/>
          <w:iCs/>
        </w:rPr>
        <w:t>American Psychologist</w:t>
      </w:r>
      <w:r>
        <w:t xml:space="preserve">, </w:t>
      </w:r>
      <w:r>
        <w:rPr>
          <w:i/>
          <w:iCs/>
        </w:rPr>
        <w:t>52</w:t>
      </w:r>
      <w:r>
        <w:t>(2), 130–139. https://doi.org/10.1037/0003-066X.52.2.130</w:t>
      </w:r>
    </w:p>
    <w:p w14:paraId="00C8D08B" w14:textId="77777777" w:rsidR="006C2F26" w:rsidRDefault="006C2F26" w:rsidP="006C2F26">
      <w:pPr>
        <w:pStyle w:val="Bibliography"/>
      </w:pPr>
      <w:r>
        <w:t xml:space="preserve">Bass, B. M. (1999). Two Decades of Research and Development in Transformational Leadership. </w:t>
      </w:r>
      <w:r>
        <w:rPr>
          <w:i/>
          <w:iCs/>
        </w:rPr>
        <w:t>European Journal of Work and Organizational Psychology</w:t>
      </w:r>
      <w:r>
        <w:t xml:space="preserve">, </w:t>
      </w:r>
      <w:r>
        <w:rPr>
          <w:i/>
          <w:iCs/>
        </w:rPr>
        <w:t>8</w:t>
      </w:r>
      <w:r>
        <w:t>(1), 9–32. https://doi.org/10.1080/135943299398410</w:t>
      </w:r>
    </w:p>
    <w:p w14:paraId="32F51B58" w14:textId="77777777" w:rsidR="006C2F26" w:rsidRDefault="006C2F26" w:rsidP="006C2F26">
      <w:pPr>
        <w:pStyle w:val="Bibliography"/>
      </w:pPr>
      <w:r>
        <w:t xml:space="preserve">Chen, J., Dai, X., Gong, Z., Guo, J., Ho, K., Krueger, F., </w:t>
      </w:r>
      <w:proofErr w:type="spellStart"/>
      <w:r>
        <w:t>Puttaiah</w:t>
      </w:r>
      <w:proofErr w:type="spellEnd"/>
      <w:r>
        <w:t xml:space="preserve">, M., Sharan, R., &amp; Zhan, G. (2020). </w:t>
      </w:r>
      <w:r>
        <w:rPr>
          <w:i/>
          <w:iCs/>
        </w:rPr>
        <w:t>Closing Asia’s mortality protection gap</w:t>
      </w:r>
      <w:r>
        <w:t>. Swiss Re Institute.</w:t>
      </w:r>
    </w:p>
    <w:p w14:paraId="0026D751" w14:textId="77777777" w:rsidR="006C2F26" w:rsidRDefault="006C2F26" w:rsidP="006C2F26">
      <w:pPr>
        <w:pStyle w:val="Bibliography"/>
      </w:pPr>
      <w:r>
        <w:t xml:space="preserve">Cheng, A. (2012, November 26). </w:t>
      </w:r>
      <w:r>
        <w:rPr>
          <w:i/>
          <w:iCs/>
        </w:rPr>
        <w:t>Freed of AIG’s Control, AIA Group Prospers in Asia</w:t>
      </w:r>
      <w:r>
        <w:t>. Institutional Investor. https://www.institutionalinvestor.com/article/2bsvoavxwipuxuho23xts/portfolio/freed-of-aigs-control-aia-group-prospers-in-asia</w:t>
      </w:r>
    </w:p>
    <w:p w14:paraId="6D1EDCF5" w14:textId="77777777" w:rsidR="006C2F26" w:rsidRDefault="006C2F26" w:rsidP="006C2F26">
      <w:pPr>
        <w:pStyle w:val="Bibliography"/>
      </w:pPr>
      <w:r>
        <w:t xml:space="preserve">Cheng, A. (2013, February 21). </w:t>
      </w:r>
      <w:r>
        <w:rPr>
          <w:i/>
          <w:iCs/>
        </w:rPr>
        <w:t>AIA Group Stakes Its Claim for Leadership of Asia’s Insurance Market</w:t>
      </w:r>
      <w:r>
        <w:t>. Institutional Investor. https://www.institutionalinvestor.com/article/2bsu1279xbcv5jjz2fzls/portfolio/aia-group-stakes-its-claim-for-leadership-of-asias-insurance-market</w:t>
      </w:r>
    </w:p>
    <w:p w14:paraId="540F90BD" w14:textId="77777777" w:rsidR="006C2F26" w:rsidRDefault="006C2F26" w:rsidP="006C2F26">
      <w:pPr>
        <w:pStyle w:val="Bibliography"/>
      </w:pPr>
      <w:r>
        <w:t xml:space="preserve">Cheung, H., &amp; Yu, E. (2020). A review of the strategic planning process in the Hong Kong Police Force. </w:t>
      </w:r>
      <w:r>
        <w:rPr>
          <w:i/>
          <w:iCs/>
        </w:rPr>
        <w:t>Public Administration and Policy</w:t>
      </w:r>
      <w:r>
        <w:t xml:space="preserve">, </w:t>
      </w:r>
      <w:r>
        <w:rPr>
          <w:i/>
          <w:iCs/>
        </w:rPr>
        <w:t>23</w:t>
      </w:r>
      <w:r>
        <w:t>(3), 245–258. https://doi.org/10.1108/PAP-06-2020-0027</w:t>
      </w:r>
    </w:p>
    <w:p w14:paraId="7430784D" w14:textId="77777777" w:rsidR="006C2F26" w:rsidRDefault="006C2F26" w:rsidP="006C2F26">
      <w:pPr>
        <w:pStyle w:val="Bibliography"/>
      </w:pPr>
      <w:r>
        <w:lastRenderedPageBreak/>
        <w:t xml:space="preserve">C&amp;SD HKSAR. (2024). </w:t>
      </w:r>
      <w:r>
        <w:rPr>
          <w:i/>
          <w:iCs/>
        </w:rPr>
        <w:t>Statistical Digest of the Services Sector (2024)</w:t>
      </w:r>
      <w:r>
        <w:t>. Census and Statistics Department Hong Kong Special Administrative Region. https://www.censtatd.gov.hk/en/data/stat_report/product/B1080007/att/B10800072024AN24B0100.pdf</w:t>
      </w:r>
    </w:p>
    <w:p w14:paraId="0284136B" w14:textId="77777777" w:rsidR="006C2F26" w:rsidRDefault="006C2F26" w:rsidP="006C2F26">
      <w:pPr>
        <w:pStyle w:val="Bibliography"/>
      </w:pPr>
      <w:r>
        <w:t xml:space="preserve">Deloitte </w:t>
      </w:r>
      <w:proofErr w:type="spellStart"/>
      <w:r>
        <w:t>Center</w:t>
      </w:r>
      <w:proofErr w:type="spellEnd"/>
      <w:r>
        <w:t xml:space="preserve"> for Financial Services. (2023). </w:t>
      </w:r>
      <w:r>
        <w:rPr>
          <w:i/>
          <w:iCs/>
        </w:rPr>
        <w:t>2024 insurance outlook</w:t>
      </w:r>
      <w:r>
        <w:t>. https://www2.deloitte.com/us/en/insights/industry/financial-services/financial-services-industry-outlooks/insurance-industry-outlook.html</w:t>
      </w:r>
    </w:p>
    <w:p w14:paraId="1FE9A3A6" w14:textId="77777777" w:rsidR="006C2F26" w:rsidRDefault="006C2F26" w:rsidP="006C2F26">
      <w:pPr>
        <w:pStyle w:val="Bibliography"/>
      </w:pPr>
      <w:r>
        <w:t xml:space="preserve">Dinh, J. E., Lord, R. G., Gardner, W. L., Meuser, J. D., Liden, R. C., &amp; Hu, J. (2014). Leadership theory and research in the new millennium: Current theoretical trends and changing perspectives. </w:t>
      </w:r>
      <w:r>
        <w:rPr>
          <w:i/>
          <w:iCs/>
        </w:rPr>
        <w:t>The Leadership Quarterly</w:t>
      </w:r>
      <w:r>
        <w:t xml:space="preserve">, </w:t>
      </w:r>
      <w:r>
        <w:rPr>
          <w:i/>
          <w:iCs/>
        </w:rPr>
        <w:t>25</w:t>
      </w:r>
      <w:r>
        <w:t>(1), 36–62. https://doi.org/10.1016/j.leaqua.2013.11.005</w:t>
      </w:r>
    </w:p>
    <w:p w14:paraId="6137DE7D" w14:textId="77777777" w:rsidR="006C2F26" w:rsidRDefault="006C2F26" w:rsidP="006C2F26">
      <w:pPr>
        <w:pStyle w:val="Bibliography"/>
      </w:pPr>
      <w:r>
        <w:t xml:space="preserve">Dvir, T., Eden, D., Avolio, B. J., &amp; Shamir, B. (2002). Impact of Transformational Leadership on Follower Development and Performance: A Field Experiment. </w:t>
      </w:r>
      <w:r>
        <w:rPr>
          <w:i/>
          <w:iCs/>
        </w:rPr>
        <w:t>Academy of Management Journal</w:t>
      </w:r>
      <w:r>
        <w:t xml:space="preserve">, </w:t>
      </w:r>
      <w:r>
        <w:rPr>
          <w:i/>
          <w:iCs/>
        </w:rPr>
        <w:t>45</w:t>
      </w:r>
      <w:r>
        <w:t>(4), 735–744. https://doi.org/10.5465/3069307</w:t>
      </w:r>
    </w:p>
    <w:p w14:paraId="375F4152" w14:textId="77777777" w:rsidR="006C2F26" w:rsidRDefault="006C2F26" w:rsidP="006C2F26">
      <w:pPr>
        <w:pStyle w:val="Bibliography"/>
      </w:pPr>
      <w:r>
        <w:t xml:space="preserve">Garvin, D. (1993). Building a learning organization. </w:t>
      </w:r>
      <w:r>
        <w:rPr>
          <w:i/>
          <w:iCs/>
        </w:rPr>
        <w:t>Harvard Business Review</w:t>
      </w:r>
      <w:r>
        <w:t xml:space="preserve">, </w:t>
      </w:r>
      <w:r>
        <w:rPr>
          <w:i/>
          <w:iCs/>
        </w:rPr>
        <w:t>71</w:t>
      </w:r>
      <w:r>
        <w:t>(4), 78–91.</w:t>
      </w:r>
    </w:p>
    <w:p w14:paraId="5C59AD72" w14:textId="77777777" w:rsidR="006C2F26" w:rsidRDefault="006C2F26" w:rsidP="006C2F26">
      <w:pPr>
        <w:pStyle w:val="Bibliography"/>
      </w:pPr>
      <w:r>
        <w:t xml:space="preserve">Hiller, N. J., DeChurch, L. A., Murase, T., &amp; Doty, D. (2011). Searching for Outcomes of Leadership: A 25-Year Review. </w:t>
      </w:r>
      <w:r>
        <w:rPr>
          <w:i/>
          <w:iCs/>
        </w:rPr>
        <w:t>Journal of Management</w:t>
      </w:r>
      <w:r>
        <w:t xml:space="preserve">, </w:t>
      </w:r>
      <w:r>
        <w:rPr>
          <w:i/>
          <w:iCs/>
        </w:rPr>
        <w:t>37</w:t>
      </w:r>
      <w:r>
        <w:t>(4), 1137–1177. https://doi.org/10.1177/0149206310393520</w:t>
      </w:r>
    </w:p>
    <w:p w14:paraId="775FD344" w14:textId="77777777" w:rsidR="006C2F26" w:rsidRDefault="006C2F26" w:rsidP="006C2F26">
      <w:pPr>
        <w:pStyle w:val="Bibliography"/>
      </w:pPr>
      <w:r>
        <w:t xml:space="preserve">Hong Kong Business. (2011, August 24). </w:t>
      </w:r>
      <w:r>
        <w:rPr>
          <w:i/>
          <w:iCs/>
        </w:rPr>
        <w:t>AIA Hong Kong and Macau unveils new critical illness plans | Hong Kong Business</w:t>
      </w:r>
      <w:r>
        <w:t>. https://hongkongbusiness.hk/financial-services/more-news/aia-hong-kong-and-macau-unveils-new-critical-illness-plans</w:t>
      </w:r>
    </w:p>
    <w:p w14:paraId="3238C447" w14:textId="77777777" w:rsidR="006C2F26" w:rsidRDefault="006C2F26" w:rsidP="006C2F26">
      <w:pPr>
        <w:pStyle w:val="Bibliography"/>
      </w:pPr>
      <w:r>
        <w:t xml:space="preserve">Insurance Authority. (2024). </w:t>
      </w:r>
      <w:r>
        <w:rPr>
          <w:i/>
          <w:iCs/>
        </w:rPr>
        <w:t>Highlights of Industry Statistics—Long Term Insurance Business</w:t>
      </w:r>
      <w:r>
        <w:t>. Insurance Authority. https://www.ia.org.hk/en/infocenter/statistics/files/Highlights_2023_LT_Eng.pdf</w:t>
      </w:r>
    </w:p>
    <w:p w14:paraId="46CE92E9" w14:textId="77777777" w:rsidR="006C2F26" w:rsidRDefault="006C2F26" w:rsidP="006C2F26">
      <w:pPr>
        <w:pStyle w:val="Bibliography"/>
      </w:pPr>
      <w:r>
        <w:lastRenderedPageBreak/>
        <w:t xml:space="preserve">Kaplan, R., &amp; Norton, D. (1992). The Balanced Scorecard—Measures That Drive Performance. </w:t>
      </w:r>
      <w:r>
        <w:rPr>
          <w:i/>
          <w:iCs/>
        </w:rPr>
        <w:t>Harvard Business Review</w:t>
      </w:r>
      <w:r>
        <w:t xml:space="preserve">, </w:t>
      </w:r>
      <w:r>
        <w:rPr>
          <w:i/>
          <w:iCs/>
        </w:rPr>
        <w:t>70</w:t>
      </w:r>
      <w:r>
        <w:t>(1), 71–79.</w:t>
      </w:r>
    </w:p>
    <w:p w14:paraId="7DE6DA8B" w14:textId="77777777" w:rsidR="006C2F26" w:rsidRDefault="006C2F26" w:rsidP="006C2F26">
      <w:pPr>
        <w:pStyle w:val="Bibliography"/>
      </w:pPr>
      <w:r>
        <w:t xml:space="preserve">Kaplan, R., &amp; Norton, D. (1996). </w:t>
      </w:r>
      <w:r>
        <w:rPr>
          <w:i/>
          <w:iCs/>
        </w:rPr>
        <w:t>The balanced scorecard: Translating strategy into action</w:t>
      </w:r>
      <w:r>
        <w:t xml:space="preserve"> (</w:t>
      </w:r>
      <w:proofErr w:type="spellStart"/>
      <w:r>
        <w:t>Nachdr</w:t>
      </w:r>
      <w:proofErr w:type="spellEnd"/>
      <w:r>
        <w:t>.). Harvard Business School Press.</w:t>
      </w:r>
    </w:p>
    <w:p w14:paraId="1C5B07E6" w14:textId="77777777" w:rsidR="006C2F26" w:rsidRDefault="006C2F26" w:rsidP="006C2F26">
      <w:pPr>
        <w:pStyle w:val="Bibliography"/>
      </w:pPr>
      <w:r>
        <w:t xml:space="preserve">Kaplan, R., &amp; Norton, D. (2001). Transforming the Balanced Scorecard from Performance Measurement to Strategic Management: Part I. </w:t>
      </w:r>
      <w:r>
        <w:rPr>
          <w:i/>
          <w:iCs/>
        </w:rPr>
        <w:t>Accounting Horizons</w:t>
      </w:r>
      <w:r>
        <w:t xml:space="preserve">, </w:t>
      </w:r>
      <w:r>
        <w:rPr>
          <w:i/>
          <w:iCs/>
        </w:rPr>
        <w:t>15</w:t>
      </w:r>
      <w:r>
        <w:t>(1), 87–104. https://doi.org/10.2308/acch.2001.15.1.87</w:t>
      </w:r>
    </w:p>
    <w:p w14:paraId="6B4AD0B4" w14:textId="77777777" w:rsidR="006C2F26" w:rsidRDefault="006C2F26" w:rsidP="006C2F26">
      <w:pPr>
        <w:pStyle w:val="Bibliography"/>
      </w:pPr>
      <w:r>
        <w:t xml:space="preserve">KPMG China. (2023). </w:t>
      </w:r>
      <w:r>
        <w:rPr>
          <w:i/>
          <w:iCs/>
        </w:rPr>
        <w:t>Asia Pacific Insurance Sector Opportunities—KPMG China</w:t>
      </w:r>
      <w:r>
        <w:t>. https://kpmg.com/cn/en/home/insights/2022/12/asia-pacific-insurance-sector-opportunities.html</w:t>
      </w:r>
    </w:p>
    <w:p w14:paraId="3035748A" w14:textId="77777777" w:rsidR="006C2F26" w:rsidRDefault="006C2F26" w:rsidP="006C2F26">
      <w:pPr>
        <w:pStyle w:val="Bibliography"/>
      </w:pPr>
      <w:r>
        <w:t xml:space="preserve">McClelland, D. (1973). Testing for competence rather than for ‘intelligence.’ </w:t>
      </w:r>
      <w:r>
        <w:rPr>
          <w:i/>
          <w:iCs/>
        </w:rPr>
        <w:t>American Psychologist</w:t>
      </w:r>
      <w:r>
        <w:t xml:space="preserve">, </w:t>
      </w:r>
      <w:r>
        <w:rPr>
          <w:i/>
          <w:iCs/>
        </w:rPr>
        <w:t>28</w:t>
      </w:r>
      <w:r>
        <w:t>(1), 1–14. https://doi.org/10.1037/h0034092</w:t>
      </w:r>
    </w:p>
    <w:p w14:paraId="0DC4A262" w14:textId="77777777" w:rsidR="006C2F26" w:rsidRDefault="006C2F26" w:rsidP="006C2F26">
      <w:pPr>
        <w:pStyle w:val="Bibliography"/>
      </w:pPr>
      <w:r>
        <w:t xml:space="preserve">McKinsey &amp; Company. (2023). </w:t>
      </w:r>
      <w:r>
        <w:rPr>
          <w:i/>
          <w:iCs/>
        </w:rPr>
        <w:t>Asian life insurance: 2023 McKinsey Global Insurance Report | McKinsey</w:t>
      </w:r>
      <w:r>
        <w:t>. https://www.mckinsey.com/industries/financial-services/our-insights/global-insurance-report-2023-navigating-asias-evolving-market</w:t>
      </w:r>
    </w:p>
    <w:p w14:paraId="4B9651AF" w14:textId="77777777" w:rsidR="006C2F26" w:rsidRDefault="006C2F26" w:rsidP="006C2F26">
      <w:pPr>
        <w:pStyle w:val="Bibliography"/>
      </w:pPr>
      <w:r>
        <w:t xml:space="preserve">Meyer, J. P., &amp; Allen, N. J. (1991). A three-component conceptualization of organizational commitment. </w:t>
      </w:r>
      <w:r>
        <w:rPr>
          <w:i/>
          <w:iCs/>
        </w:rPr>
        <w:t>Human Resource Management Review</w:t>
      </w:r>
      <w:r>
        <w:t xml:space="preserve">, </w:t>
      </w:r>
      <w:r>
        <w:rPr>
          <w:i/>
          <w:iCs/>
        </w:rPr>
        <w:t>1</w:t>
      </w:r>
      <w:r>
        <w:t>(1), 61–89. https://doi.org/10.1016/1053-4822(91)90011-Z</w:t>
      </w:r>
    </w:p>
    <w:p w14:paraId="60C8765F" w14:textId="77777777" w:rsidR="006C2F26" w:rsidRDefault="006C2F26" w:rsidP="006C2F26">
      <w:pPr>
        <w:pStyle w:val="Bibliography"/>
      </w:pPr>
      <w:r>
        <w:t xml:space="preserve">Meyer, J. P., Stanley, D. J., </w:t>
      </w:r>
      <w:proofErr w:type="spellStart"/>
      <w:r>
        <w:t>Herscovitch</w:t>
      </w:r>
      <w:proofErr w:type="spellEnd"/>
      <w:r>
        <w:t xml:space="preserve">, L., &amp; </w:t>
      </w:r>
      <w:proofErr w:type="spellStart"/>
      <w:r>
        <w:t>Topolnytsky</w:t>
      </w:r>
      <w:proofErr w:type="spellEnd"/>
      <w:r>
        <w:t xml:space="preserve">, L. (2002). Affective, Continuance, and Normative Commitment to the Organization: A Meta-analysis of Antecedents, Correlates, and Consequences. </w:t>
      </w:r>
      <w:r>
        <w:rPr>
          <w:i/>
          <w:iCs/>
        </w:rPr>
        <w:t xml:space="preserve">Journal of Vocational </w:t>
      </w:r>
      <w:proofErr w:type="spellStart"/>
      <w:r>
        <w:rPr>
          <w:i/>
          <w:iCs/>
        </w:rPr>
        <w:t>Behavior</w:t>
      </w:r>
      <w:proofErr w:type="spellEnd"/>
      <w:r>
        <w:t xml:space="preserve">, </w:t>
      </w:r>
      <w:r>
        <w:rPr>
          <w:i/>
          <w:iCs/>
        </w:rPr>
        <w:t>61</w:t>
      </w:r>
      <w:r>
        <w:t>(1), 20–52. https://doi.org/10.1006/jvbe.2001.1842</w:t>
      </w:r>
    </w:p>
    <w:p w14:paraId="05720583" w14:textId="77777777" w:rsidR="006C2F26" w:rsidRDefault="006C2F26" w:rsidP="006C2F26">
      <w:pPr>
        <w:pStyle w:val="Bibliography"/>
      </w:pPr>
      <w:proofErr w:type="spellStart"/>
      <w:r>
        <w:t>Peteraf</w:t>
      </w:r>
      <w:proofErr w:type="spellEnd"/>
      <w:r>
        <w:t>, M. A. (1993). The cornerstones of competitive advantage: A resource</w:t>
      </w:r>
      <w:r>
        <w:rPr>
          <w:rFonts w:ascii="Cambria Math" w:hAnsi="Cambria Math" w:cs="Cambria Math"/>
        </w:rPr>
        <w:t>‐</w:t>
      </w:r>
      <w:r>
        <w:t xml:space="preserve">based view. </w:t>
      </w:r>
      <w:r>
        <w:rPr>
          <w:i/>
          <w:iCs/>
        </w:rPr>
        <w:t>Strategic Management Journal</w:t>
      </w:r>
      <w:r>
        <w:t xml:space="preserve">, </w:t>
      </w:r>
      <w:r>
        <w:rPr>
          <w:i/>
          <w:iCs/>
        </w:rPr>
        <w:t>14</w:t>
      </w:r>
      <w:r>
        <w:t>(3), 179–191. https://doi.org/10.1002/smj.4250140303</w:t>
      </w:r>
    </w:p>
    <w:p w14:paraId="024A34C1" w14:textId="77777777" w:rsidR="006C2F26" w:rsidRDefault="006C2F26" w:rsidP="006C2F26">
      <w:pPr>
        <w:pStyle w:val="Bibliography"/>
      </w:pPr>
      <w:r>
        <w:lastRenderedPageBreak/>
        <w:t xml:space="preserve">Prahalad, C. (1993). The Role of Core Competencies in the Corporation. </w:t>
      </w:r>
      <w:r>
        <w:rPr>
          <w:i/>
          <w:iCs/>
        </w:rPr>
        <w:t>Research-Technology Management</w:t>
      </w:r>
      <w:r>
        <w:t xml:space="preserve">, </w:t>
      </w:r>
      <w:r>
        <w:rPr>
          <w:i/>
          <w:iCs/>
        </w:rPr>
        <w:t>36</w:t>
      </w:r>
      <w:r>
        <w:t>(6), 40–47. https://doi.org/10.1080/08956308.1993.11670940</w:t>
      </w:r>
    </w:p>
    <w:p w14:paraId="73D6927F" w14:textId="77777777" w:rsidR="006C2F26" w:rsidRDefault="006C2F26" w:rsidP="006C2F26">
      <w:pPr>
        <w:pStyle w:val="Bibliography"/>
      </w:pPr>
      <w:r>
        <w:t xml:space="preserve">Prahalad, C., &amp; Hamel, G. (1990). The Core Competence of the Corporation. </w:t>
      </w:r>
      <w:r>
        <w:rPr>
          <w:i/>
          <w:iCs/>
        </w:rPr>
        <w:t>Harvard Business Review</w:t>
      </w:r>
      <w:r>
        <w:t xml:space="preserve">, </w:t>
      </w:r>
      <w:r>
        <w:rPr>
          <w:i/>
          <w:iCs/>
        </w:rPr>
        <w:t>68</w:t>
      </w:r>
      <w:r>
        <w:t>, 275–292.</w:t>
      </w:r>
    </w:p>
    <w:p w14:paraId="09BF0FCC" w14:textId="77777777" w:rsidR="006C2F26" w:rsidRDefault="006C2F26" w:rsidP="006C2F26">
      <w:pPr>
        <w:pStyle w:val="Bibliography"/>
      </w:pPr>
      <w:r>
        <w:t xml:space="preserve">Senge, P. (1997). THE FIFTH DISCIPLINE. </w:t>
      </w:r>
      <w:r>
        <w:rPr>
          <w:i/>
          <w:iCs/>
        </w:rPr>
        <w:t>Measuring Business Excellence</w:t>
      </w:r>
      <w:r>
        <w:t xml:space="preserve">, </w:t>
      </w:r>
      <w:r>
        <w:rPr>
          <w:i/>
          <w:iCs/>
        </w:rPr>
        <w:t>1</w:t>
      </w:r>
      <w:r>
        <w:t>(3), 46–51. https://doi.org/10.1108/eb025496</w:t>
      </w:r>
    </w:p>
    <w:p w14:paraId="01CDC0AE" w14:textId="77777777" w:rsidR="006C2F26" w:rsidRDefault="006C2F26" w:rsidP="006C2F26">
      <w:pPr>
        <w:pStyle w:val="Bibliography"/>
      </w:pPr>
      <w:r>
        <w:t xml:space="preserve">Senge, P., &amp; Sterman, J. (1992). Systems thinking and organizational learning: Acting locally and thinking globally in the organization of the future. </w:t>
      </w:r>
      <w:r>
        <w:rPr>
          <w:i/>
          <w:iCs/>
        </w:rPr>
        <w:t>European Journal of Operational Research</w:t>
      </w:r>
      <w:r>
        <w:t xml:space="preserve">, </w:t>
      </w:r>
      <w:r>
        <w:rPr>
          <w:i/>
          <w:iCs/>
        </w:rPr>
        <w:t>59</w:t>
      </w:r>
      <w:r>
        <w:t>(1), 137–150. https://doi.org/10.1016/0377-2217(92)90011-W</w:t>
      </w:r>
    </w:p>
    <w:p w14:paraId="4D659632" w14:textId="77777777" w:rsidR="006C2F26" w:rsidRDefault="006C2F26" w:rsidP="006C2F26">
      <w:pPr>
        <w:pStyle w:val="Bibliography"/>
      </w:pPr>
      <w:proofErr w:type="spellStart"/>
      <w:r>
        <w:t>Sjostrum</w:t>
      </w:r>
      <w:proofErr w:type="spellEnd"/>
      <w:r>
        <w:t xml:space="preserve">, W. (2009). The AIG Bailout. </w:t>
      </w:r>
      <w:r>
        <w:rPr>
          <w:i/>
          <w:iCs/>
        </w:rPr>
        <w:t>Washington and Lee Law Review</w:t>
      </w:r>
      <w:r>
        <w:t xml:space="preserve">, </w:t>
      </w:r>
      <w:r>
        <w:rPr>
          <w:i/>
          <w:iCs/>
        </w:rPr>
        <w:t>66</w:t>
      </w:r>
      <w:r>
        <w:t>(3), 943.</w:t>
      </w:r>
    </w:p>
    <w:p w14:paraId="4D3FE4D7" w14:textId="77777777" w:rsidR="006C2F26" w:rsidRDefault="006C2F26" w:rsidP="006C2F26">
      <w:pPr>
        <w:pStyle w:val="Bibliography"/>
      </w:pPr>
      <w:r>
        <w:t xml:space="preserve">Stephanie, Y. (2024). </w:t>
      </w:r>
      <w:r>
        <w:rPr>
          <w:i/>
          <w:iCs/>
        </w:rPr>
        <w:t>TOWARDS A HOLISTIC MANAGEMENT FRAMEWORK</w:t>
      </w:r>
      <w:r>
        <w:t>.</w:t>
      </w:r>
    </w:p>
    <w:p w14:paraId="273AF36F" w14:textId="77777777" w:rsidR="006C2F26" w:rsidRDefault="006C2F26" w:rsidP="006C2F26">
      <w:pPr>
        <w:pStyle w:val="Bibliography"/>
      </w:pPr>
      <w:r>
        <w:t xml:space="preserve">Thomas, S. (2015). </w:t>
      </w:r>
      <w:r>
        <w:rPr>
          <w:i/>
          <w:iCs/>
        </w:rPr>
        <w:t>Asia’s protection gap underlines need for greater insurance planning</w:t>
      </w:r>
      <w:r>
        <w:t>.</w:t>
      </w:r>
    </w:p>
    <w:p w14:paraId="1B99AF4F" w14:textId="77777777" w:rsidR="006C2F26" w:rsidRDefault="006C2F26" w:rsidP="006C2F26">
      <w:pPr>
        <w:pStyle w:val="Bibliography"/>
      </w:pPr>
      <w:r>
        <w:t xml:space="preserve">White, L. (2011, July 28). </w:t>
      </w:r>
      <w:r>
        <w:rPr>
          <w:i/>
          <w:iCs/>
        </w:rPr>
        <w:t>AIA’s Mark Tucker: How we achieved record results</w:t>
      </w:r>
      <w:r>
        <w:t>. Euromoney. https://www.euromoney.com/article/b12kjdsttcns0y/aias-mark-tucker-how-we-achieved-record-results</w:t>
      </w:r>
    </w:p>
    <w:p w14:paraId="71E73633" w14:textId="77777777" w:rsidR="006C2F26" w:rsidRDefault="006C2F26" w:rsidP="006C2F26">
      <w:pPr>
        <w:pStyle w:val="Bibliography"/>
      </w:pPr>
      <w:r>
        <w:t xml:space="preserve">Yan, C. H. (2022). </w:t>
      </w:r>
      <w:r>
        <w:rPr>
          <w:i/>
          <w:iCs/>
        </w:rPr>
        <w:t>Towards developing a holistic strategic management in the Hong Kong police force</w:t>
      </w:r>
      <w:r>
        <w:t>.</w:t>
      </w:r>
    </w:p>
    <w:p w14:paraId="4E172DD3" w14:textId="77777777" w:rsidR="006C2F26" w:rsidRDefault="006C2F26" w:rsidP="006C2F26">
      <w:pPr>
        <w:pStyle w:val="Bibliography"/>
      </w:pPr>
      <w:r>
        <w:t xml:space="preserve">Yang, C.-C. (2013). The integrated model of core competence and core capability. </w:t>
      </w:r>
      <w:r>
        <w:rPr>
          <w:i/>
          <w:iCs/>
        </w:rPr>
        <w:t>Total Quality Management &amp; Business Excellence</w:t>
      </w:r>
      <w:r>
        <w:t xml:space="preserve">, </w:t>
      </w:r>
      <w:r>
        <w:rPr>
          <w:i/>
          <w:iCs/>
        </w:rPr>
        <w:t>26</w:t>
      </w:r>
      <w:r>
        <w:t>(1–2), 173–189. https://doi.org/10.1080/14783363.2013.820024</w:t>
      </w:r>
    </w:p>
    <w:p w14:paraId="6A45D5AF" w14:textId="77777777" w:rsidR="006C2F26" w:rsidRDefault="006C2F26" w:rsidP="006C2F26">
      <w:pPr>
        <w:pStyle w:val="Bibliography"/>
      </w:pPr>
      <w:r>
        <w:t xml:space="preserve">Yu, E. (2021). An analysis of China’s strategy in combating the coronavirus pandemic with the 3H framework. </w:t>
      </w:r>
      <w:r>
        <w:rPr>
          <w:i/>
          <w:iCs/>
        </w:rPr>
        <w:t>Public Administration and Policy</w:t>
      </w:r>
      <w:r>
        <w:t xml:space="preserve">, </w:t>
      </w:r>
      <w:r>
        <w:rPr>
          <w:i/>
          <w:iCs/>
        </w:rPr>
        <w:t>24</w:t>
      </w:r>
      <w:r>
        <w:t>(1), 76–91. https://doi.org/10.1108/PAP-12-2020-0055</w:t>
      </w:r>
    </w:p>
    <w:p w14:paraId="14239935" w14:textId="77777777" w:rsidR="006C2F26" w:rsidRDefault="006C2F26" w:rsidP="006C2F26">
      <w:pPr>
        <w:pStyle w:val="Bibliography"/>
      </w:pPr>
      <w:r>
        <w:t xml:space="preserve">Yu, E. (2023). </w:t>
      </w:r>
      <w:r>
        <w:rPr>
          <w:i/>
          <w:iCs/>
        </w:rPr>
        <w:t>Introducing Eddie Yu’s 3H Holistic Management Framework</w:t>
      </w:r>
      <w:r>
        <w:t>.</w:t>
      </w:r>
    </w:p>
    <w:p w14:paraId="34B938AF" w14:textId="77777777" w:rsidR="006C2F26" w:rsidRDefault="006C2F26" w:rsidP="006C2F26">
      <w:pPr>
        <w:pStyle w:val="Bibliography"/>
      </w:pPr>
      <w:r>
        <w:lastRenderedPageBreak/>
        <w:t xml:space="preserve">Zhang, X., Cao, Q., &amp; Tjosvold, D. (2011). Linking Transformational Leadership and Team Performance: A Conflict Management Approach. </w:t>
      </w:r>
      <w:r>
        <w:rPr>
          <w:i/>
          <w:iCs/>
        </w:rPr>
        <w:t>Journal of Management Studies</w:t>
      </w:r>
      <w:r>
        <w:t xml:space="preserve">, </w:t>
      </w:r>
      <w:r>
        <w:rPr>
          <w:i/>
          <w:iCs/>
        </w:rPr>
        <w:t>48</w:t>
      </w:r>
      <w:r>
        <w:t>(7), 1586–1611. https://doi.org/10.1111/j.1467-6486.2010.00974.x</w:t>
      </w:r>
    </w:p>
    <w:p w14:paraId="5753055F" w14:textId="2C8D253B" w:rsidR="00FD59C7" w:rsidRPr="00FD59C7" w:rsidRDefault="00A13323" w:rsidP="0061119E">
      <w:pPr>
        <w:spacing w:line="360" w:lineRule="auto"/>
      </w:pPr>
      <w:r>
        <w:fldChar w:fldCharType="end"/>
      </w:r>
    </w:p>
    <w:p w14:paraId="5E5D27E2" w14:textId="77777777" w:rsidR="00072E1D" w:rsidRDefault="00072E1D" w:rsidP="0061119E">
      <w:pPr>
        <w:spacing w:line="360" w:lineRule="auto"/>
      </w:pPr>
    </w:p>
    <w:sectPr w:rsidR="00072E1D" w:rsidSect="00D83060">
      <w:footerReference w:type="default" r:id="rId1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4E679" w14:textId="77777777" w:rsidR="008203CB" w:rsidRDefault="008203CB" w:rsidP="009A66E4">
      <w:pPr>
        <w:spacing w:after="0" w:line="240" w:lineRule="auto"/>
      </w:pPr>
      <w:r>
        <w:separator/>
      </w:r>
    </w:p>
  </w:endnote>
  <w:endnote w:type="continuationSeparator" w:id="0">
    <w:p w14:paraId="46085985" w14:textId="77777777" w:rsidR="008203CB" w:rsidRDefault="008203CB" w:rsidP="009A6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0343034"/>
      <w:docPartObj>
        <w:docPartGallery w:val="Page Numbers (Bottom of Page)"/>
        <w:docPartUnique/>
      </w:docPartObj>
    </w:sdtPr>
    <w:sdtEndPr>
      <w:rPr>
        <w:noProof/>
      </w:rPr>
    </w:sdtEndPr>
    <w:sdtContent>
      <w:p w14:paraId="2600704B" w14:textId="4D859D4C" w:rsidR="009A66E4" w:rsidRDefault="009A66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A73A5" w14:textId="77777777" w:rsidR="009A66E4" w:rsidRDefault="009A6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E2972" w14:textId="77777777" w:rsidR="008203CB" w:rsidRDefault="008203CB" w:rsidP="009A66E4">
      <w:pPr>
        <w:spacing w:after="0" w:line="240" w:lineRule="auto"/>
      </w:pPr>
      <w:r>
        <w:separator/>
      </w:r>
    </w:p>
  </w:footnote>
  <w:footnote w:type="continuationSeparator" w:id="0">
    <w:p w14:paraId="5A874067" w14:textId="77777777" w:rsidR="008203CB" w:rsidRDefault="008203CB" w:rsidP="009A66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A32E8"/>
    <w:multiLevelType w:val="hybridMultilevel"/>
    <w:tmpl w:val="1EFAB60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E8E13C6"/>
    <w:multiLevelType w:val="hybridMultilevel"/>
    <w:tmpl w:val="CE7E4F2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1363709E"/>
    <w:multiLevelType w:val="hybridMultilevel"/>
    <w:tmpl w:val="EEC8386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14676D52"/>
    <w:multiLevelType w:val="hybridMultilevel"/>
    <w:tmpl w:val="18EEB916"/>
    <w:lvl w:ilvl="0" w:tplc="02106FD8">
      <w:numFmt w:val="bullet"/>
      <w:lvlText w:val="-"/>
      <w:lvlJc w:val="left"/>
      <w:pPr>
        <w:ind w:left="720" w:hanging="360"/>
      </w:pPr>
      <w:rPr>
        <w:rFonts w:ascii="Aptos" w:eastAsiaTheme="minorHAnsi" w:hAnsi="Aptos" w:cstheme="minorBidi"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2F422D5B"/>
    <w:multiLevelType w:val="hybridMultilevel"/>
    <w:tmpl w:val="B1F8EEF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374E7B73"/>
    <w:multiLevelType w:val="hybridMultilevel"/>
    <w:tmpl w:val="E51E34E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468B12B6"/>
    <w:multiLevelType w:val="hybridMultilevel"/>
    <w:tmpl w:val="E51E34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A486A58"/>
    <w:multiLevelType w:val="hybridMultilevel"/>
    <w:tmpl w:val="8FEE04BE"/>
    <w:lvl w:ilvl="0" w:tplc="4E740E72">
      <w:start w:val="1"/>
      <w:numFmt w:val="bullet"/>
      <w:lvlText w:val="-"/>
      <w:lvlJc w:val="left"/>
      <w:pPr>
        <w:ind w:left="720" w:hanging="360"/>
      </w:pPr>
      <w:rPr>
        <w:rFonts w:ascii="Aptos" w:eastAsiaTheme="minorHAnsi" w:hAnsi="Aptos" w:cstheme="minorBidi"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677303D1"/>
    <w:multiLevelType w:val="hybridMultilevel"/>
    <w:tmpl w:val="69FEB14E"/>
    <w:lvl w:ilvl="0" w:tplc="3C09000F">
      <w:start w:val="1"/>
      <w:numFmt w:val="decimal"/>
      <w:lvlText w:val="%1."/>
      <w:lvlJc w:val="left"/>
      <w:pPr>
        <w:ind w:left="720" w:hanging="360"/>
      </w:pPr>
      <w:rPr>
        <w:rFonts w:hint="default"/>
      </w:rPr>
    </w:lvl>
    <w:lvl w:ilvl="1" w:tplc="4E740E72">
      <w:start w:val="1"/>
      <w:numFmt w:val="bullet"/>
      <w:lvlText w:val="-"/>
      <w:lvlJc w:val="left"/>
      <w:pPr>
        <w:ind w:left="1440" w:hanging="360"/>
      </w:pPr>
      <w:rPr>
        <w:rFonts w:ascii="Aptos" w:eastAsiaTheme="minorHAnsi" w:hAnsi="Aptos" w:cstheme="minorBidi" w:hint="default"/>
      </w:r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1111708356">
    <w:abstractNumId w:val="3"/>
  </w:num>
  <w:num w:numId="2" w16cid:durableId="1054157248">
    <w:abstractNumId w:val="5"/>
  </w:num>
  <w:num w:numId="3" w16cid:durableId="1990211797">
    <w:abstractNumId w:val="0"/>
  </w:num>
  <w:num w:numId="4" w16cid:durableId="1923831962">
    <w:abstractNumId w:val="1"/>
  </w:num>
  <w:num w:numId="5" w16cid:durableId="108162530">
    <w:abstractNumId w:val="6"/>
  </w:num>
  <w:num w:numId="6" w16cid:durableId="1836339666">
    <w:abstractNumId w:val="7"/>
  </w:num>
  <w:num w:numId="7" w16cid:durableId="358240787">
    <w:abstractNumId w:val="2"/>
  </w:num>
  <w:num w:numId="8" w16cid:durableId="1630479978">
    <w:abstractNumId w:val="8"/>
  </w:num>
  <w:num w:numId="9" w16cid:durableId="8513363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3BA"/>
    <w:rsid w:val="00000DF0"/>
    <w:rsid w:val="00001469"/>
    <w:rsid w:val="0000189C"/>
    <w:rsid w:val="00001AC4"/>
    <w:rsid w:val="00002892"/>
    <w:rsid w:val="00004733"/>
    <w:rsid w:val="00006C5D"/>
    <w:rsid w:val="00006E93"/>
    <w:rsid w:val="000077DC"/>
    <w:rsid w:val="00010C92"/>
    <w:rsid w:val="00010FE4"/>
    <w:rsid w:val="000128FF"/>
    <w:rsid w:val="000129FC"/>
    <w:rsid w:val="00013060"/>
    <w:rsid w:val="00013558"/>
    <w:rsid w:val="0001456F"/>
    <w:rsid w:val="000156A9"/>
    <w:rsid w:val="000157DF"/>
    <w:rsid w:val="00015D21"/>
    <w:rsid w:val="000171DF"/>
    <w:rsid w:val="000204BD"/>
    <w:rsid w:val="00020B37"/>
    <w:rsid w:val="000220FB"/>
    <w:rsid w:val="00022E8B"/>
    <w:rsid w:val="00023019"/>
    <w:rsid w:val="000252E1"/>
    <w:rsid w:val="00025F0A"/>
    <w:rsid w:val="00026E1E"/>
    <w:rsid w:val="00027036"/>
    <w:rsid w:val="0002727D"/>
    <w:rsid w:val="00032519"/>
    <w:rsid w:val="000340E1"/>
    <w:rsid w:val="000344E4"/>
    <w:rsid w:val="00035816"/>
    <w:rsid w:val="000400C5"/>
    <w:rsid w:val="00043BD6"/>
    <w:rsid w:val="0005005D"/>
    <w:rsid w:val="000510B6"/>
    <w:rsid w:val="00051BA6"/>
    <w:rsid w:val="000535F2"/>
    <w:rsid w:val="00055854"/>
    <w:rsid w:val="00056EE6"/>
    <w:rsid w:val="00057349"/>
    <w:rsid w:val="00060555"/>
    <w:rsid w:val="00064474"/>
    <w:rsid w:val="00064FFD"/>
    <w:rsid w:val="000650A6"/>
    <w:rsid w:val="00066102"/>
    <w:rsid w:val="0006666D"/>
    <w:rsid w:val="000678AD"/>
    <w:rsid w:val="00070B45"/>
    <w:rsid w:val="0007124F"/>
    <w:rsid w:val="00071809"/>
    <w:rsid w:val="00071A6B"/>
    <w:rsid w:val="00072E1D"/>
    <w:rsid w:val="00074453"/>
    <w:rsid w:val="000772AD"/>
    <w:rsid w:val="0008111F"/>
    <w:rsid w:val="00085697"/>
    <w:rsid w:val="0008764C"/>
    <w:rsid w:val="00091769"/>
    <w:rsid w:val="000941F7"/>
    <w:rsid w:val="000943F3"/>
    <w:rsid w:val="00094D58"/>
    <w:rsid w:val="00096F74"/>
    <w:rsid w:val="000A0487"/>
    <w:rsid w:val="000A2097"/>
    <w:rsid w:val="000A2B3C"/>
    <w:rsid w:val="000A68C3"/>
    <w:rsid w:val="000A6984"/>
    <w:rsid w:val="000B03A1"/>
    <w:rsid w:val="000B39F3"/>
    <w:rsid w:val="000C4944"/>
    <w:rsid w:val="000C643F"/>
    <w:rsid w:val="000C6DB6"/>
    <w:rsid w:val="000C79F6"/>
    <w:rsid w:val="000D03BE"/>
    <w:rsid w:val="000D085E"/>
    <w:rsid w:val="000D0C24"/>
    <w:rsid w:val="000D305D"/>
    <w:rsid w:val="000D517B"/>
    <w:rsid w:val="000D56C3"/>
    <w:rsid w:val="000E0BAB"/>
    <w:rsid w:val="000E399E"/>
    <w:rsid w:val="000E39D7"/>
    <w:rsid w:val="000E56D1"/>
    <w:rsid w:val="000E711D"/>
    <w:rsid w:val="000F04AA"/>
    <w:rsid w:val="000F2B76"/>
    <w:rsid w:val="000F2D50"/>
    <w:rsid w:val="000F3BFB"/>
    <w:rsid w:val="000F46E5"/>
    <w:rsid w:val="00100CA1"/>
    <w:rsid w:val="0010487F"/>
    <w:rsid w:val="00105FF0"/>
    <w:rsid w:val="0011047C"/>
    <w:rsid w:val="001113E9"/>
    <w:rsid w:val="001117B5"/>
    <w:rsid w:val="001124D3"/>
    <w:rsid w:val="00112C83"/>
    <w:rsid w:val="00112EDF"/>
    <w:rsid w:val="001151F6"/>
    <w:rsid w:val="0011588F"/>
    <w:rsid w:val="00115C19"/>
    <w:rsid w:val="00117EE6"/>
    <w:rsid w:val="0012132C"/>
    <w:rsid w:val="00121734"/>
    <w:rsid w:val="00121955"/>
    <w:rsid w:val="00121D6D"/>
    <w:rsid w:val="00121E0A"/>
    <w:rsid w:val="00122B4F"/>
    <w:rsid w:val="00123A77"/>
    <w:rsid w:val="0012427F"/>
    <w:rsid w:val="001307D0"/>
    <w:rsid w:val="0013131B"/>
    <w:rsid w:val="00131F85"/>
    <w:rsid w:val="00133623"/>
    <w:rsid w:val="0013401D"/>
    <w:rsid w:val="0013453A"/>
    <w:rsid w:val="00135380"/>
    <w:rsid w:val="001362FE"/>
    <w:rsid w:val="00136A12"/>
    <w:rsid w:val="001411BF"/>
    <w:rsid w:val="00142144"/>
    <w:rsid w:val="00142E0B"/>
    <w:rsid w:val="00143D78"/>
    <w:rsid w:val="00144E8F"/>
    <w:rsid w:val="00146B15"/>
    <w:rsid w:val="001477DD"/>
    <w:rsid w:val="00147C56"/>
    <w:rsid w:val="001517DF"/>
    <w:rsid w:val="001524A2"/>
    <w:rsid w:val="00153452"/>
    <w:rsid w:val="001536D7"/>
    <w:rsid w:val="00154FF4"/>
    <w:rsid w:val="00155783"/>
    <w:rsid w:val="001564D0"/>
    <w:rsid w:val="0015760B"/>
    <w:rsid w:val="001604AE"/>
    <w:rsid w:val="00163D43"/>
    <w:rsid w:val="001646FC"/>
    <w:rsid w:val="00166B07"/>
    <w:rsid w:val="001705BC"/>
    <w:rsid w:val="00175D6B"/>
    <w:rsid w:val="001760AB"/>
    <w:rsid w:val="00176F8C"/>
    <w:rsid w:val="001775D9"/>
    <w:rsid w:val="00177F4A"/>
    <w:rsid w:val="001800E4"/>
    <w:rsid w:val="00180380"/>
    <w:rsid w:val="00180C01"/>
    <w:rsid w:val="00182195"/>
    <w:rsid w:val="00183B3D"/>
    <w:rsid w:val="00183B4D"/>
    <w:rsid w:val="00183DA8"/>
    <w:rsid w:val="00185275"/>
    <w:rsid w:val="00186878"/>
    <w:rsid w:val="00187F1C"/>
    <w:rsid w:val="00190676"/>
    <w:rsid w:val="00195622"/>
    <w:rsid w:val="00197B93"/>
    <w:rsid w:val="001A0617"/>
    <w:rsid w:val="001A1A7C"/>
    <w:rsid w:val="001A2775"/>
    <w:rsid w:val="001A4CB3"/>
    <w:rsid w:val="001A6ACF"/>
    <w:rsid w:val="001A7704"/>
    <w:rsid w:val="001B136D"/>
    <w:rsid w:val="001B16C6"/>
    <w:rsid w:val="001B2897"/>
    <w:rsid w:val="001B2C0C"/>
    <w:rsid w:val="001B2C2E"/>
    <w:rsid w:val="001B33F0"/>
    <w:rsid w:val="001B3976"/>
    <w:rsid w:val="001B5D27"/>
    <w:rsid w:val="001B5E7E"/>
    <w:rsid w:val="001C030F"/>
    <w:rsid w:val="001C0BAE"/>
    <w:rsid w:val="001C0F46"/>
    <w:rsid w:val="001C2457"/>
    <w:rsid w:val="001C5268"/>
    <w:rsid w:val="001C5610"/>
    <w:rsid w:val="001D0385"/>
    <w:rsid w:val="001D1587"/>
    <w:rsid w:val="001D1727"/>
    <w:rsid w:val="001D23F7"/>
    <w:rsid w:val="001D3DAA"/>
    <w:rsid w:val="001D536C"/>
    <w:rsid w:val="001D5A9F"/>
    <w:rsid w:val="001D5E91"/>
    <w:rsid w:val="001D78FA"/>
    <w:rsid w:val="001D7B07"/>
    <w:rsid w:val="001E04FD"/>
    <w:rsid w:val="001E1A57"/>
    <w:rsid w:val="001E2257"/>
    <w:rsid w:val="001E2789"/>
    <w:rsid w:val="001E33AB"/>
    <w:rsid w:val="001E48DF"/>
    <w:rsid w:val="001E53A1"/>
    <w:rsid w:val="001E57EB"/>
    <w:rsid w:val="001E71FB"/>
    <w:rsid w:val="001F1746"/>
    <w:rsid w:val="001F193F"/>
    <w:rsid w:val="001F2EBF"/>
    <w:rsid w:val="001F3588"/>
    <w:rsid w:val="001F3FA6"/>
    <w:rsid w:val="001F4208"/>
    <w:rsid w:val="001F597A"/>
    <w:rsid w:val="001F5CAC"/>
    <w:rsid w:val="001F7D25"/>
    <w:rsid w:val="002003BA"/>
    <w:rsid w:val="00201F05"/>
    <w:rsid w:val="00202257"/>
    <w:rsid w:val="0020263A"/>
    <w:rsid w:val="00206812"/>
    <w:rsid w:val="00207FE0"/>
    <w:rsid w:val="00212410"/>
    <w:rsid w:val="002150CD"/>
    <w:rsid w:val="00215839"/>
    <w:rsid w:val="00215BB6"/>
    <w:rsid w:val="0021618E"/>
    <w:rsid w:val="002174B0"/>
    <w:rsid w:val="002176A3"/>
    <w:rsid w:val="00217719"/>
    <w:rsid w:val="0022033C"/>
    <w:rsid w:val="00220468"/>
    <w:rsid w:val="002210B9"/>
    <w:rsid w:val="002226EE"/>
    <w:rsid w:val="002251F3"/>
    <w:rsid w:val="00227B95"/>
    <w:rsid w:val="00227EBE"/>
    <w:rsid w:val="002305E4"/>
    <w:rsid w:val="002308E0"/>
    <w:rsid w:val="00230DFF"/>
    <w:rsid w:val="002318EB"/>
    <w:rsid w:val="0023429A"/>
    <w:rsid w:val="0023680B"/>
    <w:rsid w:val="0023680E"/>
    <w:rsid w:val="002403A0"/>
    <w:rsid w:val="00242564"/>
    <w:rsid w:val="00242D01"/>
    <w:rsid w:val="002432F3"/>
    <w:rsid w:val="002438D9"/>
    <w:rsid w:val="00244B73"/>
    <w:rsid w:val="00246F1D"/>
    <w:rsid w:val="00247E33"/>
    <w:rsid w:val="00251131"/>
    <w:rsid w:val="0025396B"/>
    <w:rsid w:val="00255335"/>
    <w:rsid w:val="002569B1"/>
    <w:rsid w:val="00257326"/>
    <w:rsid w:val="00257734"/>
    <w:rsid w:val="002578DE"/>
    <w:rsid w:val="00257944"/>
    <w:rsid w:val="0026026C"/>
    <w:rsid w:val="002607E9"/>
    <w:rsid w:val="0026105C"/>
    <w:rsid w:val="0026112E"/>
    <w:rsid w:val="002613A2"/>
    <w:rsid w:val="00265424"/>
    <w:rsid w:val="00265C3A"/>
    <w:rsid w:val="0026627C"/>
    <w:rsid w:val="00266AF3"/>
    <w:rsid w:val="00266B29"/>
    <w:rsid w:val="0026741F"/>
    <w:rsid w:val="00270FDD"/>
    <w:rsid w:val="00272E4F"/>
    <w:rsid w:val="002737D5"/>
    <w:rsid w:val="002746E6"/>
    <w:rsid w:val="002764F4"/>
    <w:rsid w:val="0028094E"/>
    <w:rsid w:val="0028106F"/>
    <w:rsid w:val="00282F69"/>
    <w:rsid w:val="002840B5"/>
    <w:rsid w:val="002848A5"/>
    <w:rsid w:val="002848B6"/>
    <w:rsid w:val="0028615F"/>
    <w:rsid w:val="00290A17"/>
    <w:rsid w:val="00291CDF"/>
    <w:rsid w:val="00293483"/>
    <w:rsid w:val="0029584F"/>
    <w:rsid w:val="0029641D"/>
    <w:rsid w:val="002965ED"/>
    <w:rsid w:val="002974AE"/>
    <w:rsid w:val="002A0018"/>
    <w:rsid w:val="002A2D5E"/>
    <w:rsid w:val="002A3881"/>
    <w:rsid w:val="002A53DF"/>
    <w:rsid w:val="002A5F1B"/>
    <w:rsid w:val="002A6365"/>
    <w:rsid w:val="002B0E8B"/>
    <w:rsid w:val="002B1040"/>
    <w:rsid w:val="002B225B"/>
    <w:rsid w:val="002B2588"/>
    <w:rsid w:val="002B6C94"/>
    <w:rsid w:val="002C0335"/>
    <w:rsid w:val="002C0BB5"/>
    <w:rsid w:val="002C0DA7"/>
    <w:rsid w:val="002C37FC"/>
    <w:rsid w:val="002C47CF"/>
    <w:rsid w:val="002C56C8"/>
    <w:rsid w:val="002C5D77"/>
    <w:rsid w:val="002C5D9C"/>
    <w:rsid w:val="002C74DF"/>
    <w:rsid w:val="002C7AC2"/>
    <w:rsid w:val="002D0D5D"/>
    <w:rsid w:val="002D1251"/>
    <w:rsid w:val="002D22E2"/>
    <w:rsid w:val="002D2D6D"/>
    <w:rsid w:val="002D2ED8"/>
    <w:rsid w:val="002D459D"/>
    <w:rsid w:val="002D5068"/>
    <w:rsid w:val="002D59BD"/>
    <w:rsid w:val="002D650A"/>
    <w:rsid w:val="002D7872"/>
    <w:rsid w:val="002D7B39"/>
    <w:rsid w:val="002E2597"/>
    <w:rsid w:val="002E52D0"/>
    <w:rsid w:val="002E6181"/>
    <w:rsid w:val="002E6E11"/>
    <w:rsid w:val="002F0A1C"/>
    <w:rsid w:val="002F0D4B"/>
    <w:rsid w:val="002F0E72"/>
    <w:rsid w:val="002F17D4"/>
    <w:rsid w:val="002F1D15"/>
    <w:rsid w:val="002F2AD1"/>
    <w:rsid w:val="002F2E57"/>
    <w:rsid w:val="002F3F7D"/>
    <w:rsid w:val="002F61DD"/>
    <w:rsid w:val="002F68DB"/>
    <w:rsid w:val="0030035F"/>
    <w:rsid w:val="00301C82"/>
    <w:rsid w:val="003020FA"/>
    <w:rsid w:val="00303AA8"/>
    <w:rsid w:val="003046E8"/>
    <w:rsid w:val="00304AC2"/>
    <w:rsid w:val="0030595A"/>
    <w:rsid w:val="00305BD6"/>
    <w:rsid w:val="0030734F"/>
    <w:rsid w:val="00307B92"/>
    <w:rsid w:val="0031167E"/>
    <w:rsid w:val="00316E79"/>
    <w:rsid w:val="00317649"/>
    <w:rsid w:val="003177E5"/>
    <w:rsid w:val="00322A9C"/>
    <w:rsid w:val="0032348C"/>
    <w:rsid w:val="00325F11"/>
    <w:rsid w:val="0032661C"/>
    <w:rsid w:val="00326ADD"/>
    <w:rsid w:val="00327258"/>
    <w:rsid w:val="00327546"/>
    <w:rsid w:val="00330D1B"/>
    <w:rsid w:val="0033474B"/>
    <w:rsid w:val="00334E56"/>
    <w:rsid w:val="00340D82"/>
    <w:rsid w:val="0034180F"/>
    <w:rsid w:val="00341ED0"/>
    <w:rsid w:val="0034212B"/>
    <w:rsid w:val="00343232"/>
    <w:rsid w:val="003517AB"/>
    <w:rsid w:val="003517DB"/>
    <w:rsid w:val="00351F25"/>
    <w:rsid w:val="00352608"/>
    <w:rsid w:val="003526C1"/>
    <w:rsid w:val="00355C2D"/>
    <w:rsid w:val="00355E5B"/>
    <w:rsid w:val="00357EB9"/>
    <w:rsid w:val="00362729"/>
    <w:rsid w:val="00363FA7"/>
    <w:rsid w:val="003646BF"/>
    <w:rsid w:val="003655AD"/>
    <w:rsid w:val="003718E4"/>
    <w:rsid w:val="00374A81"/>
    <w:rsid w:val="003754A5"/>
    <w:rsid w:val="00375528"/>
    <w:rsid w:val="003769DD"/>
    <w:rsid w:val="00376D56"/>
    <w:rsid w:val="00376DC1"/>
    <w:rsid w:val="00377EFA"/>
    <w:rsid w:val="0038027A"/>
    <w:rsid w:val="0038061C"/>
    <w:rsid w:val="00383A88"/>
    <w:rsid w:val="0038463C"/>
    <w:rsid w:val="0038618B"/>
    <w:rsid w:val="00387C5C"/>
    <w:rsid w:val="00390CAA"/>
    <w:rsid w:val="00391FCC"/>
    <w:rsid w:val="003925BE"/>
    <w:rsid w:val="0039266D"/>
    <w:rsid w:val="003929D2"/>
    <w:rsid w:val="00394551"/>
    <w:rsid w:val="003946EF"/>
    <w:rsid w:val="003954E3"/>
    <w:rsid w:val="003A25D7"/>
    <w:rsid w:val="003A49E4"/>
    <w:rsid w:val="003A4BFF"/>
    <w:rsid w:val="003A6EC2"/>
    <w:rsid w:val="003B1D0F"/>
    <w:rsid w:val="003B32CF"/>
    <w:rsid w:val="003B3FE4"/>
    <w:rsid w:val="003B43ED"/>
    <w:rsid w:val="003B5123"/>
    <w:rsid w:val="003B5E73"/>
    <w:rsid w:val="003B6601"/>
    <w:rsid w:val="003B7558"/>
    <w:rsid w:val="003B7C6C"/>
    <w:rsid w:val="003B7DE9"/>
    <w:rsid w:val="003C0417"/>
    <w:rsid w:val="003C0A7B"/>
    <w:rsid w:val="003C7729"/>
    <w:rsid w:val="003D11F8"/>
    <w:rsid w:val="003D15BE"/>
    <w:rsid w:val="003D31C7"/>
    <w:rsid w:val="003D3275"/>
    <w:rsid w:val="003D3959"/>
    <w:rsid w:val="003D3B3B"/>
    <w:rsid w:val="003D3D4F"/>
    <w:rsid w:val="003D3D95"/>
    <w:rsid w:val="003D4C38"/>
    <w:rsid w:val="003D607F"/>
    <w:rsid w:val="003D6468"/>
    <w:rsid w:val="003D6B47"/>
    <w:rsid w:val="003D7B2E"/>
    <w:rsid w:val="003E0059"/>
    <w:rsid w:val="003E00CB"/>
    <w:rsid w:val="003E2D2A"/>
    <w:rsid w:val="003E2FD4"/>
    <w:rsid w:val="003E3430"/>
    <w:rsid w:val="003E64BA"/>
    <w:rsid w:val="003F04EF"/>
    <w:rsid w:val="003F1936"/>
    <w:rsid w:val="003F1B9E"/>
    <w:rsid w:val="003F1C34"/>
    <w:rsid w:val="003F2541"/>
    <w:rsid w:val="003F32D3"/>
    <w:rsid w:val="003F372A"/>
    <w:rsid w:val="003F58EB"/>
    <w:rsid w:val="00401522"/>
    <w:rsid w:val="00401882"/>
    <w:rsid w:val="00401BF1"/>
    <w:rsid w:val="0040245C"/>
    <w:rsid w:val="004036A5"/>
    <w:rsid w:val="00404222"/>
    <w:rsid w:val="00404654"/>
    <w:rsid w:val="00405AE6"/>
    <w:rsid w:val="00405C34"/>
    <w:rsid w:val="0040637B"/>
    <w:rsid w:val="00411673"/>
    <w:rsid w:val="00411F67"/>
    <w:rsid w:val="004120F9"/>
    <w:rsid w:val="00412C9E"/>
    <w:rsid w:val="0041387E"/>
    <w:rsid w:val="00414CBC"/>
    <w:rsid w:val="00414F79"/>
    <w:rsid w:val="004155D0"/>
    <w:rsid w:val="00415880"/>
    <w:rsid w:val="00415C5D"/>
    <w:rsid w:val="004169CC"/>
    <w:rsid w:val="004174F5"/>
    <w:rsid w:val="00421270"/>
    <w:rsid w:val="004231D5"/>
    <w:rsid w:val="0042502D"/>
    <w:rsid w:val="00425FE6"/>
    <w:rsid w:val="004266CE"/>
    <w:rsid w:val="00426E5B"/>
    <w:rsid w:val="00427BB4"/>
    <w:rsid w:val="004319E3"/>
    <w:rsid w:val="004319EF"/>
    <w:rsid w:val="00432450"/>
    <w:rsid w:val="004330BF"/>
    <w:rsid w:val="00433BA8"/>
    <w:rsid w:val="0043426E"/>
    <w:rsid w:val="00435290"/>
    <w:rsid w:val="00436CB1"/>
    <w:rsid w:val="00437225"/>
    <w:rsid w:val="00440709"/>
    <w:rsid w:val="004411CD"/>
    <w:rsid w:val="00441BC8"/>
    <w:rsid w:val="00447900"/>
    <w:rsid w:val="004528E8"/>
    <w:rsid w:val="00452A80"/>
    <w:rsid w:val="00453D73"/>
    <w:rsid w:val="004555EC"/>
    <w:rsid w:val="00455A20"/>
    <w:rsid w:val="004566C8"/>
    <w:rsid w:val="00456E97"/>
    <w:rsid w:val="00464B51"/>
    <w:rsid w:val="00466AFB"/>
    <w:rsid w:val="00467FD2"/>
    <w:rsid w:val="004702B3"/>
    <w:rsid w:val="00470B6A"/>
    <w:rsid w:val="00472A13"/>
    <w:rsid w:val="00473C3B"/>
    <w:rsid w:val="00476B15"/>
    <w:rsid w:val="00476B46"/>
    <w:rsid w:val="00480F3B"/>
    <w:rsid w:val="00481445"/>
    <w:rsid w:val="0048177C"/>
    <w:rsid w:val="00481A5A"/>
    <w:rsid w:val="00483216"/>
    <w:rsid w:val="004840DC"/>
    <w:rsid w:val="00484422"/>
    <w:rsid w:val="00486114"/>
    <w:rsid w:val="00490D2A"/>
    <w:rsid w:val="0049159A"/>
    <w:rsid w:val="00492332"/>
    <w:rsid w:val="00493B8F"/>
    <w:rsid w:val="00493D72"/>
    <w:rsid w:val="00495ACE"/>
    <w:rsid w:val="00496C8F"/>
    <w:rsid w:val="00497BA5"/>
    <w:rsid w:val="004A06EB"/>
    <w:rsid w:val="004A1129"/>
    <w:rsid w:val="004A1933"/>
    <w:rsid w:val="004B195B"/>
    <w:rsid w:val="004B463B"/>
    <w:rsid w:val="004B537A"/>
    <w:rsid w:val="004B5490"/>
    <w:rsid w:val="004B7307"/>
    <w:rsid w:val="004C0AE3"/>
    <w:rsid w:val="004C0C80"/>
    <w:rsid w:val="004C118E"/>
    <w:rsid w:val="004C14BA"/>
    <w:rsid w:val="004C4DE5"/>
    <w:rsid w:val="004C657C"/>
    <w:rsid w:val="004C71E2"/>
    <w:rsid w:val="004D0729"/>
    <w:rsid w:val="004D1157"/>
    <w:rsid w:val="004D27A5"/>
    <w:rsid w:val="004D2ADA"/>
    <w:rsid w:val="004D4E07"/>
    <w:rsid w:val="004E0434"/>
    <w:rsid w:val="004E4BE8"/>
    <w:rsid w:val="004E5994"/>
    <w:rsid w:val="004E5EFA"/>
    <w:rsid w:val="004E7A0E"/>
    <w:rsid w:val="004E7CCC"/>
    <w:rsid w:val="004F124C"/>
    <w:rsid w:val="004F1705"/>
    <w:rsid w:val="004F63D3"/>
    <w:rsid w:val="004F6AD6"/>
    <w:rsid w:val="005039F5"/>
    <w:rsid w:val="00503BF0"/>
    <w:rsid w:val="00504098"/>
    <w:rsid w:val="00506976"/>
    <w:rsid w:val="005072C7"/>
    <w:rsid w:val="0051036F"/>
    <w:rsid w:val="0051258C"/>
    <w:rsid w:val="005143FE"/>
    <w:rsid w:val="00515357"/>
    <w:rsid w:val="00515EAB"/>
    <w:rsid w:val="0052090D"/>
    <w:rsid w:val="00521619"/>
    <w:rsid w:val="00525171"/>
    <w:rsid w:val="0052622C"/>
    <w:rsid w:val="00526B46"/>
    <w:rsid w:val="005305CD"/>
    <w:rsid w:val="005318E2"/>
    <w:rsid w:val="0053209C"/>
    <w:rsid w:val="00533DBF"/>
    <w:rsid w:val="005349C6"/>
    <w:rsid w:val="00534EAA"/>
    <w:rsid w:val="00535031"/>
    <w:rsid w:val="0053543F"/>
    <w:rsid w:val="00535BA1"/>
    <w:rsid w:val="0053715C"/>
    <w:rsid w:val="00540080"/>
    <w:rsid w:val="00540B8A"/>
    <w:rsid w:val="00541DC1"/>
    <w:rsid w:val="005445DD"/>
    <w:rsid w:val="0054626D"/>
    <w:rsid w:val="00551D56"/>
    <w:rsid w:val="00552414"/>
    <w:rsid w:val="00552E16"/>
    <w:rsid w:val="0055438D"/>
    <w:rsid w:val="00554775"/>
    <w:rsid w:val="00554BA5"/>
    <w:rsid w:val="005555E0"/>
    <w:rsid w:val="00557A86"/>
    <w:rsid w:val="005628FB"/>
    <w:rsid w:val="005659C6"/>
    <w:rsid w:val="00565CA2"/>
    <w:rsid w:val="0056764C"/>
    <w:rsid w:val="00567703"/>
    <w:rsid w:val="00567F88"/>
    <w:rsid w:val="00570083"/>
    <w:rsid w:val="005700D3"/>
    <w:rsid w:val="00570CE8"/>
    <w:rsid w:val="00571703"/>
    <w:rsid w:val="005745B5"/>
    <w:rsid w:val="00575EE0"/>
    <w:rsid w:val="00580CDD"/>
    <w:rsid w:val="00583E48"/>
    <w:rsid w:val="0058438D"/>
    <w:rsid w:val="005857A9"/>
    <w:rsid w:val="00585C39"/>
    <w:rsid w:val="00587108"/>
    <w:rsid w:val="0059126B"/>
    <w:rsid w:val="0059133C"/>
    <w:rsid w:val="00593F56"/>
    <w:rsid w:val="005940C5"/>
    <w:rsid w:val="00594FA0"/>
    <w:rsid w:val="00596D9D"/>
    <w:rsid w:val="0059769F"/>
    <w:rsid w:val="00597AF9"/>
    <w:rsid w:val="00597F7B"/>
    <w:rsid w:val="005A0D41"/>
    <w:rsid w:val="005A1C9A"/>
    <w:rsid w:val="005A2A70"/>
    <w:rsid w:val="005A42DC"/>
    <w:rsid w:val="005A4BD4"/>
    <w:rsid w:val="005A569B"/>
    <w:rsid w:val="005A6F4D"/>
    <w:rsid w:val="005A75B8"/>
    <w:rsid w:val="005B01EA"/>
    <w:rsid w:val="005B0A25"/>
    <w:rsid w:val="005B11BD"/>
    <w:rsid w:val="005B1DB1"/>
    <w:rsid w:val="005B2DCB"/>
    <w:rsid w:val="005B2EF6"/>
    <w:rsid w:val="005B38D2"/>
    <w:rsid w:val="005B3934"/>
    <w:rsid w:val="005B4E2D"/>
    <w:rsid w:val="005B695B"/>
    <w:rsid w:val="005B6EFB"/>
    <w:rsid w:val="005C0022"/>
    <w:rsid w:val="005C04C7"/>
    <w:rsid w:val="005C061B"/>
    <w:rsid w:val="005C369E"/>
    <w:rsid w:val="005C3937"/>
    <w:rsid w:val="005C58CA"/>
    <w:rsid w:val="005C713F"/>
    <w:rsid w:val="005C7248"/>
    <w:rsid w:val="005C7CA6"/>
    <w:rsid w:val="005D0053"/>
    <w:rsid w:val="005D110F"/>
    <w:rsid w:val="005D1973"/>
    <w:rsid w:val="005D1B19"/>
    <w:rsid w:val="005D4CA0"/>
    <w:rsid w:val="005D50EE"/>
    <w:rsid w:val="005D58BF"/>
    <w:rsid w:val="005D67E6"/>
    <w:rsid w:val="005D6D71"/>
    <w:rsid w:val="005E0CF6"/>
    <w:rsid w:val="005E0EE5"/>
    <w:rsid w:val="005E1278"/>
    <w:rsid w:val="005E2B97"/>
    <w:rsid w:val="005E3324"/>
    <w:rsid w:val="005E498C"/>
    <w:rsid w:val="005E62CB"/>
    <w:rsid w:val="005E6447"/>
    <w:rsid w:val="005E6504"/>
    <w:rsid w:val="005E6E87"/>
    <w:rsid w:val="005F0F4A"/>
    <w:rsid w:val="005F109E"/>
    <w:rsid w:val="005F20FA"/>
    <w:rsid w:val="005F3265"/>
    <w:rsid w:val="005F3319"/>
    <w:rsid w:val="005F4AC6"/>
    <w:rsid w:val="005F55AC"/>
    <w:rsid w:val="005F7551"/>
    <w:rsid w:val="0060206B"/>
    <w:rsid w:val="006039FD"/>
    <w:rsid w:val="006049C3"/>
    <w:rsid w:val="0060505B"/>
    <w:rsid w:val="00605663"/>
    <w:rsid w:val="00606BD0"/>
    <w:rsid w:val="00610E6C"/>
    <w:rsid w:val="0061119E"/>
    <w:rsid w:val="00611C1C"/>
    <w:rsid w:val="0061324E"/>
    <w:rsid w:val="0061419E"/>
    <w:rsid w:val="0061518B"/>
    <w:rsid w:val="00615F36"/>
    <w:rsid w:val="0061773A"/>
    <w:rsid w:val="0062055D"/>
    <w:rsid w:val="00620847"/>
    <w:rsid w:val="00620CE7"/>
    <w:rsid w:val="006212C9"/>
    <w:rsid w:val="00622CA8"/>
    <w:rsid w:val="00623AE1"/>
    <w:rsid w:val="00623EDB"/>
    <w:rsid w:val="00624933"/>
    <w:rsid w:val="00624EFF"/>
    <w:rsid w:val="00626B88"/>
    <w:rsid w:val="00626F17"/>
    <w:rsid w:val="00630418"/>
    <w:rsid w:val="00630C3F"/>
    <w:rsid w:val="00632404"/>
    <w:rsid w:val="00632E23"/>
    <w:rsid w:val="00633064"/>
    <w:rsid w:val="00635000"/>
    <w:rsid w:val="006351BE"/>
    <w:rsid w:val="00636175"/>
    <w:rsid w:val="00636D90"/>
    <w:rsid w:val="006429DD"/>
    <w:rsid w:val="00643B44"/>
    <w:rsid w:val="00643C6B"/>
    <w:rsid w:val="00643D64"/>
    <w:rsid w:val="00645D2E"/>
    <w:rsid w:val="0065148B"/>
    <w:rsid w:val="0065179A"/>
    <w:rsid w:val="006522AF"/>
    <w:rsid w:val="006529F1"/>
    <w:rsid w:val="00653084"/>
    <w:rsid w:val="006537D0"/>
    <w:rsid w:val="00654A52"/>
    <w:rsid w:val="00654DAA"/>
    <w:rsid w:val="00655104"/>
    <w:rsid w:val="0065617C"/>
    <w:rsid w:val="00657FFD"/>
    <w:rsid w:val="00660662"/>
    <w:rsid w:val="00662AE6"/>
    <w:rsid w:val="00662DD2"/>
    <w:rsid w:val="0066358C"/>
    <w:rsid w:val="00663A14"/>
    <w:rsid w:val="00665DF7"/>
    <w:rsid w:val="006671BE"/>
    <w:rsid w:val="00672BE4"/>
    <w:rsid w:val="00672CFA"/>
    <w:rsid w:val="00674818"/>
    <w:rsid w:val="0067549C"/>
    <w:rsid w:val="00676414"/>
    <w:rsid w:val="00677158"/>
    <w:rsid w:val="00681A08"/>
    <w:rsid w:val="00681B09"/>
    <w:rsid w:val="00681C5A"/>
    <w:rsid w:val="00681FE4"/>
    <w:rsid w:val="00683183"/>
    <w:rsid w:val="00685358"/>
    <w:rsid w:val="00685BFD"/>
    <w:rsid w:val="00685DC2"/>
    <w:rsid w:val="0068685A"/>
    <w:rsid w:val="00690590"/>
    <w:rsid w:val="006905E6"/>
    <w:rsid w:val="0069186B"/>
    <w:rsid w:val="00692B18"/>
    <w:rsid w:val="0069317A"/>
    <w:rsid w:val="00694E2D"/>
    <w:rsid w:val="00694F50"/>
    <w:rsid w:val="006950F5"/>
    <w:rsid w:val="006974AA"/>
    <w:rsid w:val="006A04E8"/>
    <w:rsid w:val="006A0D8A"/>
    <w:rsid w:val="006A0EBD"/>
    <w:rsid w:val="006A1630"/>
    <w:rsid w:val="006A1782"/>
    <w:rsid w:val="006A2CED"/>
    <w:rsid w:val="006A36A8"/>
    <w:rsid w:val="006A3E62"/>
    <w:rsid w:val="006A420E"/>
    <w:rsid w:val="006B0F50"/>
    <w:rsid w:val="006B1DD1"/>
    <w:rsid w:val="006B225A"/>
    <w:rsid w:val="006B31F7"/>
    <w:rsid w:val="006B4CC1"/>
    <w:rsid w:val="006B4CE5"/>
    <w:rsid w:val="006B4FFC"/>
    <w:rsid w:val="006B68B4"/>
    <w:rsid w:val="006C0619"/>
    <w:rsid w:val="006C0EAA"/>
    <w:rsid w:val="006C2F26"/>
    <w:rsid w:val="006C4104"/>
    <w:rsid w:val="006C4753"/>
    <w:rsid w:val="006C5492"/>
    <w:rsid w:val="006C6CB7"/>
    <w:rsid w:val="006D2D65"/>
    <w:rsid w:val="006D548B"/>
    <w:rsid w:val="006D5F3E"/>
    <w:rsid w:val="006D5FD8"/>
    <w:rsid w:val="006D690F"/>
    <w:rsid w:val="006E1214"/>
    <w:rsid w:val="006E2A48"/>
    <w:rsid w:val="006E2F7D"/>
    <w:rsid w:val="006E49DD"/>
    <w:rsid w:val="006E5E7E"/>
    <w:rsid w:val="006E6163"/>
    <w:rsid w:val="006E650F"/>
    <w:rsid w:val="006E7B2A"/>
    <w:rsid w:val="006E7D80"/>
    <w:rsid w:val="006F2E70"/>
    <w:rsid w:val="006F3369"/>
    <w:rsid w:val="006F3985"/>
    <w:rsid w:val="006F61B4"/>
    <w:rsid w:val="006F6377"/>
    <w:rsid w:val="006F6E2A"/>
    <w:rsid w:val="00700641"/>
    <w:rsid w:val="00701070"/>
    <w:rsid w:val="00703C49"/>
    <w:rsid w:val="00707F73"/>
    <w:rsid w:val="00710C64"/>
    <w:rsid w:val="00711BB9"/>
    <w:rsid w:val="00712E14"/>
    <w:rsid w:val="00713185"/>
    <w:rsid w:val="0071453B"/>
    <w:rsid w:val="00721907"/>
    <w:rsid w:val="00721A09"/>
    <w:rsid w:val="00721C8F"/>
    <w:rsid w:val="00721CB2"/>
    <w:rsid w:val="007224AA"/>
    <w:rsid w:val="0072259F"/>
    <w:rsid w:val="00723051"/>
    <w:rsid w:val="00723393"/>
    <w:rsid w:val="00723659"/>
    <w:rsid w:val="007242D4"/>
    <w:rsid w:val="00726486"/>
    <w:rsid w:val="00727222"/>
    <w:rsid w:val="00727D2E"/>
    <w:rsid w:val="00731FF3"/>
    <w:rsid w:val="00733249"/>
    <w:rsid w:val="00733C30"/>
    <w:rsid w:val="007345F3"/>
    <w:rsid w:val="00735AE3"/>
    <w:rsid w:val="00736666"/>
    <w:rsid w:val="007366AB"/>
    <w:rsid w:val="00736C36"/>
    <w:rsid w:val="0073794E"/>
    <w:rsid w:val="00737F10"/>
    <w:rsid w:val="00740CD8"/>
    <w:rsid w:val="00742D65"/>
    <w:rsid w:val="00746A3C"/>
    <w:rsid w:val="00746E01"/>
    <w:rsid w:val="0074799A"/>
    <w:rsid w:val="00750D4A"/>
    <w:rsid w:val="00750E45"/>
    <w:rsid w:val="00750E8C"/>
    <w:rsid w:val="0075130F"/>
    <w:rsid w:val="00751A65"/>
    <w:rsid w:val="00753334"/>
    <w:rsid w:val="0075701A"/>
    <w:rsid w:val="007611B7"/>
    <w:rsid w:val="00764E8C"/>
    <w:rsid w:val="00764F82"/>
    <w:rsid w:val="00766228"/>
    <w:rsid w:val="00771EFC"/>
    <w:rsid w:val="007721C8"/>
    <w:rsid w:val="007741D1"/>
    <w:rsid w:val="007746AE"/>
    <w:rsid w:val="00775D8F"/>
    <w:rsid w:val="00776FC1"/>
    <w:rsid w:val="00780928"/>
    <w:rsid w:val="00781B75"/>
    <w:rsid w:val="00782E78"/>
    <w:rsid w:val="00783AEA"/>
    <w:rsid w:val="00784FC5"/>
    <w:rsid w:val="00785185"/>
    <w:rsid w:val="00785796"/>
    <w:rsid w:val="00785974"/>
    <w:rsid w:val="00785FA0"/>
    <w:rsid w:val="00786CC3"/>
    <w:rsid w:val="00790500"/>
    <w:rsid w:val="00790817"/>
    <w:rsid w:val="007930E3"/>
    <w:rsid w:val="0079523C"/>
    <w:rsid w:val="0079603D"/>
    <w:rsid w:val="00797451"/>
    <w:rsid w:val="007A1BED"/>
    <w:rsid w:val="007A3BBC"/>
    <w:rsid w:val="007A3EB9"/>
    <w:rsid w:val="007A6A78"/>
    <w:rsid w:val="007A6BBF"/>
    <w:rsid w:val="007A6BEE"/>
    <w:rsid w:val="007A7310"/>
    <w:rsid w:val="007A7C57"/>
    <w:rsid w:val="007B1A0D"/>
    <w:rsid w:val="007B2023"/>
    <w:rsid w:val="007B226C"/>
    <w:rsid w:val="007B2C53"/>
    <w:rsid w:val="007B470B"/>
    <w:rsid w:val="007B50A4"/>
    <w:rsid w:val="007B62FB"/>
    <w:rsid w:val="007B6B5D"/>
    <w:rsid w:val="007B7392"/>
    <w:rsid w:val="007C090F"/>
    <w:rsid w:val="007C0953"/>
    <w:rsid w:val="007C14FF"/>
    <w:rsid w:val="007C2B6E"/>
    <w:rsid w:val="007C4317"/>
    <w:rsid w:val="007C4934"/>
    <w:rsid w:val="007C53BE"/>
    <w:rsid w:val="007C6E7E"/>
    <w:rsid w:val="007C737E"/>
    <w:rsid w:val="007C799A"/>
    <w:rsid w:val="007C7C8F"/>
    <w:rsid w:val="007D1530"/>
    <w:rsid w:val="007D17FE"/>
    <w:rsid w:val="007D30F1"/>
    <w:rsid w:val="007D5A3D"/>
    <w:rsid w:val="007D64A7"/>
    <w:rsid w:val="007D7205"/>
    <w:rsid w:val="007E111E"/>
    <w:rsid w:val="007E37A4"/>
    <w:rsid w:val="007E51FB"/>
    <w:rsid w:val="007E66BE"/>
    <w:rsid w:val="007E6A8E"/>
    <w:rsid w:val="007E6C25"/>
    <w:rsid w:val="007F0D7F"/>
    <w:rsid w:val="007F0E6D"/>
    <w:rsid w:val="007F1553"/>
    <w:rsid w:val="007F1800"/>
    <w:rsid w:val="007F22E7"/>
    <w:rsid w:val="007F2312"/>
    <w:rsid w:val="007F23ED"/>
    <w:rsid w:val="007F3790"/>
    <w:rsid w:val="007F4793"/>
    <w:rsid w:val="007F6E09"/>
    <w:rsid w:val="007F71E8"/>
    <w:rsid w:val="00800A10"/>
    <w:rsid w:val="00802138"/>
    <w:rsid w:val="00802A3C"/>
    <w:rsid w:val="00802C6D"/>
    <w:rsid w:val="00802F2A"/>
    <w:rsid w:val="0080302B"/>
    <w:rsid w:val="0080357A"/>
    <w:rsid w:val="00804358"/>
    <w:rsid w:val="00804FF3"/>
    <w:rsid w:val="00805035"/>
    <w:rsid w:val="00805080"/>
    <w:rsid w:val="008068BC"/>
    <w:rsid w:val="00811DB6"/>
    <w:rsid w:val="0081361B"/>
    <w:rsid w:val="0081483E"/>
    <w:rsid w:val="00814BBE"/>
    <w:rsid w:val="008172E2"/>
    <w:rsid w:val="00820066"/>
    <w:rsid w:val="008203CB"/>
    <w:rsid w:val="008211AB"/>
    <w:rsid w:val="00821E95"/>
    <w:rsid w:val="00822045"/>
    <w:rsid w:val="008229BF"/>
    <w:rsid w:val="008273D5"/>
    <w:rsid w:val="00830D55"/>
    <w:rsid w:val="00831D0A"/>
    <w:rsid w:val="00832053"/>
    <w:rsid w:val="008327C7"/>
    <w:rsid w:val="008348A4"/>
    <w:rsid w:val="00835253"/>
    <w:rsid w:val="008362DA"/>
    <w:rsid w:val="008400A4"/>
    <w:rsid w:val="00841418"/>
    <w:rsid w:val="00846E5D"/>
    <w:rsid w:val="0085002B"/>
    <w:rsid w:val="008522C1"/>
    <w:rsid w:val="008523B4"/>
    <w:rsid w:val="008550B6"/>
    <w:rsid w:val="008564E8"/>
    <w:rsid w:val="00860F12"/>
    <w:rsid w:val="00861793"/>
    <w:rsid w:val="008628E2"/>
    <w:rsid w:val="008645AB"/>
    <w:rsid w:val="00864BEF"/>
    <w:rsid w:val="0086614A"/>
    <w:rsid w:val="008662F0"/>
    <w:rsid w:val="008711E6"/>
    <w:rsid w:val="008730CD"/>
    <w:rsid w:val="00874254"/>
    <w:rsid w:val="00874C88"/>
    <w:rsid w:val="00875EFF"/>
    <w:rsid w:val="008761F8"/>
    <w:rsid w:val="0087633C"/>
    <w:rsid w:val="00876A5A"/>
    <w:rsid w:val="008823D9"/>
    <w:rsid w:val="00883816"/>
    <w:rsid w:val="008859B6"/>
    <w:rsid w:val="0088633F"/>
    <w:rsid w:val="0088738B"/>
    <w:rsid w:val="008873C2"/>
    <w:rsid w:val="00887AEE"/>
    <w:rsid w:val="00887B96"/>
    <w:rsid w:val="00887BEA"/>
    <w:rsid w:val="00890A49"/>
    <w:rsid w:val="00891F63"/>
    <w:rsid w:val="00893F23"/>
    <w:rsid w:val="00896D2E"/>
    <w:rsid w:val="008A1573"/>
    <w:rsid w:val="008A27D8"/>
    <w:rsid w:val="008A3491"/>
    <w:rsid w:val="008A39E4"/>
    <w:rsid w:val="008A6A81"/>
    <w:rsid w:val="008A6FE8"/>
    <w:rsid w:val="008A731C"/>
    <w:rsid w:val="008A7A4D"/>
    <w:rsid w:val="008B212E"/>
    <w:rsid w:val="008B2E49"/>
    <w:rsid w:val="008B3525"/>
    <w:rsid w:val="008B560F"/>
    <w:rsid w:val="008B6C9B"/>
    <w:rsid w:val="008B6D71"/>
    <w:rsid w:val="008B793F"/>
    <w:rsid w:val="008C0541"/>
    <w:rsid w:val="008C0640"/>
    <w:rsid w:val="008C1227"/>
    <w:rsid w:val="008C1769"/>
    <w:rsid w:val="008C1D1C"/>
    <w:rsid w:val="008C2372"/>
    <w:rsid w:val="008C30D9"/>
    <w:rsid w:val="008C48DE"/>
    <w:rsid w:val="008C52E1"/>
    <w:rsid w:val="008C5549"/>
    <w:rsid w:val="008C63E9"/>
    <w:rsid w:val="008C6474"/>
    <w:rsid w:val="008C72A2"/>
    <w:rsid w:val="008C7987"/>
    <w:rsid w:val="008C7A1A"/>
    <w:rsid w:val="008D0AC0"/>
    <w:rsid w:val="008D3D1A"/>
    <w:rsid w:val="008D3E20"/>
    <w:rsid w:val="008D62DC"/>
    <w:rsid w:val="008D763C"/>
    <w:rsid w:val="008D77F3"/>
    <w:rsid w:val="008E0EAD"/>
    <w:rsid w:val="008E2D5D"/>
    <w:rsid w:val="008E300A"/>
    <w:rsid w:val="008E7394"/>
    <w:rsid w:val="008E7B73"/>
    <w:rsid w:val="008F0476"/>
    <w:rsid w:val="008F3888"/>
    <w:rsid w:val="008F4768"/>
    <w:rsid w:val="008F4987"/>
    <w:rsid w:val="008F501D"/>
    <w:rsid w:val="008F5A8B"/>
    <w:rsid w:val="008F6150"/>
    <w:rsid w:val="008F6B6F"/>
    <w:rsid w:val="008F6EE0"/>
    <w:rsid w:val="008F7ECD"/>
    <w:rsid w:val="009001B4"/>
    <w:rsid w:val="00900411"/>
    <w:rsid w:val="009004DC"/>
    <w:rsid w:val="009024E5"/>
    <w:rsid w:val="0090266C"/>
    <w:rsid w:val="0090288E"/>
    <w:rsid w:val="009042A4"/>
    <w:rsid w:val="00905914"/>
    <w:rsid w:val="00905A82"/>
    <w:rsid w:val="009066F0"/>
    <w:rsid w:val="0090761E"/>
    <w:rsid w:val="00907C9F"/>
    <w:rsid w:val="009124A2"/>
    <w:rsid w:val="00912C10"/>
    <w:rsid w:val="00914BC9"/>
    <w:rsid w:val="00914ED4"/>
    <w:rsid w:val="00915762"/>
    <w:rsid w:val="009174CF"/>
    <w:rsid w:val="00920567"/>
    <w:rsid w:val="00925E6E"/>
    <w:rsid w:val="00930680"/>
    <w:rsid w:val="00930CC2"/>
    <w:rsid w:val="009332EE"/>
    <w:rsid w:val="00934870"/>
    <w:rsid w:val="009355A6"/>
    <w:rsid w:val="0093695A"/>
    <w:rsid w:val="00937A17"/>
    <w:rsid w:val="00940693"/>
    <w:rsid w:val="00941764"/>
    <w:rsid w:val="00945919"/>
    <w:rsid w:val="009536A8"/>
    <w:rsid w:val="00953A20"/>
    <w:rsid w:val="0095565F"/>
    <w:rsid w:val="009559E0"/>
    <w:rsid w:val="0095709E"/>
    <w:rsid w:val="0095749B"/>
    <w:rsid w:val="0096174C"/>
    <w:rsid w:val="00961C5B"/>
    <w:rsid w:val="0096245F"/>
    <w:rsid w:val="009629EE"/>
    <w:rsid w:val="009630A9"/>
    <w:rsid w:val="0096389F"/>
    <w:rsid w:val="0096436D"/>
    <w:rsid w:val="00965155"/>
    <w:rsid w:val="00967D13"/>
    <w:rsid w:val="00970F89"/>
    <w:rsid w:val="0097190F"/>
    <w:rsid w:val="00971C57"/>
    <w:rsid w:val="009727B1"/>
    <w:rsid w:val="00972ECF"/>
    <w:rsid w:val="0097410D"/>
    <w:rsid w:val="00976835"/>
    <w:rsid w:val="009771F6"/>
    <w:rsid w:val="0098188C"/>
    <w:rsid w:val="00981AD5"/>
    <w:rsid w:val="00983F3D"/>
    <w:rsid w:val="0098616F"/>
    <w:rsid w:val="00990CF9"/>
    <w:rsid w:val="00992817"/>
    <w:rsid w:val="009939F6"/>
    <w:rsid w:val="00993B48"/>
    <w:rsid w:val="009946AF"/>
    <w:rsid w:val="00994A0C"/>
    <w:rsid w:val="00997583"/>
    <w:rsid w:val="009A070E"/>
    <w:rsid w:val="009A18FD"/>
    <w:rsid w:val="009A2AB0"/>
    <w:rsid w:val="009A3C05"/>
    <w:rsid w:val="009A4A91"/>
    <w:rsid w:val="009A52FF"/>
    <w:rsid w:val="009A66E4"/>
    <w:rsid w:val="009B13B5"/>
    <w:rsid w:val="009B1F50"/>
    <w:rsid w:val="009B4FFD"/>
    <w:rsid w:val="009B5928"/>
    <w:rsid w:val="009B5AD3"/>
    <w:rsid w:val="009B640A"/>
    <w:rsid w:val="009B74C9"/>
    <w:rsid w:val="009C236E"/>
    <w:rsid w:val="009C31E2"/>
    <w:rsid w:val="009C644C"/>
    <w:rsid w:val="009C7AA2"/>
    <w:rsid w:val="009D07B2"/>
    <w:rsid w:val="009D1528"/>
    <w:rsid w:val="009D2255"/>
    <w:rsid w:val="009D33EB"/>
    <w:rsid w:val="009D3A9D"/>
    <w:rsid w:val="009D47C4"/>
    <w:rsid w:val="009D546B"/>
    <w:rsid w:val="009D551C"/>
    <w:rsid w:val="009D62DA"/>
    <w:rsid w:val="009D719A"/>
    <w:rsid w:val="009D739F"/>
    <w:rsid w:val="009E0A13"/>
    <w:rsid w:val="009E16AA"/>
    <w:rsid w:val="009E1DF2"/>
    <w:rsid w:val="009E330D"/>
    <w:rsid w:val="009E3ED8"/>
    <w:rsid w:val="009E40C1"/>
    <w:rsid w:val="009E73BD"/>
    <w:rsid w:val="009F03F0"/>
    <w:rsid w:val="009F2438"/>
    <w:rsid w:val="009F3089"/>
    <w:rsid w:val="009F3ABB"/>
    <w:rsid w:val="009F590E"/>
    <w:rsid w:val="009F5F56"/>
    <w:rsid w:val="009F623A"/>
    <w:rsid w:val="009F648A"/>
    <w:rsid w:val="00A00256"/>
    <w:rsid w:val="00A02364"/>
    <w:rsid w:val="00A06298"/>
    <w:rsid w:val="00A12EA9"/>
    <w:rsid w:val="00A1309E"/>
    <w:rsid w:val="00A13323"/>
    <w:rsid w:val="00A133E2"/>
    <w:rsid w:val="00A143E2"/>
    <w:rsid w:val="00A152FC"/>
    <w:rsid w:val="00A15639"/>
    <w:rsid w:val="00A15EAC"/>
    <w:rsid w:val="00A203FB"/>
    <w:rsid w:val="00A251B8"/>
    <w:rsid w:val="00A26360"/>
    <w:rsid w:val="00A27943"/>
    <w:rsid w:val="00A32A71"/>
    <w:rsid w:val="00A33EE1"/>
    <w:rsid w:val="00A3726F"/>
    <w:rsid w:val="00A37669"/>
    <w:rsid w:val="00A407C9"/>
    <w:rsid w:val="00A4124D"/>
    <w:rsid w:val="00A4215B"/>
    <w:rsid w:val="00A42AC8"/>
    <w:rsid w:val="00A435A4"/>
    <w:rsid w:val="00A43E68"/>
    <w:rsid w:val="00A44A35"/>
    <w:rsid w:val="00A45DC8"/>
    <w:rsid w:val="00A45FF0"/>
    <w:rsid w:val="00A46158"/>
    <w:rsid w:val="00A468FD"/>
    <w:rsid w:val="00A47CC2"/>
    <w:rsid w:val="00A50895"/>
    <w:rsid w:val="00A50BDD"/>
    <w:rsid w:val="00A5143F"/>
    <w:rsid w:val="00A53210"/>
    <w:rsid w:val="00A53488"/>
    <w:rsid w:val="00A54843"/>
    <w:rsid w:val="00A6044C"/>
    <w:rsid w:val="00A61DD4"/>
    <w:rsid w:val="00A626B2"/>
    <w:rsid w:val="00A644C4"/>
    <w:rsid w:val="00A64626"/>
    <w:rsid w:val="00A646D6"/>
    <w:rsid w:val="00A679D6"/>
    <w:rsid w:val="00A72743"/>
    <w:rsid w:val="00A738EA"/>
    <w:rsid w:val="00A747C4"/>
    <w:rsid w:val="00A8131E"/>
    <w:rsid w:val="00A81F53"/>
    <w:rsid w:val="00A8307B"/>
    <w:rsid w:val="00A84BCF"/>
    <w:rsid w:val="00A850CB"/>
    <w:rsid w:val="00A85383"/>
    <w:rsid w:val="00A85991"/>
    <w:rsid w:val="00A863B2"/>
    <w:rsid w:val="00A86682"/>
    <w:rsid w:val="00A87DE9"/>
    <w:rsid w:val="00A90B2F"/>
    <w:rsid w:val="00A90BE4"/>
    <w:rsid w:val="00A9150C"/>
    <w:rsid w:val="00AA2E8D"/>
    <w:rsid w:val="00AA58FE"/>
    <w:rsid w:val="00AA7C77"/>
    <w:rsid w:val="00AB10A9"/>
    <w:rsid w:val="00AB18E1"/>
    <w:rsid w:val="00AB3C87"/>
    <w:rsid w:val="00AB467A"/>
    <w:rsid w:val="00AB52A9"/>
    <w:rsid w:val="00AB6063"/>
    <w:rsid w:val="00AB62DD"/>
    <w:rsid w:val="00AC0097"/>
    <w:rsid w:val="00AC0DD9"/>
    <w:rsid w:val="00AC1757"/>
    <w:rsid w:val="00AC28A1"/>
    <w:rsid w:val="00AC3719"/>
    <w:rsid w:val="00AC4246"/>
    <w:rsid w:val="00AC6416"/>
    <w:rsid w:val="00AC71AC"/>
    <w:rsid w:val="00AC740B"/>
    <w:rsid w:val="00AC7CB6"/>
    <w:rsid w:val="00AD14C5"/>
    <w:rsid w:val="00AD431C"/>
    <w:rsid w:val="00AD4CBE"/>
    <w:rsid w:val="00AD5CA8"/>
    <w:rsid w:val="00AD60E5"/>
    <w:rsid w:val="00AD62B8"/>
    <w:rsid w:val="00AD6502"/>
    <w:rsid w:val="00AD7400"/>
    <w:rsid w:val="00AD7851"/>
    <w:rsid w:val="00AD788C"/>
    <w:rsid w:val="00AE0A59"/>
    <w:rsid w:val="00AE0C59"/>
    <w:rsid w:val="00AE0FA0"/>
    <w:rsid w:val="00AE3077"/>
    <w:rsid w:val="00AE3433"/>
    <w:rsid w:val="00AE3EAC"/>
    <w:rsid w:val="00AE5C8B"/>
    <w:rsid w:val="00AE5F65"/>
    <w:rsid w:val="00AE6BB4"/>
    <w:rsid w:val="00AE6DCB"/>
    <w:rsid w:val="00AE7BC0"/>
    <w:rsid w:val="00AF0397"/>
    <w:rsid w:val="00AF1B65"/>
    <w:rsid w:val="00AF37AB"/>
    <w:rsid w:val="00AF39FA"/>
    <w:rsid w:val="00AF5BBF"/>
    <w:rsid w:val="00AF68DA"/>
    <w:rsid w:val="00B00887"/>
    <w:rsid w:val="00B010BA"/>
    <w:rsid w:val="00B0186E"/>
    <w:rsid w:val="00B02DD3"/>
    <w:rsid w:val="00B038F9"/>
    <w:rsid w:val="00B03AAC"/>
    <w:rsid w:val="00B044C0"/>
    <w:rsid w:val="00B0519C"/>
    <w:rsid w:val="00B051B4"/>
    <w:rsid w:val="00B0536D"/>
    <w:rsid w:val="00B077F5"/>
    <w:rsid w:val="00B07BAD"/>
    <w:rsid w:val="00B106DF"/>
    <w:rsid w:val="00B10AE6"/>
    <w:rsid w:val="00B11528"/>
    <w:rsid w:val="00B12D2F"/>
    <w:rsid w:val="00B12F72"/>
    <w:rsid w:val="00B14244"/>
    <w:rsid w:val="00B16732"/>
    <w:rsid w:val="00B1681E"/>
    <w:rsid w:val="00B176D6"/>
    <w:rsid w:val="00B24B7A"/>
    <w:rsid w:val="00B25AAE"/>
    <w:rsid w:val="00B26434"/>
    <w:rsid w:val="00B2707B"/>
    <w:rsid w:val="00B303B1"/>
    <w:rsid w:val="00B32301"/>
    <w:rsid w:val="00B33790"/>
    <w:rsid w:val="00B35A13"/>
    <w:rsid w:val="00B369A8"/>
    <w:rsid w:val="00B37DC1"/>
    <w:rsid w:val="00B407F1"/>
    <w:rsid w:val="00B417BE"/>
    <w:rsid w:val="00B42956"/>
    <w:rsid w:val="00B43510"/>
    <w:rsid w:val="00B43C12"/>
    <w:rsid w:val="00B4454E"/>
    <w:rsid w:val="00B45F23"/>
    <w:rsid w:val="00B466AC"/>
    <w:rsid w:val="00B507B3"/>
    <w:rsid w:val="00B5177D"/>
    <w:rsid w:val="00B53BA4"/>
    <w:rsid w:val="00B541BB"/>
    <w:rsid w:val="00B542D3"/>
    <w:rsid w:val="00B57A65"/>
    <w:rsid w:val="00B60B85"/>
    <w:rsid w:val="00B623C9"/>
    <w:rsid w:val="00B62B75"/>
    <w:rsid w:val="00B64047"/>
    <w:rsid w:val="00B64B34"/>
    <w:rsid w:val="00B64D98"/>
    <w:rsid w:val="00B6614F"/>
    <w:rsid w:val="00B67781"/>
    <w:rsid w:val="00B679BD"/>
    <w:rsid w:val="00B70B1C"/>
    <w:rsid w:val="00B71592"/>
    <w:rsid w:val="00B71B1F"/>
    <w:rsid w:val="00B71FFB"/>
    <w:rsid w:val="00B7299C"/>
    <w:rsid w:val="00B72B06"/>
    <w:rsid w:val="00B7549E"/>
    <w:rsid w:val="00B75789"/>
    <w:rsid w:val="00B76378"/>
    <w:rsid w:val="00B76D70"/>
    <w:rsid w:val="00B800A5"/>
    <w:rsid w:val="00B8049B"/>
    <w:rsid w:val="00B81109"/>
    <w:rsid w:val="00B823EB"/>
    <w:rsid w:val="00B83060"/>
    <w:rsid w:val="00B8344A"/>
    <w:rsid w:val="00B854DE"/>
    <w:rsid w:val="00B866B1"/>
    <w:rsid w:val="00B873D1"/>
    <w:rsid w:val="00B93898"/>
    <w:rsid w:val="00B9492D"/>
    <w:rsid w:val="00B96C94"/>
    <w:rsid w:val="00B97234"/>
    <w:rsid w:val="00BA10F3"/>
    <w:rsid w:val="00BA32DB"/>
    <w:rsid w:val="00BA4907"/>
    <w:rsid w:val="00BA51F0"/>
    <w:rsid w:val="00BA5C4D"/>
    <w:rsid w:val="00BA64FA"/>
    <w:rsid w:val="00BB1CB5"/>
    <w:rsid w:val="00BB2228"/>
    <w:rsid w:val="00BB29B7"/>
    <w:rsid w:val="00BB2FC3"/>
    <w:rsid w:val="00BB3ABE"/>
    <w:rsid w:val="00BB4408"/>
    <w:rsid w:val="00BB50E7"/>
    <w:rsid w:val="00BB567E"/>
    <w:rsid w:val="00BB5CBD"/>
    <w:rsid w:val="00BB7006"/>
    <w:rsid w:val="00BC0BF7"/>
    <w:rsid w:val="00BC73EF"/>
    <w:rsid w:val="00BC75DA"/>
    <w:rsid w:val="00BD0175"/>
    <w:rsid w:val="00BD0608"/>
    <w:rsid w:val="00BD1070"/>
    <w:rsid w:val="00BD2446"/>
    <w:rsid w:val="00BD34D8"/>
    <w:rsid w:val="00BD4D8B"/>
    <w:rsid w:val="00BD52FD"/>
    <w:rsid w:val="00BD5C89"/>
    <w:rsid w:val="00BD7825"/>
    <w:rsid w:val="00BE22C6"/>
    <w:rsid w:val="00BE2E58"/>
    <w:rsid w:val="00BE3C13"/>
    <w:rsid w:val="00BE4F87"/>
    <w:rsid w:val="00BE55D7"/>
    <w:rsid w:val="00BE6C82"/>
    <w:rsid w:val="00BE775F"/>
    <w:rsid w:val="00BE7923"/>
    <w:rsid w:val="00BF0062"/>
    <w:rsid w:val="00BF072A"/>
    <w:rsid w:val="00BF2249"/>
    <w:rsid w:val="00BF3298"/>
    <w:rsid w:val="00BF5A3C"/>
    <w:rsid w:val="00BF6031"/>
    <w:rsid w:val="00BF662F"/>
    <w:rsid w:val="00BF7ACC"/>
    <w:rsid w:val="00C004AB"/>
    <w:rsid w:val="00C0151E"/>
    <w:rsid w:val="00C03E5E"/>
    <w:rsid w:val="00C075C0"/>
    <w:rsid w:val="00C078BF"/>
    <w:rsid w:val="00C07C87"/>
    <w:rsid w:val="00C10F17"/>
    <w:rsid w:val="00C122F9"/>
    <w:rsid w:val="00C13AE1"/>
    <w:rsid w:val="00C21F19"/>
    <w:rsid w:val="00C22FE9"/>
    <w:rsid w:val="00C243FC"/>
    <w:rsid w:val="00C32535"/>
    <w:rsid w:val="00C3398B"/>
    <w:rsid w:val="00C35CE3"/>
    <w:rsid w:val="00C36C2C"/>
    <w:rsid w:val="00C36D28"/>
    <w:rsid w:val="00C40371"/>
    <w:rsid w:val="00C40387"/>
    <w:rsid w:val="00C40FF7"/>
    <w:rsid w:val="00C41444"/>
    <w:rsid w:val="00C438A7"/>
    <w:rsid w:val="00C44FED"/>
    <w:rsid w:val="00C453F7"/>
    <w:rsid w:val="00C45A24"/>
    <w:rsid w:val="00C465EC"/>
    <w:rsid w:val="00C46C4F"/>
    <w:rsid w:val="00C50F10"/>
    <w:rsid w:val="00C51313"/>
    <w:rsid w:val="00C53394"/>
    <w:rsid w:val="00C5343B"/>
    <w:rsid w:val="00C537AB"/>
    <w:rsid w:val="00C54BD4"/>
    <w:rsid w:val="00C60949"/>
    <w:rsid w:val="00C62CE9"/>
    <w:rsid w:val="00C63FE9"/>
    <w:rsid w:val="00C64D41"/>
    <w:rsid w:val="00C65549"/>
    <w:rsid w:val="00C66875"/>
    <w:rsid w:val="00C7063E"/>
    <w:rsid w:val="00C70EED"/>
    <w:rsid w:val="00C723A1"/>
    <w:rsid w:val="00C7331D"/>
    <w:rsid w:val="00C7444D"/>
    <w:rsid w:val="00C76ACF"/>
    <w:rsid w:val="00C76CAD"/>
    <w:rsid w:val="00C77542"/>
    <w:rsid w:val="00C82C77"/>
    <w:rsid w:val="00C849EE"/>
    <w:rsid w:val="00C85487"/>
    <w:rsid w:val="00C85DDB"/>
    <w:rsid w:val="00C85EB8"/>
    <w:rsid w:val="00C85FAF"/>
    <w:rsid w:val="00C86D5F"/>
    <w:rsid w:val="00C87655"/>
    <w:rsid w:val="00C87958"/>
    <w:rsid w:val="00C927DD"/>
    <w:rsid w:val="00C9449F"/>
    <w:rsid w:val="00C94E98"/>
    <w:rsid w:val="00C963CF"/>
    <w:rsid w:val="00C971FC"/>
    <w:rsid w:val="00CA125D"/>
    <w:rsid w:val="00CA2764"/>
    <w:rsid w:val="00CA2894"/>
    <w:rsid w:val="00CA2C4D"/>
    <w:rsid w:val="00CA49ED"/>
    <w:rsid w:val="00CA4E2A"/>
    <w:rsid w:val="00CA51DF"/>
    <w:rsid w:val="00CA6CDD"/>
    <w:rsid w:val="00CA6F9E"/>
    <w:rsid w:val="00CB12CD"/>
    <w:rsid w:val="00CB17CF"/>
    <w:rsid w:val="00CB220D"/>
    <w:rsid w:val="00CB2CAA"/>
    <w:rsid w:val="00CB7524"/>
    <w:rsid w:val="00CB7C69"/>
    <w:rsid w:val="00CC0901"/>
    <w:rsid w:val="00CC1E5D"/>
    <w:rsid w:val="00CC3DBF"/>
    <w:rsid w:val="00CC4334"/>
    <w:rsid w:val="00CC4ABE"/>
    <w:rsid w:val="00CC4C8B"/>
    <w:rsid w:val="00CC4D4B"/>
    <w:rsid w:val="00CC5784"/>
    <w:rsid w:val="00CC6CA3"/>
    <w:rsid w:val="00CC6E99"/>
    <w:rsid w:val="00CC7277"/>
    <w:rsid w:val="00CC7B37"/>
    <w:rsid w:val="00CD0471"/>
    <w:rsid w:val="00CD2F3B"/>
    <w:rsid w:val="00CD3363"/>
    <w:rsid w:val="00CD466E"/>
    <w:rsid w:val="00CD76EE"/>
    <w:rsid w:val="00CE0676"/>
    <w:rsid w:val="00CE0D71"/>
    <w:rsid w:val="00CE1EC3"/>
    <w:rsid w:val="00CE4B39"/>
    <w:rsid w:val="00CE69F5"/>
    <w:rsid w:val="00CE719D"/>
    <w:rsid w:val="00CE7972"/>
    <w:rsid w:val="00CF1999"/>
    <w:rsid w:val="00CF1D06"/>
    <w:rsid w:val="00CF1FE4"/>
    <w:rsid w:val="00CF4709"/>
    <w:rsid w:val="00CF58E8"/>
    <w:rsid w:val="00CF6843"/>
    <w:rsid w:val="00D002C9"/>
    <w:rsid w:val="00D0213A"/>
    <w:rsid w:val="00D026B4"/>
    <w:rsid w:val="00D042EF"/>
    <w:rsid w:val="00D061ED"/>
    <w:rsid w:val="00D06954"/>
    <w:rsid w:val="00D06DE8"/>
    <w:rsid w:val="00D07967"/>
    <w:rsid w:val="00D127DB"/>
    <w:rsid w:val="00D13C20"/>
    <w:rsid w:val="00D14ED1"/>
    <w:rsid w:val="00D15E92"/>
    <w:rsid w:val="00D2166A"/>
    <w:rsid w:val="00D21A1C"/>
    <w:rsid w:val="00D23833"/>
    <w:rsid w:val="00D23BFF"/>
    <w:rsid w:val="00D23E6F"/>
    <w:rsid w:val="00D25131"/>
    <w:rsid w:val="00D26B23"/>
    <w:rsid w:val="00D27437"/>
    <w:rsid w:val="00D27EEB"/>
    <w:rsid w:val="00D314DA"/>
    <w:rsid w:val="00D35E7E"/>
    <w:rsid w:val="00D36765"/>
    <w:rsid w:val="00D3710B"/>
    <w:rsid w:val="00D379F3"/>
    <w:rsid w:val="00D42609"/>
    <w:rsid w:val="00D42AE3"/>
    <w:rsid w:val="00D4504F"/>
    <w:rsid w:val="00D4569B"/>
    <w:rsid w:val="00D47EAF"/>
    <w:rsid w:val="00D50931"/>
    <w:rsid w:val="00D513F2"/>
    <w:rsid w:val="00D5318E"/>
    <w:rsid w:val="00D5369E"/>
    <w:rsid w:val="00D53CC4"/>
    <w:rsid w:val="00D55488"/>
    <w:rsid w:val="00D5795D"/>
    <w:rsid w:val="00D64F31"/>
    <w:rsid w:val="00D65A90"/>
    <w:rsid w:val="00D673F2"/>
    <w:rsid w:val="00D674C6"/>
    <w:rsid w:val="00D708DE"/>
    <w:rsid w:val="00D7093F"/>
    <w:rsid w:val="00D7140D"/>
    <w:rsid w:val="00D723D2"/>
    <w:rsid w:val="00D7678C"/>
    <w:rsid w:val="00D77F09"/>
    <w:rsid w:val="00D80736"/>
    <w:rsid w:val="00D82895"/>
    <w:rsid w:val="00D83060"/>
    <w:rsid w:val="00D86092"/>
    <w:rsid w:val="00D86ACE"/>
    <w:rsid w:val="00D873C9"/>
    <w:rsid w:val="00D87AAD"/>
    <w:rsid w:val="00D9075D"/>
    <w:rsid w:val="00D93F13"/>
    <w:rsid w:val="00D9547A"/>
    <w:rsid w:val="00D95BB3"/>
    <w:rsid w:val="00D96B22"/>
    <w:rsid w:val="00D97DA8"/>
    <w:rsid w:val="00DA07CF"/>
    <w:rsid w:val="00DA2AFF"/>
    <w:rsid w:val="00DA4141"/>
    <w:rsid w:val="00DA4215"/>
    <w:rsid w:val="00DA7500"/>
    <w:rsid w:val="00DB38DC"/>
    <w:rsid w:val="00DB3ECF"/>
    <w:rsid w:val="00DB4E04"/>
    <w:rsid w:val="00DB677C"/>
    <w:rsid w:val="00DC5766"/>
    <w:rsid w:val="00DC5889"/>
    <w:rsid w:val="00DC5943"/>
    <w:rsid w:val="00DC5C4E"/>
    <w:rsid w:val="00DC5CEB"/>
    <w:rsid w:val="00DC5FF8"/>
    <w:rsid w:val="00DD033E"/>
    <w:rsid w:val="00DD22F7"/>
    <w:rsid w:val="00DD484F"/>
    <w:rsid w:val="00DD4E39"/>
    <w:rsid w:val="00DD593A"/>
    <w:rsid w:val="00DD6BB3"/>
    <w:rsid w:val="00DD6E4B"/>
    <w:rsid w:val="00DD6F6C"/>
    <w:rsid w:val="00DE0647"/>
    <w:rsid w:val="00DE1F7A"/>
    <w:rsid w:val="00DE34D1"/>
    <w:rsid w:val="00DE455D"/>
    <w:rsid w:val="00DE588A"/>
    <w:rsid w:val="00DE7449"/>
    <w:rsid w:val="00DE7713"/>
    <w:rsid w:val="00DE7883"/>
    <w:rsid w:val="00DF06E7"/>
    <w:rsid w:val="00DF08C4"/>
    <w:rsid w:val="00DF1357"/>
    <w:rsid w:val="00DF1A9D"/>
    <w:rsid w:val="00DF213E"/>
    <w:rsid w:val="00DF3DD0"/>
    <w:rsid w:val="00DF549A"/>
    <w:rsid w:val="00DF5CA8"/>
    <w:rsid w:val="00DF6CBC"/>
    <w:rsid w:val="00DF7036"/>
    <w:rsid w:val="00DF72BE"/>
    <w:rsid w:val="00DF7417"/>
    <w:rsid w:val="00E00B4B"/>
    <w:rsid w:val="00E00E82"/>
    <w:rsid w:val="00E02B7A"/>
    <w:rsid w:val="00E04D52"/>
    <w:rsid w:val="00E06334"/>
    <w:rsid w:val="00E07812"/>
    <w:rsid w:val="00E07CF0"/>
    <w:rsid w:val="00E105EE"/>
    <w:rsid w:val="00E10B7F"/>
    <w:rsid w:val="00E13032"/>
    <w:rsid w:val="00E1343F"/>
    <w:rsid w:val="00E13794"/>
    <w:rsid w:val="00E13EC3"/>
    <w:rsid w:val="00E144EB"/>
    <w:rsid w:val="00E15199"/>
    <w:rsid w:val="00E17583"/>
    <w:rsid w:val="00E22FD5"/>
    <w:rsid w:val="00E2310F"/>
    <w:rsid w:val="00E23F3C"/>
    <w:rsid w:val="00E24C88"/>
    <w:rsid w:val="00E24F08"/>
    <w:rsid w:val="00E25AAB"/>
    <w:rsid w:val="00E271F3"/>
    <w:rsid w:val="00E302BE"/>
    <w:rsid w:val="00E30F41"/>
    <w:rsid w:val="00E3145D"/>
    <w:rsid w:val="00E31A3D"/>
    <w:rsid w:val="00E32070"/>
    <w:rsid w:val="00E32C2E"/>
    <w:rsid w:val="00E347F5"/>
    <w:rsid w:val="00E35BE1"/>
    <w:rsid w:val="00E37102"/>
    <w:rsid w:val="00E37221"/>
    <w:rsid w:val="00E3749B"/>
    <w:rsid w:val="00E37557"/>
    <w:rsid w:val="00E4072D"/>
    <w:rsid w:val="00E40A9D"/>
    <w:rsid w:val="00E4559F"/>
    <w:rsid w:val="00E4562C"/>
    <w:rsid w:val="00E45C7D"/>
    <w:rsid w:val="00E46125"/>
    <w:rsid w:val="00E5104E"/>
    <w:rsid w:val="00E510AC"/>
    <w:rsid w:val="00E52509"/>
    <w:rsid w:val="00E540A3"/>
    <w:rsid w:val="00E5430A"/>
    <w:rsid w:val="00E544FD"/>
    <w:rsid w:val="00E54D6D"/>
    <w:rsid w:val="00E55CEE"/>
    <w:rsid w:val="00E56354"/>
    <w:rsid w:val="00E576D2"/>
    <w:rsid w:val="00E6041F"/>
    <w:rsid w:val="00E61D18"/>
    <w:rsid w:val="00E63110"/>
    <w:rsid w:val="00E63B12"/>
    <w:rsid w:val="00E65673"/>
    <w:rsid w:val="00E6622C"/>
    <w:rsid w:val="00E6673E"/>
    <w:rsid w:val="00E667AA"/>
    <w:rsid w:val="00E66EDB"/>
    <w:rsid w:val="00E704B7"/>
    <w:rsid w:val="00E70958"/>
    <w:rsid w:val="00E73916"/>
    <w:rsid w:val="00E75A8F"/>
    <w:rsid w:val="00E76B92"/>
    <w:rsid w:val="00E770EE"/>
    <w:rsid w:val="00E77B0F"/>
    <w:rsid w:val="00E80BCE"/>
    <w:rsid w:val="00E8112C"/>
    <w:rsid w:val="00E814F9"/>
    <w:rsid w:val="00E82764"/>
    <w:rsid w:val="00E82B0C"/>
    <w:rsid w:val="00E82FC4"/>
    <w:rsid w:val="00E85112"/>
    <w:rsid w:val="00E86319"/>
    <w:rsid w:val="00E87155"/>
    <w:rsid w:val="00E873DA"/>
    <w:rsid w:val="00E87666"/>
    <w:rsid w:val="00E87C0F"/>
    <w:rsid w:val="00E9013D"/>
    <w:rsid w:val="00E91589"/>
    <w:rsid w:val="00E91F02"/>
    <w:rsid w:val="00E969DD"/>
    <w:rsid w:val="00E97725"/>
    <w:rsid w:val="00EA4747"/>
    <w:rsid w:val="00EA5AFF"/>
    <w:rsid w:val="00EA62DA"/>
    <w:rsid w:val="00EA6520"/>
    <w:rsid w:val="00EA6B8D"/>
    <w:rsid w:val="00EB0AE7"/>
    <w:rsid w:val="00EB21E9"/>
    <w:rsid w:val="00EB283E"/>
    <w:rsid w:val="00EB2F6E"/>
    <w:rsid w:val="00EB41F0"/>
    <w:rsid w:val="00EB5268"/>
    <w:rsid w:val="00EB52EF"/>
    <w:rsid w:val="00EB6AD9"/>
    <w:rsid w:val="00EB708F"/>
    <w:rsid w:val="00EC0277"/>
    <w:rsid w:val="00EC06C3"/>
    <w:rsid w:val="00EC0FC0"/>
    <w:rsid w:val="00EC3E87"/>
    <w:rsid w:val="00EC4280"/>
    <w:rsid w:val="00EC4BD4"/>
    <w:rsid w:val="00EC4CDA"/>
    <w:rsid w:val="00EC636E"/>
    <w:rsid w:val="00ED0AB2"/>
    <w:rsid w:val="00ED4CC6"/>
    <w:rsid w:val="00ED6309"/>
    <w:rsid w:val="00EE0322"/>
    <w:rsid w:val="00EE0591"/>
    <w:rsid w:val="00EE2311"/>
    <w:rsid w:val="00EE24B7"/>
    <w:rsid w:val="00EE24E8"/>
    <w:rsid w:val="00EE2797"/>
    <w:rsid w:val="00EE2E80"/>
    <w:rsid w:val="00EE4282"/>
    <w:rsid w:val="00EE43EB"/>
    <w:rsid w:val="00EE56E2"/>
    <w:rsid w:val="00EE5858"/>
    <w:rsid w:val="00EE5C5E"/>
    <w:rsid w:val="00EE7491"/>
    <w:rsid w:val="00EF04F4"/>
    <w:rsid w:val="00EF1AC2"/>
    <w:rsid w:val="00EF1FFC"/>
    <w:rsid w:val="00EF3506"/>
    <w:rsid w:val="00EF37DE"/>
    <w:rsid w:val="00EF3AA5"/>
    <w:rsid w:val="00EF4201"/>
    <w:rsid w:val="00EF425D"/>
    <w:rsid w:val="00EF464B"/>
    <w:rsid w:val="00EF4A73"/>
    <w:rsid w:val="00EF60ED"/>
    <w:rsid w:val="00EF63ED"/>
    <w:rsid w:val="00EF74E9"/>
    <w:rsid w:val="00EF774F"/>
    <w:rsid w:val="00EF784E"/>
    <w:rsid w:val="00F01306"/>
    <w:rsid w:val="00F03659"/>
    <w:rsid w:val="00F05105"/>
    <w:rsid w:val="00F05197"/>
    <w:rsid w:val="00F05299"/>
    <w:rsid w:val="00F06E84"/>
    <w:rsid w:val="00F070C9"/>
    <w:rsid w:val="00F073B9"/>
    <w:rsid w:val="00F07A60"/>
    <w:rsid w:val="00F07BFE"/>
    <w:rsid w:val="00F14952"/>
    <w:rsid w:val="00F149CD"/>
    <w:rsid w:val="00F15B83"/>
    <w:rsid w:val="00F16CE2"/>
    <w:rsid w:val="00F20266"/>
    <w:rsid w:val="00F208B0"/>
    <w:rsid w:val="00F230BD"/>
    <w:rsid w:val="00F23201"/>
    <w:rsid w:val="00F23728"/>
    <w:rsid w:val="00F238C0"/>
    <w:rsid w:val="00F25354"/>
    <w:rsid w:val="00F256F4"/>
    <w:rsid w:val="00F26867"/>
    <w:rsid w:val="00F27FCE"/>
    <w:rsid w:val="00F3075A"/>
    <w:rsid w:val="00F31154"/>
    <w:rsid w:val="00F315FA"/>
    <w:rsid w:val="00F31BCA"/>
    <w:rsid w:val="00F32BAC"/>
    <w:rsid w:val="00F35BBD"/>
    <w:rsid w:val="00F36858"/>
    <w:rsid w:val="00F371DB"/>
    <w:rsid w:val="00F377EB"/>
    <w:rsid w:val="00F37D3D"/>
    <w:rsid w:val="00F4133C"/>
    <w:rsid w:val="00F43FE7"/>
    <w:rsid w:val="00F443C0"/>
    <w:rsid w:val="00F4528D"/>
    <w:rsid w:val="00F465F3"/>
    <w:rsid w:val="00F502C5"/>
    <w:rsid w:val="00F54328"/>
    <w:rsid w:val="00F548F8"/>
    <w:rsid w:val="00F54EB1"/>
    <w:rsid w:val="00F551F9"/>
    <w:rsid w:val="00F56C2A"/>
    <w:rsid w:val="00F56EAA"/>
    <w:rsid w:val="00F57391"/>
    <w:rsid w:val="00F57C14"/>
    <w:rsid w:val="00F608FA"/>
    <w:rsid w:val="00F61253"/>
    <w:rsid w:val="00F6458E"/>
    <w:rsid w:val="00F64BC7"/>
    <w:rsid w:val="00F64E9E"/>
    <w:rsid w:val="00F66E9F"/>
    <w:rsid w:val="00F670FF"/>
    <w:rsid w:val="00F6793B"/>
    <w:rsid w:val="00F71A04"/>
    <w:rsid w:val="00F71D53"/>
    <w:rsid w:val="00F742F4"/>
    <w:rsid w:val="00F77C7E"/>
    <w:rsid w:val="00F8161C"/>
    <w:rsid w:val="00F8179F"/>
    <w:rsid w:val="00F817B8"/>
    <w:rsid w:val="00F83129"/>
    <w:rsid w:val="00F854B7"/>
    <w:rsid w:val="00F8630B"/>
    <w:rsid w:val="00F86408"/>
    <w:rsid w:val="00F87D5C"/>
    <w:rsid w:val="00F90EEE"/>
    <w:rsid w:val="00F91453"/>
    <w:rsid w:val="00F91BD9"/>
    <w:rsid w:val="00F932AA"/>
    <w:rsid w:val="00F97366"/>
    <w:rsid w:val="00FA0492"/>
    <w:rsid w:val="00FA0BCC"/>
    <w:rsid w:val="00FA100B"/>
    <w:rsid w:val="00FA15D0"/>
    <w:rsid w:val="00FA1C18"/>
    <w:rsid w:val="00FA2261"/>
    <w:rsid w:val="00FA244F"/>
    <w:rsid w:val="00FA2D86"/>
    <w:rsid w:val="00FA2D8E"/>
    <w:rsid w:val="00FA53E8"/>
    <w:rsid w:val="00FA578D"/>
    <w:rsid w:val="00FA73CE"/>
    <w:rsid w:val="00FB0484"/>
    <w:rsid w:val="00FB26FA"/>
    <w:rsid w:val="00FB2D8E"/>
    <w:rsid w:val="00FB32DF"/>
    <w:rsid w:val="00FB3C29"/>
    <w:rsid w:val="00FB3FFF"/>
    <w:rsid w:val="00FB495F"/>
    <w:rsid w:val="00FB4A6E"/>
    <w:rsid w:val="00FB66D9"/>
    <w:rsid w:val="00FB6B2B"/>
    <w:rsid w:val="00FB6EDA"/>
    <w:rsid w:val="00FB722C"/>
    <w:rsid w:val="00FC05AB"/>
    <w:rsid w:val="00FC0BA4"/>
    <w:rsid w:val="00FC14FC"/>
    <w:rsid w:val="00FC1882"/>
    <w:rsid w:val="00FC23FE"/>
    <w:rsid w:val="00FC2D63"/>
    <w:rsid w:val="00FC2F9D"/>
    <w:rsid w:val="00FC3369"/>
    <w:rsid w:val="00FC7C3C"/>
    <w:rsid w:val="00FD11A4"/>
    <w:rsid w:val="00FD3A5A"/>
    <w:rsid w:val="00FD4C32"/>
    <w:rsid w:val="00FD59C7"/>
    <w:rsid w:val="00FD5B10"/>
    <w:rsid w:val="00FD5D3F"/>
    <w:rsid w:val="00FD5E15"/>
    <w:rsid w:val="00FD63AD"/>
    <w:rsid w:val="00FD7E89"/>
    <w:rsid w:val="00FE001C"/>
    <w:rsid w:val="00FE0790"/>
    <w:rsid w:val="00FE26B0"/>
    <w:rsid w:val="00FE2D8C"/>
    <w:rsid w:val="00FE4B83"/>
    <w:rsid w:val="00FE70A3"/>
    <w:rsid w:val="00FE7988"/>
    <w:rsid w:val="00FF113B"/>
    <w:rsid w:val="00FF1170"/>
    <w:rsid w:val="00FF2370"/>
    <w:rsid w:val="00FF2BC9"/>
    <w:rsid w:val="00FF3A6E"/>
    <w:rsid w:val="00FF6050"/>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9347A"/>
  <w15:chartTrackingRefBased/>
  <w15:docId w15:val="{1EC7CB90-0F53-44D6-85BE-1142D7048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H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3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03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03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003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03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03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3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3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3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03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03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003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03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03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3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3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3BA"/>
    <w:rPr>
      <w:rFonts w:eastAsiaTheme="majorEastAsia" w:cstheme="majorBidi"/>
      <w:color w:val="272727" w:themeColor="text1" w:themeTint="D8"/>
    </w:rPr>
  </w:style>
  <w:style w:type="paragraph" w:styleId="Title">
    <w:name w:val="Title"/>
    <w:basedOn w:val="Normal"/>
    <w:next w:val="Normal"/>
    <w:link w:val="TitleChar"/>
    <w:uiPriority w:val="10"/>
    <w:qFormat/>
    <w:rsid w:val="002003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3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3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3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3BA"/>
    <w:pPr>
      <w:spacing w:before="160"/>
      <w:jc w:val="center"/>
    </w:pPr>
    <w:rPr>
      <w:i/>
      <w:iCs/>
      <w:color w:val="404040" w:themeColor="text1" w:themeTint="BF"/>
    </w:rPr>
  </w:style>
  <w:style w:type="character" w:customStyle="1" w:styleId="QuoteChar">
    <w:name w:val="Quote Char"/>
    <w:basedOn w:val="DefaultParagraphFont"/>
    <w:link w:val="Quote"/>
    <w:uiPriority w:val="29"/>
    <w:rsid w:val="002003BA"/>
    <w:rPr>
      <w:i/>
      <w:iCs/>
      <w:color w:val="404040" w:themeColor="text1" w:themeTint="BF"/>
    </w:rPr>
  </w:style>
  <w:style w:type="paragraph" w:styleId="ListParagraph">
    <w:name w:val="List Paragraph"/>
    <w:basedOn w:val="Normal"/>
    <w:uiPriority w:val="34"/>
    <w:qFormat/>
    <w:rsid w:val="002003BA"/>
    <w:pPr>
      <w:ind w:left="720"/>
      <w:contextualSpacing/>
    </w:pPr>
  </w:style>
  <w:style w:type="character" w:styleId="IntenseEmphasis">
    <w:name w:val="Intense Emphasis"/>
    <w:basedOn w:val="DefaultParagraphFont"/>
    <w:uiPriority w:val="21"/>
    <w:qFormat/>
    <w:rsid w:val="002003BA"/>
    <w:rPr>
      <w:i/>
      <w:iCs/>
      <w:color w:val="0F4761" w:themeColor="accent1" w:themeShade="BF"/>
    </w:rPr>
  </w:style>
  <w:style w:type="paragraph" w:styleId="IntenseQuote">
    <w:name w:val="Intense Quote"/>
    <w:basedOn w:val="Normal"/>
    <w:next w:val="Normal"/>
    <w:link w:val="IntenseQuoteChar"/>
    <w:uiPriority w:val="30"/>
    <w:qFormat/>
    <w:rsid w:val="002003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03BA"/>
    <w:rPr>
      <w:i/>
      <w:iCs/>
      <w:color w:val="0F4761" w:themeColor="accent1" w:themeShade="BF"/>
    </w:rPr>
  </w:style>
  <w:style w:type="character" w:styleId="IntenseReference">
    <w:name w:val="Intense Reference"/>
    <w:basedOn w:val="DefaultParagraphFont"/>
    <w:uiPriority w:val="32"/>
    <w:qFormat/>
    <w:rsid w:val="002003BA"/>
    <w:rPr>
      <w:b/>
      <w:bCs/>
      <w:smallCaps/>
      <w:color w:val="0F4761" w:themeColor="accent1" w:themeShade="BF"/>
      <w:spacing w:val="5"/>
    </w:rPr>
  </w:style>
  <w:style w:type="paragraph" w:styleId="TOCHeading">
    <w:name w:val="TOC Heading"/>
    <w:basedOn w:val="Heading1"/>
    <w:next w:val="Normal"/>
    <w:uiPriority w:val="39"/>
    <w:unhideWhenUsed/>
    <w:qFormat/>
    <w:rsid w:val="003D11F8"/>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9A6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6E4"/>
  </w:style>
  <w:style w:type="paragraph" w:styleId="Footer">
    <w:name w:val="footer"/>
    <w:basedOn w:val="Normal"/>
    <w:link w:val="FooterChar"/>
    <w:uiPriority w:val="99"/>
    <w:unhideWhenUsed/>
    <w:rsid w:val="009A6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6E4"/>
  </w:style>
  <w:style w:type="paragraph" w:styleId="TOC1">
    <w:name w:val="toc 1"/>
    <w:basedOn w:val="Normal"/>
    <w:next w:val="Normal"/>
    <w:autoRedefine/>
    <w:uiPriority w:val="39"/>
    <w:unhideWhenUsed/>
    <w:rsid w:val="002F3F7D"/>
    <w:pPr>
      <w:spacing w:after="100"/>
    </w:pPr>
  </w:style>
  <w:style w:type="paragraph" w:styleId="TOC2">
    <w:name w:val="toc 2"/>
    <w:basedOn w:val="Normal"/>
    <w:next w:val="Normal"/>
    <w:autoRedefine/>
    <w:uiPriority w:val="39"/>
    <w:unhideWhenUsed/>
    <w:rsid w:val="002F3F7D"/>
    <w:pPr>
      <w:spacing w:after="100"/>
      <w:ind w:left="240"/>
    </w:pPr>
  </w:style>
  <w:style w:type="paragraph" w:styleId="TOC3">
    <w:name w:val="toc 3"/>
    <w:basedOn w:val="Normal"/>
    <w:next w:val="Normal"/>
    <w:autoRedefine/>
    <w:uiPriority w:val="39"/>
    <w:unhideWhenUsed/>
    <w:rsid w:val="002F3F7D"/>
    <w:pPr>
      <w:spacing w:after="100"/>
      <w:ind w:left="480"/>
    </w:pPr>
  </w:style>
  <w:style w:type="character" w:styleId="Hyperlink">
    <w:name w:val="Hyperlink"/>
    <w:basedOn w:val="DefaultParagraphFont"/>
    <w:uiPriority w:val="99"/>
    <w:unhideWhenUsed/>
    <w:rsid w:val="002F3F7D"/>
    <w:rPr>
      <w:color w:val="467886" w:themeColor="hyperlink"/>
      <w:u w:val="single"/>
    </w:rPr>
  </w:style>
  <w:style w:type="paragraph" w:styleId="Bibliography">
    <w:name w:val="Bibliography"/>
    <w:basedOn w:val="Normal"/>
    <w:next w:val="Normal"/>
    <w:uiPriority w:val="37"/>
    <w:unhideWhenUsed/>
    <w:rsid w:val="00A13323"/>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11747">
      <w:bodyDiv w:val="1"/>
      <w:marLeft w:val="0"/>
      <w:marRight w:val="0"/>
      <w:marTop w:val="0"/>
      <w:marBottom w:val="0"/>
      <w:divBdr>
        <w:top w:val="none" w:sz="0" w:space="0" w:color="auto"/>
        <w:left w:val="none" w:sz="0" w:space="0" w:color="auto"/>
        <w:bottom w:val="none" w:sz="0" w:space="0" w:color="auto"/>
        <w:right w:val="none" w:sz="0" w:space="0" w:color="auto"/>
      </w:divBdr>
      <w:divsChild>
        <w:div w:id="1314599995">
          <w:marLeft w:val="0"/>
          <w:marRight w:val="0"/>
          <w:marTop w:val="0"/>
          <w:marBottom w:val="0"/>
          <w:divBdr>
            <w:top w:val="single" w:sz="2" w:space="0" w:color="auto"/>
            <w:left w:val="single" w:sz="2" w:space="4" w:color="auto"/>
            <w:bottom w:val="single" w:sz="2" w:space="0" w:color="auto"/>
            <w:right w:val="single" w:sz="2" w:space="4" w:color="auto"/>
          </w:divBdr>
        </w:div>
        <w:div w:id="99223709">
          <w:marLeft w:val="0"/>
          <w:marRight w:val="0"/>
          <w:marTop w:val="0"/>
          <w:marBottom w:val="0"/>
          <w:divBdr>
            <w:top w:val="single" w:sz="2" w:space="0" w:color="auto"/>
            <w:left w:val="single" w:sz="2" w:space="4" w:color="auto"/>
            <w:bottom w:val="single" w:sz="2" w:space="0" w:color="auto"/>
            <w:right w:val="single" w:sz="2" w:space="4" w:color="auto"/>
          </w:divBdr>
        </w:div>
        <w:div w:id="133182005">
          <w:marLeft w:val="0"/>
          <w:marRight w:val="0"/>
          <w:marTop w:val="0"/>
          <w:marBottom w:val="0"/>
          <w:divBdr>
            <w:top w:val="single" w:sz="2" w:space="0" w:color="auto"/>
            <w:left w:val="single" w:sz="2" w:space="4" w:color="auto"/>
            <w:bottom w:val="single" w:sz="2" w:space="0" w:color="auto"/>
            <w:right w:val="single" w:sz="2" w:space="4" w:color="auto"/>
          </w:divBdr>
        </w:div>
        <w:div w:id="1475485965">
          <w:marLeft w:val="0"/>
          <w:marRight w:val="0"/>
          <w:marTop w:val="0"/>
          <w:marBottom w:val="0"/>
          <w:divBdr>
            <w:top w:val="single" w:sz="2" w:space="0" w:color="auto"/>
            <w:left w:val="single" w:sz="2" w:space="4" w:color="auto"/>
            <w:bottom w:val="single" w:sz="2" w:space="0" w:color="auto"/>
            <w:right w:val="single" w:sz="2" w:space="4" w:color="auto"/>
          </w:divBdr>
        </w:div>
      </w:divsChild>
    </w:div>
    <w:div w:id="210776052">
      <w:bodyDiv w:val="1"/>
      <w:marLeft w:val="0"/>
      <w:marRight w:val="0"/>
      <w:marTop w:val="0"/>
      <w:marBottom w:val="0"/>
      <w:divBdr>
        <w:top w:val="none" w:sz="0" w:space="0" w:color="auto"/>
        <w:left w:val="none" w:sz="0" w:space="0" w:color="auto"/>
        <w:bottom w:val="none" w:sz="0" w:space="0" w:color="auto"/>
        <w:right w:val="none" w:sz="0" w:space="0" w:color="auto"/>
      </w:divBdr>
      <w:divsChild>
        <w:div w:id="1407193494">
          <w:marLeft w:val="0"/>
          <w:marRight w:val="0"/>
          <w:marTop w:val="0"/>
          <w:marBottom w:val="0"/>
          <w:divBdr>
            <w:top w:val="single" w:sz="2" w:space="0" w:color="auto"/>
            <w:left w:val="single" w:sz="2" w:space="4" w:color="auto"/>
            <w:bottom w:val="single" w:sz="2" w:space="0" w:color="auto"/>
            <w:right w:val="single" w:sz="2" w:space="4" w:color="auto"/>
          </w:divBdr>
        </w:div>
        <w:div w:id="27537681">
          <w:marLeft w:val="0"/>
          <w:marRight w:val="0"/>
          <w:marTop w:val="0"/>
          <w:marBottom w:val="0"/>
          <w:divBdr>
            <w:top w:val="single" w:sz="2" w:space="0" w:color="auto"/>
            <w:left w:val="single" w:sz="2" w:space="4" w:color="auto"/>
            <w:bottom w:val="single" w:sz="2" w:space="0" w:color="auto"/>
            <w:right w:val="single" w:sz="2" w:space="4" w:color="auto"/>
          </w:divBdr>
        </w:div>
        <w:div w:id="1200359761">
          <w:marLeft w:val="0"/>
          <w:marRight w:val="0"/>
          <w:marTop w:val="0"/>
          <w:marBottom w:val="0"/>
          <w:divBdr>
            <w:top w:val="single" w:sz="2" w:space="0" w:color="auto"/>
            <w:left w:val="single" w:sz="2" w:space="4" w:color="auto"/>
            <w:bottom w:val="single" w:sz="2" w:space="0" w:color="auto"/>
            <w:right w:val="single" w:sz="2" w:space="4" w:color="auto"/>
          </w:divBdr>
        </w:div>
        <w:div w:id="2054646878">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23B4B-11CB-4221-9817-9B37B9007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21556</TotalTime>
  <Pages>39</Pages>
  <Words>22952</Words>
  <Characters>147582</Characters>
  <Application>Microsoft Office Word</Application>
  <DocSecurity>0</DocSecurity>
  <Lines>3074</Lines>
  <Paragraphs>1433</Paragraphs>
  <ScaleCrop>false</ScaleCrop>
  <Company/>
  <LinksUpToDate>false</LinksUpToDate>
  <CharactersWithSpaces>169101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Thaddeus Yu</dc:creator>
  <cp:keywords/>
  <dc:description/>
  <cp:lastModifiedBy>Thaddeus Yu</cp:lastModifiedBy>
  <cp:revision>1934</cp:revision>
  <dcterms:created xsi:type="dcterms:W3CDTF">2024-11-17T08:24:00Z</dcterms:created>
  <dcterms:modified xsi:type="dcterms:W3CDTF">2024-12-08T10:04:00Z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id="uewpwU04"/&gt;&lt;style id="http://www.zotero.org/styles/apa" locale="en-GB" hasBibliography="1" bibliographyStyleHasBeenSet="1"/&gt;&lt;prefs&gt;&lt;pref name="fieldType" value="Field"/&gt;&lt;/prefs&gt;&lt;/data&gt;</vt:lpwstr>
  </property>
</Properties>
</file>