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Health Policy: COVID-19 Management Case Comparison</w:t>
      </w:r>
    </w:p>
    <w:p w:rsidR="00000000" w:rsidDel="00000000" w:rsidP="00000000" w:rsidRDefault="00000000" w:rsidRPr="00000000" w14:paraId="00000009">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Stoyan Grozdanov</w:t>
      </w:r>
    </w:p>
    <w:p w:rsidR="00000000" w:rsidDel="00000000" w:rsidP="00000000" w:rsidRDefault="00000000" w:rsidRPr="00000000" w14:paraId="0000000C">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number: 1913753</w:t>
      </w:r>
    </w:p>
    <w:p w:rsidR="00000000" w:rsidDel="00000000" w:rsidP="00000000" w:rsidRDefault="00000000" w:rsidRPr="00000000" w14:paraId="0000000D">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 name: Evelyn Callahan</w:t>
      </w:r>
    </w:p>
    <w:p w:rsidR="00000000" w:rsidDel="00000000" w:rsidP="00000000" w:rsidRDefault="00000000" w:rsidRPr="00000000" w14:paraId="0000000E">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code: BMHP5013</w:t>
      </w:r>
    </w:p>
    <w:p w:rsidR="00000000" w:rsidDel="00000000" w:rsidP="00000000" w:rsidRDefault="00000000" w:rsidRPr="00000000" w14:paraId="0000000F">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Date:06/01/2022</w:t>
      </w:r>
      <w:r w:rsidDel="00000000" w:rsidR="00000000" w:rsidRPr="00000000">
        <w:rPr>
          <w:rtl w:val="0"/>
        </w:rPr>
      </w:r>
    </w:p>
    <w:p w:rsidR="00000000" w:rsidDel="00000000" w:rsidP="00000000" w:rsidRDefault="00000000" w:rsidRPr="00000000" w14:paraId="00000010">
      <w:pPr>
        <w:spacing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spacing w:line="48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2">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 of coronavirus </w:t>
      </w:r>
    </w:p>
    <w:p w:rsidR="00000000" w:rsidDel="00000000" w:rsidP="00000000" w:rsidRDefault="00000000" w:rsidRPr="00000000" w14:paraId="000000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COVID-19 may have caused so much havoc on the world population and pushed nearly all sectors of the global economy to the edge, it is not the only coronavirus disease to affect the world. Coronaviruses refer to a group of viruses that are related and which cause diseases in mammals and birds (Cohen &amp; Kupferschmidt, 2020). In humans, these viruses cause respiratory infections that can be lethal or mild in some cases. COVID-19 was given the name, along with the name SARS-CoV-2, by the World Health organization in February 2020 as the official references to the outbreak disease. Of course, that was at the time when the world was only getting to learn about the mysterious disease that had broken out of China about a month and a half before then. The virus was first isolated from a group of people in Wuhan, China, where the disease was still a mystery at the time (Cohen &amp; Kupferschmidt, 2020).</w:t>
      </w:r>
    </w:p>
    <w:p w:rsidR="00000000" w:rsidDel="00000000" w:rsidP="00000000" w:rsidRDefault="00000000" w:rsidRPr="00000000" w14:paraId="0000001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date, there have been various variants of the SARS-CoV-2 virus and each of these has had different impacts on the communities where the have been recorded. The effect of these variants has been damaging for most health care authorities because each variant seemed to require a separate and particular set of interventions. As of July 2021, there were four dominant variants of the virus. These include the Alpha Variant, first recorded in the United Kingdom; the Beta Variant was first recorded in South Africa; the Gamma Variant was first recorded in Brazil; and the Delta Variant was first recorded in India (Cohen &amp; Kupferschmidt, 2020). For the largest part of 2020, the virus put almost everything in the world at a stand still and most countries closed their borders as they struggled to contain the infections in their own populations and at the same time tried to balance the need for global commerce to continue. Overall, the world will take a few years to regain the pre-pandemic conditions (Cohen &amp; Kupferschmidt, 2020).</w:t>
      </w:r>
    </w:p>
    <w:p w:rsidR="00000000" w:rsidDel="00000000" w:rsidP="00000000" w:rsidRDefault="00000000" w:rsidRPr="00000000" w14:paraId="00000015">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Strategies used to measure, monitor and control the incidence of coronavirus </w:t>
      </w:r>
    </w:p>
    <w:p w:rsidR="00000000" w:rsidDel="00000000" w:rsidP="00000000" w:rsidRDefault="00000000" w:rsidRPr="00000000" w14:paraId="000000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United Kingdom was one of the countries where the virus reached levels that almost validated public panic. The government and the NHS set up a testing and contact tracing strategy that was continually updated throughout the pandemic. There have been cases of people noting that even though the strategy kept updating, no significant changes were observed in the results with regards to the number of infections. The strategy adopted in the UK was informed by the modeling results which indicated that fast and effective contract tracing could contain the spread of the virus in the UK in most settings (Roderick, Macfarlane &amp; Pollock, 2020). School closures and scaled up physical distancing measures, among others followed in March when the number of cases in the country reached 4,000 nationwide. The failures of the strategy have been linked with slow tracing of the contacts of an individual who tests positive for the virus. There was also the issue of the individuals being allowed to test for the virus once they become symptomatic, which played a role in making it more challenging to trace all the contact since the incubation period varied from days to over a week. individuals were also noted as being non-adherent or partially adherent since the government strategy required the public to perfectly adhere with the strategy and policies in order to the situation to be effectively controlled (Roderick, Macfarlane &amp; Pollock, 2020). </w:t>
      </w:r>
    </w:p>
    <w:p w:rsidR="00000000" w:rsidDel="00000000" w:rsidP="00000000" w:rsidRDefault="00000000" w:rsidRPr="00000000" w14:paraId="0000001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in the United Kingdom, rapid testing, contact tracing, and outbreak management were the strategies adopted in control of the pandemic in Australia. The country’s health department also depended on modeling results that indicated that community transmission could be significantly lowered if the duration from patient testing to quarantine of their close contacts could be reduced to less than 48 hours (Haroon et al., 2020). Among the early recommendations made in the country was for employers to share their information on electronic venues and workplace attendance in order to strategise on having less people working in public spaces. Digitising the process of patient testing, contact tracing, and case management was also recommended and adopted by the Australian government as that improves its efficiency (Haroon et al., 2020). The strategy adopted in this country was based on the principle of never falling behind if the number of cases grows sharply and almost overwhelms the system as well as having to prioritize the cases and contacts being traced on the basis of relative risk. An initial notification of all close contacts in the case of a positive result would be the first step, with the authority betting that the contacts would voluntarily seek tests within a few hours and that they would follow all the recommendations as outline by the health authorities (Haroon et al., 2020).</w:t>
      </w:r>
    </w:p>
    <w:p w:rsidR="00000000" w:rsidDel="00000000" w:rsidP="00000000" w:rsidRDefault="00000000" w:rsidRPr="00000000" w14:paraId="00000019">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Current public health policy approaches to reduce or control incidence</w:t>
      </w:r>
    </w:p>
    <w:p w:rsidR="00000000" w:rsidDel="00000000" w:rsidP="00000000" w:rsidRDefault="00000000" w:rsidRPr="00000000" w14:paraId="0000001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driving point for the United Kingdom’s approach to the control of COVID-19 cases in the country is vaccination. In this country, the vaccination strategy has been exceptionally successful and the authorities have a lot to do with this success (Rahmani &amp; Mirmahaleh, 2021). From the beginning, bold decisions needed to be made if the country was to get any positive progress in controlling the spread of the virus. The administration made the bold decision to order vaccines early, which was a risky one because the effectiveness of these vaccines was not assured at the time the UK government made the orders. In addition to the vaccination strategy, the government is also banking on the public to play its part in ensuring their safety from the disease (Rahmani &amp; Mirmahaleh, 2021). In this regard, the government prioritizes providing information to the population about the virus, prevention measures, and guidance on what support is available for those who have the virus. Since the country has reopened and most sectors have nearly resumed their pre-pandemic standards of operations, there is the need for the general public to play its role in preventing the spread of the virus. From the impacts of the virus to the general public in the whole of 2020 and part of 2021, it can only be assumed that the population would remain highly motivated to assure their safety and with the strategies provided by the government, the outcomes can only be positive (Rahmani &amp; Mirmahaleh, 2021).</w:t>
      </w:r>
    </w:p>
    <w:p w:rsidR="00000000" w:rsidDel="00000000" w:rsidP="00000000" w:rsidRDefault="00000000" w:rsidRPr="00000000" w14:paraId="000000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Australian federal, state, and territory governments have put in place restrictions to slow down the spread of the virus. The approach is designed in three major ways depending on the target population. First, there is the strategy to approach control of COVID-19 in areas where there is an ongoing outbreak of the disease. Secondly, the approach targets the people from places where there is no current outbreak but who are travelling domestically. Domestic travel in the country also includes traveling to remote areas within the country. The third prong of this approach entails international travelers, and this includes biosecurity measures and travel restrictions for people traveling in and out of the country. This strategy is also supported by a pandemic health intelligence plan which is a framework for the collection of information that is essential and required to support decision making regarding the pandemic. The situation with the virus in the country is manageable at the current moment, but the reason behind the need for the intelligence plan is because there is the potential for many people lowering their guard and getting infected with the virus unknowingly (Davis et al., 2021). </w:t>
      </w:r>
    </w:p>
    <w:p w:rsidR="00000000" w:rsidDel="00000000" w:rsidP="00000000" w:rsidRDefault="00000000" w:rsidRPr="00000000" w14:paraId="0000001C">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Models and Theories of health behaviour change</w:t>
      </w:r>
    </w:p>
    <w:p w:rsidR="00000000" w:rsidDel="00000000" w:rsidP="00000000" w:rsidRDefault="00000000" w:rsidRPr="00000000" w14:paraId="000000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pandemic caused the world to change and people were having to behave entirely differently from what they were used to before 2019. There are many models of change in behavior that can be used to describe how the population in both the United Kingdom and Australia changed their behavior in order to cope with the situation they had at hand. One of the theories of behavioral change that can be used to describe the populations of both countries is the theory of planned behavior. This theory links behavior to beliefs and maintains that perceived behavioral control, subjective norms, and the attitudes of the population combine to shape the behavioral intentions of an individual (Webb, Sniehotta &amp; Michie, 2010). With regards to the pandemic, a lot of information was being provided to the public by the governments in both of these nations as well as all other sources, including the World Health Organization’s official website. A lot of research has been carried out to find the impact that the sources of information had on the people and their beliefs and behavioral responses to the virus outbreak. Overall, it is the information that shapes the attitudes and beliefs that people have towards the pandemic, as with any other issue (Webb, Sniehotta &amp; Michie, 2010). </w:t>
      </w:r>
    </w:p>
    <w:p w:rsidR="00000000" w:rsidDel="00000000" w:rsidP="00000000" w:rsidRDefault="00000000" w:rsidRPr="00000000" w14:paraId="0000001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focusing on models of behavioral change and the COVID-19 pandemic, the ecological approach to this topic becomes relatively essential. This is an approach that notes the wide range if social, personal, and environmental factors that influence the behavior of an individual. In this regard, personal factors include attitudes, knowledge, skills, and genetics (Naughton et al., 2021). As with the case of the Theory of Planned Behavior above, the vast amounts of information that were being provided to the public every day impacted how the people perceived the threat of COVID-19. Social factors include interactions with people including family members, friends, and the community at large (Webb, Sniehotta &amp; Michie, 2010). </w:t>
      </w:r>
    </w:p>
    <w:p w:rsidR="00000000" w:rsidDel="00000000" w:rsidP="00000000" w:rsidRDefault="00000000" w:rsidRPr="00000000" w14:paraId="000000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Humans are social beings and the social aspects influence behavior in a significant way. However, the pandemic necessitated people to cease associating with others, at least in physical terms, and this could have had an impact in people’s normal social lives (Naughton et al., 2021). Environmental factors include those factors that an individual encounters in their daily routines such as in school, the workplace, as well as other factors such as the economy in general. The pandemic affected these in a significant way, including with price hikes and shortage of commodities due to hoarding or panic buying leaving the supply of essential items far lower than the demand. All these factors combine to influence behavioral changes, and the pandemic has led to numerous changes in each of these factors (Naughton et al., 2021).</w:t>
      </w:r>
    </w:p>
    <w:p w:rsidR="00000000" w:rsidDel="00000000" w:rsidP="00000000" w:rsidRDefault="00000000" w:rsidRPr="00000000" w14:paraId="00000020">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Impact of legislation and policies on the health and wellbeing of individuals in health or social care settings</w:t>
      </w:r>
    </w:p>
    <w:p w:rsidR="00000000" w:rsidDel="00000000" w:rsidP="00000000" w:rsidRDefault="00000000" w:rsidRPr="00000000" w14:paraId="000000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pandemic broke out as any other coronavirus disease outbreak, there was no need to immediately come up with policies to control the disease as that was a task for the country’s healthcare sector and not the whole government. However, when the outbreak was designated a pandemic, serious measures needed to be taken and these included making legislative changes in order to equip the country with the necessary means to combat the disease. The United Kingdom’s administration came up with a set of legislative policies in order to equip and enforce the NHS in controlling the spread of the virus (Cormacain, 2020). In addition to legislation, the UK government also provided a set of government guidance, which are rules that should be followed but may not be enforced like the legislative ones, and all these were aimed at controlling the spread of the virus in the country. The legislation formulated and enforced in the country regarded where and when people could or could not meet with others since association and unnecessary travels were restricted in the country during lockdown. Other pieces of legislation included local restrictions that were enforced in separate local areas, when and where people need to self-isolate after international travel, and how people could receive financial support during the pandemic (Cormacain, 2020).</w:t>
      </w:r>
    </w:p>
    <w:p w:rsidR="00000000" w:rsidDel="00000000" w:rsidP="00000000" w:rsidRDefault="00000000" w:rsidRPr="00000000" w14:paraId="0000002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Australia, most of the legislative changes made during the pandemic were primarily designed to cushion the public from the adverse effects of the pandemic on the economy. These included laws that were passed to cushion businesses and also to be stimulus packages for the public to help them get through the tough times created by the pandemic (Howell &amp; Potgieter, 2021). Also, there were laws made regarding tax reliefs, including the Jobkeeper payment program and the Jobmaker and social security legislations that were laws set in place to help the Australian economy avoid massive loss of employment and incomes for those whose jobs were rendered obsolete by the pandemic as well as those whose jobs were basically decimated by the pandemic. In addition to fiscal legislation, however, there were sets of laws set for the prevention of the spread of COVID-19 as well as for rapid response in case of reported cases. All these legislative interventions were designed to help the country get past the hurdle created by the pandemic, and most of them remain temporary while others have already been lifted entirely (Howell &amp; Potgieter, 2021).</w:t>
      </w:r>
    </w:p>
    <w:p w:rsidR="00000000" w:rsidDel="00000000" w:rsidP="00000000" w:rsidRDefault="00000000" w:rsidRPr="00000000" w14:paraId="00000023">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Ethical considerations in COVID-19 research</w:t>
      </w:r>
    </w:p>
    <w:p w:rsidR="00000000" w:rsidDel="00000000" w:rsidP="00000000" w:rsidRDefault="00000000" w:rsidRPr="00000000" w14:paraId="0000002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Ethics are a significant factor whenever studies are conducted on topics relating to health care. During the pandemic, there were a set of ethical considerations that needed to be made especially during health emergencies. The first of these entail the need for all studies relating to the pandemic to be compliant with the disaster emergency legislations in every country where such research is carried out (Xafis et al., 2020). The rules and guidelines in the UK differ from those in Australia and any other country, and it is essential that all studies conducted in each country remain compliant with the specific guidelines and rules in the country where they are conducted. Secondly, all studies conducted during the pandemic should prioritize emergency interventions, such that the studies and their factors do not impede emergency responses. The researchers also need to be perfectly adherent to the WHO guidelines and national guidance in each case (Xafis et al., 2020).</w:t>
      </w:r>
    </w:p>
    <w:p w:rsidR="00000000" w:rsidDel="00000000" w:rsidP="00000000" w:rsidRDefault="00000000" w:rsidRPr="00000000" w14:paraId="0000002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Conducting research on humans needs to be conducted in a way that shows respect for the participants, and this includes by respecting their choices to be involved or not to be involved in the research. The studies should avoid causing harm on the participants and, if possible, should result in positive outcomes for the participants (Xafis et al., 2020). Transparency during the preparation stage when informing participants of what to expect from the study, and when reporting the outcomes of the studies should be prioritized at all times, and the participants should reserve the right to withdraw from the research at any point if they feel uncomfortable going on with it. also, it is vital to ensure the privacy, confidentiality, and anonymity of the individuals who take part in the studies, especially ensuring the security of their data so that it is not used for non-research purposes (Xafis et al., 2020). </w:t>
        <w:br w:type="textWrapping"/>
      </w:r>
      <w:r w:rsidDel="00000000" w:rsidR="00000000" w:rsidRPr="00000000">
        <w:rPr>
          <w:rFonts w:ascii="Times New Roman" w:cs="Times New Roman" w:eastAsia="Times New Roman" w:hAnsi="Times New Roman"/>
          <w:b w:val="1"/>
          <w:sz w:val="24"/>
          <w:szCs w:val="24"/>
          <w:rtl w:val="0"/>
        </w:rPr>
        <w:t xml:space="preserve">Recommendations </w:t>
      </w:r>
      <w:r w:rsidDel="00000000" w:rsidR="00000000" w:rsidRPr="00000000">
        <w:rPr>
          <w:rtl w:val="0"/>
        </w:rPr>
      </w:r>
    </w:p>
    <w:p w:rsidR="00000000" w:rsidDel="00000000" w:rsidP="00000000" w:rsidRDefault="00000000" w:rsidRPr="00000000" w14:paraId="0000002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world has been able to move on from the worst of the pandemic, a lot of caution remains essential in both the UK and Australia as in all other countries. This is especially the case since the development of vaccines does not mean that everything goes back to normal and the cure for the disease has not yet been developed. There is a need for the governments to communicate the need for the public to remain cautious about the disease, but this should also be done in a way that does not communicate panic and a non-existent emergency. Essentially, some of the temporary interventions set up by the governments in Australia and the United Kingdom remain relevant to date, and they should not be scrapped off sooner than they can remain effective. Interventions should be retained for as long as they remain effective for the target populations.</w:t>
      </w:r>
    </w:p>
    <w:p w:rsidR="00000000" w:rsidDel="00000000" w:rsidP="00000000" w:rsidRDefault="00000000" w:rsidRPr="00000000" w14:paraId="00000027">
      <w:pPr>
        <w:spacing w:line="48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8">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29">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Cohen, J., &amp; Kupferschmidt, K. (2020). Countries test tactics in ‘war’against COVID-19.</w:t>
      </w:r>
    </w:p>
    <w:p w:rsidR="00000000" w:rsidDel="00000000" w:rsidP="00000000" w:rsidRDefault="00000000" w:rsidRPr="00000000" w14:paraId="0000002A">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Cormacain, R. (2020). Keeping Covid-19 emergency legislation socially distant from ordinary legislation: principles for the structure of emergency legislation. </w:t>
      </w:r>
      <w:r w:rsidDel="00000000" w:rsidR="00000000" w:rsidRPr="00000000">
        <w:rPr>
          <w:rFonts w:ascii="Times New Roman" w:cs="Times New Roman" w:eastAsia="Times New Roman" w:hAnsi="Times New Roman"/>
          <w:i w:val="1"/>
          <w:sz w:val="24"/>
          <w:szCs w:val="24"/>
          <w:rtl w:val="0"/>
        </w:rPr>
        <w:t xml:space="preserve">The Theory and Practice of Legislation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8</w:t>
      </w:r>
      <w:r w:rsidDel="00000000" w:rsidR="00000000" w:rsidRPr="00000000">
        <w:rPr>
          <w:rFonts w:ascii="Times New Roman" w:cs="Times New Roman" w:eastAsia="Times New Roman" w:hAnsi="Times New Roman"/>
          <w:sz w:val="24"/>
          <w:szCs w:val="24"/>
          <w:rtl w:val="0"/>
        </w:rPr>
        <w:t xml:space="preserve">(3), 245-265.</w:t>
      </w:r>
    </w:p>
    <w:p w:rsidR="00000000" w:rsidDel="00000000" w:rsidP="00000000" w:rsidRDefault="00000000" w:rsidRPr="00000000" w14:paraId="0000002B">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Davis, E. L., Lucas, T. C., Borlase, A., Pollington, T. M., Abbott, S., Ayabina, D., ... &amp; Klepac, P. (2021). Contact tracing is an imperfect tool for controlling COVID-19 transmission and relies on population adherence. </w:t>
      </w:r>
      <w:r w:rsidDel="00000000" w:rsidR="00000000" w:rsidRPr="00000000">
        <w:rPr>
          <w:rFonts w:ascii="Times New Roman" w:cs="Times New Roman" w:eastAsia="Times New Roman" w:hAnsi="Times New Roman"/>
          <w:i w:val="1"/>
          <w:sz w:val="24"/>
          <w:szCs w:val="24"/>
          <w:rtl w:val="0"/>
        </w:rPr>
        <w:t xml:space="preserve">Nature communications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12</w:t>
      </w:r>
      <w:r w:rsidDel="00000000" w:rsidR="00000000" w:rsidRPr="00000000">
        <w:rPr>
          <w:rFonts w:ascii="Times New Roman" w:cs="Times New Roman" w:eastAsia="Times New Roman" w:hAnsi="Times New Roman"/>
          <w:sz w:val="24"/>
          <w:szCs w:val="24"/>
          <w:rtl w:val="0"/>
        </w:rPr>
        <w:t xml:space="preserve">(1), 1-8.</w:t>
      </w:r>
    </w:p>
    <w:p w:rsidR="00000000" w:rsidDel="00000000" w:rsidP="00000000" w:rsidRDefault="00000000" w:rsidRPr="00000000" w14:paraId="0000002C">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Haroon, S., Chandan, J. S., Middleton, J., &amp; Cheng, K. K. (2020). Covid-19: breaking the chain of household transmission.</w:t>
      </w:r>
    </w:p>
    <w:p w:rsidR="00000000" w:rsidDel="00000000" w:rsidP="00000000" w:rsidRDefault="00000000" w:rsidRPr="00000000" w14:paraId="0000002D">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Howell, B., &amp; Potgieter, P. H. (2021). A tale of two contact-tracing apps–comparing Australia’s CovidSafe and New Zealand’s NZ Covid Tracer. </w:t>
      </w:r>
      <w:r w:rsidDel="00000000" w:rsidR="00000000" w:rsidRPr="00000000">
        <w:rPr>
          <w:rFonts w:ascii="Times New Roman" w:cs="Times New Roman" w:eastAsia="Times New Roman" w:hAnsi="Times New Roman"/>
          <w:i w:val="1"/>
          <w:sz w:val="24"/>
          <w:szCs w:val="24"/>
          <w:rtl w:val="0"/>
        </w:rPr>
        <w:t xml:space="preserve">Digital Policy, Regulation and Governance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E">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Naughton, F., Ward, E., Khondoker, M., Belderson, P., Marie Minihane, A., Dainty, J., ... &amp; Notley, C. (2021). Health behaviour change during the UK COVID‐19 lockdown: Findings from the first wave of the C‐19 health behaviour and well‐being daily tracker study. </w:t>
      </w:r>
      <w:r w:rsidDel="00000000" w:rsidR="00000000" w:rsidRPr="00000000">
        <w:rPr>
          <w:rFonts w:ascii="Times New Roman" w:cs="Times New Roman" w:eastAsia="Times New Roman" w:hAnsi="Times New Roman"/>
          <w:i w:val="1"/>
          <w:sz w:val="24"/>
          <w:szCs w:val="24"/>
          <w:rtl w:val="0"/>
        </w:rPr>
        <w:t xml:space="preserve">British Journal of Health Psychology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26</w:t>
      </w:r>
      <w:r w:rsidDel="00000000" w:rsidR="00000000" w:rsidRPr="00000000">
        <w:rPr>
          <w:rFonts w:ascii="Times New Roman" w:cs="Times New Roman" w:eastAsia="Times New Roman" w:hAnsi="Times New Roman"/>
          <w:sz w:val="24"/>
          <w:szCs w:val="24"/>
          <w:rtl w:val="0"/>
        </w:rPr>
        <w:t xml:space="preserve">(2), 624-643.</w:t>
      </w:r>
    </w:p>
    <w:p w:rsidR="00000000" w:rsidDel="00000000" w:rsidP="00000000" w:rsidRDefault="00000000" w:rsidRPr="00000000" w14:paraId="0000002F">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Rahmani, A. M., &amp; Mirmahaleh, S. Y. H. (2021). Coronavirus disease (COVID-19) prevention and treatment methods and effective parameters: A systematic literature review. </w:t>
      </w:r>
      <w:r w:rsidDel="00000000" w:rsidR="00000000" w:rsidRPr="00000000">
        <w:rPr>
          <w:rFonts w:ascii="Times New Roman" w:cs="Times New Roman" w:eastAsia="Times New Roman" w:hAnsi="Times New Roman"/>
          <w:i w:val="1"/>
          <w:sz w:val="24"/>
          <w:szCs w:val="24"/>
          <w:rtl w:val="0"/>
        </w:rPr>
        <w:t xml:space="preserve">Sustainable cities and society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64</w:t>
      </w:r>
      <w:r w:rsidDel="00000000" w:rsidR="00000000" w:rsidRPr="00000000">
        <w:rPr>
          <w:rFonts w:ascii="Times New Roman" w:cs="Times New Roman" w:eastAsia="Times New Roman" w:hAnsi="Times New Roman"/>
          <w:sz w:val="24"/>
          <w:szCs w:val="24"/>
          <w:rtl w:val="0"/>
        </w:rPr>
        <w:t xml:space="preserve">, 102568.</w:t>
      </w:r>
    </w:p>
    <w:p w:rsidR="00000000" w:rsidDel="00000000" w:rsidP="00000000" w:rsidRDefault="00000000" w:rsidRPr="00000000" w14:paraId="00000030">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Roderick, P., Macfarlane, A., &amp; Pollock, A. M. (2020). Getting back on track: control of covid-19 outbreaks in the community. </w:t>
      </w:r>
      <w:r w:rsidDel="00000000" w:rsidR="00000000" w:rsidRPr="00000000">
        <w:rPr>
          <w:rFonts w:ascii="Times New Roman" w:cs="Times New Roman" w:eastAsia="Times New Roman" w:hAnsi="Times New Roman"/>
          <w:i w:val="1"/>
          <w:sz w:val="24"/>
          <w:szCs w:val="24"/>
          <w:rtl w:val="0"/>
        </w:rPr>
        <w:t xml:space="preserve">bmj</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369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1">
      <w:pPr>
        <w:spacing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Webb, T. L., Sniehotta, F. F., &amp; Michie, S. (2010). Using theories of behaviour change to inform interventions for addictive behaviours. </w:t>
      </w:r>
      <w:r w:rsidDel="00000000" w:rsidR="00000000" w:rsidRPr="00000000">
        <w:rPr>
          <w:rFonts w:ascii="Times New Roman" w:cs="Times New Roman" w:eastAsia="Times New Roman" w:hAnsi="Times New Roman"/>
          <w:i w:val="1"/>
          <w:sz w:val="24"/>
          <w:szCs w:val="24"/>
          <w:rtl w:val="0"/>
        </w:rPr>
        <w:t xml:space="preserve">Addiction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105</w:t>
      </w:r>
      <w:r w:rsidDel="00000000" w:rsidR="00000000" w:rsidRPr="00000000">
        <w:rPr>
          <w:rFonts w:ascii="Times New Roman" w:cs="Times New Roman" w:eastAsia="Times New Roman" w:hAnsi="Times New Roman"/>
          <w:sz w:val="24"/>
          <w:szCs w:val="24"/>
          <w:rtl w:val="0"/>
        </w:rPr>
        <w:t xml:space="preserve">(11), 1879-1892.</w:t>
      </w:r>
    </w:p>
    <w:p w:rsidR="00000000" w:rsidDel="00000000" w:rsidP="00000000" w:rsidRDefault="00000000" w:rsidRPr="00000000" w14:paraId="00000032">
      <w:pPr>
        <w:spacing w:after="0" w:line="48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Xafis, V., Schaefer, G. O., Labude, M. K., Zhu, Y., &amp; Hsu, L. Y. (2020). The perfect moral storm: Diverse ethical considerations in the COVID-19 pandemic. </w:t>
      </w:r>
      <w:r w:rsidDel="00000000" w:rsidR="00000000" w:rsidRPr="00000000">
        <w:rPr>
          <w:rFonts w:ascii="Times New Roman" w:cs="Times New Roman" w:eastAsia="Times New Roman" w:hAnsi="Times New Roman"/>
          <w:i w:val="1"/>
          <w:sz w:val="24"/>
          <w:szCs w:val="24"/>
          <w:rtl w:val="0"/>
        </w:rPr>
        <w:t xml:space="preserve">Asian Bioethics Review</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12</w:t>
      </w:r>
      <w:r w:rsidDel="00000000" w:rsidR="00000000" w:rsidRPr="00000000">
        <w:rPr>
          <w:rFonts w:ascii="Times New Roman" w:cs="Times New Roman" w:eastAsia="Times New Roman" w:hAnsi="Times New Roman"/>
          <w:sz w:val="24"/>
          <w:szCs w:val="24"/>
          <w:rtl w:val="0"/>
        </w:rPr>
        <w:t xml:space="preserve">, 65-83.</w:t>
      </w:r>
    </w:p>
    <w:p w:rsidR="00000000" w:rsidDel="00000000" w:rsidP="00000000" w:rsidRDefault="00000000" w:rsidRPr="00000000" w14:paraId="0000003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480" w:lineRule="auto"/>
        <w:rPr>
          <w:rFonts w:ascii="Times New Roman" w:cs="Times New Roman" w:eastAsia="Times New Roman" w:hAnsi="Times New Roman"/>
          <w:sz w:val="24"/>
          <w:szCs w:val="24"/>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PUBLIC HEALTH POLICY </w:t>
      <w:tab/>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