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B3263F" w14:textId="77777777" w:rsidR="00AE490B" w:rsidRDefault="00AE490B" w:rsidP="00AE490B">
      <w:pPr>
        <w:jc w:val="center"/>
        <w:rPr>
          <w:rFonts w:cs="Arial"/>
          <w:szCs w:val="22"/>
        </w:rPr>
      </w:pPr>
      <w:r w:rsidRPr="00083C49">
        <w:rPr>
          <w:rFonts w:cs="Arial"/>
          <w:noProof/>
          <w:szCs w:val="22"/>
        </w:rPr>
        <w:drawing>
          <wp:inline distT="0" distB="0" distL="0" distR="0" wp14:anchorId="2D759607" wp14:editId="130965CF">
            <wp:extent cx="2507197" cy="1013548"/>
            <wp:effectExtent l="0" t="0" r="7620" b="0"/>
            <wp:docPr id="1197930723" name="Picture 1" descr="A picture containing text, font, logo,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930723" name="Picture 1" descr="A picture containing text, font, logo, symbol&#10;&#10;Description automatically generated"/>
                    <pic:cNvPicPr/>
                  </pic:nvPicPr>
                  <pic:blipFill>
                    <a:blip r:embed="rId8">
                      <a:extLst>
                        <a:ext uri="{BEBA8EAE-BF5A-486C-A8C5-ECC9F3942E4B}">
                          <a14:imgProps xmlns:a14="http://schemas.microsoft.com/office/drawing/2010/main">
                            <a14:imgLayer r:embed="rId9">
                              <a14:imgEffect>
                                <a14:sharpenSoften amount="50000"/>
                              </a14:imgEffect>
                              <a14:imgEffect>
                                <a14:brightnessContrast contrast="40000"/>
                              </a14:imgEffect>
                            </a14:imgLayer>
                          </a14:imgProps>
                        </a:ext>
                      </a:extLst>
                    </a:blip>
                    <a:stretch>
                      <a:fillRect/>
                    </a:stretch>
                  </pic:blipFill>
                  <pic:spPr>
                    <a:xfrm>
                      <a:off x="0" y="0"/>
                      <a:ext cx="2507197" cy="1013548"/>
                    </a:xfrm>
                    <a:prstGeom prst="rect">
                      <a:avLst/>
                    </a:prstGeom>
                  </pic:spPr>
                </pic:pic>
              </a:graphicData>
            </a:graphic>
          </wp:inline>
        </w:drawing>
      </w:r>
    </w:p>
    <w:p w14:paraId="38CEEF5E" w14:textId="77777777" w:rsidR="00AE490B" w:rsidRDefault="00AE490B" w:rsidP="00AE490B">
      <w:pPr>
        <w:rPr>
          <w:rFonts w:cs="Arial"/>
          <w:szCs w:val="22"/>
        </w:rPr>
      </w:pPr>
    </w:p>
    <w:p w14:paraId="75C1B0A1" w14:textId="77777777" w:rsidR="00AE490B" w:rsidRDefault="00AE490B" w:rsidP="00AE490B">
      <w:pPr>
        <w:rPr>
          <w:rFonts w:cs="Arial"/>
          <w:szCs w:val="22"/>
        </w:rPr>
      </w:pPr>
    </w:p>
    <w:p w14:paraId="22A1F545" w14:textId="77777777" w:rsidR="00AE490B" w:rsidRDefault="00AE490B" w:rsidP="00AE490B">
      <w:pPr>
        <w:rPr>
          <w:rFonts w:cs="Arial"/>
          <w:szCs w:val="22"/>
        </w:rPr>
      </w:pPr>
    </w:p>
    <w:p w14:paraId="3A4B1762" w14:textId="77777777" w:rsidR="00AE490B" w:rsidRDefault="00AE490B" w:rsidP="00AE490B">
      <w:pPr>
        <w:rPr>
          <w:rFonts w:cs="Arial"/>
          <w:szCs w:val="22"/>
        </w:rPr>
      </w:pPr>
    </w:p>
    <w:p w14:paraId="6DCCD0BB" w14:textId="77777777" w:rsidR="00AE490B" w:rsidRDefault="00AE490B" w:rsidP="00AE490B">
      <w:pPr>
        <w:rPr>
          <w:rFonts w:cs="Arial"/>
          <w:szCs w:val="22"/>
        </w:rPr>
      </w:pPr>
    </w:p>
    <w:p w14:paraId="657096BC" w14:textId="77777777" w:rsidR="00AE490B" w:rsidRDefault="00AE490B" w:rsidP="00AE490B">
      <w:pPr>
        <w:rPr>
          <w:rFonts w:cs="Arial"/>
          <w:szCs w:val="22"/>
        </w:rPr>
      </w:pPr>
    </w:p>
    <w:p w14:paraId="2B538D6E" w14:textId="77777777" w:rsidR="00AE490B" w:rsidRDefault="00AE490B" w:rsidP="00AE490B">
      <w:pPr>
        <w:rPr>
          <w:rFonts w:cs="Arial"/>
          <w:szCs w:val="22"/>
        </w:rPr>
      </w:pPr>
    </w:p>
    <w:p w14:paraId="17DD769D" w14:textId="77777777" w:rsidR="00935591" w:rsidRDefault="00935591" w:rsidP="00AE490B">
      <w:pPr>
        <w:jc w:val="center"/>
        <w:rPr>
          <w:b/>
          <w:bCs/>
          <w:i/>
          <w:iCs/>
          <w:sz w:val="36"/>
          <w:szCs w:val="36"/>
        </w:rPr>
      </w:pPr>
      <w:r w:rsidRPr="004F61B4">
        <w:rPr>
          <w:b/>
          <w:bCs/>
          <w:i/>
          <w:iCs/>
          <w:sz w:val="36"/>
          <w:szCs w:val="36"/>
        </w:rPr>
        <w:t>BMIH5005</w:t>
      </w:r>
    </w:p>
    <w:p w14:paraId="3F65745A" w14:textId="680FC058" w:rsidR="00AE490B" w:rsidRPr="004F61B4" w:rsidRDefault="00AE490B" w:rsidP="00AE490B">
      <w:pPr>
        <w:jc w:val="center"/>
        <w:rPr>
          <w:b/>
          <w:bCs/>
          <w:i/>
          <w:iCs/>
          <w:sz w:val="36"/>
          <w:szCs w:val="36"/>
        </w:rPr>
      </w:pPr>
      <w:r w:rsidRPr="004F61B4">
        <w:rPr>
          <w:b/>
          <w:bCs/>
          <w:i/>
          <w:iCs/>
          <w:sz w:val="36"/>
          <w:szCs w:val="36"/>
        </w:rPr>
        <w:t>Personnel Resourcing and Development</w:t>
      </w:r>
    </w:p>
    <w:p w14:paraId="4DD7013A" w14:textId="2E332EF3" w:rsidR="00A038A9" w:rsidRPr="00935591" w:rsidRDefault="00724811" w:rsidP="00724811">
      <w:pPr>
        <w:jc w:val="center"/>
        <w:rPr>
          <w:b/>
          <w:i/>
          <w:iCs/>
        </w:rPr>
      </w:pPr>
      <w:r w:rsidRPr="00935591">
        <w:rPr>
          <w:b/>
          <w:i/>
          <w:iCs/>
        </w:rPr>
        <w:t>Research Project Proposal</w:t>
      </w:r>
    </w:p>
    <w:p w14:paraId="17F1066A" w14:textId="77777777" w:rsidR="00935591" w:rsidRDefault="00935591" w:rsidP="00935591">
      <w:pPr>
        <w:jc w:val="center"/>
        <w:rPr>
          <w:b/>
          <w:bCs/>
          <w:i/>
          <w:iCs/>
          <w:lang w:val="en-US"/>
        </w:rPr>
      </w:pPr>
      <w:r>
        <w:rPr>
          <w:b/>
          <w:bCs/>
          <w:i/>
          <w:iCs/>
        </w:rPr>
        <w:t xml:space="preserve">Student Name: </w:t>
      </w:r>
      <w:proofErr w:type="spellStart"/>
      <w:r>
        <w:rPr>
          <w:b/>
          <w:bCs/>
          <w:i/>
          <w:iCs/>
        </w:rPr>
        <w:t>Badrul</w:t>
      </w:r>
      <w:proofErr w:type="spellEnd"/>
      <w:r>
        <w:rPr>
          <w:b/>
          <w:bCs/>
          <w:i/>
          <w:iCs/>
        </w:rPr>
        <w:t xml:space="preserve"> Jamal</w:t>
      </w:r>
    </w:p>
    <w:p w14:paraId="148FD6DE" w14:textId="77777777" w:rsidR="00935591" w:rsidRDefault="00935591" w:rsidP="00935591">
      <w:pPr>
        <w:jc w:val="center"/>
        <w:rPr>
          <w:rFonts w:eastAsia="Times New Roman" w:cs="Arial"/>
          <w:b/>
          <w:lang w:val="en-AU"/>
        </w:rPr>
      </w:pPr>
      <w:r>
        <w:rPr>
          <w:b/>
          <w:bCs/>
          <w:i/>
          <w:iCs/>
        </w:rPr>
        <w:t xml:space="preserve">Student Number: </w:t>
      </w:r>
      <w:r>
        <w:rPr>
          <w:rFonts w:eastAsia="Times New Roman" w:cs="Arial"/>
          <w:b/>
          <w:lang w:val="en-AU"/>
        </w:rPr>
        <w:t>2126642</w:t>
      </w:r>
    </w:p>
    <w:p w14:paraId="6D32CBA0" w14:textId="77777777" w:rsidR="00935591" w:rsidRDefault="00935591" w:rsidP="00935591">
      <w:pPr>
        <w:jc w:val="center"/>
        <w:rPr>
          <w:b/>
          <w:bCs/>
          <w:i/>
          <w:iCs/>
          <w:lang w:val="en-US"/>
        </w:rPr>
      </w:pPr>
      <w:r>
        <w:rPr>
          <w:rFonts w:eastAsia="Times New Roman" w:cs="Arial"/>
          <w:b/>
          <w:lang w:val="en-AU"/>
        </w:rPr>
        <w:t>Tutor’s Name:</w:t>
      </w:r>
      <w:r>
        <w:rPr>
          <w:b/>
          <w:bCs/>
          <w:i/>
          <w:iCs/>
          <w:lang w:val="en-AU"/>
        </w:rPr>
        <w:t xml:space="preserve"> </w:t>
      </w:r>
      <w:r>
        <w:rPr>
          <w:b/>
          <w:bCs/>
          <w:i/>
          <w:iCs/>
        </w:rPr>
        <w:t>Helen evens</w:t>
      </w:r>
    </w:p>
    <w:p w14:paraId="3F954A17" w14:textId="5D48231B" w:rsidR="00A038A9" w:rsidRDefault="00A038A9" w:rsidP="006A6E23">
      <w:pPr>
        <w:rPr>
          <w:rFonts w:cs="Arial"/>
          <w:szCs w:val="22"/>
        </w:rPr>
      </w:pPr>
    </w:p>
    <w:p w14:paraId="337798FA" w14:textId="0E348451" w:rsidR="00A038A9" w:rsidRDefault="00A038A9" w:rsidP="006A6E23">
      <w:pPr>
        <w:rPr>
          <w:rFonts w:cs="Arial"/>
          <w:szCs w:val="22"/>
        </w:rPr>
      </w:pPr>
    </w:p>
    <w:p w14:paraId="0FC4D492" w14:textId="0D1BA0E9" w:rsidR="00A038A9" w:rsidRDefault="00A038A9" w:rsidP="006A6E23">
      <w:pPr>
        <w:rPr>
          <w:rFonts w:cs="Arial"/>
          <w:szCs w:val="22"/>
        </w:rPr>
      </w:pPr>
    </w:p>
    <w:p w14:paraId="77F8C323" w14:textId="1D631445" w:rsidR="00A038A9" w:rsidRDefault="00A038A9" w:rsidP="006A6E23">
      <w:pPr>
        <w:rPr>
          <w:rFonts w:cs="Arial"/>
          <w:szCs w:val="22"/>
        </w:rPr>
      </w:pPr>
    </w:p>
    <w:p w14:paraId="7D0D6CF6" w14:textId="071A07AA" w:rsidR="00A038A9" w:rsidRDefault="00A038A9" w:rsidP="006A6E23">
      <w:pPr>
        <w:rPr>
          <w:rFonts w:cs="Arial"/>
          <w:szCs w:val="22"/>
        </w:rPr>
      </w:pPr>
    </w:p>
    <w:p w14:paraId="0CA4C6A0" w14:textId="28648EA4" w:rsidR="00A038A9" w:rsidRDefault="00A038A9" w:rsidP="006A6E23">
      <w:pPr>
        <w:rPr>
          <w:rFonts w:cs="Arial"/>
          <w:szCs w:val="22"/>
        </w:rPr>
      </w:pPr>
    </w:p>
    <w:p w14:paraId="34C0EAFE" w14:textId="6803DBB3" w:rsidR="00A038A9" w:rsidRDefault="00A038A9" w:rsidP="006A6E23">
      <w:pPr>
        <w:rPr>
          <w:rFonts w:cs="Arial"/>
          <w:szCs w:val="22"/>
        </w:rPr>
      </w:pPr>
    </w:p>
    <w:p w14:paraId="77106287" w14:textId="4AA0C296" w:rsidR="00A038A9" w:rsidRDefault="00A038A9" w:rsidP="006A6E23">
      <w:pPr>
        <w:rPr>
          <w:rFonts w:cs="Arial"/>
          <w:szCs w:val="22"/>
        </w:rPr>
      </w:pPr>
    </w:p>
    <w:p w14:paraId="1455E3EA" w14:textId="3E153F4E" w:rsidR="00A038A9" w:rsidRDefault="00A038A9" w:rsidP="006A6E23">
      <w:pPr>
        <w:rPr>
          <w:rFonts w:cs="Arial"/>
          <w:szCs w:val="22"/>
        </w:rPr>
      </w:pPr>
    </w:p>
    <w:p w14:paraId="502A6F1F" w14:textId="06F5E5A9" w:rsidR="00A038A9" w:rsidRDefault="00A038A9" w:rsidP="006A6E23">
      <w:pPr>
        <w:rPr>
          <w:rFonts w:cs="Arial"/>
          <w:szCs w:val="22"/>
        </w:rPr>
      </w:pPr>
    </w:p>
    <w:p w14:paraId="347E4C4D" w14:textId="77777777" w:rsidR="006A6E23" w:rsidRDefault="006A6E23" w:rsidP="006A6E23"/>
    <w:p w14:paraId="6C420701" w14:textId="77777777" w:rsidR="006A6E23" w:rsidRDefault="006A6E23" w:rsidP="006A6E23"/>
    <w:p w14:paraId="3C1393D2" w14:textId="77777777" w:rsidR="006A6E23" w:rsidRDefault="006A6E23" w:rsidP="006A6E23"/>
    <w:p w14:paraId="07F8B7E7" w14:textId="77777777" w:rsidR="006A6E23" w:rsidRDefault="006A6E23" w:rsidP="006A6E23"/>
    <w:sdt>
      <w:sdtPr>
        <w:rPr>
          <w:rFonts w:eastAsiaTheme="minorHAnsi" w:cstheme="minorBidi"/>
          <w:bCs w:val="0"/>
          <w:color w:val="auto"/>
          <w:sz w:val="24"/>
          <w:szCs w:val="24"/>
          <w:lang w:eastAsia="en-US"/>
        </w:rPr>
        <w:id w:val="-1939674689"/>
        <w:docPartObj>
          <w:docPartGallery w:val="Table of Contents"/>
          <w:docPartUnique/>
        </w:docPartObj>
      </w:sdtPr>
      <w:sdtEndPr>
        <w:rPr>
          <w:b/>
          <w:noProof/>
        </w:rPr>
      </w:sdtEndPr>
      <w:sdtContent>
        <w:p w14:paraId="7DA69E82" w14:textId="65B40505" w:rsidR="00724811" w:rsidRPr="00724811" w:rsidRDefault="00724811" w:rsidP="00724811">
          <w:pPr>
            <w:pStyle w:val="TOCHeading"/>
            <w:jc w:val="center"/>
            <w:rPr>
              <w:b/>
              <w:bCs w:val="0"/>
              <w:sz w:val="32"/>
              <w:szCs w:val="32"/>
            </w:rPr>
          </w:pPr>
          <w:r w:rsidRPr="00724811">
            <w:rPr>
              <w:b/>
              <w:bCs w:val="0"/>
              <w:sz w:val="32"/>
              <w:szCs w:val="32"/>
            </w:rPr>
            <w:t>Table of Contents</w:t>
          </w:r>
        </w:p>
        <w:p w14:paraId="30305D5F" w14:textId="7D333328" w:rsidR="005305E3" w:rsidRDefault="00724811">
          <w:pPr>
            <w:pStyle w:val="TOC1"/>
            <w:tabs>
              <w:tab w:val="right" w:leader="dot" w:pos="9016"/>
            </w:tabs>
            <w:rPr>
              <w:rFonts w:asciiTheme="minorHAnsi" w:eastAsiaTheme="minorEastAsia" w:hAnsiTheme="minorHAnsi"/>
              <w:noProof/>
              <w:kern w:val="2"/>
              <w:lang w:eastAsia="en-GB"/>
              <w14:ligatures w14:val="standardContextual"/>
            </w:rPr>
          </w:pPr>
          <w:r>
            <w:fldChar w:fldCharType="begin"/>
          </w:r>
          <w:r>
            <w:instrText xml:space="preserve"> TOC \o "1-3" \h \z \u </w:instrText>
          </w:r>
          <w:r>
            <w:fldChar w:fldCharType="separate"/>
          </w:r>
          <w:hyperlink w:anchor="_Toc136144213" w:history="1">
            <w:r w:rsidR="005305E3" w:rsidRPr="00012497">
              <w:rPr>
                <w:rStyle w:val="Hyperlink"/>
                <w:rFonts w:cs="Times New Roman"/>
                <w:noProof/>
              </w:rPr>
              <w:t>Introduction</w:t>
            </w:r>
            <w:r w:rsidR="005305E3">
              <w:rPr>
                <w:noProof/>
                <w:webHidden/>
              </w:rPr>
              <w:tab/>
            </w:r>
            <w:r w:rsidR="005305E3">
              <w:rPr>
                <w:noProof/>
                <w:webHidden/>
              </w:rPr>
              <w:fldChar w:fldCharType="begin"/>
            </w:r>
            <w:r w:rsidR="005305E3">
              <w:rPr>
                <w:noProof/>
                <w:webHidden/>
              </w:rPr>
              <w:instrText xml:space="preserve"> PAGEREF _Toc136144213 \h </w:instrText>
            </w:r>
            <w:r w:rsidR="005305E3">
              <w:rPr>
                <w:noProof/>
                <w:webHidden/>
              </w:rPr>
            </w:r>
            <w:r w:rsidR="005305E3">
              <w:rPr>
                <w:noProof/>
                <w:webHidden/>
              </w:rPr>
              <w:fldChar w:fldCharType="separate"/>
            </w:r>
            <w:r w:rsidR="00435CC8">
              <w:rPr>
                <w:noProof/>
                <w:webHidden/>
              </w:rPr>
              <w:t>1</w:t>
            </w:r>
            <w:r w:rsidR="005305E3">
              <w:rPr>
                <w:noProof/>
                <w:webHidden/>
              </w:rPr>
              <w:fldChar w:fldCharType="end"/>
            </w:r>
          </w:hyperlink>
        </w:p>
        <w:p w14:paraId="4A7AD982" w14:textId="69D3ECA9" w:rsidR="005305E3" w:rsidRDefault="00070891">
          <w:pPr>
            <w:pStyle w:val="TOC2"/>
            <w:tabs>
              <w:tab w:val="right" w:leader="dot" w:pos="9016"/>
            </w:tabs>
            <w:rPr>
              <w:rFonts w:asciiTheme="minorHAnsi" w:eastAsiaTheme="minorEastAsia" w:hAnsiTheme="minorHAnsi"/>
              <w:noProof/>
              <w:kern w:val="2"/>
              <w:lang w:eastAsia="en-GB"/>
              <w14:ligatures w14:val="standardContextual"/>
            </w:rPr>
          </w:pPr>
          <w:hyperlink w:anchor="_Toc136144214" w:history="1">
            <w:r w:rsidR="005305E3" w:rsidRPr="00012497">
              <w:rPr>
                <w:rStyle w:val="Hyperlink"/>
                <w:noProof/>
              </w:rPr>
              <w:t>Brief Background of Marriott International</w:t>
            </w:r>
            <w:r w:rsidR="005305E3">
              <w:rPr>
                <w:noProof/>
                <w:webHidden/>
              </w:rPr>
              <w:tab/>
            </w:r>
            <w:r w:rsidR="005305E3">
              <w:rPr>
                <w:noProof/>
                <w:webHidden/>
              </w:rPr>
              <w:fldChar w:fldCharType="begin"/>
            </w:r>
            <w:r w:rsidR="005305E3">
              <w:rPr>
                <w:noProof/>
                <w:webHidden/>
              </w:rPr>
              <w:instrText xml:space="preserve"> PAGEREF _Toc136144214 \h </w:instrText>
            </w:r>
            <w:r w:rsidR="005305E3">
              <w:rPr>
                <w:noProof/>
                <w:webHidden/>
              </w:rPr>
            </w:r>
            <w:r w:rsidR="005305E3">
              <w:rPr>
                <w:noProof/>
                <w:webHidden/>
              </w:rPr>
              <w:fldChar w:fldCharType="separate"/>
            </w:r>
            <w:r w:rsidR="00435CC8">
              <w:rPr>
                <w:noProof/>
                <w:webHidden/>
              </w:rPr>
              <w:t>2</w:t>
            </w:r>
            <w:r w:rsidR="005305E3">
              <w:rPr>
                <w:noProof/>
                <w:webHidden/>
              </w:rPr>
              <w:fldChar w:fldCharType="end"/>
            </w:r>
          </w:hyperlink>
        </w:p>
        <w:p w14:paraId="65F71B74" w14:textId="450B7FE8" w:rsidR="005305E3" w:rsidRDefault="00070891">
          <w:pPr>
            <w:pStyle w:val="TOC1"/>
            <w:tabs>
              <w:tab w:val="right" w:leader="dot" w:pos="9016"/>
            </w:tabs>
            <w:rPr>
              <w:rFonts w:asciiTheme="minorHAnsi" w:eastAsiaTheme="minorEastAsia" w:hAnsiTheme="minorHAnsi"/>
              <w:noProof/>
              <w:kern w:val="2"/>
              <w:lang w:eastAsia="en-GB"/>
              <w14:ligatures w14:val="standardContextual"/>
            </w:rPr>
          </w:pPr>
          <w:hyperlink w:anchor="_Toc136144215" w:history="1">
            <w:r w:rsidR="005305E3" w:rsidRPr="00012497">
              <w:rPr>
                <w:rStyle w:val="Hyperlink"/>
                <w:noProof/>
              </w:rPr>
              <w:t>Discussion on the Aspect</w:t>
            </w:r>
            <w:r w:rsidR="005305E3">
              <w:rPr>
                <w:noProof/>
                <w:webHidden/>
              </w:rPr>
              <w:tab/>
            </w:r>
            <w:r w:rsidR="005305E3">
              <w:rPr>
                <w:noProof/>
                <w:webHidden/>
              </w:rPr>
              <w:fldChar w:fldCharType="begin"/>
            </w:r>
            <w:r w:rsidR="005305E3">
              <w:rPr>
                <w:noProof/>
                <w:webHidden/>
              </w:rPr>
              <w:instrText xml:space="preserve"> PAGEREF _Toc136144215 \h </w:instrText>
            </w:r>
            <w:r w:rsidR="005305E3">
              <w:rPr>
                <w:noProof/>
                <w:webHidden/>
              </w:rPr>
            </w:r>
            <w:r w:rsidR="005305E3">
              <w:rPr>
                <w:noProof/>
                <w:webHidden/>
              </w:rPr>
              <w:fldChar w:fldCharType="separate"/>
            </w:r>
            <w:r w:rsidR="00435CC8">
              <w:rPr>
                <w:noProof/>
                <w:webHidden/>
              </w:rPr>
              <w:t>3</w:t>
            </w:r>
            <w:r w:rsidR="005305E3">
              <w:rPr>
                <w:noProof/>
                <w:webHidden/>
              </w:rPr>
              <w:fldChar w:fldCharType="end"/>
            </w:r>
          </w:hyperlink>
        </w:p>
        <w:p w14:paraId="53E51911" w14:textId="00149105" w:rsidR="005305E3" w:rsidRDefault="00070891">
          <w:pPr>
            <w:pStyle w:val="TOC2"/>
            <w:tabs>
              <w:tab w:val="right" w:leader="dot" w:pos="9016"/>
            </w:tabs>
            <w:rPr>
              <w:rFonts w:asciiTheme="minorHAnsi" w:eastAsiaTheme="minorEastAsia" w:hAnsiTheme="minorHAnsi"/>
              <w:noProof/>
              <w:kern w:val="2"/>
              <w:lang w:eastAsia="en-GB"/>
              <w14:ligatures w14:val="standardContextual"/>
            </w:rPr>
          </w:pPr>
          <w:hyperlink w:anchor="_Toc136144216" w:history="1">
            <w:r w:rsidR="005305E3" w:rsidRPr="00012497">
              <w:rPr>
                <w:rStyle w:val="Hyperlink"/>
                <w:noProof/>
              </w:rPr>
              <w:t>Literature Review</w:t>
            </w:r>
            <w:r w:rsidR="005305E3">
              <w:rPr>
                <w:noProof/>
                <w:webHidden/>
              </w:rPr>
              <w:tab/>
            </w:r>
            <w:r w:rsidR="005305E3">
              <w:rPr>
                <w:noProof/>
                <w:webHidden/>
              </w:rPr>
              <w:fldChar w:fldCharType="begin"/>
            </w:r>
            <w:r w:rsidR="005305E3">
              <w:rPr>
                <w:noProof/>
                <w:webHidden/>
              </w:rPr>
              <w:instrText xml:space="preserve"> PAGEREF _Toc136144216 \h </w:instrText>
            </w:r>
            <w:r w:rsidR="005305E3">
              <w:rPr>
                <w:noProof/>
                <w:webHidden/>
              </w:rPr>
            </w:r>
            <w:r w:rsidR="005305E3">
              <w:rPr>
                <w:noProof/>
                <w:webHidden/>
              </w:rPr>
              <w:fldChar w:fldCharType="separate"/>
            </w:r>
            <w:r w:rsidR="00435CC8">
              <w:rPr>
                <w:noProof/>
                <w:webHidden/>
              </w:rPr>
              <w:t>3</w:t>
            </w:r>
            <w:r w:rsidR="005305E3">
              <w:rPr>
                <w:noProof/>
                <w:webHidden/>
              </w:rPr>
              <w:fldChar w:fldCharType="end"/>
            </w:r>
          </w:hyperlink>
        </w:p>
        <w:p w14:paraId="16FF788C" w14:textId="5B1A7C1C" w:rsidR="005305E3" w:rsidRDefault="00070891">
          <w:pPr>
            <w:pStyle w:val="TOC2"/>
            <w:tabs>
              <w:tab w:val="right" w:leader="dot" w:pos="9016"/>
            </w:tabs>
            <w:rPr>
              <w:rFonts w:asciiTheme="minorHAnsi" w:eastAsiaTheme="minorEastAsia" w:hAnsiTheme="minorHAnsi"/>
              <w:noProof/>
              <w:kern w:val="2"/>
              <w:lang w:eastAsia="en-GB"/>
              <w14:ligatures w14:val="standardContextual"/>
            </w:rPr>
          </w:pPr>
          <w:hyperlink w:anchor="_Toc136144217" w:history="1">
            <w:r w:rsidR="005305E3" w:rsidRPr="00012497">
              <w:rPr>
                <w:rStyle w:val="Hyperlink"/>
                <w:noProof/>
              </w:rPr>
              <w:t>PESTLE Analysis on Marriot International</w:t>
            </w:r>
            <w:r w:rsidR="005305E3">
              <w:rPr>
                <w:noProof/>
                <w:webHidden/>
              </w:rPr>
              <w:tab/>
            </w:r>
            <w:r w:rsidR="005305E3">
              <w:rPr>
                <w:noProof/>
                <w:webHidden/>
              </w:rPr>
              <w:fldChar w:fldCharType="begin"/>
            </w:r>
            <w:r w:rsidR="005305E3">
              <w:rPr>
                <w:noProof/>
                <w:webHidden/>
              </w:rPr>
              <w:instrText xml:space="preserve"> PAGEREF _Toc136144217 \h </w:instrText>
            </w:r>
            <w:r w:rsidR="005305E3">
              <w:rPr>
                <w:noProof/>
                <w:webHidden/>
              </w:rPr>
            </w:r>
            <w:r w:rsidR="005305E3">
              <w:rPr>
                <w:noProof/>
                <w:webHidden/>
              </w:rPr>
              <w:fldChar w:fldCharType="separate"/>
            </w:r>
            <w:r w:rsidR="00435CC8">
              <w:rPr>
                <w:noProof/>
                <w:webHidden/>
              </w:rPr>
              <w:t>5</w:t>
            </w:r>
            <w:r w:rsidR="005305E3">
              <w:rPr>
                <w:noProof/>
                <w:webHidden/>
              </w:rPr>
              <w:fldChar w:fldCharType="end"/>
            </w:r>
          </w:hyperlink>
        </w:p>
        <w:p w14:paraId="61C03E64" w14:textId="1318A8D9" w:rsidR="005305E3" w:rsidRDefault="00070891">
          <w:pPr>
            <w:pStyle w:val="TOC2"/>
            <w:tabs>
              <w:tab w:val="right" w:leader="dot" w:pos="9016"/>
            </w:tabs>
            <w:rPr>
              <w:rFonts w:asciiTheme="minorHAnsi" w:eastAsiaTheme="minorEastAsia" w:hAnsiTheme="minorHAnsi"/>
              <w:noProof/>
              <w:kern w:val="2"/>
              <w:lang w:eastAsia="en-GB"/>
              <w14:ligatures w14:val="standardContextual"/>
            </w:rPr>
          </w:pPr>
          <w:hyperlink w:anchor="_Toc136144218" w:history="1">
            <w:r w:rsidR="005305E3" w:rsidRPr="00012497">
              <w:rPr>
                <w:rStyle w:val="Hyperlink"/>
                <w:noProof/>
              </w:rPr>
              <w:t>SWOT Analysis on Marriot International</w:t>
            </w:r>
            <w:r w:rsidR="005305E3">
              <w:rPr>
                <w:noProof/>
                <w:webHidden/>
              </w:rPr>
              <w:tab/>
            </w:r>
            <w:r w:rsidR="005305E3">
              <w:rPr>
                <w:noProof/>
                <w:webHidden/>
              </w:rPr>
              <w:fldChar w:fldCharType="begin"/>
            </w:r>
            <w:r w:rsidR="005305E3">
              <w:rPr>
                <w:noProof/>
                <w:webHidden/>
              </w:rPr>
              <w:instrText xml:space="preserve"> PAGEREF _Toc136144218 \h </w:instrText>
            </w:r>
            <w:r w:rsidR="005305E3">
              <w:rPr>
                <w:noProof/>
                <w:webHidden/>
              </w:rPr>
            </w:r>
            <w:r w:rsidR="005305E3">
              <w:rPr>
                <w:noProof/>
                <w:webHidden/>
              </w:rPr>
              <w:fldChar w:fldCharType="separate"/>
            </w:r>
            <w:r w:rsidR="00435CC8">
              <w:rPr>
                <w:noProof/>
                <w:webHidden/>
              </w:rPr>
              <w:t>6</w:t>
            </w:r>
            <w:r w:rsidR="005305E3">
              <w:rPr>
                <w:noProof/>
                <w:webHidden/>
              </w:rPr>
              <w:fldChar w:fldCharType="end"/>
            </w:r>
          </w:hyperlink>
        </w:p>
        <w:p w14:paraId="272670A0" w14:textId="3DC94AE3" w:rsidR="005305E3" w:rsidRDefault="00070891">
          <w:pPr>
            <w:pStyle w:val="TOC1"/>
            <w:tabs>
              <w:tab w:val="right" w:leader="dot" w:pos="9016"/>
            </w:tabs>
            <w:rPr>
              <w:rFonts w:asciiTheme="minorHAnsi" w:eastAsiaTheme="minorEastAsia" w:hAnsiTheme="minorHAnsi"/>
              <w:noProof/>
              <w:kern w:val="2"/>
              <w:lang w:eastAsia="en-GB"/>
              <w14:ligatures w14:val="standardContextual"/>
            </w:rPr>
          </w:pPr>
          <w:hyperlink w:anchor="_Toc136144219" w:history="1">
            <w:r w:rsidR="005305E3" w:rsidRPr="00012497">
              <w:rPr>
                <w:rStyle w:val="Hyperlink"/>
                <w:noProof/>
              </w:rPr>
              <w:t>Findings of the Study</w:t>
            </w:r>
            <w:r w:rsidR="005305E3">
              <w:rPr>
                <w:noProof/>
                <w:webHidden/>
              </w:rPr>
              <w:tab/>
            </w:r>
            <w:r w:rsidR="005305E3">
              <w:rPr>
                <w:noProof/>
                <w:webHidden/>
              </w:rPr>
              <w:fldChar w:fldCharType="begin"/>
            </w:r>
            <w:r w:rsidR="005305E3">
              <w:rPr>
                <w:noProof/>
                <w:webHidden/>
              </w:rPr>
              <w:instrText xml:space="preserve"> PAGEREF _Toc136144219 \h </w:instrText>
            </w:r>
            <w:r w:rsidR="005305E3">
              <w:rPr>
                <w:noProof/>
                <w:webHidden/>
              </w:rPr>
            </w:r>
            <w:r w:rsidR="005305E3">
              <w:rPr>
                <w:noProof/>
                <w:webHidden/>
              </w:rPr>
              <w:fldChar w:fldCharType="separate"/>
            </w:r>
            <w:r w:rsidR="00435CC8">
              <w:rPr>
                <w:noProof/>
                <w:webHidden/>
              </w:rPr>
              <w:t>8</w:t>
            </w:r>
            <w:r w:rsidR="005305E3">
              <w:rPr>
                <w:noProof/>
                <w:webHidden/>
              </w:rPr>
              <w:fldChar w:fldCharType="end"/>
            </w:r>
          </w:hyperlink>
        </w:p>
        <w:p w14:paraId="08BB6BFE" w14:textId="41DAA360" w:rsidR="005305E3" w:rsidRDefault="00070891">
          <w:pPr>
            <w:pStyle w:val="TOC1"/>
            <w:tabs>
              <w:tab w:val="right" w:leader="dot" w:pos="9016"/>
            </w:tabs>
            <w:rPr>
              <w:rFonts w:asciiTheme="minorHAnsi" w:eastAsiaTheme="minorEastAsia" w:hAnsiTheme="minorHAnsi"/>
              <w:noProof/>
              <w:kern w:val="2"/>
              <w:lang w:eastAsia="en-GB"/>
              <w14:ligatures w14:val="standardContextual"/>
            </w:rPr>
          </w:pPr>
          <w:hyperlink w:anchor="_Toc136144220" w:history="1">
            <w:r w:rsidR="005305E3" w:rsidRPr="00012497">
              <w:rPr>
                <w:rStyle w:val="Hyperlink"/>
                <w:noProof/>
              </w:rPr>
              <w:t>Recommendations</w:t>
            </w:r>
            <w:r w:rsidR="005305E3">
              <w:rPr>
                <w:noProof/>
                <w:webHidden/>
              </w:rPr>
              <w:tab/>
            </w:r>
            <w:r w:rsidR="005305E3">
              <w:rPr>
                <w:noProof/>
                <w:webHidden/>
              </w:rPr>
              <w:fldChar w:fldCharType="begin"/>
            </w:r>
            <w:r w:rsidR="005305E3">
              <w:rPr>
                <w:noProof/>
                <w:webHidden/>
              </w:rPr>
              <w:instrText xml:space="preserve"> PAGEREF _Toc136144220 \h </w:instrText>
            </w:r>
            <w:r w:rsidR="005305E3">
              <w:rPr>
                <w:noProof/>
                <w:webHidden/>
              </w:rPr>
            </w:r>
            <w:r w:rsidR="005305E3">
              <w:rPr>
                <w:noProof/>
                <w:webHidden/>
              </w:rPr>
              <w:fldChar w:fldCharType="separate"/>
            </w:r>
            <w:r w:rsidR="00435CC8">
              <w:rPr>
                <w:noProof/>
                <w:webHidden/>
              </w:rPr>
              <w:t>8</w:t>
            </w:r>
            <w:r w:rsidR="005305E3">
              <w:rPr>
                <w:noProof/>
                <w:webHidden/>
              </w:rPr>
              <w:fldChar w:fldCharType="end"/>
            </w:r>
          </w:hyperlink>
        </w:p>
        <w:p w14:paraId="192A95CA" w14:textId="394118D0" w:rsidR="005305E3" w:rsidRDefault="00070891">
          <w:pPr>
            <w:pStyle w:val="TOC1"/>
            <w:tabs>
              <w:tab w:val="right" w:leader="dot" w:pos="9016"/>
            </w:tabs>
            <w:rPr>
              <w:rFonts w:asciiTheme="minorHAnsi" w:eastAsiaTheme="minorEastAsia" w:hAnsiTheme="minorHAnsi"/>
              <w:noProof/>
              <w:kern w:val="2"/>
              <w:lang w:eastAsia="en-GB"/>
              <w14:ligatures w14:val="standardContextual"/>
            </w:rPr>
          </w:pPr>
          <w:hyperlink w:anchor="_Toc136144221" w:history="1">
            <w:r w:rsidR="005305E3" w:rsidRPr="00012497">
              <w:rPr>
                <w:rStyle w:val="Hyperlink"/>
                <w:noProof/>
              </w:rPr>
              <w:t>Conclusion</w:t>
            </w:r>
            <w:r w:rsidR="005305E3">
              <w:rPr>
                <w:noProof/>
                <w:webHidden/>
              </w:rPr>
              <w:tab/>
            </w:r>
            <w:r w:rsidR="005305E3">
              <w:rPr>
                <w:noProof/>
                <w:webHidden/>
              </w:rPr>
              <w:fldChar w:fldCharType="begin"/>
            </w:r>
            <w:r w:rsidR="005305E3">
              <w:rPr>
                <w:noProof/>
                <w:webHidden/>
              </w:rPr>
              <w:instrText xml:space="preserve"> PAGEREF _Toc136144221 \h </w:instrText>
            </w:r>
            <w:r w:rsidR="005305E3">
              <w:rPr>
                <w:noProof/>
                <w:webHidden/>
              </w:rPr>
            </w:r>
            <w:r w:rsidR="005305E3">
              <w:rPr>
                <w:noProof/>
                <w:webHidden/>
              </w:rPr>
              <w:fldChar w:fldCharType="separate"/>
            </w:r>
            <w:r w:rsidR="00435CC8">
              <w:rPr>
                <w:noProof/>
                <w:webHidden/>
              </w:rPr>
              <w:t>9</w:t>
            </w:r>
            <w:r w:rsidR="005305E3">
              <w:rPr>
                <w:noProof/>
                <w:webHidden/>
              </w:rPr>
              <w:fldChar w:fldCharType="end"/>
            </w:r>
          </w:hyperlink>
        </w:p>
        <w:p w14:paraId="11C127CC" w14:textId="69C39718" w:rsidR="005305E3" w:rsidRDefault="00070891">
          <w:pPr>
            <w:pStyle w:val="TOC1"/>
            <w:tabs>
              <w:tab w:val="right" w:leader="dot" w:pos="9016"/>
            </w:tabs>
            <w:rPr>
              <w:rFonts w:asciiTheme="minorHAnsi" w:eastAsiaTheme="minorEastAsia" w:hAnsiTheme="minorHAnsi"/>
              <w:noProof/>
              <w:kern w:val="2"/>
              <w:lang w:eastAsia="en-GB"/>
              <w14:ligatures w14:val="standardContextual"/>
            </w:rPr>
          </w:pPr>
          <w:hyperlink w:anchor="_Toc136144222" w:history="1">
            <w:r w:rsidR="005305E3" w:rsidRPr="00012497">
              <w:rPr>
                <w:rStyle w:val="Hyperlink"/>
                <w:rFonts w:cs="Times New Roman"/>
                <w:bCs/>
                <w:noProof/>
              </w:rPr>
              <w:t>References</w:t>
            </w:r>
            <w:r w:rsidR="005305E3">
              <w:rPr>
                <w:noProof/>
                <w:webHidden/>
              </w:rPr>
              <w:tab/>
            </w:r>
            <w:r w:rsidR="005305E3">
              <w:rPr>
                <w:noProof/>
                <w:webHidden/>
              </w:rPr>
              <w:fldChar w:fldCharType="begin"/>
            </w:r>
            <w:r w:rsidR="005305E3">
              <w:rPr>
                <w:noProof/>
                <w:webHidden/>
              </w:rPr>
              <w:instrText xml:space="preserve"> PAGEREF _Toc136144222 \h </w:instrText>
            </w:r>
            <w:r w:rsidR="005305E3">
              <w:rPr>
                <w:noProof/>
                <w:webHidden/>
              </w:rPr>
            </w:r>
            <w:r w:rsidR="005305E3">
              <w:rPr>
                <w:noProof/>
                <w:webHidden/>
              </w:rPr>
              <w:fldChar w:fldCharType="separate"/>
            </w:r>
            <w:r w:rsidR="00435CC8">
              <w:rPr>
                <w:noProof/>
                <w:webHidden/>
              </w:rPr>
              <w:t>10</w:t>
            </w:r>
            <w:r w:rsidR="005305E3">
              <w:rPr>
                <w:noProof/>
                <w:webHidden/>
              </w:rPr>
              <w:fldChar w:fldCharType="end"/>
            </w:r>
          </w:hyperlink>
        </w:p>
        <w:p w14:paraId="7C1BD510" w14:textId="3A20868A" w:rsidR="00724811" w:rsidRDefault="00724811">
          <w:r>
            <w:rPr>
              <w:b/>
              <w:bCs/>
              <w:noProof/>
            </w:rPr>
            <w:fldChar w:fldCharType="end"/>
          </w:r>
        </w:p>
      </w:sdtContent>
    </w:sdt>
    <w:p w14:paraId="313E3FC8" w14:textId="77777777" w:rsidR="00276CB7" w:rsidRDefault="00276CB7" w:rsidP="00276CB7">
      <w:pPr>
        <w:rPr>
          <w:sz w:val="48"/>
          <w:szCs w:val="23"/>
        </w:rPr>
      </w:pPr>
    </w:p>
    <w:p w14:paraId="74259BD7" w14:textId="77777777" w:rsidR="00276CB7" w:rsidRDefault="00276CB7" w:rsidP="00276CB7">
      <w:pPr>
        <w:rPr>
          <w:sz w:val="48"/>
          <w:szCs w:val="23"/>
        </w:rPr>
      </w:pPr>
    </w:p>
    <w:p w14:paraId="42236C31" w14:textId="65415838" w:rsidR="00276CB7" w:rsidRPr="00276CB7" w:rsidRDefault="00276CB7" w:rsidP="00276CB7">
      <w:pPr>
        <w:rPr>
          <w:sz w:val="48"/>
          <w:szCs w:val="23"/>
        </w:rPr>
        <w:sectPr w:rsidR="00276CB7" w:rsidRPr="00276CB7" w:rsidSect="003B2C0B">
          <w:pgSz w:w="11906" w:h="16838" w:code="9"/>
          <w:pgMar w:top="1440" w:right="1440" w:bottom="1440" w:left="1440" w:header="720" w:footer="720" w:gutter="0"/>
          <w:cols w:space="720"/>
          <w:docGrid w:linePitch="360"/>
        </w:sectPr>
      </w:pPr>
    </w:p>
    <w:p w14:paraId="7600482D" w14:textId="4FFD16D0" w:rsidR="000D6484" w:rsidRPr="006647CF" w:rsidRDefault="00CD4AE6" w:rsidP="000D6484">
      <w:pPr>
        <w:pStyle w:val="Heading1"/>
        <w:rPr>
          <w:rFonts w:cs="Times New Roman"/>
        </w:rPr>
      </w:pPr>
      <w:bookmarkStart w:id="0" w:name="_Toc136144213"/>
      <w:r w:rsidRPr="00CD4AE6">
        <w:rPr>
          <w:rFonts w:cs="Times New Roman"/>
        </w:rPr>
        <w:lastRenderedPageBreak/>
        <w:t>Introduction</w:t>
      </w:r>
      <w:bookmarkEnd w:id="0"/>
      <w:r w:rsidRPr="00CD4AE6">
        <w:rPr>
          <w:rFonts w:cs="Times New Roman"/>
        </w:rPr>
        <w:t xml:space="preserve"> </w:t>
      </w:r>
    </w:p>
    <w:p w14:paraId="07CCFE58" w14:textId="6FF219EE" w:rsidR="00A30F7C" w:rsidRDefault="00A30F7C" w:rsidP="001D6DF5">
      <w:r w:rsidRPr="00A30F7C">
        <w:t>Marriott International, a hotel operator with a worldwide reputation operating in a dynamic and competitive market, places a premium on employee retention. Significant difficulties exist in keeping a competent and engaged workforce due to high turnover rates, employee shortages, poor training, and managerial practices (</w:t>
      </w:r>
      <w:proofErr w:type="spellStart"/>
      <w:r w:rsidRPr="00A30F7C">
        <w:t>Catana</w:t>
      </w:r>
      <w:proofErr w:type="spellEnd"/>
      <w:r w:rsidRPr="00A30F7C">
        <w:t xml:space="preserve"> and Toma, 2021). High employee turnover rates have been documented in the hospitality sector due to the industry's notoriously difficult work con</w:t>
      </w:r>
      <w:bookmarkStart w:id="1" w:name="_GoBack"/>
      <w:bookmarkEnd w:id="1"/>
      <w:r w:rsidRPr="00A30F7C">
        <w:t>ditions and unpredictable work hours (</w:t>
      </w:r>
      <w:proofErr w:type="spellStart"/>
      <w:r w:rsidRPr="00A30F7C">
        <w:t>Darsin</w:t>
      </w:r>
      <w:proofErr w:type="spellEnd"/>
      <w:r w:rsidRPr="00A30F7C">
        <w:t xml:space="preserve"> et al., 2019). This pattern is seen across the hospitality sector, and Marriott International is not immune. Furthermore, staff shortages burden current workers, leading to higher workloads, burnout, and decreased job satisfaction (</w:t>
      </w:r>
      <w:proofErr w:type="spellStart"/>
      <w:r w:rsidRPr="00A30F7C">
        <w:t>Darsin</w:t>
      </w:r>
      <w:proofErr w:type="spellEnd"/>
      <w:r w:rsidRPr="00A30F7C">
        <w:t xml:space="preserve"> et al., 2019). Employee growth is further hampered by inadequate training and development programmes, which can discourage loyalty (Wei, 2018). Workplace morale and employee retention are negatively impacted by a bad work culture that directly results from ineffective management practices (</w:t>
      </w:r>
      <w:proofErr w:type="spellStart"/>
      <w:r w:rsidRPr="00A30F7C">
        <w:t>Gregersen</w:t>
      </w:r>
      <w:proofErr w:type="spellEnd"/>
      <w:r w:rsidRPr="00A30F7C">
        <w:t xml:space="preserve"> </w:t>
      </w:r>
      <w:r w:rsidR="00435CC8">
        <w:t>and</w:t>
      </w:r>
      <w:r w:rsidRPr="00A30F7C">
        <w:t xml:space="preserve"> Black, 2002). To improve employee retention, Marriott International has to provide an atmosphere that encourages personal and professional development. Increased work satisfaction and dedication to the company may be achieved by introducing comprehensive training programmes and providing chances to enhance skills (Wei, 2018). Management techniques such as constructive feedback, public acknowledgement, and encouraging an upbeat work environment have been shown to have a significant impact on employee retention (</w:t>
      </w:r>
      <w:proofErr w:type="spellStart"/>
      <w:r w:rsidRPr="00A30F7C">
        <w:t>Gregersen</w:t>
      </w:r>
      <w:proofErr w:type="spellEnd"/>
      <w:r w:rsidRPr="00A30F7C">
        <w:t xml:space="preserve"> </w:t>
      </w:r>
      <w:r w:rsidR="00435CC8">
        <w:t>and</w:t>
      </w:r>
      <w:r w:rsidRPr="00A30F7C">
        <w:t xml:space="preserve"> Black, 2002). This study aims to analyse the variables affecting employee retention at Marriott International and the issues the company is currently facing in this area. The study will give insightful ideas for improving employee retention by examining problems, including staff shortages, insufficient training, and management practices.</w:t>
      </w:r>
    </w:p>
    <w:p w14:paraId="44BC4B92" w14:textId="77777777" w:rsidR="00A30F7C" w:rsidRDefault="00A30F7C" w:rsidP="001D6DF5"/>
    <w:p w14:paraId="0C145BA4" w14:textId="77777777" w:rsidR="00A30F7C" w:rsidRDefault="00A30F7C" w:rsidP="001D6DF5"/>
    <w:p w14:paraId="55BBA10B" w14:textId="1A1E0707" w:rsidR="006645FE" w:rsidRDefault="006645FE" w:rsidP="006645FE"/>
    <w:p w14:paraId="0D005DD4" w14:textId="621C5007" w:rsidR="006645FE" w:rsidRDefault="006645FE" w:rsidP="006645FE"/>
    <w:p w14:paraId="7336F75A" w14:textId="1EBC3D98" w:rsidR="006645FE" w:rsidRDefault="006645FE" w:rsidP="006645FE"/>
    <w:p w14:paraId="3693BA79" w14:textId="5C658E05" w:rsidR="006645FE" w:rsidRDefault="006645FE" w:rsidP="006645FE"/>
    <w:p w14:paraId="3F063C65" w14:textId="6D47BBB7" w:rsidR="006645FE" w:rsidRDefault="006645FE" w:rsidP="006645FE"/>
    <w:p w14:paraId="30FBFD34" w14:textId="4E2D6EDC" w:rsidR="006645FE" w:rsidRDefault="006645FE" w:rsidP="006645FE"/>
    <w:p w14:paraId="4002C5E3" w14:textId="146E3A01" w:rsidR="006645FE" w:rsidRDefault="003A1D2E" w:rsidP="00EB6C61">
      <w:pPr>
        <w:pStyle w:val="Heading2"/>
      </w:pPr>
      <w:bookmarkStart w:id="2" w:name="_Toc136144214"/>
      <w:r>
        <w:lastRenderedPageBreak/>
        <w:t xml:space="preserve">Brief Background </w:t>
      </w:r>
      <w:r w:rsidR="00616CCF">
        <w:t>of Marriott International</w:t>
      </w:r>
      <w:bookmarkEnd w:id="2"/>
    </w:p>
    <w:p w14:paraId="72693B99" w14:textId="4594C7A8" w:rsidR="00616CCF" w:rsidRDefault="00616CCF" w:rsidP="006645FE">
      <w:r>
        <w:rPr>
          <w:noProof/>
        </w:rPr>
        <w:drawing>
          <wp:inline distT="0" distB="0" distL="0" distR="0" wp14:anchorId="77BC5B88" wp14:editId="20A81F40">
            <wp:extent cx="5731510" cy="5673725"/>
            <wp:effectExtent l="0" t="0" r="2540" b="3175"/>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5731510" cy="5673725"/>
                    </a:xfrm>
                    <a:prstGeom prst="rect">
                      <a:avLst/>
                    </a:prstGeom>
                  </pic:spPr>
                </pic:pic>
              </a:graphicData>
            </a:graphic>
          </wp:inline>
        </w:drawing>
      </w:r>
    </w:p>
    <w:p w14:paraId="72A407FE" w14:textId="77777777" w:rsidR="005305E3" w:rsidRDefault="005305E3" w:rsidP="005305E3">
      <w:pPr>
        <w:jc w:val="center"/>
      </w:pPr>
      <w:r>
        <w:t xml:space="preserve">Figure: </w:t>
      </w:r>
      <w:r w:rsidRPr="005305E3">
        <w:t>Brief Background of Marriott International</w:t>
      </w:r>
    </w:p>
    <w:p w14:paraId="1B00FB8E" w14:textId="77777777" w:rsidR="005305E3" w:rsidRDefault="005305E3" w:rsidP="005305E3">
      <w:pPr>
        <w:jc w:val="center"/>
      </w:pPr>
      <w:r>
        <w:t>Source:</w:t>
      </w:r>
      <w:r w:rsidRPr="005305E3">
        <w:t xml:space="preserve"> (Marriott International, 2021). </w:t>
      </w:r>
    </w:p>
    <w:p w14:paraId="7D23D1AB" w14:textId="51D7630F" w:rsidR="006645FE" w:rsidRDefault="00EB6C61" w:rsidP="005305E3">
      <w:r w:rsidRPr="00EB6C61">
        <w:t xml:space="preserve">Marriott International is a multinational hotel chain with global operations established in 1927. Thirty-one brands, 8,000 hotels, and 1,423,044 rooms are spread throughout 139 countries and territories. Only 2,149 of these 8,000 hotels are directly managed by Marriott, with the other 5,493 being run by independent franchisees. Additionally, the firm has 20 hotel reservation centres. Marriott International manages and franchises hotels, timeshares, and vacation ownership resorts (Marriott International, 2021). </w:t>
      </w:r>
    </w:p>
    <w:p w14:paraId="2E09A0E4" w14:textId="45CAB78B" w:rsidR="008B0CD0" w:rsidRDefault="008B0CD0" w:rsidP="008B0CD0">
      <w:pPr>
        <w:pStyle w:val="Heading1"/>
      </w:pPr>
      <w:bookmarkStart w:id="3" w:name="_Toc136144215"/>
      <w:r w:rsidRPr="008B0CD0">
        <w:lastRenderedPageBreak/>
        <w:t>Discussion</w:t>
      </w:r>
      <w:r>
        <w:t xml:space="preserve"> on the Aspect</w:t>
      </w:r>
      <w:bookmarkEnd w:id="3"/>
    </w:p>
    <w:p w14:paraId="55AF3680" w14:textId="2871C212" w:rsidR="006645FE" w:rsidRDefault="008B0CD0" w:rsidP="008B0CD0">
      <w:pPr>
        <w:pStyle w:val="Heading2"/>
      </w:pPr>
      <w:bookmarkStart w:id="4" w:name="_Toc136144216"/>
      <w:r>
        <w:t>Literature Review</w:t>
      </w:r>
      <w:bookmarkEnd w:id="4"/>
    </w:p>
    <w:p w14:paraId="42B82571" w14:textId="3841AE4C" w:rsidR="008B0CD0" w:rsidRDefault="008B0CD0" w:rsidP="008B0CD0">
      <w:r>
        <w:t>The hotel sector has obstacles that directly impact on the success of businesses due to a few fundamental causes. Organisations like Marriott International confront problems due to the plethora of issues plaguing the hospitality sector, many of which directly affect financial results. According to Khattak et al. (2014), companies that want to succeed must invest in their employees' education and growth to meet their field's unique demands. Alonso and O'Neill (2009) highlight the difficulties of managing personnel in small hospitality operations in college towns. This article by Sun et al. (2022) highlights the unique difficulties brought about by the pandemic by analysing the impact of COVID-19 anxiety and job uncertainty on employee performance in the workplace.</w:t>
      </w:r>
    </w:p>
    <w:p w14:paraId="2D812DE7" w14:textId="77777777" w:rsidR="008B0CD0" w:rsidRDefault="008B0CD0" w:rsidP="008B0CD0"/>
    <w:p w14:paraId="4FCAC631" w14:textId="31E0B94C" w:rsidR="008B0CD0" w:rsidRDefault="008B0CD0" w:rsidP="008B0CD0">
      <w:r w:rsidRPr="0007408E">
        <w:t>Brexit, COVID-19, and inflation are just a few examples of external factors that have significantly influenced recruiting and retention in the hotel business, including Marriott International</w:t>
      </w:r>
      <w:r w:rsidR="0007408E" w:rsidRPr="0007408E">
        <w:t xml:space="preserve"> (</w:t>
      </w:r>
      <w:proofErr w:type="spellStart"/>
      <w:r w:rsidR="0007408E" w:rsidRPr="0007408E">
        <w:t>Kumodji</w:t>
      </w:r>
      <w:proofErr w:type="spellEnd"/>
      <w:r w:rsidR="0007408E" w:rsidRPr="0007408E">
        <w:t xml:space="preserve">, 2022; </w:t>
      </w:r>
      <w:proofErr w:type="spellStart"/>
      <w:r w:rsidR="0007408E" w:rsidRPr="0007408E">
        <w:rPr>
          <w:rFonts w:cs="Arial"/>
          <w:color w:val="222222"/>
          <w:shd w:val="clear" w:color="auto" w:fill="FFFFFF"/>
        </w:rPr>
        <w:t>Lenoël</w:t>
      </w:r>
      <w:proofErr w:type="spellEnd"/>
      <w:r w:rsidR="0007408E" w:rsidRPr="0007408E">
        <w:rPr>
          <w:rFonts w:cs="Arial"/>
          <w:color w:val="222222"/>
          <w:shd w:val="clear" w:color="auto" w:fill="FFFFFF"/>
        </w:rPr>
        <w:t xml:space="preserve"> et al., 2022)</w:t>
      </w:r>
      <w:r w:rsidRPr="0007408E">
        <w:t>. A decline in the influx of migrant workers due to Brexit-related anxiety has led to a labour shortage (</w:t>
      </w:r>
      <w:proofErr w:type="spellStart"/>
      <w:r w:rsidRPr="0007408E">
        <w:t>Hormby</w:t>
      </w:r>
      <w:proofErr w:type="spellEnd"/>
      <w:r w:rsidRPr="0007408E">
        <w:t xml:space="preserve"> et al., 2010). Marriott International needs help recruiting and keeping talent due to the scarcity of talented and experienced personnel</w:t>
      </w:r>
      <w:r>
        <w:t>. Marriott International is not immune to the industry-wide effects of the COVID-19 epidemic. Increased turnover and worse employee morale have resulted from the introduction of travel limits, lockdowns, and social distancing measures, resulting in widespread layoffs and diminished job security (Sun et al., 2022). Recruitment and retention efforts have become more difficult because of the uncertainty and volatility of the epidemic, as workers may go elsewhere for job security.</w:t>
      </w:r>
    </w:p>
    <w:p w14:paraId="31222662" w14:textId="77777777" w:rsidR="008B0CD0" w:rsidRDefault="008B0CD0" w:rsidP="008B0CD0"/>
    <w:p w14:paraId="06275C9D" w14:textId="77777777" w:rsidR="008B0CD0" w:rsidRDefault="008B0CD0" w:rsidP="008B0CD0">
      <w:r>
        <w:t>There needs to be more funds for competitive remuneration and benefits to recruit and retain personnel in the face of inflationary pressures and growing prices (</w:t>
      </w:r>
      <w:proofErr w:type="spellStart"/>
      <w:r>
        <w:t>Hormby</w:t>
      </w:r>
      <w:proofErr w:type="spellEnd"/>
      <w:r>
        <w:t xml:space="preserve"> et al., 2010). To keep its best workers, Marriott International must strike a compromise between maximising profits and offering competitive pay. Job satisfaction and, by extension, retention rates may be severely impacted by the effects of inflation on workers' buying power and the growing cost of living. In light of these difficulties, companies like Marriott International in the hospitality sector must look for ways to </w:t>
      </w:r>
      <w:r>
        <w:lastRenderedPageBreak/>
        <w:t xml:space="preserve">improve their recruiting and retention methods. Organisations may learn from best practices by looking at examples from similar fields and tailoring the lessons to their needs. According to </w:t>
      </w:r>
      <w:proofErr w:type="spellStart"/>
      <w:r>
        <w:t>Nyangwe</w:t>
      </w:r>
      <w:proofErr w:type="spellEnd"/>
      <w:r>
        <w:t xml:space="preserve"> and </w:t>
      </w:r>
      <w:proofErr w:type="spellStart"/>
      <w:r>
        <w:t>Buhalis</w:t>
      </w:r>
      <w:proofErr w:type="spellEnd"/>
      <w:r>
        <w:t xml:space="preserve"> (2018), a company's ability to reinvent its brand via social media and co-creation is crucial. Marriott International is well-positioned to take advantage of this shift by using digital platforms to attract and retain top talent. Attracting and retaining top personnel is a primary priority for Marriott International. Using social media, the firm can highlight its distinctive corporate culture, employee perks, and career growth prospects.</w:t>
      </w:r>
    </w:p>
    <w:p w14:paraId="2F18B2CD" w14:textId="77777777" w:rsidR="008B0CD0" w:rsidRDefault="008B0CD0" w:rsidP="008B0CD0"/>
    <w:p w14:paraId="6A59351A" w14:textId="55AF8B4D" w:rsidR="008B0CD0" w:rsidRDefault="008B0CD0" w:rsidP="008B0CD0">
      <w:r>
        <w:t xml:space="preserve">To recruit and keep a diverse workforce, </w:t>
      </w:r>
      <w:proofErr w:type="spellStart"/>
      <w:r>
        <w:t>Spechler</w:t>
      </w:r>
      <w:proofErr w:type="spellEnd"/>
      <w:r>
        <w:t xml:space="preserve"> (2017) investigates reasonable accommodation practises, stressing the relevance of inclusion and diversity. Employees from various origins and talents should feel respected and supported, and Marriott International should prioritise fostering this culture. Workers are more likely to feel appreciated and loyal to the company with their individual needs satisfied. By offering extensive training and development programmes, Marriott International can improve employee retention. Khattak et al. (2014) state the need for corporate training for a flourishing business. Marriott International can show its dedication to its employees' professional growth and development by providing ongoing education and training opportunities. Employee satisfaction with their jobs and loyalty to their employers may grow due to this investment in their professional development. Attracting and keeping talented people is also dependent on good management practices. </w:t>
      </w:r>
      <w:proofErr w:type="spellStart"/>
      <w:r>
        <w:t>Gregersen</w:t>
      </w:r>
      <w:proofErr w:type="spellEnd"/>
      <w:r>
        <w:t xml:space="preserve"> and Black (2002) stress the significance of open dialogue, appreciation, and a supportive work environment. Marriott International has to prioritise having open lines of communication so that workers can voice their opinions and feel heard. In order to increase work satisfaction and retention, it is essential to recognise and acknowledge employees for their efforts.</w:t>
      </w:r>
      <w:r w:rsidRPr="008B0CD0">
        <w:t xml:space="preserve"> </w:t>
      </w:r>
      <w:proofErr w:type="spellStart"/>
      <w:r>
        <w:t>Wernick</w:t>
      </w:r>
      <w:proofErr w:type="spellEnd"/>
      <w:r>
        <w:t xml:space="preserve"> and Von Glinow (2012) shed light on the growing terrorist danger to luxury hotels, emphasising the relevance of security measures in guaranteeing the safety and retention of employees. Marriott International must put the well-being of its workers first, with strict security measures and extensive training to reduce any dangers. Marriott International's success depends on its workers' dedication and commitment, and the company may best achieve this by providing a safe and friendly workplace.</w:t>
      </w:r>
    </w:p>
    <w:p w14:paraId="029B356B" w14:textId="7B570D8B" w:rsidR="008B0CD0" w:rsidRDefault="008B0CD0" w:rsidP="008B0CD0"/>
    <w:p w14:paraId="2555E702" w14:textId="0FCD04C3" w:rsidR="006645FE" w:rsidRDefault="008B0CD0" w:rsidP="008B0CD0">
      <w:r>
        <w:lastRenderedPageBreak/>
        <w:t>Recruitment and retention techniques may also benefit from technological developments</w:t>
      </w:r>
      <w:r w:rsidR="0007408E">
        <w:t xml:space="preserve"> (west et al., 2019)</w:t>
      </w:r>
      <w:r>
        <w:t>. Thomson (2010) states that virtual experience marketing can increase consumers' buying intent. Marriott International can do the same by delivering virtual tours and interactive experiences and highlighting the distinctive aspects of its hotels to attract and engage prospective applicants. By using creative recruiting strategies, Marriott International can stand out as an employer of choice and attract top talent.</w:t>
      </w:r>
    </w:p>
    <w:p w14:paraId="74CA7908" w14:textId="16920D96" w:rsidR="006645FE" w:rsidRDefault="006645FE" w:rsidP="006645FE"/>
    <w:p w14:paraId="7C1FF9B2" w14:textId="4451F149" w:rsidR="006645FE" w:rsidRDefault="008B0CD0" w:rsidP="008B0CD0">
      <w:pPr>
        <w:pStyle w:val="Heading2"/>
      </w:pPr>
      <w:bookmarkStart w:id="5" w:name="_Toc136144217"/>
      <w:r>
        <w:t>PESTLE Analysis on Marriot International</w:t>
      </w:r>
      <w:bookmarkEnd w:id="5"/>
    </w:p>
    <w:p w14:paraId="4387131A" w14:textId="59793AB9" w:rsidR="005305E3" w:rsidRDefault="005305E3" w:rsidP="005305E3">
      <w:r>
        <w:rPr>
          <w:noProof/>
        </w:rPr>
        <w:drawing>
          <wp:inline distT="0" distB="0" distL="0" distR="0" wp14:anchorId="1ACEAB0B" wp14:editId="1749877F">
            <wp:extent cx="5729449" cy="2303252"/>
            <wp:effectExtent l="0" t="0" r="5080" b="1905"/>
            <wp:docPr id="14808753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875327" name="Picture 1480875327"/>
                    <pic:cNvPicPr/>
                  </pic:nvPicPr>
                  <pic:blipFill rotWithShape="1">
                    <a:blip r:embed="rId11" cstate="print">
                      <a:duotone>
                        <a:schemeClr val="accent2">
                          <a:shade val="45000"/>
                          <a:satMod val="135000"/>
                        </a:schemeClr>
                        <a:prstClr val="white"/>
                      </a:duotone>
                      <a:extLst>
                        <a:ext uri="{28A0092B-C50C-407E-A947-70E740481C1C}">
                          <a14:useLocalDpi xmlns:a14="http://schemas.microsoft.com/office/drawing/2010/main" val="0"/>
                        </a:ext>
                      </a:extLst>
                    </a:blip>
                    <a:srcRect t="13915" b="14617"/>
                    <a:stretch/>
                  </pic:blipFill>
                  <pic:spPr bwMode="auto">
                    <a:xfrm>
                      <a:off x="0" y="0"/>
                      <a:ext cx="5731510" cy="2304081"/>
                    </a:xfrm>
                    <a:prstGeom prst="rect">
                      <a:avLst/>
                    </a:prstGeom>
                    <a:ln>
                      <a:noFill/>
                    </a:ln>
                    <a:extLst>
                      <a:ext uri="{53640926-AAD7-44D8-BBD7-CCE9431645EC}">
                        <a14:shadowObscured xmlns:a14="http://schemas.microsoft.com/office/drawing/2010/main"/>
                      </a:ext>
                    </a:extLst>
                  </pic:spPr>
                </pic:pic>
              </a:graphicData>
            </a:graphic>
          </wp:inline>
        </w:drawing>
      </w:r>
    </w:p>
    <w:p w14:paraId="3F7B8EBB" w14:textId="5C0AF6D9" w:rsidR="005305E3" w:rsidRDefault="005305E3" w:rsidP="005305E3">
      <w:pPr>
        <w:jc w:val="center"/>
      </w:pPr>
      <w:r>
        <w:t xml:space="preserve">Figure: </w:t>
      </w:r>
      <w:r w:rsidRPr="005305E3">
        <w:t>PESTLE Analysis on Marriot International</w:t>
      </w:r>
    </w:p>
    <w:p w14:paraId="1E10D5AD" w14:textId="62D4D598" w:rsidR="005305E3" w:rsidRPr="005305E3" w:rsidRDefault="005305E3" w:rsidP="005305E3">
      <w:pPr>
        <w:jc w:val="center"/>
      </w:pPr>
      <w:r>
        <w:t>Source:</w:t>
      </w:r>
      <w:r w:rsidRPr="005305E3">
        <w:t xml:space="preserve"> (</w:t>
      </w:r>
      <w:proofErr w:type="spellStart"/>
      <w:r w:rsidRPr="005305E3">
        <w:t>Farías</w:t>
      </w:r>
      <w:proofErr w:type="spellEnd"/>
      <w:r w:rsidRPr="005305E3">
        <w:t xml:space="preserve"> and </w:t>
      </w:r>
      <w:proofErr w:type="spellStart"/>
      <w:r w:rsidRPr="005305E3">
        <w:t>Cancino</w:t>
      </w:r>
      <w:proofErr w:type="spellEnd"/>
      <w:r w:rsidRPr="005305E3">
        <w:t>, 2021).</w:t>
      </w:r>
    </w:p>
    <w:p w14:paraId="08501127" w14:textId="3124586E" w:rsidR="00BB3876" w:rsidRDefault="00BB3876" w:rsidP="00BB3876">
      <w:r>
        <w:t xml:space="preserve">The </w:t>
      </w:r>
      <w:r w:rsidRPr="00BB3876">
        <w:t xml:space="preserve">PESTLE </w:t>
      </w:r>
      <w:r>
        <w:t>a</w:t>
      </w:r>
      <w:r w:rsidRPr="00BB3876">
        <w:t>nalysis on Marriot International</w:t>
      </w:r>
      <w:r>
        <w:t xml:space="preserve"> is given below:</w:t>
      </w:r>
    </w:p>
    <w:p w14:paraId="21959338" w14:textId="00F66A13" w:rsidR="00BB3876" w:rsidRPr="00BB3876" w:rsidRDefault="00BB3876" w:rsidP="00BB3876">
      <w:pPr>
        <w:rPr>
          <w:b/>
          <w:bCs/>
        </w:rPr>
      </w:pPr>
      <w:r w:rsidRPr="00BB3876">
        <w:rPr>
          <w:b/>
          <w:bCs/>
        </w:rPr>
        <w:t>Political Factors</w:t>
      </w:r>
    </w:p>
    <w:p w14:paraId="055280EC" w14:textId="448D49D3" w:rsidR="00BB3876" w:rsidRDefault="00BB3876" w:rsidP="00BB3876">
      <w:r>
        <w:t>Political considerations affect Marriott International since it works in numerous nations. Government laws, legislation, and political stability may considerably affect the company's operations (Hoque, 2013). For instance, immigration and work permit regulations might impair Marriott's capacity to attract and retain competent foreign workers (Alonso and O'Neill, 2009).</w:t>
      </w:r>
    </w:p>
    <w:p w14:paraId="33690106" w14:textId="7B5607E7" w:rsidR="00BB3876" w:rsidRPr="00BB3876" w:rsidRDefault="00BB3876" w:rsidP="00BB3876">
      <w:pPr>
        <w:rPr>
          <w:b/>
          <w:bCs/>
        </w:rPr>
      </w:pPr>
      <w:r w:rsidRPr="00BB3876">
        <w:rPr>
          <w:b/>
          <w:bCs/>
        </w:rPr>
        <w:t>Economic Factors</w:t>
      </w:r>
    </w:p>
    <w:p w14:paraId="1B2E40D4" w14:textId="2E7A2A78" w:rsidR="00BB3876" w:rsidRDefault="00BB3876" w:rsidP="00BB3876">
      <w:r>
        <w:t>The hotel business, notably Marriott International, is affected by macroeconomic variables. Inflation, currency fluctuations, and economic downturns may alter consumer purchasing and travel behaviour, affecting Marriott's revenue and profitability (</w:t>
      </w:r>
      <w:proofErr w:type="spellStart"/>
      <w:r>
        <w:t>Farías</w:t>
      </w:r>
      <w:proofErr w:type="spellEnd"/>
      <w:r>
        <w:t xml:space="preserve"> and </w:t>
      </w:r>
      <w:proofErr w:type="spellStart"/>
      <w:r>
        <w:t>Cancino</w:t>
      </w:r>
      <w:proofErr w:type="spellEnd"/>
      <w:r>
        <w:t xml:space="preserve">, 2021). Economic considerations may also alter </w:t>
      </w:r>
      <w:r>
        <w:lastRenderedPageBreak/>
        <w:t>labour prices and availability, impacting recruitment and retention (Khattak et al., 2014).</w:t>
      </w:r>
    </w:p>
    <w:p w14:paraId="521A5AC3" w14:textId="1FBC19AF" w:rsidR="00BB3876" w:rsidRPr="00BB3876" w:rsidRDefault="00BB3876" w:rsidP="00BB3876">
      <w:pPr>
        <w:rPr>
          <w:b/>
          <w:bCs/>
        </w:rPr>
      </w:pPr>
      <w:r w:rsidRPr="00BB3876">
        <w:rPr>
          <w:b/>
          <w:bCs/>
        </w:rPr>
        <w:t>Social Factors</w:t>
      </w:r>
    </w:p>
    <w:p w14:paraId="49FEB038" w14:textId="0E320B1F" w:rsidR="00BB3876" w:rsidRDefault="00BB3876" w:rsidP="00BB3876">
      <w:r>
        <w:t>Social developments and customer tastes substantially impact the hotel business. Marriott's target market may change because of demographic developments like an ageing population or travel habits (Hoque, 2013). Marriott may need to develop environmentally friendly measures due to social trends, including the growing focus on sustainability and ethics (</w:t>
      </w:r>
      <w:proofErr w:type="spellStart"/>
      <w:r>
        <w:t>Farías</w:t>
      </w:r>
      <w:proofErr w:type="spellEnd"/>
      <w:r>
        <w:t xml:space="preserve"> and </w:t>
      </w:r>
      <w:proofErr w:type="spellStart"/>
      <w:r>
        <w:t>Cancino</w:t>
      </w:r>
      <w:proofErr w:type="spellEnd"/>
      <w:r>
        <w:t>, 2021).</w:t>
      </w:r>
    </w:p>
    <w:p w14:paraId="08B40096" w14:textId="30E14EBF" w:rsidR="00BB3876" w:rsidRPr="00BB3876" w:rsidRDefault="00BB3876" w:rsidP="00BB3876">
      <w:pPr>
        <w:rPr>
          <w:b/>
          <w:bCs/>
        </w:rPr>
      </w:pPr>
      <w:r w:rsidRPr="00BB3876">
        <w:rPr>
          <w:b/>
          <w:bCs/>
        </w:rPr>
        <w:t>Technological Factors</w:t>
      </w:r>
    </w:p>
    <w:p w14:paraId="6BC154D2" w14:textId="4E96CEDA" w:rsidR="00BB3876" w:rsidRDefault="00BB3876" w:rsidP="00BB3876">
      <w:r>
        <w:t>Marriott's operations and customer expectations have changed due to technology. Automation, artificial intelligence, and digitalisation have changed booking systems, guest experiences, and operational efficiency in the hotel business (Hoque, 2013). Marriott must invest in technology and adapt to digital developments to be competitive and satisfy consumer expectations (</w:t>
      </w:r>
      <w:proofErr w:type="spellStart"/>
      <w:r>
        <w:t>Djajasinga</w:t>
      </w:r>
      <w:proofErr w:type="spellEnd"/>
      <w:r>
        <w:t xml:space="preserve"> et al., 2021).</w:t>
      </w:r>
    </w:p>
    <w:p w14:paraId="12C7237A" w14:textId="0A8A5664" w:rsidR="00BB3876" w:rsidRPr="00BB3876" w:rsidRDefault="00BB3876" w:rsidP="00BB3876">
      <w:pPr>
        <w:rPr>
          <w:b/>
          <w:bCs/>
        </w:rPr>
      </w:pPr>
      <w:r w:rsidRPr="00BB3876">
        <w:rPr>
          <w:b/>
          <w:bCs/>
        </w:rPr>
        <w:t>Legal Factors</w:t>
      </w:r>
    </w:p>
    <w:p w14:paraId="6F13CB73" w14:textId="782101F5" w:rsidR="00BB3876" w:rsidRDefault="00BB3876" w:rsidP="00BB3876">
      <w:r>
        <w:t>Marriott International may be affected by legal restrictions and compliance requirements in the hospitality business. Employment, health, and data protection rules are essential to the organisation (Hoque, 2013). To prevent legal issues and keep a good reputation, follow the law.</w:t>
      </w:r>
    </w:p>
    <w:p w14:paraId="6570FD13" w14:textId="77777777" w:rsidR="00BB3876" w:rsidRPr="00BB3876" w:rsidRDefault="00BB3876" w:rsidP="00BB3876">
      <w:pPr>
        <w:rPr>
          <w:b/>
          <w:bCs/>
        </w:rPr>
      </w:pPr>
      <w:r w:rsidRPr="00BB3876">
        <w:rPr>
          <w:b/>
          <w:bCs/>
        </w:rPr>
        <w:t>Environmental Factors</w:t>
      </w:r>
    </w:p>
    <w:p w14:paraId="7DD765C0" w14:textId="1CD05FC2" w:rsidR="008B0CD0" w:rsidRDefault="00BB3876" w:rsidP="00BB3876">
      <w:r>
        <w:t>The hotel business is concerned about sustainability. Marriott International must address carbon emissions, waste management, and energy usage (</w:t>
      </w:r>
      <w:proofErr w:type="spellStart"/>
      <w:r>
        <w:t>Farías</w:t>
      </w:r>
      <w:proofErr w:type="spellEnd"/>
      <w:r>
        <w:t xml:space="preserve"> and </w:t>
      </w:r>
      <w:proofErr w:type="spellStart"/>
      <w:r>
        <w:t>Cancino</w:t>
      </w:r>
      <w:proofErr w:type="spellEnd"/>
      <w:r>
        <w:t>, 2021). Marriott may improve its brand image and attract environmentally concerned consumers by adopting sustainable practices and lowering its environmental effect (Hoque, 2013).</w:t>
      </w:r>
    </w:p>
    <w:p w14:paraId="33A67A85" w14:textId="77777777" w:rsidR="005305E3" w:rsidRDefault="005305E3" w:rsidP="00BB3876"/>
    <w:p w14:paraId="37E78E91" w14:textId="77777777" w:rsidR="005305E3" w:rsidRDefault="005305E3" w:rsidP="00BB3876"/>
    <w:p w14:paraId="31D99B17" w14:textId="77777777" w:rsidR="005305E3" w:rsidRDefault="005305E3" w:rsidP="00BB3876"/>
    <w:p w14:paraId="0DAD263C" w14:textId="77777777" w:rsidR="005305E3" w:rsidRDefault="005305E3" w:rsidP="00BB3876"/>
    <w:p w14:paraId="060E7B70" w14:textId="77777777" w:rsidR="005305E3" w:rsidRDefault="005305E3" w:rsidP="00BB3876"/>
    <w:p w14:paraId="2B47D082" w14:textId="77777777" w:rsidR="005305E3" w:rsidRPr="008B0CD0" w:rsidRDefault="005305E3" w:rsidP="00BB3876"/>
    <w:p w14:paraId="4E1DC6BD" w14:textId="5885897E" w:rsidR="008B0CD0" w:rsidRDefault="008B0CD0" w:rsidP="008B0CD0">
      <w:pPr>
        <w:pStyle w:val="Heading2"/>
      </w:pPr>
      <w:bookmarkStart w:id="6" w:name="_Toc136144218"/>
      <w:r>
        <w:t>SWOT Analysis on Marriot International</w:t>
      </w:r>
      <w:bookmarkEnd w:id="6"/>
    </w:p>
    <w:p w14:paraId="7989208F" w14:textId="0585DB74" w:rsidR="00BB3876" w:rsidRDefault="00BB3876" w:rsidP="00BB3876">
      <w:r>
        <w:t>The SWOT</w:t>
      </w:r>
      <w:r w:rsidRPr="00BB3876">
        <w:t xml:space="preserve"> </w:t>
      </w:r>
      <w:r>
        <w:t>a</w:t>
      </w:r>
      <w:r w:rsidRPr="00BB3876">
        <w:t>nalysis on Marriot International</w:t>
      </w:r>
      <w:r>
        <w:t xml:space="preserve"> is given below:</w:t>
      </w:r>
    </w:p>
    <w:tbl>
      <w:tblPr>
        <w:tblStyle w:val="GridTable6Colorful-Accent1"/>
        <w:tblW w:w="0" w:type="auto"/>
        <w:tblLook w:val="04A0" w:firstRow="1" w:lastRow="0" w:firstColumn="1" w:lastColumn="0" w:noHBand="0" w:noVBand="1"/>
      </w:tblPr>
      <w:tblGrid>
        <w:gridCol w:w="4508"/>
        <w:gridCol w:w="4508"/>
      </w:tblGrid>
      <w:tr w:rsidR="00BB3876" w14:paraId="322D0B0F" w14:textId="77777777" w:rsidTr="00BB387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shd w:val="clear" w:color="auto" w:fill="002060"/>
          </w:tcPr>
          <w:p w14:paraId="61FBA265" w14:textId="0C15E0A9" w:rsidR="00BB3876" w:rsidRPr="00BB3876" w:rsidRDefault="00BB3876" w:rsidP="00BB3876">
            <w:pPr>
              <w:jc w:val="center"/>
              <w:rPr>
                <w:color w:val="FFFFFF" w:themeColor="background1"/>
                <w:sz w:val="32"/>
                <w:szCs w:val="32"/>
              </w:rPr>
            </w:pPr>
            <w:r w:rsidRPr="00BB3876">
              <w:rPr>
                <w:color w:val="FFFFFF" w:themeColor="background1"/>
                <w:sz w:val="32"/>
                <w:szCs w:val="32"/>
              </w:rPr>
              <w:lastRenderedPageBreak/>
              <w:t>Strengths</w:t>
            </w:r>
          </w:p>
        </w:tc>
        <w:tc>
          <w:tcPr>
            <w:tcW w:w="4508" w:type="dxa"/>
            <w:shd w:val="clear" w:color="auto" w:fill="002060"/>
          </w:tcPr>
          <w:p w14:paraId="0D91EC90" w14:textId="3E587A34" w:rsidR="00BB3876" w:rsidRPr="00BB3876" w:rsidRDefault="00BB3876" w:rsidP="00BB3876">
            <w:pPr>
              <w:jc w:val="center"/>
              <w:cnfStyle w:val="100000000000" w:firstRow="1" w:lastRow="0" w:firstColumn="0" w:lastColumn="0" w:oddVBand="0" w:evenVBand="0" w:oddHBand="0" w:evenHBand="0" w:firstRowFirstColumn="0" w:firstRowLastColumn="0" w:lastRowFirstColumn="0" w:lastRowLastColumn="0"/>
              <w:rPr>
                <w:color w:val="FFFFFF" w:themeColor="background1"/>
                <w:sz w:val="32"/>
                <w:szCs w:val="32"/>
              </w:rPr>
            </w:pPr>
            <w:r w:rsidRPr="00BB3876">
              <w:rPr>
                <w:color w:val="FFFFFF" w:themeColor="background1"/>
                <w:sz w:val="32"/>
                <w:szCs w:val="32"/>
              </w:rPr>
              <w:t>Weaknesses</w:t>
            </w:r>
          </w:p>
        </w:tc>
      </w:tr>
      <w:tr w:rsidR="00BB3876" w14:paraId="536C8237" w14:textId="77777777" w:rsidTr="00BB387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50E0184" w14:textId="6354E951" w:rsidR="00BB3876" w:rsidRPr="00BB3876" w:rsidRDefault="00BB3876" w:rsidP="00BB3876">
            <w:pPr>
              <w:jc w:val="center"/>
              <w:rPr>
                <w:b w:val="0"/>
                <w:bCs w:val="0"/>
                <w:color w:val="auto"/>
              </w:rPr>
            </w:pPr>
            <w:r w:rsidRPr="00BB3876">
              <w:rPr>
                <w:b w:val="0"/>
                <w:bCs w:val="0"/>
                <w:color w:val="auto"/>
              </w:rPr>
              <w:t>Strong brand recognition</w:t>
            </w:r>
          </w:p>
        </w:tc>
        <w:tc>
          <w:tcPr>
            <w:tcW w:w="4508" w:type="dxa"/>
          </w:tcPr>
          <w:p w14:paraId="055CC7E0" w14:textId="4B87ACC1" w:rsidR="00BB3876" w:rsidRPr="00BB3876" w:rsidRDefault="00BB3876" w:rsidP="00BB3876">
            <w:pPr>
              <w:jc w:val="center"/>
              <w:cnfStyle w:val="000000100000" w:firstRow="0" w:lastRow="0" w:firstColumn="0" w:lastColumn="0" w:oddVBand="0" w:evenVBand="0" w:oddHBand="1" w:evenHBand="0" w:firstRowFirstColumn="0" w:firstRowLastColumn="0" w:lastRowFirstColumn="0" w:lastRowLastColumn="0"/>
              <w:rPr>
                <w:color w:val="auto"/>
              </w:rPr>
            </w:pPr>
            <w:r w:rsidRPr="00BB3876">
              <w:rPr>
                <w:color w:val="auto"/>
              </w:rPr>
              <w:t>Dependence on external partnerships</w:t>
            </w:r>
          </w:p>
        </w:tc>
      </w:tr>
      <w:tr w:rsidR="00BB3876" w14:paraId="381B55F5" w14:textId="77777777" w:rsidTr="00BB3876">
        <w:tc>
          <w:tcPr>
            <w:cnfStyle w:val="001000000000" w:firstRow="0" w:lastRow="0" w:firstColumn="1" w:lastColumn="0" w:oddVBand="0" w:evenVBand="0" w:oddHBand="0" w:evenHBand="0" w:firstRowFirstColumn="0" w:firstRowLastColumn="0" w:lastRowFirstColumn="0" w:lastRowLastColumn="0"/>
            <w:tcW w:w="4508" w:type="dxa"/>
          </w:tcPr>
          <w:p w14:paraId="04CC4769" w14:textId="2EFB4A45" w:rsidR="00BB3876" w:rsidRPr="00BB3876" w:rsidRDefault="00BB3876" w:rsidP="00BB3876">
            <w:pPr>
              <w:jc w:val="center"/>
              <w:rPr>
                <w:b w:val="0"/>
                <w:bCs w:val="0"/>
                <w:color w:val="auto"/>
              </w:rPr>
            </w:pPr>
            <w:r w:rsidRPr="00BB3876">
              <w:rPr>
                <w:b w:val="0"/>
                <w:bCs w:val="0"/>
                <w:color w:val="auto"/>
              </w:rPr>
              <w:t>Extensive global presence</w:t>
            </w:r>
          </w:p>
        </w:tc>
        <w:tc>
          <w:tcPr>
            <w:tcW w:w="4508" w:type="dxa"/>
          </w:tcPr>
          <w:p w14:paraId="2BDC28F0" w14:textId="795D10F4" w:rsidR="00BB3876" w:rsidRPr="00BB3876" w:rsidRDefault="00BB3876" w:rsidP="00BB3876">
            <w:pPr>
              <w:jc w:val="center"/>
              <w:cnfStyle w:val="000000000000" w:firstRow="0" w:lastRow="0" w:firstColumn="0" w:lastColumn="0" w:oddVBand="0" w:evenVBand="0" w:oddHBand="0" w:evenHBand="0" w:firstRowFirstColumn="0" w:firstRowLastColumn="0" w:lastRowFirstColumn="0" w:lastRowLastColumn="0"/>
              <w:rPr>
                <w:color w:val="auto"/>
              </w:rPr>
            </w:pPr>
            <w:r w:rsidRPr="00BB3876">
              <w:rPr>
                <w:color w:val="auto"/>
              </w:rPr>
              <w:t>Workforce diversity challenges</w:t>
            </w:r>
          </w:p>
        </w:tc>
      </w:tr>
      <w:tr w:rsidR="00BB3876" w14:paraId="79CF986C" w14:textId="77777777" w:rsidTr="00BB387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BBD5885" w14:textId="02606352" w:rsidR="00BB3876" w:rsidRPr="00BB3876" w:rsidRDefault="00BB3876" w:rsidP="00BB3876">
            <w:pPr>
              <w:jc w:val="center"/>
              <w:rPr>
                <w:b w:val="0"/>
                <w:bCs w:val="0"/>
                <w:color w:val="auto"/>
              </w:rPr>
            </w:pPr>
            <w:r w:rsidRPr="00BB3876">
              <w:rPr>
                <w:b w:val="0"/>
                <w:bCs w:val="0"/>
                <w:color w:val="auto"/>
              </w:rPr>
              <w:t>Diversified portfolio of hotel brands</w:t>
            </w:r>
          </w:p>
        </w:tc>
        <w:tc>
          <w:tcPr>
            <w:tcW w:w="4508" w:type="dxa"/>
          </w:tcPr>
          <w:p w14:paraId="79F9A8D9" w14:textId="46CEEBDF" w:rsidR="00BB3876" w:rsidRPr="00BB3876" w:rsidRDefault="00BB3876" w:rsidP="00BB3876">
            <w:pPr>
              <w:jc w:val="center"/>
              <w:cnfStyle w:val="000000100000" w:firstRow="0" w:lastRow="0" w:firstColumn="0" w:lastColumn="0" w:oddVBand="0" w:evenVBand="0" w:oddHBand="1" w:evenHBand="0" w:firstRowFirstColumn="0" w:firstRowLastColumn="0" w:lastRowFirstColumn="0" w:lastRowLastColumn="0"/>
              <w:rPr>
                <w:color w:val="auto"/>
              </w:rPr>
            </w:pPr>
            <w:r w:rsidRPr="00BB3876">
              <w:rPr>
                <w:color w:val="auto"/>
              </w:rPr>
              <w:t>Limited control over franchise operations</w:t>
            </w:r>
          </w:p>
        </w:tc>
      </w:tr>
      <w:tr w:rsidR="00BB3876" w14:paraId="6B6DED5B" w14:textId="77777777" w:rsidTr="00BB3876">
        <w:tc>
          <w:tcPr>
            <w:cnfStyle w:val="001000000000" w:firstRow="0" w:lastRow="0" w:firstColumn="1" w:lastColumn="0" w:oddVBand="0" w:evenVBand="0" w:oddHBand="0" w:evenHBand="0" w:firstRowFirstColumn="0" w:firstRowLastColumn="0" w:lastRowFirstColumn="0" w:lastRowLastColumn="0"/>
            <w:tcW w:w="4508" w:type="dxa"/>
          </w:tcPr>
          <w:p w14:paraId="2C17505C" w14:textId="0B3BB4DE" w:rsidR="00BB3876" w:rsidRPr="00BB3876" w:rsidRDefault="00BB3876" w:rsidP="00BB3876">
            <w:pPr>
              <w:jc w:val="center"/>
              <w:rPr>
                <w:b w:val="0"/>
                <w:bCs w:val="0"/>
                <w:color w:val="auto"/>
              </w:rPr>
            </w:pPr>
            <w:r w:rsidRPr="00BB3876">
              <w:rPr>
                <w:b w:val="0"/>
                <w:bCs w:val="0"/>
                <w:color w:val="auto"/>
              </w:rPr>
              <w:t>Strong customer loyalty</w:t>
            </w:r>
          </w:p>
        </w:tc>
        <w:tc>
          <w:tcPr>
            <w:tcW w:w="4508" w:type="dxa"/>
          </w:tcPr>
          <w:p w14:paraId="1572AD45" w14:textId="0C964D84" w:rsidR="00BB3876" w:rsidRPr="00BB3876" w:rsidRDefault="00BB3876" w:rsidP="00BB3876">
            <w:pPr>
              <w:jc w:val="center"/>
              <w:cnfStyle w:val="000000000000" w:firstRow="0" w:lastRow="0" w:firstColumn="0" w:lastColumn="0" w:oddVBand="0" w:evenVBand="0" w:oddHBand="0" w:evenHBand="0" w:firstRowFirstColumn="0" w:firstRowLastColumn="0" w:lastRowFirstColumn="0" w:lastRowLastColumn="0"/>
              <w:rPr>
                <w:color w:val="auto"/>
              </w:rPr>
            </w:pPr>
            <w:r w:rsidRPr="00BB3876">
              <w:rPr>
                <w:color w:val="auto"/>
              </w:rPr>
              <w:t>Potential negative impact of economic downturns</w:t>
            </w:r>
          </w:p>
        </w:tc>
      </w:tr>
      <w:tr w:rsidR="00BB3876" w14:paraId="08B82FD4" w14:textId="77777777" w:rsidTr="00BB387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337AC39" w14:textId="7D288283" w:rsidR="00BB3876" w:rsidRPr="00BB3876" w:rsidRDefault="00BB3876" w:rsidP="00BB3876">
            <w:pPr>
              <w:jc w:val="center"/>
              <w:rPr>
                <w:b w:val="0"/>
                <w:bCs w:val="0"/>
                <w:color w:val="auto"/>
              </w:rPr>
            </w:pPr>
            <w:r w:rsidRPr="00BB3876">
              <w:rPr>
                <w:b w:val="0"/>
                <w:bCs w:val="0"/>
                <w:color w:val="auto"/>
              </w:rPr>
              <w:t>Robust distribution and reservation systems</w:t>
            </w:r>
          </w:p>
        </w:tc>
        <w:tc>
          <w:tcPr>
            <w:tcW w:w="4508" w:type="dxa"/>
          </w:tcPr>
          <w:p w14:paraId="39D703C3" w14:textId="1623D953" w:rsidR="00BB3876" w:rsidRPr="00BB3876" w:rsidRDefault="00BB3876" w:rsidP="00BB3876">
            <w:pPr>
              <w:jc w:val="center"/>
              <w:cnfStyle w:val="000000100000" w:firstRow="0" w:lastRow="0" w:firstColumn="0" w:lastColumn="0" w:oddVBand="0" w:evenVBand="0" w:oddHBand="1" w:evenHBand="0" w:firstRowFirstColumn="0" w:firstRowLastColumn="0" w:lastRowFirstColumn="0" w:lastRowLastColumn="0"/>
              <w:rPr>
                <w:color w:val="auto"/>
              </w:rPr>
            </w:pPr>
            <w:r w:rsidRPr="00BB3876">
              <w:rPr>
                <w:color w:val="auto"/>
              </w:rPr>
              <w:t>High capital requirements for expansion and renovations</w:t>
            </w:r>
          </w:p>
        </w:tc>
      </w:tr>
      <w:tr w:rsidR="00BB3876" w14:paraId="7331AC9F" w14:textId="77777777" w:rsidTr="00BB3876">
        <w:tc>
          <w:tcPr>
            <w:cnfStyle w:val="001000000000" w:firstRow="0" w:lastRow="0" w:firstColumn="1" w:lastColumn="0" w:oddVBand="0" w:evenVBand="0" w:oddHBand="0" w:evenHBand="0" w:firstRowFirstColumn="0" w:firstRowLastColumn="0" w:lastRowFirstColumn="0" w:lastRowLastColumn="0"/>
            <w:tcW w:w="4508" w:type="dxa"/>
          </w:tcPr>
          <w:p w14:paraId="1D0F7F48" w14:textId="7854F0D5" w:rsidR="00BB3876" w:rsidRPr="00BB3876" w:rsidRDefault="00BB3876" w:rsidP="00BB3876">
            <w:pPr>
              <w:jc w:val="center"/>
              <w:rPr>
                <w:b w:val="0"/>
                <w:bCs w:val="0"/>
                <w:color w:val="auto"/>
              </w:rPr>
            </w:pPr>
            <w:r w:rsidRPr="00BB3876">
              <w:rPr>
                <w:b w:val="0"/>
                <w:bCs w:val="0"/>
                <w:color w:val="auto"/>
              </w:rPr>
              <w:t>Extensive loyalty program</w:t>
            </w:r>
          </w:p>
        </w:tc>
        <w:tc>
          <w:tcPr>
            <w:tcW w:w="4508" w:type="dxa"/>
          </w:tcPr>
          <w:p w14:paraId="7692A786" w14:textId="6DA8179C" w:rsidR="00BB3876" w:rsidRPr="00BB3876" w:rsidRDefault="00BB3876" w:rsidP="00BB3876">
            <w:pPr>
              <w:jc w:val="center"/>
              <w:cnfStyle w:val="000000000000" w:firstRow="0" w:lastRow="0" w:firstColumn="0" w:lastColumn="0" w:oddVBand="0" w:evenVBand="0" w:oddHBand="0" w:evenHBand="0" w:firstRowFirstColumn="0" w:firstRowLastColumn="0" w:lastRowFirstColumn="0" w:lastRowLastColumn="0"/>
              <w:rPr>
                <w:color w:val="auto"/>
              </w:rPr>
            </w:pPr>
            <w:r w:rsidRPr="00BB3876">
              <w:rPr>
                <w:color w:val="auto"/>
              </w:rPr>
              <w:t>Potential negative impact of geopolitical events</w:t>
            </w:r>
          </w:p>
        </w:tc>
      </w:tr>
      <w:tr w:rsidR="00BB3876" w14:paraId="4047BA8E" w14:textId="77777777" w:rsidTr="00BB387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shd w:val="clear" w:color="auto" w:fill="002060"/>
          </w:tcPr>
          <w:p w14:paraId="53B85429" w14:textId="5BF78690" w:rsidR="00BB3876" w:rsidRPr="00BB3876" w:rsidRDefault="00BB3876" w:rsidP="00BB3876">
            <w:pPr>
              <w:jc w:val="center"/>
              <w:rPr>
                <w:color w:val="FFFFFF" w:themeColor="background1"/>
                <w:sz w:val="32"/>
                <w:szCs w:val="32"/>
              </w:rPr>
            </w:pPr>
            <w:r w:rsidRPr="00BB3876">
              <w:rPr>
                <w:color w:val="FFFFFF" w:themeColor="background1"/>
                <w:sz w:val="32"/>
                <w:szCs w:val="32"/>
              </w:rPr>
              <w:t>Opportunities</w:t>
            </w:r>
          </w:p>
        </w:tc>
        <w:tc>
          <w:tcPr>
            <w:tcW w:w="4508" w:type="dxa"/>
            <w:shd w:val="clear" w:color="auto" w:fill="002060"/>
          </w:tcPr>
          <w:p w14:paraId="6181813C" w14:textId="41F230AF" w:rsidR="00BB3876" w:rsidRPr="00BB3876" w:rsidRDefault="00BB3876" w:rsidP="00BB3876">
            <w:pPr>
              <w:jc w:val="center"/>
              <w:cnfStyle w:val="000000100000" w:firstRow="0" w:lastRow="0" w:firstColumn="0" w:lastColumn="0" w:oddVBand="0" w:evenVBand="0" w:oddHBand="1" w:evenHBand="0" w:firstRowFirstColumn="0" w:firstRowLastColumn="0" w:lastRowFirstColumn="0" w:lastRowLastColumn="0"/>
              <w:rPr>
                <w:b/>
                <w:bCs/>
                <w:color w:val="FFFFFF" w:themeColor="background1"/>
                <w:sz w:val="32"/>
                <w:szCs w:val="32"/>
              </w:rPr>
            </w:pPr>
            <w:r w:rsidRPr="00BB3876">
              <w:rPr>
                <w:b/>
                <w:bCs/>
                <w:color w:val="FFFFFF" w:themeColor="background1"/>
                <w:sz w:val="32"/>
                <w:szCs w:val="32"/>
              </w:rPr>
              <w:t>Threats</w:t>
            </w:r>
          </w:p>
        </w:tc>
      </w:tr>
      <w:tr w:rsidR="00BB3876" w14:paraId="2798DACE" w14:textId="77777777" w:rsidTr="00BB3876">
        <w:tc>
          <w:tcPr>
            <w:cnfStyle w:val="001000000000" w:firstRow="0" w:lastRow="0" w:firstColumn="1" w:lastColumn="0" w:oddVBand="0" w:evenVBand="0" w:oddHBand="0" w:evenHBand="0" w:firstRowFirstColumn="0" w:firstRowLastColumn="0" w:lastRowFirstColumn="0" w:lastRowLastColumn="0"/>
            <w:tcW w:w="4508" w:type="dxa"/>
          </w:tcPr>
          <w:p w14:paraId="1ACCB8AC" w14:textId="03427269" w:rsidR="00BB3876" w:rsidRPr="00BB3876" w:rsidRDefault="00BB3876" w:rsidP="00BB3876">
            <w:pPr>
              <w:jc w:val="center"/>
              <w:rPr>
                <w:b w:val="0"/>
                <w:bCs w:val="0"/>
                <w:color w:val="auto"/>
              </w:rPr>
            </w:pPr>
            <w:r w:rsidRPr="00BB3876">
              <w:rPr>
                <w:b w:val="0"/>
                <w:bCs w:val="0"/>
                <w:color w:val="auto"/>
              </w:rPr>
              <w:t>Technological advancements</w:t>
            </w:r>
          </w:p>
        </w:tc>
        <w:tc>
          <w:tcPr>
            <w:tcW w:w="4508" w:type="dxa"/>
          </w:tcPr>
          <w:p w14:paraId="3AD56538" w14:textId="272BC88A" w:rsidR="00BB3876" w:rsidRPr="00BB3876" w:rsidRDefault="00BB3876" w:rsidP="00BB3876">
            <w:pPr>
              <w:jc w:val="center"/>
              <w:cnfStyle w:val="000000000000" w:firstRow="0" w:lastRow="0" w:firstColumn="0" w:lastColumn="0" w:oddVBand="0" w:evenVBand="0" w:oddHBand="0" w:evenHBand="0" w:firstRowFirstColumn="0" w:firstRowLastColumn="0" w:lastRowFirstColumn="0" w:lastRowLastColumn="0"/>
              <w:rPr>
                <w:color w:val="auto"/>
              </w:rPr>
            </w:pPr>
            <w:r w:rsidRPr="00BB3876">
              <w:rPr>
                <w:color w:val="auto"/>
              </w:rPr>
              <w:t>Intense competition and price wars</w:t>
            </w:r>
          </w:p>
        </w:tc>
      </w:tr>
      <w:tr w:rsidR="00BB3876" w14:paraId="6DAE685D" w14:textId="77777777" w:rsidTr="00BB387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E0ED2ED" w14:textId="55B917EC" w:rsidR="00BB3876" w:rsidRPr="00BB3876" w:rsidRDefault="00BB3876" w:rsidP="00BB3876">
            <w:pPr>
              <w:jc w:val="center"/>
              <w:rPr>
                <w:b w:val="0"/>
                <w:bCs w:val="0"/>
                <w:color w:val="auto"/>
              </w:rPr>
            </w:pPr>
            <w:r w:rsidRPr="00BB3876">
              <w:rPr>
                <w:b w:val="0"/>
                <w:bCs w:val="0"/>
                <w:color w:val="auto"/>
              </w:rPr>
              <w:t>Expansion in emerging markets</w:t>
            </w:r>
          </w:p>
        </w:tc>
        <w:tc>
          <w:tcPr>
            <w:tcW w:w="4508" w:type="dxa"/>
          </w:tcPr>
          <w:p w14:paraId="09BE8985" w14:textId="38D795A5" w:rsidR="00BB3876" w:rsidRPr="00BB3876" w:rsidRDefault="00BB3876" w:rsidP="00BB3876">
            <w:pPr>
              <w:jc w:val="center"/>
              <w:cnfStyle w:val="000000100000" w:firstRow="0" w:lastRow="0" w:firstColumn="0" w:lastColumn="0" w:oddVBand="0" w:evenVBand="0" w:oddHBand="1" w:evenHBand="0" w:firstRowFirstColumn="0" w:firstRowLastColumn="0" w:lastRowFirstColumn="0" w:lastRowLastColumn="0"/>
              <w:rPr>
                <w:color w:val="auto"/>
              </w:rPr>
            </w:pPr>
            <w:r w:rsidRPr="00BB3876">
              <w:rPr>
                <w:color w:val="auto"/>
              </w:rPr>
              <w:t>Economic uncertainty and fluctuations</w:t>
            </w:r>
          </w:p>
        </w:tc>
      </w:tr>
      <w:tr w:rsidR="00BB3876" w14:paraId="3D7A49B2" w14:textId="77777777" w:rsidTr="00BB3876">
        <w:tc>
          <w:tcPr>
            <w:cnfStyle w:val="001000000000" w:firstRow="0" w:lastRow="0" w:firstColumn="1" w:lastColumn="0" w:oddVBand="0" w:evenVBand="0" w:oddHBand="0" w:evenHBand="0" w:firstRowFirstColumn="0" w:firstRowLastColumn="0" w:lastRowFirstColumn="0" w:lastRowLastColumn="0"/>
            <w:tcW w:w="4508" w:type="dxa"/>
          </w:tcPr>
          <w:p w14:paraId="56E6A8B3" w14:textId="4194BDC6" w:rsidR="00BB3876" w:rsidRPr="00BB3876" w:rsidRDefault="00BB3876" w:rsidP="00BB3876">
            <w:pPr>
              <w:jc w:val="center"/>
              <w:rPr>
                <w:b w:val="0"/>
                <w:bCs w:val="0"/>
                <w:color w:val="auto"/>
              </w:rPr>
            </w:pPr>
            <w:r w:rsidRPr="00BB3876">
              <w:rPr>
                <w:b w:val="0"/>
                <w:bCs w:val="0"/>
                <w:color w:val="auto"/>
              </w:rPr>
              <w:t>Growing demand for experiential travel</w:t>
            </w:r>
          </w:p>
        </w:tc>
        <w:tc>
          <w:tcPr>
            <w:tcW w:w="4508" w:type="dxa"/>
          </w:tcPr>
          <w:p w14:paraId="69E2D10A" w14:textId="02411ED0" w:rsidR="00BB3876" w:rsidRPr="00BB3876" w:rsidRDefault="00BB3876" w:rsidP="00BB3876">
            <w:pPr>
              <w:jc w:val="center"/>
              <w:cnfStyle w:val="000000000000" w:firstRow="0" w:lastRow="0" w:firstColumn="0" w:lastColumn="0" w:oddVBand="0" w:evenVBand="0" w:oddHBand="0" w:evenHBand="0" w:firstRowFirstColumn="0" w:firstRowLastColumn="0" w:lastRowFirstColumn="0" w:lastRowLastColumn="0"/>
              <w:rPr>
                <w:color w:val="auto"/>
              </w:rPr>
            </w:pPr>
            <w:r w:rsidRPr="00BB3876">
              <w:rPr>
                <w:color w:val="auto"/>
              </w:rPr>
              <w:t>Shifting consumer preferences and expectations</w:t>
            </w:r>
          </w:p>
        </w:tc>
      </w:tr>
      <w:tr w:rsidR="00BB3876" w14:paraId="602B9CAE" w14:textId="77777777" w:rsidTr="00BB387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769FC12" w14:textId="1747C8CA" w:rsidR="00BB3876" w:rsidRPr="00BB3876" w:rsidRDefault="00BB3876" w:rsidP="00BB3876">
            <w:pPr>
              <w:jc w:val="center"/>
              <w:rPr>
                <w:b w:val="0"/>
                <w:bCs w:val="0"/>
                <w:color w:val="auto"/>
              </w:rPr>
            </w:pPr>
            <w:r w:rsidRPr="00BB3876">
              <w:rPr>
                <w:b w:val="0"/>
                <w:bCs w:val="0"/>
                <w:color w:val="auto"/>
              </w:rPr>
              <w:t>Increasing focus on sustainability and CSR</w:t>
            </w:r>
          </w:p>
        </w:tc>
        <w:tc>
          <w:tcPr>
            <w:tcW w:w="4508" w:type="dxa"/>
          </w:tcPr>
          <w:p w14:paraId="57F8002D" w14:textId="37EE9BD7" w:rsidR="00BB3876" w:rsidRPr="00BB3876" w:rsidRDefault="00BB3876" w:rsidP="00BB3876">
            <w:pPr>
              <w:jc w:val="center"/>
              <w:cnfStyle w:val="000000100000" w:firstRow="0" w:lastRow="0" w:firstColumn="0" w:lastColumn="0" w:oddVBand="0" w:evenVBand="0" w:oddHBand="1" w:evenHBand="0" w:firstRowFirstColumn="0" w:firstRowLastColumn="0" w:lastRowFirstColumn="0" w:lastRowLastColumn="0"/>
              <w:rPr>
                <w:color w:val="auto"/>
              </w:rPr>
            </w:pPr>
            <w:r w:rsidRPr="00BB3876">
              <w:rPr>
                <w:color w:val="auto"/>
              </w:rPr>
              <w:t>Threat of new entrants and disruptors</w:t>
            </w:r>
          </w:p>
        </w:tc>
      </w:tr>
      <w:tr w:rsidR="00BB3876" w14:paraId="3B5F80B4" w14:textId="77777777" w:rsidTr="00BB3876">
        <w:tc>
          <w:tcPr>
            <w:cnfStyle w:val="001000000000" w:firstRow="0" w:lastRow="0" w:firstColumn="1" w:lastColumn="0" w:oddVBand="0" w:evenVBand="0" w:oddHBand="0" w:evenHBand="0" w:firstRowFirstColumn="0" w:firstRowLastColumn="0" w:lastRowFirstColumn="0" w:lastRowLastColumn="0"/>
            <w:tcW w:w="4508" w:type="dxa"/>
          </w:tcPr>
          <w:p w14:paraId="0426B35B" w14:textId="57DD6943" w:rsidR="00BB3876" w:rsidRPr="00BB3876" w:rsidRDefault="00BB3876" w:rsidP="00BB3876">
            <w:pPr>
              <w:jc w:val="center"/>
              <w:rPr>
                <w:b w:val="0"/>
                <w:bCs w:val="0"/>
                <w:color w:val="auto"/>
              </w:rPr>
            </w:pPr>
            <w:r w:rsidRPr="00BB3876">
              <w:rPr>
                <w:b w:val="0"/>
                <w:bCs w:val="0"/>
                <w:color w:val="auto"/>
              </w:rPr>
              <w:t>Strategic mergers and acquisitions</w:t>
            </w:r>
          </w:p>
        </w:tc>
        <w:tc>
          <w:tcPr>
            <w:tcW w:w="4508" w:type="dxa"/>
          </w:tcPr>
          <w:p w14:paraId="5BBB4C00" w14:textId="641C073B" w:rsidR="00BB3876" w:rsidRPr="00BB3876" w:rsidRDefault="00BB3876" w:rsidP="00BB3876">
            <w:pPr>
              <w:jc w:val="center"/>
              <w:cnfStyle w:val="000000000000" w:firstRow="0" w:lastRow="0" w:firstColumn="0" w:lastColumn="0" w:oddVBand="0" w:evenVBand="0" w:oddHBand="0" w:evenHBand="0" w:firstRowFirstColumn="0" w:firstRowLastColumn="0" w:lastRowFirstColumn="0" w:lastRowLastColumn="0"/>
              <w:rPr>
                <w:color w:val="auto"/>
              </w:rPr>
            </w:pPr>
            <w:r w:rsidRPr="00BB3876">
              <w:rPr>
                <w:color w:val="auto"/>
              </w:rPr>
              <w:t>Political and regulatory changes</w:t>
            </w:r>
          </w:p>
        </w:tc>
      </w:tr>
      <w:tr w:rsidR="00BB3876" w14:paraId="2588EE34" w14:textId="77777777" w:rsidTr="00BB387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9D95806" w14:textId="224E3EBF" w:rsidR="00BB3876" w:rsidRPr="00BB3876" w:rsidRDefault="00BB3876" w:rsidP="00BB3876">
            <w:pPr>
              <w:jc w:val="center"/>
              <w:rPr>
                <w:b w:val="0"/>
                <w:bCs w:val="0"/>
                <w:color w:val="auto"/>
              </w:rPr>
            </w:pPr>
            <w:r w:rsidRPr="00BB3876">
              <w:rPr>
                <w:b w:val="0"/>
                <w:bCs w:val="0"/>
                <w:color w:val="auto"/>
              </w:rPr>
              <w:t>Adoption of digital marketing and social media</w:t>
            </w:r>
          </w:p>
        </w:tc>
        <w:tc>
          <w:tcPr>
            <w:tcW w:w="4508" w:type="dxa"/>
          </w:tcPr>
          <w:p w14:paraId="0212C7D5" w14:textId="2EC9F6D6" w:rsidR="00BB3876" w:rsidRPr="00BB3876" w:rsidRDefault="00BB3876" w:rsidP="00BB3876">
            <w:pPr>
              <w:jc w:val="center"/>
              <w:cnfStyle w:val="000000100000" w:firstRow="0" w:lastRow="0" w:firstColumn="0" w:lastColumn="0" w:oddVBand="0" w:evenVBand="0" w:oddHBand="1" w:evenHBand="0" w:firstRowFirstColumn="0" w:firstRowLastColumn="0" w:lastRowFirstColumn="0" w:lastRowLastColumn="0"/>
              <w:rPr>
                <w:color w:val="auto"/>
              </w:rPr>
            </w:pPr>
            <w:r w:rsidRPr="00BB3876">
              <w:rPr>
                <w:color w:val="auto"/>
              </w:rPr>
              <w:t>Changing travel patterns and geopolitical risks</w:t>
            </w:r>
          </w:p>
        </w:tc>
      </w:tr>
    </w:tbl>
    <w:p w14:paraId="6062D949" w14:textId="07AAD6B8" w:rsidR="006645FE" w:rsidRDefault="00E67241" w:rsidP="006645FE">
      <w:r w:rsidRPr="00E67241">
        <w:rPr>
          <w:b/>
          <w:bCs/>
        </w:rPr>
        <w:t>Interpretation:</w:t>
      </w:r>
      <w:r>
        <w:t xml:space="preserve"> </w:t>
      </w:r>
      <w:r w:rsidRPr="00E67241">
        <w:t xml:space="preserve">The SWOT analysis table provides a high-level overview of Marriott International's internal strengths, weaknesses, external opportunities, and threats. Brand awareness and worldwide reach are among their many benefits (Hayes and </w:t>
      </w:r>
      <w:proofErr w:type="spellStart"/>
      <w:r w:rsidRPr="00E67241">
        <w:t>Ninemeier</w:t>
      </w:r>
      <w:proofErr w:type="spellEnd"/>
      <w:r w:rsidRPr="00E67241">
        <w:t xml:space="preserve">, 2009). The firm has an edge in the market due to the strength of its distribution networks and the variety of hotel brands it offers (Sharma and </w:t>
      </w:r>
      <w:proofErr w:type="spellStart"/>
      <w:r w:rsidRPr="00E67241">
        <w:t>Upneja</w:t>
      </w:r>
      <w:proofErr w:type="spellEnd"/>
      <w:r w:rsidRPr="00E67241">
        <w:t xml:space="preserve">, 2005). Conversely, Marriott has to deal with difficulties, including a lack of internal diversity and an over-reliance on external relationships (Hayes and </w:t>
      </w:r>
      <w:proofErr w:type="spellStart"/>
      <w:r w:rsidRPr="00E67241">
        <w:t>Ninemeier</w:t>
      </w:r>
      <w:proofErr w:type="spellEnd"/>
      <w:r w:rsidRPr="00E67241">
        <w:t xml:space="preserve">, 2009). Emerging markets and technical progress are only two examples of the possibilities the research uncovered (Sharma and </w:t>
      </w:r>
      <w:proofErr w:type="spellStart"/>
      <w:r w:rsidRPr="00E67241">
        <w:t>Upneja</w:t>
      </w:r>
      <w:proofErr w:type="spellEnd"/>
      <w:r w:rsidRPr="00E67241">
        <w:t xml:space="preserve">, 2005). However, the corporation faces difficulties due to fierce rivalry and economic uncertainties (Hoque, 2013). Marriott can </w:t>
      </w:r>
      <w:r w:rsidRPr="00E67241">
        <w:lastRenderedPageBreak/>
        <w:t>exploit opportunities and protect itself from dangers in the ever-changing hospitality business by focusing on its strengths and fixing its deficiencies.</w:t>
      </w:r>
    </w:p>
    <w:p w14:paraId="3A64BD95" w14:textId="2D163BA3" w:rsidR="00E67241" w:rsidRDefault="00E67241" w:rsidP="00E67241">
      <w:pPr>
        <w:pStyle w:val="Heading1"/>
      </w:pPr>
      <w:bookmarkStart w:id="7" w:name="_Toc136144219"/>
      <w:r>
        <w:t>Findings of the Study</w:t>
      </w:r>
      <w:bookmarkEnd w:id="7"/>
    </w:p>
    <w:p w14:paraId="6DA6E515" w14:textId="01819165" w:rsidR="00E67241" w:rsidRPr="00E67241" w:rsidRDefault="00BB39CF" w:rsidP="00E67241">
      <w:r w:rsidRPr="00BB39CF">
        <w:t>The findings indicate that the hotel business, and especially Marriott International, has a lot of problems to solve. It stresses how important it is for employees to learn and grow in order to meet the unique needs of the industry and improve business performance. College places have their own problems that need to be dealt with when it comes to managing people. The COVID-19 outbreak has made these problems even worse, which has hurt employee performance and made the workplace more unpredictable. External factors like Brexit, COVID-19, and inflation have other effects, such as a lack of workers, less job security, and the need to pay workers more than other companies. These problems need preventative steps and planned answers to find and keep good employees, create a diverse and welcoming workplace culture, improve management practises, put the health and happiness of employees first, take advantage of technological advances, and adapt to changing market trends. By dealing with these problems well, Marriott International can improve its business success and stay ahead of the competition in the hotel business.</w:t>
      </w:r>
    </w:p>
    <w:p w14:paraId="4124DC23" w14:textId="4BDD8668" w:rsidR="00E67241" w:rsidRDefault="00E67241" w:rsidP="00E67241">
      <w:pPr>
        <w:pStyle w:val="Heading1"/>
      </w:pPr>
      <w:bookmarkStart w:id="8" w:name="_Toc136144220"/>
      <w:r>
        <w:t>Recommendations</w:t>
      </w:r>
      <w:bookmarkEnd w:id="8"/>
    </w:p>
    <w:p w14:paraId="4A733FB2" w14:textId="77777777" w:rsidR="00BB39CF" w:rsidRDefault="00BB39CF" w:rsidP="00BB39CF">
      <w:r>
        <w:t>These issues necessitate the following recommendations for Marriott International:</w:t>
      </w:r>
    </w:p>
    <w:p w14:paraId="425F599E" w14:textId="77CF106A" w:rsidR="00BB39CF" w:rsidRDefault="00BB39CF" w:rsidP="00BB39CF">
      <w:pPr>
        <w:jc w:val="center"/>
      </w:pPr>
      <w:r w:rsidRPr="00BB39CF">
        <w:rPr>
          <w:noProof/>
        </w:rPr>
        <w:drawing>
          <wp:inline distT="0" distB="0" distL="0" distR="0" wp14:anchorId="5DB5AC61" wp14:editId="5A87E7E9">
            <wp:extent cx="5731510" cy="2465070"/>
            <wp:effectExtent l="0" t="0" r="0" b="0"/>
            <wp:docPr id="1832683953" name="Diagram 1">
              <a:extLst xmlns:a="http://schemas.openxmlformats.org/drawingml/2006/main">
                <a:ext uri="{FF2B5EF4-FFF2-40B4-BE49-F238E27FC236}">
                  <a16:creationId xmlns:a16="http://schemas.microsoft.com/office/drawing/2014/main" id="{DEDB135A-8C68-AFB4-5DA2-6FFA4351A837}"/>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0E9ACF97" w14:textId="4C56387C" w:rsidR="00BB39CF" w:rsidRDefault="00BB39CF" w:rsidP="00BB39CF">
      <w:pPr>
        <w:jc w:val="center"/>
      </w:pPr>
      <w:r>
        <w:t>Figure:</w:t>
      </w:r>
      <w:r w:rsidRPr="00BB39CF">
        <w:t xml:space="preserve"> </w:t>
      </w:r>
      <w:r>
        <w:t>R</w:t>
      </w:r>
      <w:r w:rsidRPr="00BB39CF">
        <w:t>ecommendations for Marriott International</w:t>
      </w:r>
    </w:p>
    <w:p w14:paraId="1653C502" w14:textId="0959FFE1" w:rsidR="00BB39CF" w:rsidRDefault="00BB39CF" w:rsidP="005305E3">
      <w:pPr>
        <w:jc w:val="center"/>
      </w:pPr>
      <w:r>
        <w:t>Figure: Self Made</w:t>
      </w:r>
    </w:p>
    <w:p w14:paraId="4D91EF57" w14:textId="34867126" w:rsidR="00BB39CF" w:rsidRPr="00BB39CF" w:rsidRDefault="00BB39CF" w:rsidP="00BB39CF">
      <w:pPr>
        <w:rPr>
          <w:b/>
          <w:bCs/>
        </w:rPr>
      </w:pPr>
      <w:r w:rsidRPr="00BB39CF">
        <w:rPr>
          <w:b/>
          <w:bCs/>
        </w:rPr>
        <w:t>Invest In Employee Education and Growth</w:t>
      </w:r>
    </w:p>
    <w:p w14:paraId="6329F557" w14:textId="24AF864A" w:rsidR="00BB39CF" w:rsidRDefault="00BB39CF" w:rsidP="00BB39CF">
      <w:r>
        <w:lastRenderedPageBreak/>
        <w:t>To improve employees' abilities and adapt to the industry's specific requirements, it is essential to provide them with extensive training and development programmes (Khattak et al., 2014).</w:t>
      </w:r>
    </w:p>
    <w:p w14:paraId="6C1DDA2E" w14:textId="7CBF834B" w:rsidR="00BB39CF" w:rsidRPr="00BB39CF" w:rsidRDefault="00BB39CF" w:rsidP="00BB39CF">
      <w:pPr>
        <w:rPr>
          <w:b/>
          <w:bCs/>
        </w:rPr>
      </w:pPr>
      <w:r w:rsidRPr="00BB39CF">
        <w:rPr>
          <w:b/>
          <w:bCs/>
        </w:rPr>
        <w:t>Adapt Recruitment Strategies</w:t>
      </w:r>
    </w:p>
    <w:p w14:paraId="743FF33E" w14:textId="5A1CE036" w:rsidR="00BB39CF" w:rsidRDefault="00BB39CF" w:rsidP="00BB39CF">
      <w:r>
        <w:t>Attract the best and brightest by advertising the company's virtual tours and other interactive experiences (Thomson, 2010).</w:t>
      </w:r>
    </w:p>
    <w:p w14:paraId="0ACBFF0B" w14:textId="20D25D26" w:rsidR="00BB39CF" w:rsidRPr="00BB39CF" w:rsidRDefault="00BB39CF" w:rsidP="00BB39CF">
      <w:pPr>
        <w:rPr>
          <w:b/>
          <w:bCs/>
        </w:rPr>
      </w:pPr>
      <w:r w:rsidRPr="00BB39CF">
        <w:rPr>
          <w:b/>
          <w:bCs/>
        </w:rPr>
        <w:t xml:space="preserve">Prioritise Employee Well-Being </w:t>
      </w:r>
      <w:proofErr w:type="gramStart"/>
      <w:r w:rsidRPr="00BB39CF">
        <w:rPr>
          <w:b/>
          <w:bCs/>
        </w:rPr>
        <w:t>And</w:t>
      </w:r>
      <w:proofErr w:type="gramEnd"/>
      <w:r w:rsidRPr="00BB39CF">
        <w:rPr>
          <w:b/>
          <w:bCs/>
        </w:rPr>
        <w:t xml:space="preserve"> Diversity</w:t>
      </w:r>
    </w:p>
    <w:p w14:paraId="6655A700" w14:textId="414C3300" w:rsidR="00BB39CF" w:rsidRDefault="00BB39CF" w:rsidP="00BB39CF">
      <w:r>
        <w:t>Create a welcoming and accepting work environment where everyone is valued and appreciated to boost morale and retention (</w:t>
      </w:r>
      <w:proofErr w:type="spellStart"/>
      <w:r>
        <w:t>Spechler</w:t>
      </w:r>
      <w:proofErr w:type="spellEnd"/>
      <w:r>
        <w:t>, 2017).</w:t>
      </w:r>
    </w:p>
    <w:p w14:paraId="7A7C09EA" w14:textId="75F21FC7" w:rsidR="00BB39CF" w:rsidRPr="00BB39CF" w:rsidRDefault="00BB39CF" w:rsidP="00BB39CF">
      <w:pPr>
        <w:rPr>
          <w:b/>
          <w:bCs/>
        </w:rPr>
      </w:pPr>
      <w:r w:rsidRPr="00BB39CF">
        <w:rPr>
          <w:b/>
          <w:bCs/>
        </w:rPr>
        <w:t>Prioritise Safety Measures</w:t>
      </w:r>
    </w:p>
    <w:p w14:paraId="12612FA5" w14:textId="64BA0FCC" w:rsidR="00BB39CF" w:rsidRDefault="00BB39CF" w:rsidP="00BB39CF">
      <w:r>
        <w:t>Implement stringent security measures and thorough training to ensure personnel safety, especially in light of increasing terrorist threats (</w:t>
      </w:r>
      <w:proofErr w:type="spellStart"/>
      <w:r>
        <w:t>Wernick</w:t>
      </w:r>
      <w:proofErr w:type="spellEnd"/>
      <w:r>
        <w:t xml:space="preserve"> and Von Glinow, 2012).</w:t>
      </w:r>
    </w:p>
    <w:p w14:paraId="45267792" w14:textId="50FD04B6" w:rsidR="00BB39CF" w:rsidRPr="00BB39CF" w:rsidRDefault="00BB39CF" w:rsidP="00BB39CF">
      <w:pPr>
        <w:rPr>
          <w:b/>
          <w:bCs/>
        </w:rPr>
      </w:pPr>
      <w:r w:rsidRPr="00BB39CF">
        <w:rPr>
          <w:b/>
          <w:bCs/>
        </w:rPr>
        <w:t>Embrace Technology</w:t>
      </w:r>
    </w:p>
    <w:p w14:paraId="15B08A5B" w14:textId="5CBA0ED0" w:rsidR="00BB39CF" w:rsidRDefault="00BB39CF" w:rsidP="00BB39CF">
      <w:r>
        <w:t>Prioritise digitisation and embrace technology developments to boost productivity, customer satisfaction, and employee recruitment (</w:t>
      </w:r>
      <w:proofErr w:type="spellStart"/>
      <w:r>
        <w:t>Djajasinga</w:t>
      </w:r>
      <w:proofErr w:type="spellEnd"/>
      <w:r>
        <w:t xml:space="preserve"> et al., 2021).</w:t>
      </w:r>
    </w:p>
    <w:p w14:paraId="1DD8AD55" w14:textId="30B88C9E" w:rsidR="00E67241" w:rsidRDefault="00BB39CF" w:rsidP="00BB39CF">
      <w:r>
        <w:t>To better address the problems of the hospitality sector and boost company success, Marriott International could apply these suggestions to increase staff retention, recruit top talent, enrich guests' experiences, and more.</w:t>
      </w:r>
    </w:p>
    <w:p w14:paraId="43375541" w14:textId="0D6F72DC" w:rsidR="00A30F7C" w:rsidRDefault="00BB39CF" w:rsidP="00BB39CF">
      <w:pPr>
        <w:pStyle w:val="Heading1"/>
      </w:pPr>
      <w:bookmarkStart w:id="9" w:name="_Toc136144221"/>
      <w:r>
        <w:t>Conclusion</w:t>
      </w:r>
      <w:bookmarkEnd w:id="9"/>
    </w:p>
    <w:p w14:paraId="51A8A606" w14:textId="56A674C3" w:rsidR="005305E3" w:rsidRPr="006645FE" w:rsidRDefault="00BB39CF" w:rsidP="006645FE">
      <w:r w:rsidRPr="00BB39CF">
        <w:t xml:space="preserve">Marriott International, a hotel company located in dozens of countries, operates in a highly competitive market. The research study emphasises the relevance of the COVID-19 pandemic's effects on employee performance, employee education and development, and good people management in college towns. Brexit, COVID-19, and inflation are just a few external forces making recruiting and retention even more difficult. Marriott International may overcome these obstacles by investing in employee development, changing its recruiting practices, placing a premium on employee wellness and diversity, refining its management practices, giving special attention to safety, and embracing technological advancements. </w:t>
      </w:r>
    </w:p>
    <w:p w14:paraId="18106477" w14:textId="77777777" w:rsidR="0007408E" w:rsidRDefault="0007408E">
      <w:pPr>
        <w:spacing w:after="160" w:line="259" w:lineRule="auto"/>
        <w:jc w:val="left"/>
        <w:rPr>
          <w:rFonts w:eastAsiaTheme="majorEastAsia" w:cs="Times New Roman"/>
          <w:b/>
          <w:bCs/>
          <w:color w:val="1F4E79" w:themeColor="accent5" w:themeShade="80"/>
          <w:sz w:val="32"/>
          <w:szCs w:val="32"/>
        </w:rPr>
      </w:pPr>
      <w:bookmarkStart w:id="10" w:name="_Toc136144222"/>
      <w:r>
        <w:rPr>
          <w:rFonts w:cs="Times New Roman"/>
          <w:bCs/>
        </w:rPr>
        <w:br w:type="page"/>
      </w:r>
    </w:p>
    <w:p w14:paraId="45BB35E9" w14:textId="3CDA26D4" w:rsidR="00BB39CF" w:rsidRPr="00BB39CF" w:rsidRDefault="00E877B4" w:rsidP="00BB39CF">
      <w:pPr>
        <w:pStyle w:val="Heading1"/>
        <w:rPr>
          <w:rFonts w:eastAsiaTheme="minorHAnsi" w:cs="Times New Roman"/>
          <w:sz w:val="24"/>
          <w:szCs w:val="24"/>
        </w:rPr>
      </w:pPr>
      <w:r w:rsidRPr="00F05BCC">
        <w:rPr>
          <w:rFonts w:cs="Times New Roman"/>
          <w:bCs/>
        </w:rPr>
        <w:lastRenderedPageBreak/>
        <w:t>References</w:t>
      </w:r>
      <w:bookmarkEnd w:id="10"/>
    </w:p>
    <w:p w14:paraId="3B5D9E64" w14:textId="794F8425" w:rsidR="0007408E" w:rsidRPr="0007408E" w:rsidRDefault="0007408E" w:rsidP="00AF0C90">
      <w:pPr>
        <w:rPr>
          <w:rFonts w:cs="Times New Roman"/>
        </w:rPr>
      </w:pPr>
      <w:r w:rsidRPr="0007408E">
        <w:rPr>
          <w:rFonts w:cs="Times New Roman"/>
        </w:rPr>
        <w:t xml:space="preserve">Alonso, A.D. and O’Neill, M.A., </w:t>
      </w:r>
      <w:r w:rsidR="00F35C52">
        <w:rPr>
          <w:rFonts w:cs="Times New Roman"/>
        </w:rPr>
        <w:t>(2009)</w:t>
      </w:r>
      <w:r w:rsidRPr="0007408E">
        <w:rPr>
          <w:rFonts w:cs="Times New Roman"/>
        </w:rPr>
        <w:t>. Staffing issues among small hospitality businesses: A college town case. International Journal of Hospitality Management, 28(4), pp.573-578.</w:t>
      </w:r>
    </w:p>
    <w:p w14:paraId="1192392C" w14:textId="2277C27B" w:rsidR="0007408E" w:rsidRPr="0007408E" w:rsidRDefault="0007408E" w:rsidP="00AF0C90">
      <w:pPr>
        <w:rPr>
          <w:rFonts w:cs="Times New Roman"/>
        </w:rPr>
      </w:pPr>
      <w:proofErr w:type="spellStart"/>
      <w:r w:rsidRPr="0007408E">
        <w:rPr>
          <w:rFonts w:cs="Times New Roman"/>
        </w:rPr>
        <w:t>Darsin</w:t>
      </w:r>
      <w:proofErr w:type="spellEnd"/>
      <w:r w:rsidRPr="0007408E">
        <w:rPr>
          <w:rFonts w:cs="Times New Roman"/>
        </w:rPr>
        <w:t xml:space="preserve">, J., Rosner, J., Urdaneta, C. and </w:t>
      </w:r>
      <w:proofErr w:type="spellStart"/>
      <w:r w:rsidRPr="0007408E">
        <w:rPr>
          <w:rFonts w:cs="Times New Roman"/>
        </w:rPr>
        <w:t>Yepes</w:t>
      </w:r>
      <w:proofErr w:type="spellEnd"/>
      <w:r w:rsidRPr="0007408E">
        <w:rPr>
          <w:rFonts w:cs="Times New Roman"/>
        </w:rPr>
        <w:t xml:space="preserve">, M., </w:t>
      </w:r>
      <w:r w:rsidR="00F35C52">
        <w:rPr>
          <w:rFonts w:cs="Times New Roman"/>
        </w:rPr>
        <w:t>(2019)</w:t>
      </w:r>
      <w:r w:rsidRPr="0007408E">
        <w:rPr>
          <w:rFonts w:cs="Times New Roman"/>
        </w:rPr>
        <w:t>. Marriott International: Exploring and Understanding Disruption in the Hospitality Industry in South Florida. Journal of Multidisciplinary Research, 11(1), pp.99-119.</w:t>
      </w:r>
    </w:p>
    <w:p w14:paraId="31A81478" w14:textId="51BF1FCF" w:rsidR="0007408E" w:rsidRPr="0007408E" w:rsidRDefault="0007408E" w:rsidP="00AF0C90">
      <w:pPr>
        <w:rPr>
          <w:rFonts w:cs="Times New Roman"/>
        </w:rPr>
      </w:pPr>
      <w:proofErr w:type="spellStart"/>
      <w:r w:rsidRPr="0007408E">
        <w:rPr>
          <w:rFonts w:cs="Times New Roman"/>
        </w:rPr>
        <w:t>Djajasinga</w:t>
      </w:r>
      <w:proofErr w:type="spellEnd"/>
      <w:r w:rsidRPr="0007408E">
        <w:rPr>
          <w:rFonts w:cs="Times New Roman"/>
        </w:rPr>
        <w:t xml:space="preserve">, N.D., </w:t>
      </w:r>
      <w:proofErr w:type="spellStart"/>
      <w:r w:rsidRPr="0007408E">
        <w:rPr>
          <w:rFonts w:cs="Times New Roman"/>
        </w:rPr>
        <w:t>Sulastri</w:t>
      </w:r>
      <w:proofErr w:type="spellEnd"/>
      <w:r w:rsidRPr="0007408E">
        <w:rPr>
          <w:rFonts w:cs="Times New Roman"/>
        </w:rPr>
        <w:t xml:space="preserve">, L., Sudirman, A., Sari, A.L. and </w:t>
      </w:r>
      <w:proofErr w:type="spellStart"/>
      <w:r w:rsidRPr="0007408E">
        <w:rPr>
          <w:rFonts w:cs="Times New Roman"/>
        </w:rPr>
        <w:t>Rihardi</w:t>
      </w:r>
      <w:proofErr w:type="spellEnd"/>
      <w:r w:rsidRPr="0007408E">
        <w:rPr>
          <w:rFonts w:cs="Times New Roman"/>
        </w:rPr>
        <w:t xml:space="preserve">, E.L., </w:t>
      </w:r>
      <w:r w:rsidR="00F35C52">
        <w:rPr>
          <w:rFonts w:cs="Times New Roman"/>
        </w:rPr>
        <w:t>(2021)</w:t>
      </w:r>
      <w:r w:rsidRPr="0007408E">
        <w:rPr>
          <w:rFonts w:cs="Times New Roman"/>
        </w:rPr>
        <w:t>, June. Practices in Human Resources and Employee Turnover in the Hospitality Industry. In 2nd Annual Conference on blended learning, educational technology and Innovation (ACBLETI 2020) (pp. 113-117). Atlantis Press.</w:t>
      </w:r>
    </w:p>
    <w:p w14:paraId="1825FE03" w14:textId="6AD07FD9" w:rsidR="0007408E" w:rsidRPr="0007408E" w:rsidRDefault="0007408E" w:rsidP="00AF0C90">
      <w:pPr>
        <w:rPr>
          <w:rFonts w:cs="Times New Roman"/>
        </w:rPr>
      </w:pPr>
      <w:proofErr w:type="spellStart"/>
      <w:r w:rsidRPr="0007408E">
        <w:rPr>
          <w:rFonts w:cs="Times New Roman"/>
        </w:rPr>
        <w:t>Farías</w:t>
      </w:r>
      <w:proofErr w:type="spellEnd"/>
      <w:r w:rsidRPr="0007408E">
        <w:rPr>
          <w:rFonts w:cs="Times New Roman"/>
        </w:rPr>
        <w:t xml:space="preserve">, A. and </w:t>
      </w:r>
      <w:proofErr w:type="spellStart"/>
      <w:r w:rsidRPr="0007408E">
        <w:rPr>
          <w:rFonts w:cs="Times New Roman"/>
        </w:rPr>
        <w:t>Cancino</w:t>
      </w:r>
      <w:proofErr w:type="spellEnd"/>
      <w:r w:rsidRPr="0007408E">
        <w:rPr>
          <w:rFonts w:cs="Times New Roman"/>
        </w:rPr>
        <w:t xml:space="preserve">, C.A., </w:t>
      </w:r>
      <w:r w:rsidR="00F35C52">
        <w:rPr>
          <w:rFonts w:cs="Times New Roman"/>
        </w:rPr>
        <w:t>(2021)</w:t>
      </w:r>
      <w:r w:rsidRPr="0007408E">
        <w:rPr>
          <w:rFonts w:cs="Times New Roman"/>
        </w:rPr>
        <w:t>. Digital transformation in the Chilean lodging sector: Opportunities for sustainable businesses. Sustainability, 13(14), p.8097.</w:t>
      </w:r>
    </w:p>
    <w:p w14:paraId="048E7855" w14:textId="77777777" w:rsidR="0007408E" w:rsidRPr="0007408E" w:rsidRDefault="0007408E" w:rsidP="00AF0C90">
      <w:pPr>
        <w:rPr>
          <w:rFonts w:cs="Times New Roman"/>
        </w:rPr>
      </w:pPr>
      <w:proofErr w:type="spellStart"/>
      <w:r w:rsidRPr="0007408E">
        <w:rPr>
          <w:rFonts w:cs="Times New Roman"/>
        </w:rPr>
        <w:t>Gregersen</w:t>
      </w:r>
      <w:proofErr w:type="spellEnd"/>
      <w:r w:rsidRPr="0007408E">
        <w:rPr>
          <w:rFonts w:cs="Times New Roman"/>
        </w:rPr>
        <w:t>, H.B. and Black, J.S., 2002. JW Marriott, jr., on growing the legacy. Academy of Management Perspectives, 16(2), pp.33-39.</w:t>
      </w:r>
    </w:p>
    <w:p w14:paraId="68AB140B" w14:textId="79678D8C" w:rsidR="0007408E" w:rsidRPr="0007408E" w:rsidRDefault="0007408E" w:rsidP="00AF0C90">
      <w:pPr>
        <w:rPr>
          <w:rFonts w:cs="Times New Roman"/>
        </w:rPr>
      </w:pPr>
      <w:r w:rsidRPr="0007408E">
        <w:rPr>
          <w:rFonts w:cs="Times New Roman"/>
        </w:rPr>
        <w:t xml:space="preserve">Hayes, D.K. and </w:t>
      </w:r>
      <w:proofErr w:type="spellStart"/>
      <w:r w:rsidRPr="0007408E">
        <w:rPr>
          <w:rFonts w:cs="Times New Roman"/>
        </w:rPr>
        <w:t>Ninemeier</w:t>
      </w:r>
      <w:proofErr w:type="spellEnd"/>
      <w:r w:rsidRPr="0007408E">
        <w:rPr>
          <w:rFonts w:cs="Times New Roman"/>
        </w:rPr>
        <w:t xml:space="preserve">, J.D., </w:t>
      </w:r>
      <w:r w:rsidR="00F35C52">
        <w:rPr>
          <w:rFonts w:cs="Times New Roman"/>
        </w:rPr>
        <w:t>(2009)</w:t>
      </w:r>
      <w:r w:rsidRPr="0007408E">
        <w:rPr>
          <w:rFonts w:cs="Times New Roman"/>
        </w:rPr>
        <w:t>. Human resources management in the hospitality industry. John Wiley &amp; Sons.</w:t>
      </w:r>
    </w:p>
    <w:p w14:paraId="062CC88F" w14:textId="4830FA00" w:rsidR="0007408E" w:rsidRPr="0007408E" w:rsidRDefault="0007408E" w:rsidP="00AF0C90">
      <w:pPr>
        <w:rPr>
          <w:rFonts w:cs="Times New Roman"/>
        </w:rPr>
      </w:pPr>
      <w:r w:rsidRPr="0007408E">
        <w:rPr>
          <w:rFonts w:cs="Times New Roman"/>
        </w:rPr>
        <w:t xml:space="preserve">Hoque, K., </w:t>
      </w:r>
      <w:r w:rsidR="00F35C52">
        <w:rPr>
          <w:rFonts w:cs="Times New Roman"/>
        </w:rPr>
        <w:t>(</w:t>
      </w:r>
      <w:r w:rsidRPr="0007408E">
        <w:rPr>
          <w:rFonts w:cs="Times New Roman"/>
        </w:rPr>
        <w:t>2013</w:t>
      </w:r>
      <w:r w:rsidR="00F35C52">
        <w:rPr>
          <w:rFonts w:cs="Times New Roman"/>
        </w:rPr>
        <w:t>)</w:t>
      </w:r>
      <w:r w:rsidRPr="0007408E">
        <w:rPr>
          <w:rFonts w:cs="Times New Roman"/>
        </w:rPr>
        <w:t>. Human resource management in the hotel industry: Strategy, innovation and performance. Routledge.</w:t>
      </w:r>
    </w:p>
    <w:p w14:paraId="7F16D243" w14:textId="7B480373" w:rsidR="0007408E" w:rsidRPr="0007408E" w:rsidRDefault="0007408E" w:rsidP="00AF0C90">
      <w:pPr>
        <w:rPr>
          <w:rFonts w:cs="Times New Roman"/>
        </w:rPr>
      </w:pPr>
      <w:proofErr w:type="spellStart"/>
      <w:r w:rsidRPr="0007408E">
        <w:rPr>
          <w:rFonts w:cs="Times New Roman"/>
        </w:rPr>
        <w:t>Hormby</w:t>
      </w:r>
      <w:proofErr w:type="spellEnd"/>
      <w:r w:rsidRPr="0007408E">
        <w:rPr>
          <w:rFonts w:cs="Times New Roman"/>
        </w:rPr>
        <w:t xml:space="preserve">, S., Morrison, J., Dave, P., Meyers, M. and </w:t>
      </w:r>
      <w:proofErr w:type="spellStart"/>
      <w:r w:rsidRPr="0007408E">
        <w:rPr>
          <w:rFonts w:cs="Times New Roman"/>
        </w:rPr>
        <w:t>Tenca</w:t>
      </w:r>
      <w:proofErr w:type="spellEnd"/>
      <w:r w:rsidRPr="0007408E">
        <w:rPr>
          <w:rFonts w:cs="Times New Roman"/>
        </w:rPr>
        <w:t xml:space="preserve">, T. </w:t>
      </w:r>
      <w:r w:rsidR="00F35C52">
        <w:rPr>
          <w:rFonts w:cs="Times New Roman"/>
        </w:rPr>
        <w:t>(</w:t>
      </w:r>
      <w:r w:rsidRPr="0007408E">
        <w:rPr>
          <w:rFonts w:cs="Times New Roman"/>
        </w:rPr>
        <w:t>2010</w:t>
      </w:r>
      <w:r w:rsidR="00F35C52">
        <w:rPr>
          <w:rFonts w:cs="Times New Roman"/>
        </w:rPr>
        <w:t>)</w:t>
      </w:r>
      <w:r w:rsidRPr="0007408E">
        <w:rPr>
          <w:rFonts w:cs="Times New Roman"/>
        </w:rPr>
        <w:t>. Marriott International increases revenue by implementing a group pricing optimizer. Interfaces, 40(1), pp.47-57.</w:t>
      </w:r>
    </w:p>
    <w:p w14:paraId="298D5D03" w14:textId="055A7BB2" w:rsidR="0007408E" w:rsidRPr="0007408E" w:rsidRDefault="0007408E" w:rsidP="00AF0C90">
      <w:pPr>
        <w:rPr>
          <w:rFonts w:cs="Times New Roman"/>
        </w:rPr>
      </w:pPr>
      <w:proofErr w:type="spellStart"/>
      <w:r w:rsidRPr="0007408E">
        <w:rPr>
          <w:rFonts w:cs="Times New Roman"/>
        </w:rPr>
        <w:t>Khattak</w:t>
      </w:r>
      <w:proofErr w:type="spellEnd"/>
      <w:r w:rsidRPr="0007408E">
        <w:rPr>
          <w:rFonts w:cs="Times New Roman"/>
        </w:rPr>
        <w:t xml:space="preserve">, A.N., Rehman, S. and Rehman, C.A. </w:t>
      </w:r>
      <w:r w:rsidR="00F35C52">
        <w:rPr>
          <w:rFonts w:cs="Times New Roman"/>
        </w:rPr>
        <w:t>(</w:t>
      </w:r>
      <w:r w:rsidRPr="0007408E">
        <w:rPr>
          <w:rFonts w:cs="Times New Roman"/>
        </w:rPr>
        <w:t>2014</w:t>
      </w:r>
      <w:r w:rsidR="00F35C52">
        <w:rPr>
          <w:rFonts w:cs="Times New Roman"/>
        </w:rPr>
        <w:t>)</w:t>
      </w:r>
      <w:r w:rsidRPr="0007408E">
        <w:rPr>
          <w:rFonts w:cs="Times New Roman"/>
        </w:rPr>
        <w:t>. Organizational success through corporate trainings: A case study of hotel industry of Pakistan. Journal of Business Studies Quarterly, 6(1), p.167.</w:t>
      </w:r>
    </w:p>
    <w:p w14:paraId="2F35FB8E" w14:textId="21897D59" w:rsidR="0007408E" w:rsidRPr="0007408E" w:rsidRDefault="0007408E" w:rsidP="00AF0C90">
      <w:pPr>
        <w:rPr>
          <w:rFonts w:cs="Times New Roman"/>
        </w:rPr>
      </w:pPr>
      <w:proofErr w:type="spellStart"/>
      <w:r w:rsidRPr="0007408E">
        <w:rPr>
          <w:rFonts w:cs="Arial"/>
          <w:color w:val="222222"/>
          <w:shd w:val="clear" w:color="auto" w:fill="FFFFFF"/>
        </w:rPr>
        <w:t>Kumodji</w:t>
      </w:r>
      <w:proofErr w:type="spellEnd"/>
      <w:r w:rsidRPr="0007408E">
        <w:rPr>
          <w:rFonts w:cs="Arial"/>
          <w:color w:val="222222"/>
          <w:shd w:val="clear" w:color="auto" w:fill="FFFFFF"/>
        </w:rPr>
        <w:t xml:space="preserve">, B.D., </w:t>
      </w:r>
      <w:r w:rsidR="00F35C52">
        <w:rPr>
          <w:rFonts w:cs="Arial"/>
          <w:color w:val="222222"/>
          <w:shd w:val="clear" w:color="auto" w:fill="FFFFFF"/>
        </w:rPr>
        <w:t>(2022)</w:t>
      </w:r>
      <w:r w:rsidRPr="0007408E">
        <w:rPr>
          <w:rFonts w:cs="Arial"/>
          <w:color w:val="222222"/>
          <w:shd w:val="clear" w:color="auto" w:fill="FFFFFF"/>
        </w:rPr>
        <w:t>. </w:t>
      </w:r>
      <w:r w:rsidRPr="0007408E">
        <w:rPr>
          <w:rFonts w:cs="Arial"/>
          <w:i/>
          <w:iCs/>
          <w:color w:val="222222"/>
          <w:shd w:val="clear" w:color="auto" w:fill="FFFFFF"/>
        </w:rPr>
        <w:t>Exploring talent management practices in SMEs in a turbulent context: lessons from Brexit and Covid-19</w:t>
      </w:r>
      <w:r w:rsidRPr="0007408E">
        <w:rPr>
          <w:rFonts w:cs="Arial"/>
          <w:color w:val="222222"/>
          <w:shd w:val="clear" w:color="auto" w:fill="FFFFFF"/>
        </w:rPr>
        <w:t> (Doctoral dissertation, Birmingham City University).</w:t>
      </w:r>
    </w:p>
    <w:p w14:paraId="45004AA8" w14:textId="6D49BD4E" w:rsidR="0007408E" w:rsidRPr="0007408E" w:rsidRDefault="0007408E" w:rsidP="00AF0C90">
      <w:pPr>
        <w:rPr>
          <w:rFonts w:cs="Times New Roman"/>
        </w:rPr>
      </w:pPr>
      <w:proofErr w:type="spellStart"/>
      <w:r w:rsidRPr="0007408E">
        <w:rPr>
          <w:rFonts w:cs="Arial"/>
          <w:color w:val="222222"/>
          <w:shd w:val="clear" w:color="auto" w:fill="FFFFFF"/>
        </w:rPr>
        <w:t>Lenoël</w:t>
      </w:r>
      <w:proofErr w:type="spellEnd"/>
      <w:r w:rsidRPr="0007408E">
        <w:rPr>
          <w:rFonts w:cs="Arial"/>
          <w:color w:val="222222"/>
          <w:shd w:val="clear" w:color="auto" w:fill="FFFFFF"/>
        </w:rPr>
        <w:t xml:space="preserve">, C., Macqueen, R., Mortimer-Lee, P., Patel, U. and Whyte, K., </w:t>
      </w:r>
      <w:r w:rsidR="00F35C52">
        <w:rPr>
          <w:rFonts w:cs="Arial"/>
          <w:color w:val="222222"/>
          <w:shd w:val="clear" w:color="auto" w:fill="FFFFFF"/>
        </w:rPr>
        <w:t>(2022)</w:t>
      </w:r>
      <w:r w:rsidRPr="0007408E">
        <w:rPr>
          <w:rFonts w:cs="Arial"/>
          <w:color w:val="222222"/>
          <w:shd w:val="clear" w:color="auto" w:fill="FFFFFF"/>
        </w:rPr>
        <w:t>. 1. UK Economic Outlook: Covid-19 leaves inflation in its wake. </w:t>
      </w:r>
      <w:r w:rsidRPr="0007408E">
        <w:rPr>
          <w:rFonts w:cs="Arial"/>
          <w:i/>
          <w:iCs/>
          <w:color w:val="222222"/>
          <w:shd w:val="clear" w:color="auto" w:fill="FFFFFF"/>
        </w:rPr>
        <w:t>National Institute Economic Review</w:t>
      </w:r>
      <w:r w:rsidRPr="0007408E">
        <w:rPr>
          <w:rFonts w:cs="Arial"/>
          <w:color w:val="222222"/>
          <w:shd w:val="clear" w:color="auto" w:fill="FFFFFF"/>
        </w:rPr>
        <w:t>, </w:t>
      </w:r>
      <w:r w:rsidRPr="0007408E">
        <w:rPr>
          <w:rFonts w:cs="Arial"/>
          <w:i/>
          <w:iCs/>
          <w:color w:val="222222"/>
          <w:shd w:val="clear" w:color="auto" w:fill="FFFFFF"/>
        </w:rPr>
        <w:t>259</w:t>
      </w:r>
      <w:r w:rsidRPr="0007408E">
        <w:rPr>
          <w:rFonts w:cs="Arial"/>
          <w:color w:val="222222"/>
          <w:shd w:val="clear" w:color="auto" w:fill="FFFFFF"/>
        </w:rPr>
        <w:t>.</w:t>
      </w:r>
      <w:r w:rsidRPr="0007408E">
        <w:rPr>
          <w:rFonts w:cs="Times New Roman"/>
        </w:rPr>
        <w:t xml:space="preserve"> </w:t>
      </w:r>
    </w:p>
    <w:p w14:paraId="373CE13A" w14:textId="77777777" w:rsidR="0007408E" w:rsidRPr="0007408E" w:rsidRDefault="0007408E" w:rsidP="00AF0C90">
      <w:pPr>
        <w:rPr>
          <w:rFonts w:cs="Times New Roman"/>
        </w:rPr>
      </w:pPr>
      <w:r w:rsidRPr="0007408E">
        <w:rPr>
          <w:rFonts w:cs="Times New Roman"/>
        </w:rPr>
        <w:t>Marriott International. (2021). About Marriott. Retrieved from https://www.marriott.com/about/.</w:t>
      </w:r>
    </w:p>
    <w:p w14:paraId="359951E0" w14:textId="6B05D8EF" w:rsidR="0007408E" w:rsidRPr="0007408E" w:rsidRDefault="0007408E" w:rsidP="00AF0C90">
      <w:pPr>
        <w:rPr>
          <w:rFonts w:cs="Times New Roman"/>
        </w:rPr>
      </w:pPr>
      <w:proofErr w:type="spellStart"/>
      <w:r w:rsidRPr="0007408E">
        <w:rPr>
          <w:rFonts w:cs="Times New Roman"/>
        </w:rPr>
        <w:lastRenderedPageBreak/>
        <w:t>Nyangwe</w:t>
      </w:r>
      <w:proofErr w:type="spellEnd"/>
      <w:r w:rsidRPr="0007408E">
        <w:rPr>
          <w:rFonts w:cs="Times New Roman"/>
        </w:rPr>
        <w:t xml:space="preserve">, S. and </w:t>
      </w:r>
      <w:proofErr w:type="spellStart"/>
      <w:r w:rsidRPr="0007408E">
        <w:rPr>
          <w:rFonts w:cs="Times New Roman"/>
        </w:rPr>
        <w:t>Buhalis</w:t>
      </w:r>
      <w:proofErr w:type="spellEnd"/>
      <w:r w:rsidRPr="0007408E">
        <w:rPr>
          <w:rFonts w:cs="Times New Roman"/>
        </w:rPr>
        <w:t xml:space="preserve">, D. </w:t>
      </w:r>
      <w:r w:rsidR="00F35C52">
        <w:rPr>
          <w:rFonts w:cs="Times New Roman"/>
        </w:rPr>
        <w:t>(</w:t>
      </w:r>
      <w:r w:rsidRPr="0007408E">
        <w:rPr>
          <w:rFonts w:cs="Times New Roman"/>
        </w:rPr>
        <w:t>2018</w:t>
      </w:r>
      <w:r w:rsidR="00F35C52">
        <w:rPr>
          <w:rFonts w:cs="Times New Roman"/>
        </w:rPr>
        <w:t>)</w:t>
      </w:r>
      <w:r w:rsidRPr="0007408E">
        <w:rPr>
          <w:rFonts w:cs="Times New Roman"/>
        </w:rPr>
        <w:t xml:space="preserve">. Branding transformation through social media and co-creation: lessons from </w:t>
      </w:r>
      <w:proofErr w:type="spellStart"/>
      <w:r w:rsidRPr="0007408E">
        <w:rPr>
          <w:rFonts w:cs="Times New Roman"/>
        </w:rPr>
        <w:t>marriott</w:t>
      </w:r>
      <w:proofErr w:type="spellEnd"/>
      <w:r w:rsidRPr="0007408E">
        <w:rPr>
          <w:rFonts w:cs="Times New Roman"/>
        </w:rPr>
        <w:t xml:space="preserve"> international. In Information and Communication Technologies in Tourism 2018: Proceedings of the International Conference in Jönköping, Sweden, January 24-26, 2018 (pp. 257-269). Springer International Publishing.</w:t>
      </w:r>
    </w:p>
    <w:p w14:paraId="52B1CD2F" w14:textId="77777777" w:rsidR="00F35C52" w:rsidRDefault="0007408E" w:rsidP="00AF0C90">
      <w:pPr>
        <w:rPr>
          <w:rFonts w:cs="Times New Roman"/>
        </w:rPr>
      </w:pPr>
      <w:r w:rsidRPr="0007408E">
        <w:rPr>
          <w:rFonts w:cs="Times New Roman"/>
        </w:rPr>
        <w:t xml:space="preserve">Sharma, A. and </w:t>
      </w:r>
      <w:proofErr w:type="spellStart"/>
      <w:r w:rsidRPr="0007408E">
        <w:rPr>
          <w:rFonts w:cs="Times New Roman"/>
        </w:rPr>
        <w:t>Upneja</w:t>
      </w:r>
      <w:proofErr w:type="spellEnd"/>
      <w:r w:rsidRPr="0007408E">
        <w:rPr>
          <w:rFonts w:cs="Times New Roman"/>
        </w:rPr>
        <w:t xml:space="preserve">, A. </w:t>
      </w:r>
      <w:r w:rsidR="00F35C52">
        <w:rPr>
          <w:rFonts w:cs="Times New Roman"/>
        </w:rPr>
        <w:t>(</w:t>
      </w:r>
      <w:r w:rsidRPr="0007408E">
        <w:rPr>
          <w:rFonts w:cs="Times New Roman"/>
        </w:rPr>
        <w:t>2005</w:t>
      </w:r>
      <w:r w:rsidR="00F35C52">
        <w:rPr>
          <w:rFonts w:cs="Times New Roman"/>
        </w:rPr>
        <w:t>)</w:t>
      </w:r>
      <w:r w:rsidRPr="0007408E">
        <w:rPr>
          <w:rFonts w:cs="Times New Roman"/>
        </w:rPr>
        <w:t>. Factors influencing financial performance of small hotels in Tanzania. International Journal of Contemporary Hospitality Management.</w:t>
      </w:r>
    </w:p>
    <w:p w14:paraId="13B10B47" w14:textId="743FE7F0" w:rsidR="0007408E" w:rsidRPr="0007408E" w:rsidRDefault="0007408E" w:rsidP="00AF0C90">
      <w:pPr>
        <w:rPr>
          <w:rFonts w:cs="Times New Roman"/>
        </w:rPr>
      </w:pPr>
      <w:proofErr w:type="spellStart"/>
      <w:r w:rsidRPr="0007408E">
        <w:rPr>
          <w:rFonts w:cs="Times New Roman"/>
        </w:rPr>
        <w:t>Spechler</w:t>
      </w:r>
      <w:proofErr w:type="spellEnd"/>
      <w:r w:rsidRPr="0007408E">
        <w:rPr>
          <w:rFonts w:cs="Times New Roman"/>
        </w:rPr>
        <w:t xml:space="preserve">, J.W. </w:t>
      </w:r>
      <w:r w:rsidR="00F35C52">
        <w:rPr>
          <w:rFonts w:cs="Times New Roman"/>
        </w:rPr>
        <w:t>)</w:t>
      </w:r>
      <w:r w:rsidRPr="0007408E">
        <w:rPr>
          <w:rFonts w:cs="Times New Roman"/>
        </w:rPr>
        <w:t>2017</w:t>
      </w:r>
      <w:r w:rsidR="00F35C52">
        <w:rPr>
          <w:rFonts w:cs="Times New Roman"/>
        </w:rPr>
        <w:t>)</w:t>
      </w:r>
      <w:r w:rsidRPr="0007408E">
        <w:rPr>
          <w:rFonts w:cs="Times New Roman"/>
        </w:rPr>
        <w:t>. Marriott International, Inc. In Reasonable Accommodation (pp. 173-185). Routledge.</w:t>
      </w:r>
    </w:p>
    <w:p w14:paraId="0A0A561F" w14:textId="5C7A5967" w:rsidR="0007408E" w:rsidRPr="0007408E" w:rsidRDefault="0007408E" w:rsidP="00AF0C90">
      <w:pPr>
        <w:rPr>
          <w:rFonts w:cs="Times New Roman"/>
        </w:rPr>
      </w:pPr>
      <w:r w:rsidRPr="0007408E">
        <w:rPr>
          <w:rFonts w:cs="Times New Roman"/>
        </w:rPr>
        <w:t xml:space="preserve">Sun, J., Sarfraz, M., Khawaja, K.F., Ozturk, I. and Raza, M.A., </w:t>
      </w:r>
      <w:r w:rsidR="00F35C52">
        <w:rPr>
          <w:rFonts w:cs="Times New Roman"/>
        </w:rPr>
        <w:t>(2022)</w:t>
      </w:r>
      <w:r w:rsidRPr="0007408E">
        <w:rPr>
          <w:rFonts w:cs="Times New Roman"/>
        </w:rPr>
        <w:t xml:space="preserve">. The perils of the pandemic for the tourism and hospitality industries: envisaging the combined effect of COVID-19 fear and job insecurity on employees’ job performance in Pakistan. Psychology Research and </w:t>
      </w:r>
      <w:proofErr w:type="spellStart"/>
      <w:r w:rsidRPr="0007408E">
        <w:rPr>
          <w:rFonts w:cs="Times New Roman"/>
        </w:rPr>
        <w:t>Behavior</w:t>
      </w:r>
      <w:proofErr w:type="spellEnd"/>
      <w:r w:rsidRPr="0007408E">
        <w:rPr>
          <w:rFonts w:cs="Times New Roman"/>
        </w:rPr>
        <w:t xml:space="preserve"> Management, pp.1325-1346.</w:t>
      </w:r>
    </w:p>
    <w:p w14:paraId="4996A6FF" w14:textId="0F941E2C" w:rsidR="0007408E" w:rsidRPr="0007408E" w:rsidRDefault="0007408E" w:rsidP="00AF0C90">
      <w:pPr>
        <w:rPr>
          <w:rFonts w:cs="Times New Roman"/>
        </w:rPr>
      </w:pPr>
      <w:r w:rsidRPr="0007408E">
        <w:rPr>
          <w:rFonts w:cs="Times New Roman"/>
        </w:rPr>
        <w:t xml:space="preserve">Thomson, H.N. </w:t>
      </w:r>
      <w:r w:rsidR="00F35C52">
        <w:rPr>
          <w:rFonts w:cs="Times New Roman"/>
        </w:rPr>
        <w:t>(</w:t>
      </w:r>
      <w:r w:rsidRPr="0007408E">
        <w:rPr>
          <w:rFonts w:cs="Times New Roman"/>
        </w:rPr>
        <w:t>2010</w:t>
      </w:r>
      <w:r w:rsidR="00F35C52">
        <w:rPr>
          <w:rFonts w:cs="Times New Roman"/>
        </w:rPr>
        <w:t>)</w:t>
      </w:r>
      <w:r w:rsidRPr="0007408E">
        <w:rPr>
          <w:rFonts w:cs="Times New Roman"/>
        </w:rPr>
        <w:t>. Virtual Experiential Marketing at Marriott International, Inc: An Examination of Effects on Consumer Purchase Intentions (Doctoral dissertation, University of North Carolina Wilmington).</w:t>
      </w:r>
    </w:p>
    <w:p w14:paraId="33916645" w14:textId="0526F84E" w:rsidR="0007408E" w:rsidRPr="0007408E" w:rsidRDefault="0007408E" w:rsidP="00AF0C90">
      <w:pPr>
        <w:rPr>
          <w:rFonts w:cs="Times New Roman"/>
        </w:rPr>
      </w:pPr>
      <w:r w:rsidRPr="0007408E">
        <w:rPr>
          <w:rFonts w:cs="Times New Roman"/>
        </w:rPr>
        <w:t xml:space="preserve">Wei, L. </w:t>
      </w:r>
      <w:r w:rsidR="00F35C52">
        <w:rPr>
          <w:rFonts w:cs="Times New Roman"/>
        </w:rPr>
        <w:t>(</w:t>
      </w:r>
      <w:r w:rsidRPr="0007408E">
        <w:rPr>
          <w:rFonts w:cs="Times New Roman"/>
        </w:rPr>
        <w:t>2018</w:t>
      </w:r>
      <w:r w:rsidR="00F35C52">
        <w:rPr>
          <w:rFonts w:cs="Times New Roman"/>
        </w:rPr>
        <w:t>)</w:t>
      </w:r>
      <w:r w:rsidRPr="0007408E">
        <w:rPr>
          <w:rFonts w:cs="Times New Roman"/>
        </w:rPr>
        <w:t>. Marriott International, Inc: A Financial Analysis.</w:t>
      </w:r>
    </w:p>
    <w:p w14:paraId="6C0D328A" w14:textId="52B634F6" w:rsidR="0007408E" w:rsidRPr="0007408E" w:rsidRDefault="0007408E" w:rsidP="00AF0C90">
      <w:pPr>
        <w:rPr>
          <w:rFonts w:cs="Times New Roman"/>
        </w:rPr>
      </w:pPr>
      <w:proofErr w:type="spellStart"/>
      <w:r w:rsidRPr="0007408E">
        <w:rPr>
          <w:rFonts w:cs="Times New Roman"/>
        </w:rPr>
        <w:t>Wernick</w:t>
      </w:r>
      <w:proofErr w:type="spellEnd"/>
      <w:r w:rsidRPr="0007408E">
        <w:rPr>
          <w:rFonts w:cs="Times New Roman"/>
        </w:rPr>
        <w:t xml:space="preserve">, D.A. and Von Glinow, M.A. </w:t>
      </w:r>
      <w:r w:rsidR="00F35C52">
        <w:rPr>
          <w:rFonts w:cs="Times New Roman"/>
        </w:rPr>
        <w:t>(</w:t>
      </w:r>
      <w:r w:rsidRPr="0007408E">
        <w:rPr>
          <w:rFonts w:cs="Times New Roman"/>
        </w:rPr>
        <w:t>2012</w:t>
      </w:r>
      <w:r w:rsidR="00F35C52">
        <w:rPr>
          <w:rFonts w:cs="Times New Roman"/>
        </w:rPr>
        <w:t>)</w:t>
      </w:r>
      <w:r w:rsidRPr="0007408E">
        <w:rPr>
          <w:rFonts w:cs="Times New Roman"/>
        </w:rPr>
        <w:t>. Reflections on the evolving terrorist threat to luxury hotels: A case study on Marriott International. Thunderbird International Business Review, 54(5), pp.729-746.</w:t>
      </w:r>
    </w:p>
    <w:p w14:paraId="5158D14B" w14:textId="4D8A18BD" w:rsidR="0007408E" w:rsidRPr="0007408E" w:rsidRDefault="0007408E" w:rsidP="00AF0C90">
      <w:pPr>
        <w:rPr>
          <w:rFonts w:cs="Times New Roman"/>
        </w:rPr>
      </w:pPr>
      <w:r w:rsidRPr="0007408E">
        <w:rPr>
          <w:rFonts w:cs="Arial"/>
          <w:color w:val="222222"/>
          <w:shd w:val="clear" w:color="auto" w:fill="FFFFFF"/>
        </w:rPr>
        <w:t xml:space="preserve">West, C., Ricks, J., Strachan, C., </w:t>
      </w:r>
      <w:proofErr w:type="spellStart"/>
      <w:r w:rsidRPr="0007408E">
        <w:rPr>
          <w:rFonts w:cs="Arial"/>
          <w:color w:val="222222"/>
          <w:shd w:val="clear" w:color="auto" w:fill="FFFFFF"/>
        </w:rPr>
        <w:t>Iacono</w:t>
      </w:r>
      <w:proofErr w:type="spellEnd"/>
      <w:r w:rsidRPr="0007408E">
        <w:rPr>
          <w:rFonts w:cs="Arial"/>
          <w:color w:val="222222"/>
          <w:shd w:val="clear" w:color="auto" w:fill="FFFFFF"/>
        </w:rPr>
        <w:t xml:space="preserve">, J. and Shay, C., </w:t>
      </w:r>
      <w:r w:rsidR="00F35C52">
        <w:rPr>
          <w:rFonts w:cs="Arial"/>
          <w:color w:val="222222"/>
          <w:shd w:val="clear" w:color="auto" w:fill="FFFFFF"/>
        </w:rPr>
        <w:t>(2019)</w:t>
      </w:r>
      <w:r w:rsidRPr="0007408E">
        <w:rPr>
          <w:rFonts w:cs="Arial"/>
          <w:color w:val="222222"/>
          <w:shd w:val="clear" w:color="auto" w:fill="FFFFFF"/>
        </w:rPr>
        <w:t>. Factors that Influence Recruitment and Retention.</w:t>
      </w:r>
    </w:p>
    <w:p w14:paraId="32CFE9B4" w14:textId="77777777" w:rsidR="00AF0C90" w:rsidRPr="00AF0C90" w:rsidRDefault="00AF0C90" w:rsidP="00AF0C90">
      <w:pPr>
        <w:rPr>
          <w:rFonts w:cs="Times New Roman"/>
        </w:rPr>
      </w:pPr>
    </w:p>
    <w:sectPr w:rsidR="00AF0C90" w:rsidRPr="00AF0C90" w:rsidSect="00AB73E8">
      <w:footerReference w:type="default" r:id="rId17"/>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60639C" w14:textId="77777777" w:rsidR="00070891" w:rsidRDefault="00070891" w:rsidP="00A44089">
      <w:r>
        <w:separator/>
      </w:r>
    </w:p>
  </w:endnote>
  <w:endnote w:type="continuationSeparator" w:id="0">
    <w:p w14:paraId="1F7F4DB7" w14:textId="77777777" w:rsidR="00070891" w:rsidRDefault="00070891" w:rsidP="00A440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04965212"/>
      <w:docPartObj>
        <w:docPartGallery w:val="Page Numbers (Bottom of Page)"/>
        <w:docPartUnique/>
      </w:docPartObj>
    </w:sdtPr>
    <w:sdtEndPr/>
    <w:sdtContent>
      <w:p w14:paraId="1DA31E36" w14:textId="77777777" w:rsidR="00AB73E8" w:rsidRDefault="00AB73E8">
        <w:pPr>
          <w:pStyle w:val="Footer"/>
        </w:pPr>
        <w:r>
          <w:rPr>
            <w:noProof/>
          </w:rPr>
          <mc:AlternateContent>
            <mc:Choice Requires="wpg">
              <w:drawing>
                <wp:anchor distT="0" distB="0" distL="114300" distR="114300" simplePos="0" relativeHeight="251661312" behindDoc="0" locked="0" layoutInCell="1" allowOverlap="1" wp14:anchorId="60C110B4" wp14:editId="69AAAC38">
                  <wp:simplePos x="0" y="0"/>
                  <wp:positionH relativeFrom="page">
                    <wp:align>center</wp:align>
                  </wp:positionH>
                  <wp:positionV relativeFrom="bottomMargin">
                    <wp:align>center</wp:align>
                  </wp:positionV>
                  <wp:extent cx="7753350" cy="190500"/>
                  <wp:effectExtent l="9525" t="9525" r="9525" b="0"/>
                  <wp:wrapNone/>
                  <wp:docPr id="29" name="Group 2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53350" cy="190500"/>
                            <a:chOff x="0" y="14970"/>
                            <a:chExt cx="12255" cy="300"/>
                          </a:xfrm>
                        </wpg:grpSpPr>
                        <wps:wsp>
                          <wps:cNvPr id="30" name="Text Box 30"/>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4954325" w14:textId="77777777" w:rsidR="00AB73E8" w:rsidRDefault="00AB73E8">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wps:txbx>
                          <wps:bodyPr rot="0" vert="horz" wrap="square" lIns="0" tIns="0" rIns="0" bIns="0" anchor="t" anchorCtr="0" upright="1">
                            <a:noAutofit/>
                          </wps:bodyPr>
                        </wps:wsp>
                        <wpg:grpSp>
                          <wpg:cNvPr id="31" name="Group 31"/>
                          <wpg:cNvGrpSpPr>
                            <a:grpSpLocks/>
                          </wpg:cNvGrpSpPr>
                          <wpg:grpSpPr bwMode="auto">
                            <a:xfrm flipH="1">
                              <a:off x="0" y="14970"/>
                              <a:ext cx="12255" cy="230"/>
                              <a:chOff x="-8" y="14978"/>
                              <a:chExt cx="12255" cy="230"/>
                            </a:xfrm>
                          </wpg:grpSpPr>
                          <wps:wsp>
                            <wps:cNvPr id="32"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33"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xmlns:oel="http://schemas.microsoft.com/office/2019/extlst" xmlns:w16cex="http://schemas.microsoft.com/office/word/2018/wordml/cex" xmlns:w16="http://schemas.microsoft.com/office/word/2018/wordml" xmlns:w16du="http://schemas.microsoft.com/office/word/2023/wordml/word16du" xmlns:w16sdtdh="http://schemas.microsoft.com/office/word/2020/wordml/sdtdatahash">
              <w:pict>
                <v:group w14:anchorId="60C110B4" id="Group 29" o:spid="_x0000_s1026" style="position:absolute;left:0;text-align:left;margin-left:0;margin-top:0;width:610.5pt;height:15pt;z-index:251661312;mso-width-percent:1000;mso-position-horizontal:center;mso-position-horizontal-relative:page;mso-position-vertical:center;mso-position-vertical-relative:bottom-margin-area;mso-width-percent:1000" coordorigin=",14970"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">
                  <v:shapetype id="_x0000_t202" coordsize="21600,21600" o:spt="202" path="m,l,21600r21600,l21600,xe">
                    <v:stroke joinstyle="miter"/>
                    <v:path gradientshapeok="t" o:connecttype="rect"/>
                  </v:shapetype>
                  <v:shape id="Text Box 30" o:spid="_x0000_s1027" type="#_x0000_t202" style="position:absolute;left:10803;top:14982;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" filled="f" stroked="f">
                    <v:textbox inset="0,0,0,0">
                      <w:txbxContent>
                        <w:p w14:paraId="34954325" w14:textId="77777777" w:rsidR="00AB73E8" w:rsidRDefault="00AB73E8">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v:textbox>
                  </v:shape>
                  <v:group id="Group 31" o:spid="_x0000_s1028" style="position:absolute;top:14970;width:12255;height:230;flip:x" coordorigin="-8,14978" coordsize="12255,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29" type="#_x0000_t34" style="position:absolute;left:-8;top:14978;width:1260;height:23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" strokecolor="#a5a5a5"/>
                    <v:shape id="AutoShape 28" o:spid="_x0000_s1030" type="#_x0000_t34" style="position:absolute;left:1252;top:14978;width:10995;height:230;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" adj="20904" strokecolor="#a5a5a5"/>
                  </v:group>
                  <w10:wrap anchorx="page"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51BFF1" w14:textId="77777777" w:rsidR="00070891" w:rsidRDefault="00070891" w:rsidP="00A44089">
      <w:r>
        <w:separator/>
      </w:r>
    </w:p>
  </w:footnote>
  <w:footnote w:type="continuationSeparator" w:id="0">
    <w:p w14:paraId="1BFAFD6A" w14:textId="77777777" w:rsidR="00070891" w:rsidRDefault="00070891" w:rsidP="00A4408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169.2pt;height:169.2pt" o:bullet="t">
        <v:imagedata r:id="rId1" o:title="3"/>
      </v:shape>
    </w:pict>
  </w:numPicBullet>
  <w:abstractNum w:abstractNumId="0" w15:restartNumberingAfterBreak="0">
    <w:nsid w:val="01CF13DC"/>
    <w:multiLevelType w:val="hybridMultilevel"/>
    <w:tmpl w:val="6980E5FC"/>
    <w:lvl w:ilvl="0" w:tplc="F8383AD4">
      <w:start w:val="1"/>
      <w:numFmt w:val="bullet"/>
      <w:lvlText w:val=""/>
      <w:lvlPicBulletId w:val="0"/>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2C1E63"/>
    <w:multiLevelType w:val="hybridMultilevel"/>
    <w:tmpl w:val="0A46836E"/>
    <w:lvl w:ilvl="0" w:tplc="04090015">
      <w:start w:val="1"/>
      <w:numFmt w:val="upperLetter"/>
      <w:lvlText w:val="%1."/>
      <w:lvlJc w:val="left"/>
      <w:pPr>
        <w:ind w:left="360" w:hanging="360"/>
      </w:pPr>
      <w:rPr>
        <w:rFonts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0ABE39BF"/>
    <w:multiLevelType w:val="hybridMultilevel"/>
    <w:tmpl w:val="4B324E8A"/>
    <w:lvl w:ilvl="0" w:tplc="6E760212">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AEB14C0"/>
    <w:multiLevelType w:val="hybridMultilevel"/>
    <w:tmpl w:val="4B324E8A"/>
    <w:lvl w:ilvl="0" w:tplc="6E760212">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B8823DC"/>
    <w:multiLevelType w:val="hybridMultilevel"/>
    <w:tmpl w:val="E780D6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65643F"/>
    <w:multiLevelType w:val="hybridMultilevel"/>
    <w:tmpl w:val="1092302E"/>
    <w:lvl w:ilvl="0" w:tplc="04090019">
      <w:start w:val="1"/>
      <w:numFmt w:val="lowerLetter"/>
      <w:lvlText w:val="%1."/>
      <w:lvlJc w:val="left"/>
      <w:pPr>
        <w:ind w:left="720" w:hanging="360"/>
      </w:pPr>
      <w:rPr>
        <w:rFonts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88F6C22"/>
    <w:multiLevelType w:val="hybridMultilevel"/>
    <w:tmpl w:val="3D6CE1E0"/>
    <w:lvl w:ilvl="0" w:tplc="F8383AD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1C790460"/>
    <w:multiLevelType w:val="hybridMultilevel"/>
    <w:tmpl w:val="1CB46C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F3C7264"/>
    <w:multiLevelType w:val="hybridMultilevel"/>
    <w:tmpl w:val="79D2DA46"/>
    <w:lvl w:ilvl="0" w:tplc="04090015">
      <w:start w:val="1"/>
      <w:numFmt w:val="upp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15:restartNumberingAfterBreak="0">
    <w:nsid w:val="32C330F2"/>
    <w:multiLevelType w:val="hybridMultilevel"/>
    <w:tmpl w:val="D2769760"/>
    <w:lvl w:ilvl="0" w:tplc="E09E9C16">
      <w:start w:val="1"/>
      <w:numFmt w:val="decimal"/>
      <w:lvlText w:val="%1."/>
      <w:lvlJc w:val="left"/>
      <w:pPr>
        <w:ind w:left="360" w:hanging="360"/>
      </w:pPr>
      <w:rPr>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15:restartNumberingAfterBreak="0">
    <w:nsid w:val="3ACB3418"/>
    <w:multiLevelType w:val="hybridMultilevel"/>
    <w:tmpl w:val="73804E68"/>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F001A24"/>
    <w:multiLevelType w:val="hybridMultilevel"/>
    <w:tmpl w:val="FFECCEF8"/>
    <w:lvl w:ilvl="0" w:tplc="F8383AD4">
      <w:start w:val="1"/>
      <w:numFmt w:val="bullet"/>
      <w:lvlText w:val=""/>
      <w:lvlPicBulletId w:val="0"/>
      <w:lvlJc w:val="left"/>
      <w:pPr>
        <w:ind w:left="360" w:hanging="360"/>
      </w:pPr>
      <w:rPr>
        <w:rFonts w:ascii="Symbol" w:hAnsi="Symbol" w:hint="default"/>
        <w:color w:val="auto"/>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2" w15:restartNumberingAfterBreak="0">
    <w:nsid w:val="41C86240"/>
    <w:multiLevelType w:val="hybridMultilevel"/>
    <w:tmpl w:val="0234C976"/>
    <w:lvl w:ilvl="0" w:tplc="04090015">
      <w:start w:val="1"/>
      <w:numFmt w:val="upp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3" w15:restartNumberingAfterBreak="0">
    <w:nsid w:val="41E23F9F"/>
    <w:multiLevelType w:val="hybridMultilevel"/>
    <w:tmpl w:val="FD122C80"/>
    <w:lvl w:ilvl="0" w:tplc="F8383AD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46254D01"/>
    <w:multiLevelType w:val="hybridMultilevel"/>
    <w:tmpl w:val="B5868CE8"/>
    <w:lvl w:ilvl="0" w:tplc="F8383AD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15:restartNumberingAfterBreak="0">
    <w:nsid w:val="4D7F3A9B"/>
    <w:multiLevelType w:val="hybridMultilevel"/>
    <w:tmpl w:val="086C860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6" w15:restartNumberingAfterBreak="0">
    <w:nsid w:val="4E4A4019"/>
    <w:multiLevelType w:val="hybridMultilevel"/>
    <w:tmpl w:val="8D3A89B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66E76F4"/>
    <w:multiLevelType w:val="hybridMultilevel"/>
    <w:tmpl w:val="B6AA100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8" w15:restartNumberingAfterBreak="0">
    <w:nsid w:val="59FC5756"/>
    <w:multiLevelType w:val="hybridMultilevel"/>
    <w:tmpl w:val="7C5A077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9" w15:restartNumberingAfterBreak="0">
    <w:nsid w:val="5FBA1F0C"/>
    <w:multiLevelType w:val="hybridMultilevel"/>
    <w:tmpl w:val="97529656"/>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64600DEF"/>
    <w:multiLevelType w:val="hybridMultilevel"/>
    <w:tmpl w:val="99C24060"/>
    <w:lvl w:ilvl="0" w:tplc="F8383AD4">
      <w:start w:val="1"/>
      <w:numFmt w:val="bullet"/>
      <w:lvlText w:val=""/>
      <w:lvlPicBulletId w:val="0"/>
      <w:lvlJc w:val="left"/>
      <w:pPr>
        <w:ind w:left="360" w:hanging="360"/>
      </w:pPr>
      <w:rPr>
        <w:rFonts w:ascii="Symbol" w:hAnsi="Symbol" w:hint="default"/>
        <w:color w:val="auto"/>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6B282A48"/>
    <w:multiLevelType w:val="hybridMultilevel"/>
    <w:tmpl w:val="7054B70E"/>
    <w:lvl w:ilvl="0" w:tplc="F8383AD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2" w15:restartNumberingAfterBreak="0">
    <w:nsid w:val="6CFE20F8"/>
    <w:multiLevelType w:val="hybridMultilevel"/>
    <w:tmpl w:val="1B340BD6"/>
    <w:lvl w:ilvl="0" w:tplc="F8383AD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3" w15:restartNumberingAfterBreak="0">
    <w:nsid w:val="70647AAE"/>
    <w:multiLevelType w:val="hybridMultilevel"/>
    <w:tmpl w:val="4A68F71C"/>
    <w:lvl w:ilvl="0" w:tplc="F8383AD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15:restartNumberingAfterBreak="0">
    <w:nsid w:val="713C553F"/>
    <w:multiLevelType w:val="hybridMultilevel"/>
    <w:tmpl w:val="CE6CC38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5" w15:restartNumberingAfterBreak="0">
    <w:nsid w:val="76D234A5"/>
    <w:multiLevelType w:val="hybridMultilevel"/>
    <w:tmpl w:val="A8C4DE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7B7C0AD4"/>
    <w:multiLevelType w:val="hybridMultilevel"/>
    <w:tmpl w:val="4B324E8A"/>
    <w:lvl w:ilvl="0" w:tplc="6E760212">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7CBB5FD9"/>
    <w:multiLevelType w:val="hybridMultilevel"/>
    <w:tmpl w:val="4B324E8A"/>
    <w:lvl w:ilvl="0" w:tplc="6E760212">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26"/>
  </w:num>
  <w:num w:numId="3">
    <w:abstractNumId w:val="2"/>
  </w:num>
  <w:num w:numId="4">
    <w:abstractNumId w:val="27"/>
  </w:num>
  <w:num w:numId="5">
    <w:abstractNumId w:val="9"/>
  </w:num>
  <w:num w:numId="6">
    <w:abstractNumId w:val="14"/>
  </w:num>
  <w:num w:numId="7">
    <w:abstractNumId w:val="13"/>
  </w:num>
  <w:num w:numId="8">
    <w:abstractNumId w:val="0"/>
  </w:num>
  <w:num w:numId="9">
    <w:abstractNumId w:val="24"/>
  </w:num>
  <w:num w:numId="10">
    <w:abstractNumId w:val="16"/>
  </w:num>
  <w:num w:numId="11">
    <w:abstractNumId w:val="19"/>
  </w:num>
  <w:num w:numId="12">
    <w:abstractNumId w:val="10"/>
  </w:num>
  <w:num w:numId="13">
    <w:abstractNumId w:val="18"/>
  </w:num>
  <w:num w:numId="14">
    <w:abstractNumId w:val="15"/>
  </w:num>
  <w:num w:numId="15">
    <w:abstractNumId w:val="5"/>
  </w:num>
  <w:num w:numId="16">
    <w:abstractNumId w:val="1"/>
  </w:num>
  <w:num w:numId="17">
    <w:abstractNumId w:val="12"/>
  </w:num>
  <w:num w:numId="18">
    <w:abstractNumId w:val="8"/>
  </w:num>
  <w:num w:numId="19">
    <w:abstractNumId w:val="21"/>
  </w:num>
  <w:num w:numId="20">
    <w:abstractNumId w:val="22"/>
  </w:num>
  <w:num w:numId="21">
    <w:abstractNumId w:val="23"/>
  </w:num>
  <w:num w:numId="22">
    <w:abstractNumId w:val="6"/>
  </w:num>
  <w:num w:numId="23">
    <w:abstractNumId w:val="20"/>
  </w:num>
  <w:num w:numId="24">
    <w:abstractNumId w:val="11"/>
  </w:num>
  <w:num w:numId="25">
    <w:abstractNumId w:val="17"/>
  </w:num>
  <w:num w:numId="26">
    <w:abstractNumId w:val="4"/>
  </w:num>
  <w:num w:numId="27">
    <w:abstractNumId w:val="25"/>
  </w:num>
  <w:num w:numId="2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2C0B"/>
    <w:rsid w:val="000226C5"/>
    <w:rsid w:val="000265F9"/>
    <w:rsid w:val="00030061"/>
    <w:rsid w:val="00055798"/>
    <w:rsid w:val="00070891"/>
    <w:rsid w:val="00073E45"/>
    <w:rsid w:val="0007408E"/>
    <w:rsid w:val="000D6484"/>
    <w:rsid w:val="000D6B41"/>
    <w:rsid w:val="000E7372"/>
    <w:rsid w:val="001133CF"/>
    <w:rsid w:val="00117ECE"/>
    <w:rsid w:val="00151D81"/>
    <w:rsid w:val="0015213D"/>
    <w:rsid w:val="00192397"/>
    <w:rsid w:val="001C0C62"/>
    <w:rsid w:val="001D6DF5"/>
    <w:rsid w:val="00241AD3"/>
    <w:rsid w:val="002426EE"/>
    <w:rsid w:val="002542E4"/>
    <w:rsid w:val="002667A1"/>
    <w:rsid w:val="00276CB7"/>
    <w:rsid w:val="00281F74"/>
    <w:rsid w:val="002B18BC"/>
    <w:rsid w:val="002B66C8"/>
    <w:rsid w:val="002F73FA"/>
    <w:rsid w:val="00300FCC"/>
    <w:rsid w:val="00306A77"/>
    <w:rsid w:val="00314D70"/>
    <w:rsid w:val="0032007C"/>
    <w:rsid w:val="003428B7"/>
    <w:rsid w:val="003725E0"/>
    <w:rsid w:val="003971BA"/>
    <w:rsid w:val="003A1D2E"/>
    <w:rsid w:val="003A1F71"/>
    <w:rsid w:val="003B2C0B"/>
    <w:rsid w:val="003D58D4"/>
    <w:rsid w:val="003F37CA"/>
    <w:rsid w:val="003F3D7B"/>
    <w:rsid w:val="00435CC8"/>
    <w:rsid w:val="0045216B"/>
    <w:rsid w:val="00477A16"/>
    <w:rsid w:val="00494E38"/>
    <w:rsid w:val="004E0C92"/>
    <w:rsid w:val="0050056B"/>
    <w:rsid w:val="0050478E"/>
    <w:rsid w:val="0050759F"/>
    <w:rsid w:val="005176BA"/>
    <w:rsid w:val="00527F7F"/>
    <w:rsid w:val="005305E3"/>
    <w:rsid w:val="00543801"/>
    <w:rsid w:val="00560E47"/>
    <w:rsid w:val="00561413"/>
    <w:rsid w:val="005619C0"/>
    <w:rsid w:val="00563DDA"/>
    <w:rsid w:val="005733DA"/>
    <w:rsid w:val="005B4718"/>
    <w:rsid w:val="005B4CAA"/>
    <w:rsid w:val="005C3616"/>
    <w:rsid w:val="005E45BD"/>
    <w:rsid w:val="005F191C"/>
    <w:rsid w:val="00616CCF"/>
    <w:rsid w:val="00623054"/>
    <w:rsid w:val="006645FE"/>
    <w:rsid w:val="006647CF"/>
    <w:rsid w:val="006828C9"/>
    <w:rsid w:val="006A0E90"/>
    <w:rsid w:val="006A6E23"/>
    <w:rsid w:val="006D242F"/>
    <w:rsid w:val="00703375"/>
    <w:rsid w:val="007151BC"/>
    <w:rsid w:val="00724811"/>
    <w:rsid w:val="0073298C"/>
    <w:rsid w:val="00732E6E"/>
    <w:rsid w:val="0073416E"/>
    <w:rsid w:val="007404C1"/>
    <w:rsid w:val="00744F30"/>
    <w:rsid w:val="00752231"/>
    <w:rsid w:val="007535D8"/>
    <w:rsid w:val="0076299D"/>
    <w:rsid w:val="00763763"/>
    <w:rsid w:val="007845BA"/>
    <w:rsid w:val="007D34F0"/>
    <w:rsid w:val="008212D3"/>
    <w:rsid w:val="00835EFE"/>
    <w:rsid w:val="008613EF"/>
    <w:rsid w:val="00873207"/>
    <w:rsid w:val="008B0CD0"/>
    <w:rsid w:val="008C3B45"/>
    <w:rsid w:val="008C7A0C"/>
    <w:rsid w:val="008D7AA7"/>
    <w:rsid w:val="008D7FB4"/>
    <w:rsid w:val="00912C13"/>
    <w:rsid w:val="00935591"/>
    <w:rsid w:val="0095249D"/>
    <w:rsid w:val="0095390A"/>
    <w:rsid w:val="00995809"/>
    <w:rsid w:val="009A6018"/>
    <w:rsid w:val="009C0683"/>
    <w:rsid w:val="009D655A"/>
    <w:rsid w:val="009D67E8"/>
    <w:rsid w:val="009E2932"/>
    <w:rsid w:val="009E53D6"/>
    <w:rsid w:val="00A038A9"/>
    <w:rsid w:val="00A144B6"/>
    <w:rsid w:val="00A30F7C"/>
    <w:rsid w:val="00A32736"/>
    <w:rsid w:val="00A33163"/>
    <w:rsid w:val="00A44089"/>
    <w:rsid w:val="00A731C6"/>
    <w:rsid w:val="00AB0472"/>
    <w:rsid w:val="00AB73E8"/>
    <w:rsid w:val="00AB7721"/>
    <w:rsid w:val="00AD1021"/>
    <w:rsid w:val="00AE490B"/>
    <w:rsid w:val="00AF0C90"/>
    <w:rsid w:val="00B10134"/>
    <w:rsid w:val="00B47323"/>
    <w:rsid w:val="00B47B1B"/>
    <w:rsid w:val="00B62FB5"/>
    <w:rsid w:val="00B76F92"/>
    <w:rsid w:val="00B90176"/>
    <w:rsid w:val="00B93588"/>
    <w:rsid w:val="00BB3876"/>
    <w:rsid w:val="00BB39CF"/>
    <w:rsid w:val="00BB72E3"/>
    <w:rsid w:val="00BD0324"/>
    <w:rsid w:val="00C005F3"/>
    <w:rsid w:val="00C128FA"/>
    <w:rsid w:val="00C1744B"/>
    <w:rsid w:val="00C24C05"/>
    <w:rsid w:val="00C264D5"/>
    <w:rsid w:val="00C46B75"/>
    <w:rsid w:val="00C52707"/>
    <w:rsid w:val="00C60B72"/>
    <w:rsid w:val="00C73E21"/>
    <w:rsid w:val="00CA0EF0"/>
    <w:rsid w:val="00CB1228"/>
    <w:rsid w:val="00CD4AE6"/>
    <w:rsid w:val="00CE503B"/>
    <w:rsid w:val="00D07020"/>
    <w:rsid w:val="00D13766"/>
    <w:rsid w:val="00D15918"/>
    <w:rsid w:val="00D240A8"/>
    <w:rsid w:val="00D33BC5"/>
    <w:rsid w:val="00D4657C"/>
    <w:rsid w:val="00DA1961"/>
    <w:rsid w:val="00DA56A5"/>
    <w:rsid w:val="00DB3521"/>
    <w:rsid w:val="00DD0C9F"/>
    <w:rsid w:val="00E04FE7"/>
    <w:rsid w:val="00E10FE2"/>
    <w:rsid w:val="00E313F4"/>
    <w:rsid w:val="00E316EA"/>
    <w:rsid w:val="00E358C2"/>
    <w:rsid w:val="00E55AAF"/>
    <w:rsid w:val="00E67241"/>
    <w:rsid w:val="00E71166"/>
    <w:rsid w:val="00E877B4"/>
    <w:rsid w:val="00EB6C61"/>
    <w:rsid w:val="00F05BCC"/>
    <w:rsid w:val="00F33A51"/>
    <w:rsid w:val="00F350F3"/>
    <w:rsid w:val="00F35C52"/>
    <w:rsid w:val="00F441DD"/>
    <w:rsid w:val="00F54008"/>
    <w:rsid w:val="00FB265F"/>
    <w:rsid w:val="00FC1787"/>
    <w:rsid w:val="00FE459F"/>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C23EC45"/>
  <w15:chartTrackingRefBased/>
  <w15:docId w15:val="{4D561D07-CF04-40E7-951C-B2CBD0B624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7"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4"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5305E3"/>
    <w:pPr>
      <w:spacing w:after="0" w:line="360" w:lineRule="auto"/>
      <w:jc w:val="both"/>
    </w:pPr>
    <w:rPr>
      <w:rFonts w:ascii="Arial" w:hAnsi="Arial"/>
      <w:sz w:val="24"/>
      <w:szCs w:val="24"/>
      <w:lang w:val="en-GB"/>
    </w:rPr>
  </w:style>
  <w:style w:type="paragraph" w:styleId="Heading1">
    <w:name w:val="heading 1"/>
    <w:basedOn w:val="Normal"/>
    <w:next w:val="Normal"/>
    <w:link w:val="Heading1Char"/>
    <w:uiPriority w:val="9"/>
    <w:qFormat/>
    <w:rsid w:val="008B0CD0"/>
    <w:pPr>
      <w:keepNext/>
      <w:keepLines/>
      <w:spacing w:before="240"/>
      <w:outlineLvl w:val="0"/>
    </w:pPr>
    <w:rPr>
      <w:rFonts w:eastAsiaTheme="majorEastAsia" w:cstheme="majorBidi"/>
      <w:b/>
      <w:color w:val="1F4E79" w:themeColor="accent5" w:themeShade="80"/>
      <w:sz w:val="32"/>
      <w:szCs w:val="32"/>
    </w:rPr>
  </w:style>
  <w:style w:type="paragraph" w:styleId="Heading2">
    <w:name w:val="heading 2"/>
    <w:basedOn w:val="Normal"/>
    <w:next w:val="Normal"/>
    <w:link w:val="Heading2Char"/>
    <w:uiPriority w:val="9"/>
    <w:unhideWhenUsed/>
    <w:qFormat/>
    <w:rsid w:val="00EB6C61"/>
    <w:pPr>
      <w:keepNext/>
      <w:keepLines/>
      <w:spacing w:before="40"/>
      <w:outlineLvl w:val="1"/>
    </w:pPr>
    <w:rPr>
      <w:rFonts w:eastAsiaTheme="majorEastAsia" w:cstheme="majorBidi"/>
      <w:b/>
      <w:color w:val="BF8F00" w:themeColor="accent4" w:themeShade="BF"/>
      <w:sz w:val="28"/>
      <w:szCs w:val="26"/>
    </w:rPr>
  </w:style>
  <w:style w:type="paragraph" w:styleId="Heading3">
    <w:name w:val="heading 3"/>
    <w:basedOn w:val="Normal"/>
    <w:next w:val="Normal"/>
    <w:link w:val="Heading3Char"/>
    <w:uiPriority w:val="9"/>
    <w:unhideWhenUsed/>
    <w:qFormat/>
    <w:rsid w:val="001133CF"/>
    <w:pPr>
      <w:keepNext/>
      <w:keepLines/>
      <w:spacing w:before="40"/>
      <w:outlineLvl w:val="2"/>
    </w:pPr>
    <w:rPr>
      <w:rFonts w:eastAsiaTheme="majorEastAsia" w:cstheme="majorBidi"/>
      <w:b/>
    </w:rPr>
  </w:style>
  <w:style w:type="paragraph" w:styleId="Heading5">
    <w:name w:val="heading 5"/>
    <w:basedOn w:val="Normal"/>
    <w:next w:val="Normal"/>
    <w:link w:val="Heading5Char"/>
    <w:uiPriority w:val="4"/>
    <w:qFormat/>
    <w:rsid w:val="003B2C0B"/>
    <w:pPr>
      <w:keepNext/>
      <w:keepLines/>
      <w:spacing w:after="240"/>
      <w:outlineLvl w:val="4"/>
    </w:pPr>
    <w:rPr>
      <w:rFonts w:asciiTheme="majorHAnsi" w:eastAsiaTheme="majorEastAsia" w:hAnsiTheme="majorHAnsi" w:cstheme="majorBidi"/>
      <w:b/>
      <w:color w:val="4472C4" w:themeColor="accent1"/>
      <w:sz w:val="72"/>
    </w:rPr>
  </w:style>
  <w:style w:type="paragraph" w:styleId="Heading6">
    <w:name w:val="heading 6"/>
    <w:basedOn w:val="Normal"/>
    <w:next w:val="Normal"/>
    <w:link w:val="Heading6Char"/>
    <w:uiPriority w:val="9"/>
    <w:semiHidden/>
    <w:unhideWhenUsed/>
    <w:qFormat/>
    <w:rsid w:val="006A6E23"/>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uiPriority w:val="4"/>
    <w:rsid w:val="003B2C0B"/>
    <w:rPr>
      <w:rFonts w:asciiTheme="majorHAnsi" w:eastAsiaTheme="majorEastAsia" w:hAnsiTheme="majorHAnsi" w:cstheme="majorBidi"/>
      <w:b/>
      <w:color w:val="4472C4" w:themeColor="accent1"/>
      <w:sz w:val="72"/>
      <w:szCs w:val="24"/>
    </w:rPr>
  </w:style>
  <w:style w:type="table" w:styleId="TableGrid">
    <w:name w:val="Table Grid"/>
    <w:basedOn w:val="TableNormal"/>
    <w:uiPriority w:val="39"/>
    <w:rsid w:val="003B2C0B"/>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GraphicAnchor">
    <w:name w:val="Graphic Anchor"/>
    <w:basedOn w:val="Normal"/>
    <w:uiPriority w:val="8"/>
    <w:qFormat/>
    <w:rsid w:val="003B2C0B"/>
    <w:rPr>
      <w:noProof/>
      <w:sz w:val="10"/>
    </w:rPr>
  </w:style>
  <w:style w:type="paragraph" w:styleId="ListParagraph">
    <w:name w:val="List Paragraph"/>
    <w:basedOn w:val="Normal"/>
    <w:uiPriority w:val="34"/>
    <w:qFormat/>
    <w:rsid w:val="003B2C0B"/>
    <w:pPr>
      <w:ind w:left="720"/>
      <w:contextualSpacing/>
    </w:pPr>
  </w:style>
  <w:style w:type="table" w:styleId="GridTable4-Accent3">
    <w:name w:val="Grid Table 4 Accent 3"/>
    <w:basedOn w:val="TableNormal"/>
    <w:uiPriority w:val="49"/>
    <w:rsid w:val="0050056B"/>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
    <w:name w:val="Grid Table 4"/>
    <w:basedOn w:val="TableNormal"/>
    <w:uiPriority w:val="49"/>
    <w:rsid w:val="0050056B"/>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Accent3">
    <w:name w:val="Grid Table 5 Dark Accent 3"/>
    <w:basedOn w:val="TableNormal"/>
    <w:uiPriority w:val="50"/>
    <w:rsid w:val="0050056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paragraph" w:styleId="Header">
    <w:name w:val="header"/>
    <w:basedOn w:val="Normal"/>
    <w:link w:val="HeaderChar"/>
    <w:uiPriority w:val="99"/>
    <w:unhideWhenUsed/>
    <w:rsid w:val="00A44089"/>
    <w:pPr>
      <w:tabs>
        <w:tab w:val="center" w:pos="4680"/>
        <w:tab w:val="right" w:pos="9360"/>
      </w:tabs>
    </w:pPr>
  </w:style>
  <w:style w:type="character" w:customStyle="1" w:styleId="HeaderChar">
    <w:name w:val="Header Char"/>
    <w:basedOn w:val="DefaultParagraphFont"/>
    <w:link w:val="Header"/>
    <w:uiPriority w:val="99"/>
    <w:rsid w:val="00A44089"/>
    <w:rPr>
      <w:sz w:val="28"/>
      <w:szCs w:val="24"/>
    </w:rPr>
  </w:style>
  <w:style w:type="paragraph" w:styleId="Footer">
    <w:name w:val="footer"/>
    <w:basedOn w:val="Normal"/>
    <w:link w:val="FooterChar"/>
    <w:uiPriority w:val="99"/>
    <w:unhideWhenUsed/>
    <w:rsid w:val="00A44089"/>
    <w:pPr>
      <w:tabs>
        <w:tab w:val="center" w:pos="4680"/>
        <w:tab w:val="right" w:pos="9360"/>
      </w:tabs>
    </w:pPr>
  </w:style>
  <w:style w:type="character" w:customStyle="1" w:styleId="FooterChar">
    <w:name w:val="Footer Char"/>
    <w:basedOn w:val="DefaultParagraphFont"/>
    <w:link w:val="Footer"/>
    <w:uiPriority w:val="99"/>
    <w:rsid w:val="00A44089"/>
    <w:rPr>
      <w:sz w:val="28"/>
      <w:szCs w:val="24"/>
    </w:rPr>
  </w:style>
  <w:style w:type="character" w:styleId="Hyperlink">
    <w:name w:val="Hyperlink"/>
    <w:basedOn w:val="DefaultParagraphFont"/>
    <w:uiPriority w:val="99"/>
    <w:unhideWhenUsed/>
    <w:rsid w:val="00030061"/>
    <w:rPr>
      <w:color w:val="0000FF"/>
      <w:u w:val="single"/>
    </w:rPr>
  </w:style>
  <w:style w:type="paragraph" w:styleId="TOC1">
    <w:name w:val="toc 1"/>
    <w:basedOn w:val="Normal"/>
    <w:next w:val="Normal"/>
    <w:autoRedefine/>
    <w:uiPriority w:val="39"/>
    <w:unhideWhenUsed/>
    <w:rsid w:val="00030061"/>
    <w:pPr>
      <w:spacing w:after="100" w:line="276" w:lineRule="auto"/>
    </w:pPr>
    <w:rPr>
      <w:sz w:val="22"/>
      <w:szCs w:val="22"/>
    </w:rPr>
  </w:style>
  <w:style w:type="paragraph" w:styleId="TOC2">
    <w:name w:val="toc 2"/>
    <w:basedOn w:val="Normal"/>
    <w:next w:val="Normal"/>
    <w:autoRedefine/>
    <w:uiPriority w:val="39"/>
    <w:unhideWhenUsed/>
    <w:rsid w:val="00030061"/>
    <w:pPr>
      <w:spacing w:after="100" w:line="276" w:lineRule="auto"/>
      <w:ind w:left="220"/>
    </w:pPr>
    <w:rPr>
      <w:sz w:val="22"/>
      <w:szCs w:val="22"/>
    </w:rPr>
  </w:style>
  <w:style w:type="character" w:customStyle="1" w:styleId="Heading1Char">
    <w:name w:val="Heading 1 Char"/>
    <w:basedOn w:val="DefaultParagraphFont"/>
    <w:link w:val="Heading1"/>
    <w:uiPriority w:val="9"/>
    <w:rsid w:val="008B0CD0"/>
    <w:rPr>
      <w:rFonts w:ascii="Times New Roman" w:eastAsiaTheme="majorEastAsia" w:hAnsi="Times New Roman" w:cstheme="majorBidi"/>
      <w:b/>
      <w:color w:val="1F4E79" w:themeColor="accent5" w:themeShade="80"/>
      <w:sz w:val="32"/>
      <w:szCs w:val="32"/>
    </w:rPr>
  </w:style>
  <w:style w:type="paragraph" w:styleId="TOCHeading">
    <w:name w:val="TOC Heading"/>
    <w:basedOn w:val="Heading1"/>
    <w:next w:val="Normal"/>
    <w:uiPriority w:val="39"/>
    <w:unhideWhenUsed/>
    <w:qFormat/>
    <w:rsid w:val="00030061"/>
    <w:pPr>
      <w:spacing w:before="480" w:line="276" w:lineRule="auto"/>
      <w:outlineLvl w:val="9"/>
    </w:pPr>
    <w:rPr>
      <w:b w:val="0"/>
      <w:bCs/>
      <w:sz w:val="28"/>
      <w:szCs w:val="28"/>
      <w:lang w:eastAsia="ja-JP"/>
    </w:rPr>
  </w:style>
  <w:style w:type="character" w:customStyle="1" w:styleId="Heading2Char">
    <w:name w:val="Heading 2 Char"/>
    <w:basedOn w:val="DefaultParagraphFont"/>
    <w:link w:val="Heading2"/>
    <w:uiPriority w:val="9"/>
    <w:rsid w:val="00EB6C61"/>
    <w:rPr>
      <w:rFonts w:ascii="Times New Roman" w:eastAsiaTheme="majorEastAsia" w:hAnsi="Times New Roman" w:cstheme="majorBidi"/>
      <w:b/>
      <w:color w:val="BF8F00" w:themeColor="accent4" w:themeShade="BF"/>
      <w:sz w:val="28"/>
      <w:szCs w:val="26"/>
    </w:rPr>
  </w:style>
  <w:style w:type="character" w:customStyle="1" w:styleId="Heading3Char">
    <w:name w:val="Heading 3 Char"/>
    <w:basedOn w:val="DefaultParagraphFont"/>
    <w:link w:val="Heading3"/>
    <w:uiPriority w:val="9"/>
    <w:rsid w:val="001133CF"/>
    <w:rPr>
      <w:rFonts w:ascii="Times New Roman" w:eastAsiaTheme="majorEastAsia" w:hAnsi="Times New Roman" w:cstheme="majorBidi"/>
      <w:b/>
      <w:sz w:val="24"/>
      <w:szCs w:val="24"/>
    </w:rPr>
  </w:style>
  <w:style w:type="character" w:customStyle="1" w:styleId="Heading6Char">
    <w:name w:val="Heading 6 Char"/>
    <w:basedOn w:val="DefaultParagraphFont"/>
    <w:link w:val="Heading6"/>
    <w:uiPriority w:val="9"/>
    <w:semiHidden/>
    <w:rsid w:val="006A6E23"/>
    <w:rPr>
      <w:rFonts w:asciiTheme="majorHAnsi" w:eastAsiaTheme="majorEastAsia" w:hAnsiTheme="majorHAnsi" w:cstheme="majorBidi"/>
      <w:color w:val="1F3763" w:themeColor="accent1" w:themeShade="7F"/>
      <w:sz w:val="28"/>
      <w:szCs w:val="24"/>
    </w:rPr>
  </w:style>
  <w:style w:type="table" w:styleId="GridTable1Light-Accent2">
    <w:name w:val="Grid Table 1 Light Accent 2"/>
    <w:basedOn w:val="TableNormal"/>
    <w:uiPriority w:val="46"/>
    <w:rsid w:val="00BB3876"/>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6Colorful-Accent5">
    <w:name w:val="Grid Table 6 Colorful Accent 5"/>
    <w:basedOn w:val="TableNormal"/>
    <w:uiPriority w:val="51"/>
    <w:rsid w:val="00BB3876"/>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6Colorful-Accent1">
    <w:name w:val="Grid Table 6 Colorful Accent 1"/>
    <w:basedOn w:val="TableNormal"/>
    <w:uiPriority w:val="51"/>
    <w:rsid w:val="00BB3876"/>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539910">
      <w:bodyDiv w:val="1"/>
      <w:marLeft w:val="0"/>
      <w:marRight w:val="0"/>
      <w:marTop w:val="0"/>
      <w:marBottom w:val="0"/>
      <w:divBdr>
        <w:top w:val="none" w:sz="0" w:space="0" w:color="auto"/>
        <w:left w:val="none" w:sz="0" w:space="0" w:color="auto"/>
        <w:bottom w:val="none" w:sz="0" w:space="0" w:color="auto"/>
        <w:right w:val="none" w:sz="0" w:space="0" w:color="auto"/>
      </w:divBdr>
    </w:div>
    <w:div w:id="267392900">
      <w:bodyDiv w:val="1"/>
      <w:marLeft w:val="0"/>
      <w:marRight w:val="0"/>
      <w:marTop w:val="0"/>
      <w:marBottom w:val="0"/>
      <w:divBdr>
        <w:top w:val="none" w:sz="0" w:space="0" w:color="auto"/>
        <w:left w:val="none" w:sz="0" w:space="0" w:color="auto"/>
        <w:bottom w:val="none" w:sz="0" w:space="0" w:color="auto"/>
        <w:right w:val="none" w:sz="0" w:space="0" w:color="auto"/>
      </w:divBdr>
    </w:div>
    <w:div w:id="358118081">
      <w:bodyDiv w:val="1"/>
      <w:marLeft w:val="0"/>
      <w:marRight w:val="0"/>
      <w:marTop w:val="0"/>
      <w:marBottom w:val="0"/>
      <w:divBdr>
        <w:top w:val="none" w:sz="0" w:space="0" w:color="auto"/>
        <w:left w:val="none" w:sz="0" w:space="0" w:color="auto"/>
        <w:bottom w:val="none" w:sz="0" w:space="0" w:color="auto"/>
        <w:right w:val="none" w:sz="0" w:space="0" w:color="auto"/>
      </w:divBdr>
    </w:div>
    <w:div w:id="377248077">
      <w:bodyDiv w:val="1"/>
      <w:marLeft w:val="0"/>
      <w:marRight w:val="0"/>
      <w:marTop w:val="0"/>
      <w:marBottom w:val="0"/>
      <w:divBdr>
        <w:top w:val="none" w:sz="0" w:space="0" w:color="auto"/>
        <w:left w:val="none" w:sz="0" w:space="0" w:color="auto"/>
        <w:bottom w:val="none" w:sz="0" w:space="0" w:color="auto"/>
        <w:right w:val="none" w:sz="0" w:space="0" w:color="auto"/>
      </w:divBdr>
    </w:div>
    <w:div w:id="701825903">
      <w:bodyDiv w:val="1"/>
      <w:marLeft w:val="0"/>
      <w:marRight w:val="0"/>
      <w:marTop w:val="0"/>
      <w:marBottom w:val="0"/>
      <w:divBdr>
        <w:top w:val="none" w:sz="0" w:space="0" w:color="auto"/>
        <w:left w:val="none" w:sz="0" w:space="0" w:color="auto"/>
        <w:bottom w:val="none" w:sz="0" w:space="0" w:color="auto"/>
        <w:right w:val="none" w:sz="0" w:space="0" w:color="auto"/>
      </w:divBdr>
    </w:div>
    <w:div w:id="743651235">
      <w:bodyDiv w:val="1"/>
      <w:marLeft w:val="0"/>
      <w:marRight w:val="0"/>
      <w:marTop w:val="0"/>
      <w:marBottom w:val="0"/>
      <w:divBdr>
        <w:top w:val="none" w:sz="0" w:space="0" w:color="auto"/>
        <w:left w:val="none" w:sz="0" w:space="0" w:color="auto"/>
        <w:bottom w:val="none" w:sz="0" w:space="0" w:color="auto"/>
        <w:right w:val="none" w:sz="0" w:space="0" w:color="auto"/>
      </w:divBdr>
    </w:div>
    <w:div w:id="814488291">
      <w:bodyDiv w:val="1"/>
      <w:marLeft w:val="0"/>
      <w:marRight w:val="0"/>
      <w:marTop w:val="0"/>
      <w:marBottom w:val="0"/>
      <w:divBdr>
        <w:top w:val="none" w:sz="0" w:space="0" w:color="auto"/>
        <w:left w:val="none" w:sz="0" w:space="0" w:color="auto"/>
        <w:bottom w:val="none" w:sz="0" w:space="0" w:color="auto"/>
        <w:right w:val="none" w:sz="0" w:space="0" w:color="auto"/>
      </w:divBdr>
    </w:div>
    <w:div w:id="1022900375">
      <w:bodyDiv w:val="1"/>
      <w:marLeft w:val="0"/>
      <w:marRight w:val="0"/>
      <w:marTop w:val="0"/>
      <w:marBottom w:val="0"/>
      <w:divBdr>
        <w:top w:val="none" w:sz="0" w:space="0" w:color="auto"/>
        <w:left w:val="none" w:sz="0" w:space="0" w:color="auto"/>
        <w:bottom w:val="none" w:sz="0" w:space="0" w:color="auto"/>
        <w:right w:val="none" w:sz="0" w:space="0" w:color="auto"/>
      </w:divBdr>
    </w:div>
    <w:div w:id="1110970672">
      <w:bodyDiv w:val="1"/>
      <w:marLeft w:val="0"/>
      <w:marRight w:val="0"/>
      <w:marTop w:val="0"/>
      <w:marBottom w:val="0"/>
      <w:divBdr>
        <w:top w:val="none" w:sz="0" w:space="0" w:color="auto"/>
        <w:left w:val="none" w:sz="0" w:space="0" w:color="auto"/>
        <w:bottom w:val="none" w:sz="0" w:space="0" w:color="auto"/>
        <w:right w:val="none" w:sz="0" w:space="0" w:color="auto"/>
      </w:divBdr>
    </w:div>
    <w:div w:id="1242371327">
      <w:bodyDiv w:val="1"/>
      <w:marLeft w:val="0"/>
      <w:marRight w:val="0"/>
      <w:marTop w:val="0"/>
      <w:marBottom w:val="0"/>
      <w:divBdr>
        <w:top w:val="none" w:sz="0" w:space="0" w:color="auto"/>
        <w:left w:val="none" w:sz="0" w:space="0" w:color="auto"/>
        <w:bottom w:val="none" w:sz="0" w:space="0" w:color="auto"/>
        <w:right w:val="none" w:sz="0" w:space="0" w:color="auto"/>
      </w:divBdr>
    </w:div>
    <w:div w:id="1272981095">
      <w:bodyDiv w:val="1"/>
      <w:marLeft w:val="0"/>
      <w:marRight w:val="0"/>
      <w:marTop w:val="0"/>
      <w:marBottom w:val="0"/>
      <w:divBdr>
        <w:top w:val="none" w:sz="0" w:space="0" w:color="auto"/>
        <w:left w:val="none" w:sz="0" w:space="0" w:color="auto"/>
        <w:bottom w:val="none" w:sz="0" w:space="0" w:color="auto"/>
        <w:right w:val="none" w:sz="0" w:space="0" w:color="auto"/>
      </w:divBdr>
    </w:div>
    <w:div w:id="1409765671">
      <w:bodyDiv w:val="1"/>
      <w:marLeft w:val="0"/>
      <w:marRight w:val="0"/>
      <w:marTop w:val="0"/>
      <w:marBottom w:val="0"/>
      <w:divBdr>
        <w:top w:val="none" w:sz="0" w:space="0" w:color="auto"/>
        <w:left w:val="none" w:sz="0" w:space="0" w:color="auto"/>
        <w:bottom w:val="none" w:sz="0" w:space="0" w:color="auto"/>
        <w:right w:val="none" w:sz="0" w:space="0" w:color="auto"/>
      </w:divBdr>
    </w:div>
    <w:div w:id="1536500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diagramLayout" Target="diagrams/layout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footer" Target="footer1.xml"/><Relationship Id="rId2" Type="http://schemas.openxmlformats.org/officeDocument/2006/relationships/numbering" Target="numbering.xml"/><Relationship Id="rId16" Type="http://schemas.microsoft.com/office/2007/relationships/diagramDrawing" Target="diagrams/drawing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diagramColors" Target="diagrams/colors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diagramQuickStyle" Target="diagrams/quickStyle1.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accent2_4">
  <dgm:title val=""/>
  <dgm:desc val=""/>
  <dgm:catLst>
    <dgm:cat type="accent2" pri="11400"/>
  </dgm:catLst>
  <dgm:styleLbl name="node0">
    <dgm:fillClrLst meth="cycle">
      <a:schemeClr val="accent2">
        <a:shade val="60000"/>
      </a:schemeClr>
    </dgm:fillClrLst>
    <dgm:linClrLst meth="repeat">
      <a:schemeClr val="lt1"/>
    </dgm:linClrLst>
    <dgm:effectClrLst/>
    <dgm:txLinClrLst/>
    <dgm:txFillClrLst/>
    <dgm:txEffectClrLst/>
  </dgm:styleLbl>
  <dgm:styleLbl name="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alignNode1">
    <dgm:fillClrLst meth="cycle">
      <a:schemeClr val="accent2">
        <a:shade val="50000"/>
      </a:schemeClr>
      <a:schemeClr val="accent2">
        <a:tint val="45000"/>
      </a:schemeClr>
    </dgm:fillClrLst>
    <dgm:linClrLst meth="cycle">
      <a:schemeClr val="accent2">
        <a:shade val="50000"/>
      </a:schemeClr>
      <a:schemeClr val="accent2">
        <a:tint val="45000"/>
      </a:schemeClr>
    </dgm:linClrLst>
    <dgm:effectClrLst/>
    <dgm:txLinClrLst/>
    <dgm:txFillClrLst/>
    <dgm:txEffectClrLst/>
  </dgm:styleLbl>
  <dgm:styleLbl name="ln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vennNode1">
    <dgm:fillClrLst meth="cycle">
      <a:schemeClr val="accent2">
        <a:shade val="80000"/>
        <a:alpha val="50000"/>
      </a:schemeClr>
      <a:schemeClr val="accent2">
        <a:tint val="45000"/>
        <a:alpha val="50000"/>
      </a:schemeClr>
    </dgm:fillClrLst>
    <dgm:linClrLst meth="repeat">
      <a:schemeClr val="lt1"/>
    </dgm:linClrLst>
    <dgm:effectClrLst/>
    <dgm:txLinClrLst/>
    <dgm:txFillClrLst/>
    <dgm:txEffectClrLst/>
  </dgm:styleLbl>
  <dgm:styleLbl name="node2">
    <dgm:fillClrLst>
      <a:schemeClr val="accent2">
        <a:shade val="80000"/>
      </a:schemeClr>
    </dgm:fillClrLst>
    <dgm:linClrLst meth="repeat">
      <a:schemeClr val="lt1"/>
    </dgm:linClrLst>
    <dgm:effectClrLst/>
    <dgm:txLinClrLst/>
    <dgm:txFillClrLst/>
    <dgm:txEffectClrLst/>
  </dgm:styleLbl>
  <dgm:styleLbl name="node3">
    <dgm:fillClrLst>
      <a:schemeClr val="accent2">
        <a:tint val="99000"/>
      </a:schemeClr>
    </dgm:fillClrLst>
    <dgm:linClrLst meth="repeat">
      <a:schemeClr val="lt1"/>
    </dgm:linClrLst>
    <dgm:effectClrLst/>
    <dgm:txLinClrLst/>
    <dgm:txFillClrLst/>
    <dgm:txEffectClrLst/>
  </dgm:styleLbl>
  <dgm:styleLbl name="node4">
    <dgm:fillClrLst>
      <a:schemeClr val="accent2">
        <a:tint val="70000"/>
      </a:schemeClr>
    </dgm:fillClrLst>
    <dgm:linClrLst meth="repeat">
      <a:schemeClr val="lt1"/>
    </dgm:linClrLst>
    <dgm:effectClrLst/>
    <dgm:txLinClrLst/>
    <dgm:txFillClrLst/>
    <dgm:txEffectClrLst/>
  </dgm:styleLbl>
  <dgm:styleLbl name="f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f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b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sibTrans1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shade val="80000"/>
      </a:schemeClr>
    </dgm:fillClrLst>
    <dgm:linClrLst meth="repeat">
      <a:schemeClr val="lt1"/>
    </dgm:linClrLst>
    <dgm:effectClrLst/>
    <dgm:txLinClrLst/>
    <dgm:txFillClrLst/>
    <dgm:txEffectClrLst/>
  </dgm:styleLbl>
  <dgm:styleLbl name="asst1">
    <dgm:fillClrLst meth="repeat">
      <a:schemeClr val="accent2">
        <a:shade val="80000"/>
      </a:schemeClr>
    </dgm:fillClrLst>
    <dgm:linClrLst meth="repeat">
      <a:schemeClr val="lt1"/>
    </dgm:linClrLst>
    <dgm:effectClrLst/>
    <dgm:txLinClrLst/>
    <dgm:txFillClrLst/>
    <dgm:txEffectClrLst/>
  </dgm:styleLbl>
  <dgm:styleLbl name="asst2">
    <dgm:fillClrLst>
      <a:schemeClr val="accent2">
        <a:tint val="90000"/>
      </a:schemeClr>
    </dgm:fillClrLst>
    <dgm:linClrLst meth="repeat">
      <a:schemeClr val="lt1"/>
    </dgm:linClrLst>
    <dgm:effectClrLst/>
    <dgm:txLinClrLst/>
    <dgm:txFillClrLst/>
    <dgm:txEffectClrLst/>
  </dgm:styleLbl>
  <dgm:styleLbl name="asst3">
    <dgm:fillClrLst>
      <a:schemeClr val="accent2">
        <a:tint val="70000"/>
      </a:schemeClr>
    </dgm:fillClrLst>
    <dgm:linClrLst meth="repeat">
      <a:schemeClr val="lt1"/>
    </dgm:linClrLst>
    <dgm:effectClrLst/>
    <dgm:txLinClrLst/>
    <dgm:txFillClrLst/>
    <dgm:txEffectClrLst/>
  </dgm:styleLbl>
  <dgm:styleLbl name="asst4">
    <dgm:fillClrLst>
      <a:schemeClr val="accent2">
        <a:tint val="50000"/>
      </a:schemeClr>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shade val="80000"/>
      </a:schemeClr>
    </dgm:linClrLst>
    <dgm:effectClrLst/>
    <dgm:txLinClrLst/>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dk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2">
        <a:tint val="90000"/>
      </a:schemeClr>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2">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align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bgAccFollowNode1">
    <dgm:fillClrLst meth="repeat">
      <a:schemeClr val="accent2">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50000"/>
      </a:schemeClr>
    </dgm:linClrLst>
    <dgm:effectClrLst/>
    <dgm:txLinClrLst/>
    <dgm:txFillClrLst meth="repeat">
      <a:schemeClr val="dk1"/>
    </dgm:txFillClrLst>
    <dgm:txEffectClrLst/>
  </dgm:styleLbl>
  <dgm:styleLbl name="bgShp">
    <dgm:fillClrLst meth="repeat">
      <a:schemeClr val="accent2">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55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84F3667-C811-481F-A137-3C131CAA30E9}" type="doc">
      <dgm:prSet loTypeId="urn:microsoft.com/office/officeart/2005/8/layout/target1" loCatId="relationship" qsTypeId="urn:microsoft.com/office/officeart/2005/8/quickstyle/simple5" qsCatId="simple" csTypeId="urn:microsoft.com/office/officeart/2005/8/colors/accent2_4" csCatId="accent2"/>
      <dgm:spPr/>
      <dgm:t>
        <a:bodyPr/>
        <a:lstStyle/>
        <a:p>
          <a:endParaRPr lang="en-GB"/>
        </a:p>
      </dgm:t>
    </dgm:pt>
    <dgm:pt modelId="{1E5A471F-635E-40E3-81B6-38C735C4441C}">
      <dgm:prSet/>
      <dgm:spPr/>
      <dgm:t>
        <a:bodyPr/>
        <a:lstStyle/>
        <a:p>
          <a:pPr algn="ctr"/>
          <a:r>
            <a:rPr lang="en-GB" b="1">
              <a:latin typeface="Arial" panose="020B0604020202020204" pitchFamily="34" charset="0"/>
              <a:cs typeface="Arial" panose="020B0604020202020204" pitchFamily="34" charset="0"/>
            </a:rPr>
            <a:t>Invest In Employee Education and Growth</a:t>
          </a:r>
        </a:p>
      </dgm:t>
    </dgm:pt>
    <dgm:pt modelId="{06CB2DE3-32F8-4DED-8381-87989C3D82C4}" type="parTrans" cxnId="{3FAB5CFA-3D38-45A7-8422-E53CFBB912E3}">
      <dgm:prSet/>
      <dgm:spPr/>
      <dgm:t>
        <a:bodyPr/>
        <a:lstStyle/>
        <a:p>
          <a:pPr algn="ctr"/>
          <a:endParaRPr lang="en-GB" b="1">
            <a:latin typeface="Arial" panose="020B0604020202020204" pitchFamily="34" charset="0"/>
            <a:cs typeface="Arial" panose="020B0604020202020204" pitchFamily="34" charset="0"/>
          </a:endParaRPr>
        </a:p>
      </dgm:t>
    </dgm:pt>
    <dgm:pt modelId="{2C991ED4-FC21-4C81-8427-77033BB3B77B}" type="sibTrans" cxnId="{3FAB5CFA-3D38-45A7-8422-E53CFBB912E3}">
      <dgm:prSet/>
      <dgm:spPr/>
      <dgm:t>
        <a:bodyPr/>
        <a:lstStyle/>
        <a:p>
          <a:pPr algn="ctr"/>
          <a:endParaRPr lang="en-GB" b="1">
            <a:latin typeface="Arial" panose="020B0604020202020204" pitchFamily="34" charset="0"/>
            <a:cs typeface="Arial" panose="020B0604020202020204" pitchFamily="34" charset="0"/>
          </a:endParaRPr>
        </a:p>
      </dgm:t>
    </dgm:pt>
    <dgm:pt modelId="{4E342866-BD1A-4460-BCC1-0EA252F901E5}">
      <dgm:prSet/>
      <dgm:spPr/>
      <dgm:t>
        <a:bodyPr/>
        <a:lstStyle/>
        <a:p>
          <a:pPr algn="ctr"/>
          <a:r>
            <a:rPr lang="en-GB" b="1">
              <a:latin typeface="Arial" panose="020B0604020202020204" pitchFamily="34" charset="0"/>
              <a:cs typeface="Arial" panose="020B0604020202020204" pitchFamily="34" charset="0"/>
            </a:rPr>
            <a:t>Adapt Recruitment Strategies</a:t>
          </a:r>
        </a:p>
      </dgm:t>
    </dgm:pt>
    <dgm:pt modelId="{CBD035BA-6AAC-43E0-B6C2-865AB11C22A0}" type="parTrans" cxnId="{7C4F08C2-91D2-49CB-8D08-7C5E01C2E2CC}">
      <dgm:prSet/>
      <dgm:spPr/>
      <dgm:t>
        <a:bodyPr/>
        <a:lstStyle/>
        <a:p>
          <a:pPr algn="ctr"/>
          <a:endParaRPr lang="en-GB" b="1">
            <a:latin typeface="Arial" panose="020B0604020202020204" pitchFamily="34" charset="0"/>
            <a:cs typeface="Arial" panose="020B0604020202020204" pitchFamily="34" charset="0"/>
          </a:endParaRPr>
        </a:p>
      </dgm:t>
    </dgm:pt>
    <dgm:pt modelId="{002DB2BB-1BE7-40AE-8972-053717EB6024}" type="sibTrans" cxnId="{7C4F08C2-91D2-49CB-8D08-7C5E01C2E2CC}">
      <dgm:prSet/>
      <dgm:spPr/>
      <dgm:t>
        <a:bodyPr/>
        <a:lstStyle/>
        <a:p>
          <a:pPr algn="ctr"/>
          <a:endParaRPr lang="en-GB" b="1">
            <a:latin typeface="Arial" panose="020B0604020202020204" pitchFamily="34" charset="0"/>
            <a:cs typeface="Arial" panose="020B0604020202020204" pitchFamily="34" charset="0"/>
          </a:endParaRPr>
        </a:p>
      </dgm:t>
    </dgm:pt>
    <dgm:pt modelId="{7400AE08-CA82-430B-8599-CE56D5A39E1B}">
      <dgm:prSet/>
      <dgm:spPr/>
      <dgm:t>
        <a:bodyPr/>
        <a:lstStyle/>
        <a:p>
          <a:pPr algn="ctr"/>
          <a:r>
            <a:rPr lang="en-GB" b="1">
              <a:latin typeface="Arial" panose="020B0604020202020204" pitchFamily="34" charset="0"/>
              <a:cs typeface="Arial" panose="020B0604020202020204" pitchFamily="34" charset="0"/>
            </a:rPr>
            <a:t>Prioritise Employee Well-Being and Diversity</a:t>
          </a:r>
        </a:p>
      </dgm:t>
    </dgm:pt>
    <dgm:pt modelId="{68893F75-19D1-4C32-824D-BD3D9C0E4A7E}" type="parTrans" cxnId="{481012D7-C708-4DA3-A666-1C1A418510CF}">
      <dgm:prSet/>
      <dgm:spPr/>
      <dgm:t>
        <a:bodyPr/>
        <a:lstStyle/>
        <a:p>
          <a:pPr algn="ctr"/>
          <a:endParaRPr lang="en-GB" b="1">
            <a:latin typeface="Arial" panose="020B0604020202020204" pitchFamily="34" charset="0"/>
            <a:cs typeface="Arial" panose="020B0604020202020204" pitchFamily="34" charset="0"/>
          </a:endParaRPr>
        </a:p>
      </dgm:t>
    </dgm:pt>
    <dgm:pt modelId="{3B884796-6C38-417D-8822-5D062B08A682}" type="sibTrans" cxnId="{481012D7-C708-4DA3-A666-1C1A418510CF}">
      <dgm:prSet/>
      <dgm:spPr/>
      <dgm:t>
        <a:bodyPr/>
        <a:lstStyle/>
        <a:p>
          <a:pPr algn="ctr"/>
          <a:endParaRPr lang="en-GB" b="1">
            <a:latin typeface="Arial" panose="020B0604020202020204" pitchFamily="34" charset="0"/>
            <a:cs typeface="Arial" panose="020B0604020202020204" pitchFamily="34" charset="0"/>
          </a:endParaRPr>
        </a:p>
      </dgm:t>
    </dgm:pt>
    <dgm:pt modelId="{45528620-7BD3-4FC0-9DAB-5084C7A81899}">
      <dgm:prSet/>
      <dgm:spPr/>
      <dgm:t>
        <a:bodyPr/>
        <a:lstStyle/>
        <a:p>
          <a:pPr algn="ctr"/>
          <a:r>
            <a:rPr lang="en-GB" b="1">
              <a:latin typeface="Arial" panose="020B0604020202020204" pitchFamily="34" charset="0"/>
              <a:cs typeface="Arial" panose="020B0604020202020204" pitchFamily="34" charset="0"/>
            </a:rPr>
            <a:t>Prioritise Safety Measures</a:t>
          </a:r>
        </a:p>
      </dgm:t>
    </dgm:pt>
    <dgm:pt modelId="{44C93B6B-023E-4C00-8A55-397A19F669E3}" type="parTrans" cxnId="{ED595529-B746-40AB-95EE-39E5F26337C5}">
      <dgm:prSet/>
      <dgm:spPr/>
      <dgm:t>
        <a:bodyPr/>
        <a:lstStyle/>
        <a:p>
          <a:pPr algn="ctr"/>
          <a:endParaRPr lang="en-GB" b="1">
            <a:latin typeface="Arial" panose="020B0604020202020204" pitchFamily="34" charset="0"/>
            <a:cs typeface="Arial" panose="020B0604020202020204" pitchFamily="34" charset="0"/>
          </a:endParaRPr>
        </a:p>
      </dgm:t>
    </dgm:pt>
    <dgm:pt modelId="{CB6DBB6D-B716-415B-AD76-1FEED9D39CC7}" type="sibTrans" cxnId="{ED595529-B746-40AB-95EE-39E5F26337C5}">
      <dgm:prSet/>
      <dgm:spPr/>
      <dgm:t>
        <a:bodyPr/>
        <a:lstStyle/>
        <a:p>
          <a:pPr algn="ctr"/>
          <a:endParaRPr lang="en-GB" b="1">
            <a:latin typeface="Arial" panose="020B0604020202020204" pitchFamily="34" charset="0"/>
            <a:cs typeface="Arial" panose="020B0604020202020204" pitchFamily="34" charset="0"/>
          </a:endParaRPr>
        </a:p>
      </dgm:t>
    </dgm:pt>
    <dgm:pt modelId="{789D7778-A516-460D-8652-A3239F6524A3}">
      <dgm:prSet/>
      <dgm:spPr/>
      <dgm:t>
        <a:bodyPr/>
        <a:lstStyle/>
        <a:p>
          <a:endParaRPr lang="en-US"/>
        </a:p>
      </dgm:t>
    </dgm:pt>
    <dgm:pt modelId="{4436EE04-1EFA-4F4C-8BDC-5E9125188C21}" type="parTrans" cxnId="{A3AA1C9E-DC5E-4B1C-8370-ABC478B7AD4A}">
      <dgm:prSet/>
      <dgm:spPr/>
      <dgm:t>
        <a:bodyPr/>
        <a:lstStyle/>
        <a:p>
          <a:pPr algn="ctr"/>
          <a:endParaRPr lang="en-GB" b="1">
            <a:latin typeface="Arial" panose="020B0604020202020204" pitchFamily="34" charset="0"/>
            <a:cs typeface="Arial" panose="020B0604020202020204" pitchFamily="34" charset="0"/>
          </a:endParaRPr>
        </a:p>
      </dgm:t>
    </dgm:pt>
    <dgm:pt modelId="{B700F2EF-53F5-4CAA-82E5-74A1F5DE25FA}" type="sibTrans" cxnId="{A3AA1C9E-DC5E-4B1C-8370-ABC478B7AD4A}">
      <dgm:prSet/>
      <dgm:spPr/>
      <dgm:t>
        <a:bodyPr/>
        <a:lstStyle/>
        <a:p>
          <a:pPr algn="ctr"/>
          <a:endParaRPr lang="en-GB" b="1">
            <a:latin typeface="Arial" panose="020B0604020202020204" pitchFamily="34" charset="0"/>
            <a:cs typeface="Arial" panose="020B0604020202020204" pitchFamily="34" charset="0"/>
          </a:endParaRPr>
        </a:p>
      </dgm:t>
    </dgm:pt>
    <dgm:pt modelId="{289138BD-CDFD-40D2-A003-D4A202A8334A}" type="pres">
      <dgm:prSet presAssocID="{684F3667-C811-481F-A137-3C131CAA30E9}" presName="composite" presStyleCnt="0">
        <dgm:presLayoutVars>
          <dgm:chMax val="5"/>
          <dgm:dir/>
          <dgm:resizeHandles val="exact"/>
        </dgm:presLayoutVars>
      </dgm:prSet>
      <dgm:spPr/>
    </dgm:pt>
    <dgm:pt modelId="{E763C8DD-926B-4711-9E65-4A67B40BF759}" type="pres">
      <dgm:prSet presAssocID="{1E5A471F-635E-40E3-81B6-38C735C4441C}" presName="circle1" presStyleLbl="lnNode1" presStyleIdx="0" presStyleCnt="5"/>
      <dgm:spPr/>
    </dgm:pt>
    <dgm:pt modelId="{B1926B00-2B6D-48C8-AD71-32069E09603C}" type="pres">
      <dgm:prSet presAssocID="{1E5A471F-635E-40E3-81B6-38C735C4441C}" presName="text1" presStyleLbl="revTx" presStyleIdx="0" presStyleCnt="5">
        <dgm:presLayoutVars>
          <dgm:bulletEnabled val="1"/>
        </dgm:presLayoutVars>
      </dgm:prSet>
      <dgm:spPr/>
    </dgm:pt>
    <dgm:pt modelId="{27721209-4CA9-4E8C-B3EE-88A0CFF405E0}" type="pres">
      <dgm:prSet presAssocID="{1E5A471F-635E-40E3-81B6-38C735C4441C}" presName="line1" presStyleLbl="callout" presStyleIdx="0" presStyleCnt="10"/>
      <dgm:spPr/>
    </dgm:pt>
    <dgm:pt modelId="{183CB341-FAD5-4095-9873-5730084A6F37}" type="pres">
      <dgm:prSet presAssocID="{1E5A471F-635E-40E3-81B6-38C735C4441C}" presName="d1" presStyleLbl="callout" presStyleIdx="1" presStyleCnt="10"/>
      <dgm:spPr/>
    </dgm:pt>
    <dgm:pt modelId="{C349A565-30E3-4C45-9411-B3F132BE5CE7}" type="pres">
      <dgm:prSet presAssocID="{4E342866-BD1A-4460-BCC1-0EA252F901E5}" presName="circle2" presStyleLbl="lnNode1" presStyleIdx="1" presStyleCnt="5"/>
      <dgm:spPr/>
    </dgm:pt>
    <dgm:pt modelId="{C47D33A9-F78E-4691-AEB4-BA0FCA5D4F54}" type="pres">
      <dgm:prSet presAssocID="{4E342866-BD1A-4460-BCC1-0EA252F901E5}" presName="text2" presStyleLbl="revTx" presStyleIdx="1" presStyleCnt="5">
        <dgm:presLayoutVars>
          <dgm:bulletEnabled val="1"/>
        </dgm:presLayoutVars>
      </dgm:prSet>
      <dgm:spPr/>
    </dgm:pt>
    <dgm:pt modelId="{51EA5A9D-14C6-4BDB-AB8B-413FB04A4C3D}" type="pres">
      <dgm:prSet presAssocID="{4E342866-BD1A-4460-BCC1-0EA252F901E5}" presName="line2" presStyleLbl="callout" presStyleIdx="2" presStyleCnt="10"/>
      <dgm:spPr/>
    </dgm:pt>
    <dgm:pt modelId="{60611B1E-AF10-471F-A538-CBCB5D4CA7F9}" type="pres">
      <dgm:prSet presAssocID="{4E342866-BD1A-4460-BCC1-0EA252F901E5}" presName="d2" presStyleLbl="callout" presStyleIdx="3" presStyleCnt="10"/>
      <dgm:spPr/>
    </dgm:pt>
    <dgm:pt modelId="{C028607E-BBF6-4430-9AD6-9C49FE1B850C}" type="pres">
      <dgm:prSet presAssocID="{7400AE08-CA82-430B-8599-CE56D5A39E1B}" presName="circle3" presStyleLbl="lnNode1" presStyleIdx="2" presStyleCnt="5"/>
      <dgm:spPr/>
    </dgm:pt>
    <dgm:pt modelId="{74587F18-6CE6-418D-890D-CD9CF6BC2DDB}" type="pres">
      <dgm:prSet presAssocID="{7400AE08-CA82-430B-8599-CE56D5A39E1B}" presName="text3" presStyleLbl="revTx" presStyleIdx="2" presStyleCnt="5">
        <dgm:presLayoutVars>
          <dgm:bulletEnabled val="1"/>
        </dgm:presLayoutVars>
      </dgm:prSet>
      <dgm:spPr/>
    </dgm:pt>
    <dgm:pt modelId="{7DB9CDF1-AE1C-4BE5-ACA2-970637523F66}" type="pres">
      <dgm:prSet presAssocID="{7400AE08-CA82-430B-8599-CE56D5A39E1B}" presName="line3" presStyleLbl="callout" presStyleIdx="4" presStyleCnt="10"/>
      <dgm:spPr/>
    </dgm:pt>
    <dgm:pt modelId="{67A1188F-1FF6-45EF-91ED-1DB1CA46B572}" type="pres">
      <dgm:prSet presAssocID="{7400AE08-CA82-430B-8599-CE56D5A39E1B}" presName="d3" presStyleLbl="callout" presStyleIdx="5" presStyleCnt="10"/>
      <dgm:spPr/>
    </dgm:pt>
    <dgm:pt modelId="{BB68A345-4D67-434F-8EA1-BDE366C39CFB}" type="pres">
      <dgm:prSet presAssocID="{45528620-7BD3-4FC0-9DAB-5084C7A81899}" presName="circle4" presStyleLbl="lnNode1" presStyleIdx="3" presStyleCnt="5"/>
      <dgm:spPr/>
    </dgm:pt>
    <dgm:pt modelId="{AEEF0027-9361-4E43-BD29-3DED5BA258FE}" type="pres">
      <dgm:prSet presAssocID="{45528620-7BD3-4FC0-9DAB-5084C7A81899}" presName="text4" presStyleLbl="revTx" presStyleIdx="3" presStyleCnt="5">
        <dgm:presLayoutVars>
          <dgm:bulletEnabled val="1"/>
        </dgm:presLayoutVars>
      </dgm:prSet>
      <dgm:spPr/>
    </dgm:pt>
    <dgm:pt modelId="{985D6B84-D087-45D2-B58F-7F19AE51CF5F}" type="pres">
      <dgm:prSet presAssocID="{45528620-7BD3-4FC0-9DAB-5084C7A81899}" presName="line4" presStyleLbl="callout" presStyleIdx="6" presStyleCnt="10"/>
      <dgm:spPr/>
    </dgm:pt>
    <dgm:pt modelId="{7A04BED1-1A1C-4E7B-B69A-7FCAB1F35BD2}" type="pres">
      <dgm:prSet presAssocID="{45528620-7BD3-4FC0-9DAB-5084C7A81899}" presName="d4" presStyleLbl="callout" presStyleIdx="7" presStyleCnt="10"/>
      <dgm:spPr/>
    </dgm:pt>
    <dgm:pt modelId="{6C70B151-79CD-48EE-A2EB-10627C88CDBA}" type="pres">
      <dgm:prSet presAssocID="{789D7778-A516-460D-8652-A3239F6524A3}" presName="circle5" presStyleLbl="lnNode1" presStyleIdx="4" presStyleCnt="5"/>
      <dgm:spPr/>
    </dgm:pt>
    <dgm:pt modelId="{A87574BA-7A4A-4DC5-9939-7749A256C6C3}" type="pres">
      <dgm:prSet presAssocID="{789D7778-A516-460D-8652-A3239F6524A3}" presName="text5" presStyleLbl="revTx" presStyleIdx="4" presStyleCnt="5">
        <dgm:presLayoutVars>
          <dgm:bulletEnabled val="1"/>
        </dgm:presLayoutVars>
      </dgm:prSet>
      <dgm:spPr/>
    </dgm:pt>
    <dgm:pt modelId="{F7A516B4-5361-483E-A235-63421492B4EC}" type="pres">
      <dgm:prSet presAssocID="{789D7778-A516-460D-8652-A3239F6524A3}" presName="line5" presStyleLbl="callout" presStyleIdx="8" presStyleCnt="10" custLinFactX="84647" custLinFactY="473667" custLinFactNeighborX="100000" custLinFactNeighborY="500000"/>
      <dgm:spPr/>
    </dgm:pt>
    <dgm:pt modelId="{CC8F3C71-1540-4731-94EE-8107C15B7EEA}" type="pres">
      <dgm:prSet presAssocID="{789D7778-A516-460D-8652-A3239F6524A3}" presName="d5" presStyleLbl="callout" presStyleIdx="9" presStyleCnt="10" custLinFactX="35061" custLinFactNeighborX="100000" custLinFactNeighborY="52992"/>
      <dgm:spPr/>
    </dgm:pt>
  </dgm:ptLst>
  <dgm:cxnLst>
    <dgm:cxn modelId="{ED595529-B746-40AB-95EE-39E5F26337C5}" srcId="{684F3667-C811-481F-A137-3C131CAA30E9}" destId="{45528620-7BD3-4FC0-9DAB-5084C7A81899}" srcOrd="3" destOrd="0" parTransId="{44C93B6B-023E-4C00-8A55-397A19F669E3}" sibTransId="{CB6DBB6D-B716-415B-AD76-1FEED9D39CC7}"/>
    <dgm:cxn modelId="{CABEF934-8DDE-45AD-8BEB-3142E3934DE5}" type="presOf" srcId="{4E342866-BD1A-4460-BCC1-0EA252F901E5}" destId="{C47D33A9-F78E-4691-AEB4-BA0FCA5D4F54}" srcOrd="0" destOrd="0" presId="urn:microsoft.com/office/officeart/2005/8/layout/target1"/>
    <dgm:cxn modelId="{1743AE55-0391-4BF4-B55E-CA162269400A}" type="presOf" srcId="{684F3667-C811-481F-A137-3C131CAA30E9}" destId="{289138BD-CDFD-40D2-A003-D4A202A8334A}" srcOrd="0" destOrd="0" presId="urn:microsoft.com/office/officeart/2005/8/layout/target1"/>
    <dgm:cxn modelId="{317EA07A-4E08-4FD7-B1EA-BBAD2BEE11D6}" type="presOf" srcId="{7400AE08-CA82-430B-8599-CE56D5A39E1B}" destId="{74587F18-6CE6-418D-890D-CD9CF6BC2DDB}" srcOrd="0" destOrd="0" presId="urn:microsoft.com/office/officeart/2005/8/layout/target1"/>
    <dgm:cxn modelId="{A3AA1C9E-DC5E-4B1C-8370-ABC478B7AD4A}" srcId="{684F3667-C811-481F-A137-3C131CAA30E9}" destId="{789D7778-A516-460D-8652-A3239F6524A3}" srcOrd="4" destOrd="0" parTransId="{4436EE04-1EFA-4F4C-8BDC-5E9125188C21}" sibTransId="{B700F2EF-53F5-4CAA-82E5-74A1F5DE25FA}"/>
    <dgm:cxn modelId="{7C4F08C2-91D2-49CB-8D08-7C5E01C2E2CC}" srcId="{684F3667-C811-481F-A137-3C131CAA30E9}" destId="{4E342866-BD1A-4460-BCC1-0EA252F901E5}" srcOrd="1" destOrd="0" parTransId="{CBD035BA-6AAC-43E0-B6C2-865AB11C22A0}" sibTransId="{002DB2BB-1BE7-40AE-8972-053717EB6024}"/>
    <dgm:cxn modelId="{481012D7-C708-4DA3-A666-1C1A418510CF}" srcId="{684F3667-C811-481F-A137-3C131CAA30E9}" destId="{7400AE08-CA82-430B-8599-CE56D5A39E1B}" srcOrd="2" destOrd="0" parTransId="{68893F75-19D1-4C32-824D-BD3D9C0E4A7E}" sibTransId="{3B884796-6C38-417D-8822-5D062B08A682}"/>
    <dgm:cxn modelId="{2A3CF4DA-610F-48DB-86A8-838AD30D2F89}" type="presOf" srcId="{1E5A471F-635E-40E3-81B6-38C735C4441C}" destId="{B1926B00-2B6D-48C8-AD71-32069E09603C}" srcOrd="0" destOrd="0" presId="urn:microsoft.com/office/officeart/2005/8/layout/target1"/>
    <dgm:cxn modelId="{C43F9DEF-EACC-47ED-AC6B-75139C492B2F}" type="presOf" srcId="{45528620-7BD3-4FC0-9DAB-5084C7A81899}" destId="{AEEF0027-9361-4E43-BD29-3DED5BA258FE}" srcOrd="0" destOrd="0" presId="urn:microsoft.com/office/officeart/2005/8/layout/target1"/>
    <dgm:cxn modelId="{1DAB80F6-E2F0-482D-80B2-B6B4108AAC7A}" type="presOf" srcId="{789D7778-A516-460D-8652-A3239F6524A3}" destId="{A87574BA-7A4A-4DC5-9939-7749A256C6C3}" srcOrd="0" destOrd="0" presId="urn:microsoft.com/office/officeart/2005/8/layout/target1"/>
    <dgm:cxn modelId="{3FAB5CFA-3D38-45A7-8422-E53CFBB912E3}" srcId="{684F3667-C811-481F-A137-3C131CAA30E9}" destId="{1E5A471F-635E-40E3-81B6-38C735C4441C}" srcOrd="0" destOrd="0" parTransId="{06CB2DE3-32F8-4DED-8381-87989C3D82C4}" sibTransId="{2C991ED4-FC21-4C81-8427-77033BB3B77B}"/>
    <dgm:cxn modelId="{3A36AAE8-8586-4B21-AC78-430ED1F3833C}" type="presParOf" srcId="{289138BD-CDFD-40D2-A003-D4A202A8334A}" destId="{E763C8DD-926B-4711-9E65-4A67B40BF759}" srcOrd="0" destOrd="0" presId="urn:microsoft.com/office/officeart/2005/8/layout/target1"/>
    <dgm:cxn modelId="{E5304BD6-754D-41D6-A688-62A436FBEC6E}" type="presParOf" srcId="{289138BD-CDFD-40D2-A003-D4A202A8334A}" destId="{B1926B00-2B6D-48C8-AD71-32069E09603C}" srcOrd="1" destOrd="0" presId="urn:microsoft.com/office/officeart/2005/8/layout/target1"/>
    <dgm:cxn modelId="{FC16D699-0804-44DD-AF25-2C9B51DB7D0E}" type="presParOf" srcId="{289138BD-CDFD-40D2-A003-D4A202A8334A}" destId="{27721209-4CA9-4E8C-B3EE-88A0CFF405E0}" srcOrd="2" destOrd="0" presId="urn:microsoft.com/office/officeart/2005/8/layout/target1"/>
    <dgm:cxn modelId="{2B99C262-C59F-4591-ADA2-9A97F3B2C8A8}" type="presParOf" srcId="{289138BD-CDFD-40D2-A003-D4A202A8334A}" destId="{183CB341-FAD5-4095-9873-5730084A6F37}" srcOrd="3" destOrd="0" presId="urn:microsoft.com/office/officeart/2005/8/layout/target1"/>
    <dgm:cxn modelId="{B5F9880D-B5DB-44B3-BF00-3590152B7A76}" type="presParOf" srcId="{289138BD-CDFD-40D2-A003-D4A202A8334A}" destId="{C349A565-30E3-4C45-9411-B3F132BE5CE7}" srcOrd="4" destOrd="0" presId="urn:microsoft.com/office/officeart/2005/8/layout/target1"/>
    <dgm:cxn modelId="{949A652A-CE84-480E-8CA8-B23B6713E20A}" type="presParOf" srcId="{289138BD-CDFD-40D2-A003-D4A202A8334A}" destId="{C47D33A9-F78E-4691-AEB4-BA0FCA5D4F54}" srcOrd="5" destOrd="0" presId="urn:microsoft.com/office/officeart/2005/8/layout/target1"/>
    <dgm:cxn modelId="{3791F29E-EEFD-47F7-85F7-50772886FCE2}" type="presParOf" srcId="{289138BD-CDFD-40D2-A003-D4A202A8334A}" destId="{51EA5A9D-14C6-4BDB-AB8B-413FB04A4C3D}" srcOrd="6" destOrd="0" presId="urn:microsoft.com/office/officeart/2005/8/layout/target1"/>
    <dgm:cxn modelId="{EDE6DCB6-75C6-42AE-A1CB-D15053E6F081}" type="presParOf" srcId="{289138BD-CDFD-40D2-A003-D4A202A8334A}" destId="{60611B1E-AF10-471F-A538-CBCB5D4CA7F9}" srcOrd="7" destOrd="0" presId="urn:microsoft.com/office/officeart/2005/8/layout/target1"/>
    <dgm:cxn modelId="{E187DC69-C569-4314-B828-B4E27A9F4C36}" type="presParOf" srcId="{289138BD-CDFD-40D2-A003-D4A202A8334A}" destId="{C028607E-BBF6-4430-9AD6-9C49FE1B850C}" srcOrd="8" destOrd="0" presId="urn:microsoft.com/office/officeart/2005/8/layout/target1"/>
    <dgm:cxn modelId="{A11E4A26-78C0-4EC4-962D-FFFB01B0D7F9}" type="presParOf" srcId="{289138BD-CDFD-40D2-A003-D4A202A8334A}" destId="{74587F18-6CE6-418D-890D-CD9CF6BC2DDB}" srcOrd="9" destOrd="0" presId="urn:microsoft.com/office/officeart/2005/8/layout/target1"/>
    <dgm:cxn modelId="{48759301-060F-435B-B7D5-6B667A8A21BA}" type="presParOf" srcId="{289138BD-CDFD-40D2-A003-D4A202A8334A}" destId="{7DB9CDF1-AE1C-4BE5-ACA2-970637523F66}" srcOrd="10" destOrd="0" presId="urn:microsoft.com/office/officeart/2005/8/layout/target1"/>
    <dgm:cxn modelId="{4A6D1B05-FD30-42B8-A0C1-BA37E4FA5A83}" type="presParOf" srcId="{289138BD-CDFD-40D2-A003-D4A202A8334A}" destId="{67A1188F-1FF6-45EF-91ED-1DB1CA46B572}" srcOrd="11" destOrd="0" presId="urn:microsoft.com/office/officeart/2005/8/layout/target1"/>
    <dgm:cxn modelId="{A98E890F-C8CC-48C7-B819-D68C20CFC1E2}" type="presParOf" srcId="{289138BD-CDFD-40D2-A003-D4A202A8334A}" destId="{BB68A345-4D67-434F-8EA1-BDE366C39CFB}" srcOrd="12" destOrd="0" presId="urn:microsoft.com/office/officeart/2005/8/layout/target1"/>
    <dgm:cxn modelId="{61F027F2-51D8-431B-B4BD-C7BF2EA6E926}" type="presParOf" srcId="{289138BD-CDFD-40D2-A003-D4A202A8334A}" destId="{AEEF0027-9361-4E43-BD29-3DED5BA258FE}" srcOrd="13" destOrd="0" presId="urn:microsoft.com/office/officeart/2005/8/layout/target1"/>
    <dgm:cxn modelId="{6ACA8756-5C3F-4F8D-BDDB-0B1B122482F5}" type="presParOf" srcId="{289138BD-CDFD-40D2-A003-D4A202A8334A}" destId="{985D6B84-D087-45D2-B58F-7F19AE51CF5F}" srcOrd="14" destOrd="0" presId="urn:microsoft.com/office/officeart/2005/8/layout/target1"/>
    <dgm:cxn modelId="{260E6560-A7C4-49D2-BFE2-DEFCD801F4BA}" type="presParOf" srcId="{289138BD-CDFD-40D2-A003-D4A202A8334A}" destId="{7A04BED1-1A1C-4E7B-B69A-7FCAB1F35BD2}" srcOrd="15" destOrd="0" presId="urn:microsoft.com/office/officeart/2005/8/layout/target1"/>
    <dgm:cxn modelId="{1000DA62-6AAE-4EC9-A5B9-07B9FECC340D}" type="presParOf" srcId="{289138BD-CDFD-40D2-A003-D4A202A8334A}" destId="{6C70B151-79CD-48EE-A2EB-10627C88CDBA}" srcOrd="16" destOrd="0" presId="urn:microsoft.com/office/officeart/2005/8/layout/target1"/>
    <dgm:cxn modelId="{5375F006-2362-47B6-86DC-5C7236B9BB50}" type="presParOf" srcId="{289138BD-CDFD-40D2-A003-D4A202A8334A}" destId="{A87574BA-7A4A-4DC5-9939-7749A256C6C3}" srcOrd="17" destOrd="0" presId="urn:microsoft.com/office/officeart/2005/8/layout/target1"/>
    <dgm:cxn modelId="{49E977A0-CEF6-4139-8D2A-A6EE3BD60C4A}" type="presParOf" srcId="{289138BD-CDFD-40D2-A003-D4A202A8334A}" destId="{F7A516B4-5361-483E-A235-63421492B4EC}" srcOrd="18" destOrd="0" presId="urn:microsoft.com/office/officeart/2005/8/layout/target1"/>
    <dgm:cxn modelId="{484BFE5A-6023-4102-9AF4-EB79C080FC16}" type="presParOf" srcId="{289138BD-CDFD-40D2-A003-D4A202A8334A}" destId="{CC8F3C71-1540-4731-94EE-8107C15B7EEA}" srcOrd="19" destOrd="0" presId="urn:microsoft.com/office/officeart/2005/8/layout/target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C70B151-79CD-48EE-A2EB-10627C88CDBA}">
      <dsp:nvSpPr>
        <dsp:cNvPr id="0" name=""/>
        <dsp:cNvSpPr/>
      </dsp:nvSpPr>
      <dsp:spPr>
        <a:xfrm>
          <a:off x="1325086" y="537631"/>
          <a:ext cx="1848802" cy="1848802"/>
        </a:xfrm>
        <a:prstGeom prst="ellipse">
          <a:avLst/>
        </a:prstGeom>
        <a:gradFill rotWithShape="0">
          <a:gsLst>
            <a:gs pos="0">
              <a:schemeClr val="accent2">
                <a:shade val="50000"/>
                <a:hueOff val="-236469"/>
                <a:satOff val="3113"/>
                <a:lumOff val="18647"/>
                <a:alphaOff val="0"/>
                <a:satMod val="103000"/>
                <a:lumMod val="102000"/>
                <a:tint val="94000"/>
              </a:schemeClr>
            </a:gs>
            <a:gs pos="50000">
              <a:schemeClr val="accent2">
                <a:shade val="50000"/>
                <a:hueOff val="-236469"/>
                <a:satOff val="3113"/>
                <a:lumOff val="18647"/>
                <a:alphaOff val="0"/>
                <a:satMod val="110000"/>
                <a:lumMod val="100000"/>
                <a:shade val="100000"/>
              </a:schemeClr>
            </a:gs>
            <a:gs pos="100000">
              <a:schemeClr val="accent2">
                <a:shade val="50000"/>
                <a:hueOff val="-236469"/>
                <a:satOff val="3113"/>
                <a:lumOff val="18647"/>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BB68A345-4D67-434F-8EA1-BDE366C39CFB}">
      <dsp:nvSpPr>
        <dsp:cNvPr id="0" name=""/>
        <dsp:cNvSpPr/>
      </dsp:nvSpPr>
      <dsp:spPr>
        <a:xfrm>
          <a:off x="1530457" y="743002"/>
          <a:ext cx="1438060" cy="1438060"/>
        </a:xfrm>
        <a:prstGeom prst="ellipse">
          <a:avLst/>
        </a:prstGeom>
        <a:gradFill rotWithShape="0">
          <a:gsLst>
            <a:gs pos="0">
              <a:schemeClr val="accent2">
                <a:shade val="50000"/>
                <a:hueOff val="-472938"/>
                <a:satOff val="6226"/>
                <a:lumOff val="37294"/>
                <a:alphaOff val="0"/>
                <a:satMod val="103000"/>
                <a:lumMod val="102000"/>
                <a:tint val="94000"/>
              </a:schemeClr>
            </a:gs>
            <a:gs pos="50000">
              <a:schemeClr val="accent2">
                <a:shade val="50000"/>
                <a:hueOff val="-472938"/>
                <a:satOff val="6226"/>
                <a:lumOff val="37294"/>
                <a:alphaOff val="0"/>
                <a:satMod val="110000"/>
                <a:lumMod val="100000"/>
                <a:shade val="100000"/>
              </a:schemeClr>
            </a:gs>
            <a:gs pos="100000">
              <a:schemeClr val="accent2">
                <a:shade val="50000"/>
                <a:hueOff val="-472938"/>
                <a:satOff val="6226"/>
                <a:lumOff val="37294"/>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C028607E-BBF6-4430-9AD6-9C49FE1B850C}">
      <dsp:nvSpPr>
        <dsp:cNvPr id="0" name=""/>
        <dsp:cNvSpPr/>
      </dsp:nvSpPr>
      <dsp:spPr>
        <a:xfrm>
          <a:off x="1735828" y="948374"/>
          <a:ext cx="1027317" cy="1027317"/>
        </a:xfrm>
        <a:prstGeom prst="ellipse">
          <a:avLst/>
        </a:prstGeom>
        <a:gradFill rotWithShape="0">
          <a:gsLst>
            <a:gs pos="0">
              <a:schemeClr val="accent2">
                <a:shade val="50000"/>
                <a:hueOff val="-472938"/>
                <a:satOff val="6226"/>
                <a:lumOff val="37294"/>
                <a:alphaOff val="0"/>
                <a:satMod val="103000"/>
                <a:lumMod val="102000"/>
                <a:tint val="94000"/>
              </a:schemeClr>
            </a:gs>
            <a:gs pos="50000">
              <a:schemeClr val="accent2">
                <a:shade val="50000"/>
                <a:hueOff val="-472938"/>
                <a:satOff val="6226"/>
                <a:lumOff val="37294"/>
                <a:alphaOff val="0"/>
                <a:satMod val="110000"/>
                <a:lumMod val="100000"/>
                <a:shade val="100000"/>
              </a:schemeClr>
            </a:gs>
            <a:gs pos="100000">
              <a:schemeClr val="accent2">
                <a:shade val="50000"/>
                <a:hueOff val="-472938"/>
                <a:satOff val="6226"/>
                <a:lumOff val="37294"/>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C349A565-30E3-4C45-9411-B3F132BE5CE7}">
      <dsp:nvSpPr>
        <dsp:cNvPr id="0" name=""/>
        <dsp:cNvSpPr/>
      </dsp:nvSpPr>
      <dsp:spPr>
        <a:xfrm>
          <a:off x="1941353" y="1153899"/>
          <a:ext cx="616267" cy="616267"/>
        </a:xfrm>
        <a:prstGeom prst="ellipse">
          <a:avLst/>
        </a:prstGeom>
        <a:gradFill rotWithShape="0">
          <a:gsLst>
            <a:gs pos="0">
              <a:schemeClr val="accent2">
                <a:shade val="50000"/>
                <a:hueOff val="-236469"/>
                <a:satOff val="3113"/>
                <a:lumOff val="18647"/>
                <a:alphaOff val="0"/>
                <a:satMod val="103000"/>
                <a:lumMod val="102000"/>
                <a:tint val="94000"/>
              </a:schemeClr>
            </a:gs>
            <a:gs pos="50000">
              <a:schemeClr val="accent2">
                <a:shade val="50000"/>
                <a:hueOff val="-236469"/>
                <a:satOff val="3113"/>
                <a:lumOff val="18647"/>
                <a:alphaOff val="0"/>
                <a:satMod val="110000"/>
                <a:lumMod val="100000"/>
                <a:shade val="100000"/>
              </a:schemeClr>
            </a:gs>
            <a:gs pos="100000">
              <a:schemeClr val="accent2">
                <a:shade val="50000"/>
                <a:hueOff val="-236469"/>
                <a:satOff val="3113"/>
                <a:lumOff val="18647"/>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E763C8DD-926B-4711-9E65-4A67B40BF759}">
      <dsp:nvSpPr>
        <dsp:cNvPr id="0" name=""/>
        <dsp:cNvSpPr/>
      </dsp:nvSpPr>
      <dsp:spPr>
        <a:xfrm>
          <a:off x="2146724" y="1359270"/>
          <a:ext cx="205525" cy="205525"/>
        </a:xfrm>
        <a:prstGeom prst="ellipse">
          <a:avLst/>
        </a:prstGeom>
        <a:gradFill rotWithShape="0">
          <a:gsLst>
            <a:gs pos="0">
              <a:schemeClr val="accent2">
                <a:shade val="50000"/>
                <a:hueOff val="0"/>
                <a:satOff val="0"/>
                <a:lumOff val="0"/>
                <a:alphaOff val="0"/>
                <a:satMod val="103000"/>
                <a:lumMod val="102000"/>
                <a:tint val="94000"/>
              </a:schemeClr>
            </a:gs>
            <a:gs pos="50000">
              <a:schemeClr val="accent2">
                <a:shade val="50000"/>
                <a:hueOff val="0"/>
                <a:satOff val="0"/>
                <a:lumOff val="0"/>
                <a:alphaOff val="0"/>
                <a:satMod val="110000"/>
                <a:lumMod val="100000"/>
                <a:shade val="100000"/>
              </a:schemeClr>
            </a:gs>
            <a:gs pos="100000">
              <a:schemeClr val="accent2">
                <a:shade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B1926B00-2B6D-48C8-AD71-32069E09603C}">
      <dsp:nvSpPr>
        <dsp:cNvPr id="0" name=""/>
        <dsp:cNvSpPr/>
      </dsp:nvSpPr>
      <dsp:spPr>
        <a:xfrm>
          <a:off x="3482022" y="78635"/>
          <a:ext cx="924401" cy="32637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9784" tIns="8890" rIns="8890" bIns="8890" numCol="1" spcCol="1270" anchor="ctr" anchorCtr="0">
          <a:noAutofit/>
        </a:bodyPr>
        <a:lstStyle/>
        <a:p>
          <a:pPr marL="0" lvl="0" indent="0" algn="ctr" defTabSz="311150">
            <a:lnSpc>
              <a:spcPct val="90000"/>
            </a:lnSpc>
            <a:spcBef>
              <a:spcPct val="0"/>
            </a:spcBef>
            <a:spcAft>
              <a:spcPct val="35000"/>
            </a:spcAft>
            <a:buNone/>
          </a:pPr>
          <a:r>
            <a:rPr lang="en-GB" sz="700" b="1" kern="1200">
              <a:latin typeface="Arial" panose="020B0604020202020204" pitchFamily="34" charset="0"/>
              <a:cs typeface="Arial" panose="020B0604020202020204" pitchFamily="34" charset="0"/>
            </a:rPr>
            <a:t>Invest In Employee Education and Growth</a:t>
          </a:r>
        </a:p>
      </dsp:txBody>
      <dsp:txXfrm>
        <a:off x="3482022" y="78635"/>
        <a:ext cx="924401" cy="326375"/>
      </dsp:txXfrm>
    </dsp:sp>
    <dsp:sp modelId="{27721209-4CA9-4E8C-B3EE-88A0CFF405E0}">
      <dsp:nvSpPr>
        <dsp:cNvPr id="0" name=""/>
        <dsp:cNvSpPr/>
      </dsp:nvSpPr>
      <dsp:spPr>
        <a:xfrm>
          <a:off x="3250922" y="241823"/>
          <a:ext cx="231100" cy="0"/>
        </a:xfrm>
        <a:prstGeom prst="line">
          <a:avLst/>
        </a:prstGeom>
        <a:noFill/>
        <a:ln w="6350" cap="flat" cmpd="sng" algn="ctr">
          <a:solidFill>
            <a:schemeClr val="accent2">
              <a:hueOff val="0"/>
              <a:satOff val="0"/>
              <a:lumOff val="0"/>
              <a:alphaOff val="0"/>
            </a:schemeClr>
          </a:solidFill>
          <a:prstDash val="solid"/>
          <a:miter lim="800000"/>
        </a:ln>
        <a:effectLst/>
      </dsp:spPr>
      <dsp:style>
        <a:lnRef idx="1">
          <a:scrgbClr r="0" g="0" b="0"/>
        </a:lnRef>
        <a:fillRef idx="0">
          <a:scrgbClr r="0" g="0" b="0"/>
        </a:fillRef>
        <a:effectRef idx="1">
          <a:scrgbClr r="0" g="0" b="0"/>
        </a:effectRef>
        <a:fontRef idx="minor"/>
      </dsp:style>
    </dsp:sp>
    <dsp:sp modelId="{183CB341-FAD5-4095-9873-5730084A6F37}">
      <dsp:nvSpPr>
        <dsp:cNvPr id="0" name=""/>
        <dsp:cNvSpPr/>
      </dsp:nvSpPr>
      <dsp:spPr>
        <a:xfrm rot="5400000">
          <a:off x="2139329" y="351981"/>
          <a:ext cx="1220209" cy="999894"/>
        </a:xfrm>
        <a:prstGeom prst="line">
          <a:avLst/>
        </a:prstGeom>
        <a:noFill/>
        <a:ln w="6350" cap="flat" cmpd="sng" algn="ctr">
          <a:solidFill>
            <a:schemeClr val="accent2">
              <a:hueOff val="0"/>
              <a:satOff val="0"/>
              <a:lumOff val="0"/>
              <a:alphaOff val="0"/>
            </a:schemeClr>
          </a:solidFill>
          <a:prstDash val="solid"/>
          <a:miter lim="800000"/>
        </a:ln>
        <a:effectLst/>
      </dsp:spPr>
      <dsp:style>
        <a:lnRef idx="1">
          <a:scrgbClr r="0" g="0" b="0"/>
        </a:lnRef>
        <a:fillRef idx="0">
          <a:scrgbClr r="0" g="0" b="0"/>
        </a:fillRef>
        <a:effectRef idx="1">
          <a:scrgbClr r="0" g="0" b="0"/>
        </a:effectRef>
        <a:fontRef idx="minor"/>
      </dsp:style>
    </dsp:sp>
    <dsp:sp modelId="{C47D33A9-F78E-4691-AEB4-BA0FCA5D4F54}">
      <dsp:nvSpPr>
        <dsp:cNvPr id="0" name=""/>
        <dsp:cNvSpPr/>
      </dsp:nvSpPr>
      <dsp:spPr>
        <a:xfrm>
          <a:off x="3482022" y="423745"/>
          <a:ext cx="924401" cy="32637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9784" tIns="8890" rIns="8890" bIns="8890" numCol="1" spcCol="1270" anchor="ctr" anchorCtr="0">
          <a:noAutofit/>
        </a:bodyPr>
        <a:lstStyle/>
        <a:p>
          <a:pPr marL="0" lvl="0" indent="0" algn="ctr" defTabSz="311150">
            <a:lnSpc>
              <a:spcPct val="90000"/>
            </a:lnSpc>
            <a:spcBef>
              <a:spcPct val="0"/>
            </a:spcBef>
            <a:spcAft>
              <a:spcPct val="35000"/>
            </a:spcAft>
            <a:buNone/>
          </a:pPr>
          <a:r>
            <a:rPr lang="en-GB" sz="700" b="1" kern="1200">
              <a:latin typeface="Arial" panose="020B0604020202020204" pitchFamily="34" charset="0"/>
              <a:cs typeface="Arial" panose="020B0604020202020204" pitchFamily="34" charset="0"/>
            </a:rPr>
            <a:t>Adapt Recruitment Strategies</a:t>
          </a:r>
        </a:p>
      </dsp:txBody>
      <dsp:txXfrm>
        <a:off x="3482022" y="423745"/>
        <a:ext cx="924401" cy="326375"/>
      </dsp:txXfrm>
    </dsp:sp>
    <dsp:sp modelId="{51EA5A9D-14C6-4BDB-AB8B-413FB04A4C3D}">
      <dsp:nvSpPr>
        <dsp:cNvPr id="0" name=""/>
        <dsp:cNvSpPr/>
      </dsp:nvSpPr>
      <dsp:spPr>
        <a:xfrm>
          <a:off x="3250922" y="586933"/>
          <a:ext cx="231100" cy="0"/>
        </a:xfrm>
        <a:prstGeom prst="line">
          <a:avLst/>
        </a:prstGeom>
        <a:noFill/>
        <a:ln w="6350" cap="flat" cmpd="sng" algn="ctr">
          <a:solidFill>
            <a:schemeClr val="accent2">
              <a:hueOff val="0"/>
              <a:satOff val="0"/>
              <a:lumOff val="0"/>
              <a:alphaOff val="0"/>
            </a:schemeClr>
          </a:solidFill>
          <a:prstDash val="solid"/>
          <a:miter lim="800000"/>
        </a:ln>
        <a:effectLst/>
      </dsp:spPr>
      <dsp:style>
        <a:lnRef idx="1">
          <a:scrgbClr r="0" g="0" b="0"/>
        </a:lnRef>
        <a:fillRef idx="0">
          <a:scrgbClr r="0" g="0" b="0"/>
        </a:fillRef>
        <a:effectRef idx="1">
          <a:scrgbClr r="0" g="0" b="0"/>
        </a:effectRef>
        <a:fontRef idx="minor"/>
      </dsp:style>
    </dsp:sp>
    <dsp:sp modelId="{60611B1E-AF10-471F-A538-CBCB5D4CA7F9}">
      <dsp:nvSpPr>
        <dsp:cNvPr id="0" name=""/>
        <dsp:cNvSpPr/>
      </dsp:nvSpPr>
      <dsp:spPr>
        <a:xfrm rot="5400000">
          <a:off x="2318632" y="670868"/>
          <a:ext cx="1015978" cy="847367"/>
        </a:xfrm>
        <a:prstGeom prst="line">
          <a:avLst/>
        </a:prstGeom>
        <a:noFill/>
        <a:ln w="6350" cap="flat" cmpd="sng" algn="ctr">
          <a:solidFill>
            <a:schemeClr val="accent2">
              <a:hueOff val="0"/>
              <a:satOff val="0"/>
              <a:lumOff val="0"/>
              <a:alphaOff val="0"/>
            </a:schemeClr>
          </a:solidFill>
          <a:prstDash val="solid"/>
          <a:miter lim="800000"/>
        </a:ln>
        <a:effectLst/>
      </dsp:spPr>
      <dsp:style>
        <a:lnRef idx="1">
          <a:scrgbClr r="0" g="0" b="0"/>
        </a:lnRef>
        <a:fillRef idx="0">
          <a:scrgbClr r="0" g="0" b="0"/>
        </a:fillRef>
        <a:effectRef idx="1">
          <a:scrgbClr r="0" g="0" b="0"/>
        </a:effectRef>
        <a:fontRef idx="minor"/>
      </dsp:style>
    </dsp:sp>
    <dsp:sp modelId="{74587F18-6CE6-418D-890D-CD9CF6BC2DDB}">
      <dsp:nvSpPr>
        <dsp:cNvPr id="0" name=""/>
        <dsp:cNvSpPr/>
      </dsp:nvSpPr>
      <dsp:spPr>
        <a:xfrm>
          <a:off x="3482022" y="768855"/>
          <a:ext cx="924401" cy="32637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9784" tIns="8890" rIns="8890" bIns="8890" numCol="1" spcCol="1270" anchor="ctr" anchorCtr="0">
          <a:noAutofit/>
        </a:bodyPr>
        <a:lstStyle/>
        <a:p>
          <a:pPr marL="0" lvl="0" indent="0" algn="ctr" defTabSz="311150">
            <a:lnSpc>
              <a:spcPct val="90000"/>
            </a:lnSpc>
            <a:spcBef>
              <a:spcPct val="0"/>
            </a:spcBef>
            <a:spcAft>
              <a:spcPct val="35000"/>
            </a:spcAft>
            <a:buNone/>
          </a:pPr>
          <a:r>
            <a:rPr lang="en-GB" sz="700" b="1" kern="1200">
              <a:latin typeface="Arial" panose="020B0604020202020204" pitchFamily="34" charset="0"/>
              <a:cs typeface="Arial" panose="020B0604020202020204" pitchFamily="34" charset="0"/>
            </a:rPr>
            <a:t>Prioritise Employee Well-Being and Diversity</a:t>
          </a:r>
        </a:p>
      </dsp:txBody>
      <dsp:txXfrm>
        <a:off x="3482022" y="768855"/>
        <a:ext cx="924401" cy="326375"/>
      </dsp:txXfrm>
    </dsp:sp>
    <dsp:sp modelId="{7DB9CDF1-AE1C-4BE5-ACA2-970637523F66}">
      <dsp:nvSpPr>
        <dsp:cNvPr id="0" name=""/>
        <dsp:cNvSpPr/>
      </dsp:nvSpPr>
      <dsp:spPr>
        <a:xfrm>
          <a:off x="3250922" y="932042"/>
          <a:ext cx="231100" cy="0"/>
        </a:xfrm>
        <a:prstGeom prst="line">
          <a:avLst/>
        </a:prstGeom>
        <a:noFill/>
        <a:ln w="6350" cap="flat" cmpd="sng" algn="ctr">
          <a:solidFill>
            <a:schemeClr val="accent2">
              <a:hueOff val="0"/>
              <a:satOff val="0"/>
              <a:lumOff val="0"/>
              <a:alphaOff val="0"/>
            </a:schemeClr>
          </a:solidFill>
          <a:prstDash val="solid"/>
          <a:miter lim="800000"/>
        </a:ln>
        <a:effectLst/>
      </dsp:spPr>
      <dsp:style>
        <a:lnRef idx="1">
          <a:scrgbClr r="0" g="0" b="0"/>
        </a:lnRef>
        <a:fillRef idx="0">
          <a:scrgbClr r="0" g="0" b="0"/>
        </a:fillRef>
        <a:effectRef idx="1">
          <a:scrgbClr r="0" g="0" b="0"/>
        </a:effectRef>
        <a:fontRef idx="minor"/>
      </dsp:style>
    </dsp:sp>
    <dsp:sp modelId="{67A1188F-1FF6-45EF-91ED-1DB1CA46B572}">
      <dsp:nvSpPr>
        <dsp:cNvPr id="0" name=""/>
        <dsp:cNvSpPr/>
      </dsp:nvSpPr>
      <dsp:spPr>
        <a:xfrm rot="5400000">
          <a:off x="2494453" y="976722"/>
          <a:ext cx="801147" cy="711788"/>
        </a:xfrm>
        <a:prstGeom prst="line">
          <a:avLst/>
        </a:prstGeom>
        <a:noFill/>
        <a:ln w="6350" cap="flat" cmpd="sng" algn="ctr">
          <a:solidFill>
            <a:schemeClr val="accent2">
              <a:hueOff val="0"/>
              <a:satOff val="0"/>
              <a:lumOff val="0"/>
              <a:alphaOff val="0"/>
            </a:schemeClr>
          </a:solidFill>
          <a:prstDash val="solid"/>
          <a:miter lim="800000"/>
        </a:ln>
        <a:effectLst/>
      </dsp:spPr>
      <dsp:style>
        <a:lnRef idx="1">
          <a:scrgbClr r="0" g="0" b="0"/>
        </a:lnRef>
        <a:fillRef idx="0">
          <a:scrgbClr r="0" g="0" b="0"/>
        </a:fillRef>
        <a:effectRef idx="1">
          <a:scrgbClr r="0" g="0" b="0"/>
        </a:effectRef>
        <a:fontRef idx="minor"/>
      </dsp:style>
    </dsp:sp>
    <dsp:sp modelId="{AEEF0027-9361-4E43-BD29-3DED5BA258FE}">
      <dsp:nvSpPr>
        <dsp:cNvPr id="0" name=""/>
        <dsp:cNvSpPr/>
      </dsp:nvSpPr>
      <dsp:spPr>
        <a:xfrm>
          <a:off x="3482022" y="1106569"/>
          <a:ext cx="924401" cy="32637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9784" tIns="8890" rIns="8890" bIns="8890" numCol="1" spcCol="1270" anchor="ctr" anchorCtr="0">
          <a:noAutofit/>
        </a:bodyPr>
        <a:lstStyle/>
        <a:p>
          <a:pPr marL="0" lvl="0" indent="0" algn="ctr" defTabSz="311150">
            <a:lnSpc>
              <a:spcPct val="90000"/>
            </a:lnSpc>
            <a:spcBef>
              <a:spcPct val="0"/>
            </a:spcBef>
            <a:spcAft>
              <a:spcPct val="35000"/>
            </a:spcAft>
            <a:buNone/>
          </a:pPr>
          <a:r>
            <a:rPr lang="en-GB" sz="700" b="1" kern="1200">
              <a:latin typeface="Arial" panose="020B0604020202020204" pitchFamily="34" charset="0"/>
              <a:cs typeface="Arial" panose="020B0604020202020204" pitchFamily="34" charset="0"/>
            </a:rPr>
            <a:t>Prioritise Safety Measures</a:t>
          </a:r>
        </a:p>
      </dsp:txBody>
      <dsp:txXfrm>
        <a:off x="3482022" y="1106569"/>
        <a:ext cx="924401" cy="326375"/>
      </dsp:txXfrm>
    </dsp:sp>
    <dsp:sp modelId="{985D6B84-D087-45D2-B58F-7F19AE51CF5F}">
      <dsp:nvSpPr>
        <dsp:cNvPr id="0" name=""/>
        <dsp:cNvSpPr/>
      </dsp:nvSpPr>
      <dsp:spPr>
        <a:xfrm>
          <a:off x="3250922" y="1269757"/>
          <a:ext cx="231100" cy="0"/>
        </a:xfrm>
        <a:prstGeom prst="line">
          <a:avLst/>
        </a:prstGeom>
        <a:noFill/>
        <a:ln w="6350" cap="flat" cmpd="sng" algn="ctr">
          <a:solidFill>
            <a:schemeClr val="accent2">
              <a:hueOff val="0"/>
              <a:satOff val="0"/>
              <a:lumOff val="0"/>
              <a:alphaOff val="0"/>
            </a:schemeClr>
          </a:solidFill>
          <a:prstDash val="solid"/>
          <a:miter lim="800000"/>
        </a:ln>
        <a:effectLst/>
      </dsp:spPr>
      <dsp:style>
        <a:lnRef idx="1">
          <a:scrgbClr r="0" g="0" b="0"/>
        </a:lnRef>
        <a:fillRef idx="0">
          <a:scrgbClr r="0" g="0" b="0"/>
        </a:fillRef>
        <a:effectRef idx="1">
          <a:scrgbClr r="0" g="0" b="0"/>
        </a:effectRef>
        <a:fontRef idx="minor"/>
      </dsp:style>
    </dsp:sp>
    <dsp:sp modelId="{7A04BED1-1A1C-4E7B-B69A-7FCAB1F35BD2}">
      <dsp:nvSpPr>
        <dsp:cNvPr id="0" name=""/>
        <dsp:cNvSpPr/>
      </dsp:nvSpPr>
      <dsp:spPr>
        <a:xfrm rot="5400000">
          <a:off x="2669473" y="1299646"/>
          <a:ext cx="611337" cy="551559"/>
        </a:xfrm>
        <a:prstGeom prst="line">
          <a:avLst/>
        </a:prstGeom>
        <a:noFill/>
        <a:ln w="6350" cap="flat" cmpd="sng" algn="ctr">
          <a:solidFill>
            <a:schemeClr val="accent2">
              <a:hueOff val="0"/>
              <a:satOff val="0"/>
              <a:lumOff val="0"/>
              <a:alphaOff val="0"/>
            </a:schemeClr>
          </a:solidFill>
          <a:prstDash val="solid"/>
          <a:miter lim="800000"/>
        </a:ln>
        <a:effectLst/>
      </dsp:spPr>
      <dsp:style>
        <a:lnRef idx="1">
          <a:scrgbClr r="0" g="0" b="0"/>
        </a:lnRef>
        <a:fillRef idx="0">
          <a:scrgbClr r="0" g="0" b="0"/>
        </a:fillRef>
        <a:effectRef idx="1">
          <a:scrgbClr r="0" g="0" b="0"/>
        </a:effectRef>
        <a:fontRef idx="minor"/>
      </dsp:style>
    </dsp:sp>
    <dsp:sp modelId="{A87574BA-7A4A-4DC5-9939-7749A256C6C3}">
      <dsp:nvSpPr>
        <dsp:cNvPr id="0" name=""/>
        <dsp:cNvSpPr/>
      </dsp:nvSpPr>
      <dsp:spPr>
        <a:xfrm>
          <a:off x="3482022" y="1434424"/>
          <a:ext cx="924401" cy="32637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9784" tIns="8890" rIns="8890" bIns="8890" numCol="1" spcCol="1270" anchor="ctr" anchorCtr="0">
          <a:noAutofit/>
        </a:bodyPr>
        <a:lstStyle/>
        <a:p>
          <a:pPr marL="0" lvl="0" indent="0" algn="l" defTabSz="311150">
            <a:lnSpc>
              <a:spcPct val="90000"/>
            </a:lnSpc>
            <a:spcBef>
              <a:spcPct val="0"/>
            </a:spcBef>
            <a:spcAft>
              <a:spcPct val="35000"/>
            </a:spcAft>
            <a:buNone/>
          </a:pPr>
          <a:endParaRPr lang="en-US" sz="700" kern="1200"/>
        </a:p>
      </dsp:txBody>
      <dsp:txXfrm>
        <a:off x="3482022" y="1434424"/>
        <a:ext cx="924401" cy="326375"/>
      </dsp:txXfrm>
    </dsp:sp>
    <dsp:sp modelId="{F7A516B4-5361-483E-A235-63421492B4EC}">
      <dsp:nvSpPr>
        <dsp:cNvPr id="0" name=""/>
        <dsp:cNvSpPr/>
      </dsp:nvSpPr>
      <dsp:spPr>
        <a:xfrm>
          <a:off x="3677641" y="1948131"/>
          <a:ext cx="231100" cy="0"/>
        </a:xfrm>
        <a:prstGeom prst="line">
          <a:avLst/>
        </a:prstGeom>
        <a:noFill/>
        <a:ln w="6350" cap="flat" cmpd="sng" algn="ctr">
          <a:solidFill>
            <a:schemeClr val="accent2">
              <a:hueOff val="0"/>
              <a:satOff val="0"/>
              <a:lumOff val="0"/>
              <a:alphaOff val="0"/>
            </a:schemeClr>
          </a:solidFill>
          <a:prstDash val="solid"/>
          <a:miter lim="800000"/>
        </a:ln>
        <a:effectLst/>
      </dsp:spPr>
      <dsp:style>
        <a:lnRef idx="1">
          <a:scrgbClr r="0" g="0" b="0"/>
        </a:lnRef>
        <a:fillRef idx="0">
          <a:scrgbClr r="0" g="0" b="0"/>
        </a:fillRef>
        <a:effectRef idx="1">
          <a:scrgbClr r="0" g="0" b="0"/>
        </a:effectRef>
        <a:fontRef idx="minor"/>
      </dsp:style>
    </dsp:sp>
    <dsp:sp modelId="{CC8F3C71-1540-4731-94EE-8107C15B7EEA}">
      <dsp:nvSpPr>
        <dsp:cNvPr id="0" name=""/>
        <dsp:cNvSpPr/>
      </dsp:nvSpPr>
      <dsp:spPr>
        <a:xfrm rot="5400000">
          <a:off x="3375960" y="1841619"/>
          <a:ext cx="431387" cy="400573"/>
        </a:xfrm>
        <a:prstGeom prst="line">
          <a:avLst/>
        </a:prstGeom>
        <a:noFill/>
        <a:ln w="6350" cap="flat" cmpd="sng" algn="ctr">
          <a:solidFill>
            <a:schemeClr val="accent2">
              <a:hueOff val="0"/>
              <a:satOff val="0"/>
              <a:lumOff val="0"/>
              <a:alphaOff val="0"/>
            </a:schemeClr>
          </a:solidFill>
          <a:prstDash val="solid"/>
          <a:miter lim="800000"/>
        </a:ln>
        <a:effectLst/>
      </dsp:spPr>
      <dsp:style>
        <a:lnRef idx="1">
          <a:scrgbClr r="0" g="0" b="0"/>
        </a:lnRef>
        <a:fillRef idx="0">
          <a:scrgbClr r="0" g="0" b="0"/>
        </a:fillRef>
        <a:effectRef idx="1">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target1">
  <dgm:title val=""/>
  <dgm:desc val=""/>
  <dgm:catLst>
    <dgm:cat type="relationship" pri="25000"/>
    <dgm:cat type="convert" pri="20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ite">
    <dgm:varLst>
      <dgm:chMax val="5"/>
      <dgm:dir/>
      <dgm:resizeHandles val="exact"/>
    </dgm:varLst>
    <dgm:alg type="composite">
      <dgm:param type="ar" val="1.25"/>
    </dgm:alg>
    <dgm:shape xmlns:r="http://schemas.openxmlformats.org/officeDocument/2006/relationships" r:blip="">
      <dgm:adjLst/>
    </dgm:shape>
    <dgm:presOf/>
    <dgm:choose name="Name0">
      <dgm:if name="Name1" func="var" arg="dir" op="equ" val="norm">
        <dgm:choose name="Name2">
          <dgm:if name="Name3" axis="ch" ptType="node" func="cnt" op="equ" val="0">
            <dgm:constrLst/>
          </dgm:if>
          <dgm:if name="Name4" axis="ch" ptType="node" func="cnt" op="equ" val="1">
            <dgm:constrLst>
              <dgm:constr type="primFontSz" for="des" ptType="node" op="equ" val="65"/>
              <dgm:constr type="w" for="ch" forName="circle1" refType="w" fact="0.6"/>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3125"/>
              <dgm:constr type="r" for="ch" forName="text1" refType="w"/>
              <dgm:constr type="t" for="ch" forName="text1"/>
              <dgm:constr type="l" for="ch" forName="line1" refType="w" fact="0.625"/>
              <dgm:constr type="ctrY" for="ch" forName="line1" refType="ctrY" refFor="ch" refForName="text1"/>
              <dgm:constr type="r" for="ch" forName="line1" refType="l" refFor="ch" refForName="text1"/>
              <dgm:constr type="h" for="ch" forName="line1"/>
              <dgm:constr type="l" for="ch" forName="d1" refType="w" fact="0.3"/>
              <dgm:constr type="b" for="ch" forName="d1" refType="h" fact="0.625"/>
              <dgm:constr type="w" for="ch" forName="d1" refType="w" fact="0.32475"/>
              <dgm:constr type="h" for="ch" forName="d1" refType="h" fact="0.469"/>
            </dgm:constrLst>
          </dgm:if>
          <dgm:if name="Name5" axis="ch" ptType="node" func="cnt" op="equ" val="2">
            <dgm:constrLst>
              <dgm:constr type="primFontSz" for="des" ptType="node" op="equ" val="65"/>
              <dgm:constr type="w" for="ch" forName="circle1" refType="w" fact="0.2"/>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3125"/>
              <dgm:constr type="r" for="ch" forName="text1" refType="w"/>
              <dgm:constr type="t" for="ch" forName="text1"/>
              <dgm:constr type="l" for="ch" forName="line1" refType="w" fact="0.625"/>
              <dgm:constr type="ctrY" for="ch" forName="line1" refType="ctrY" refFor="ch" refForName="text1"/>
              <dgm:constr type="w" for="ch" forName="line1" refType="w" fact="0.075"/>
              <dgm:constr type="h" for="ch" forName="line1"/>
              <dgm:constr type="l" for="ch" forName="d1" refType="w" fact="0.3"/>
              <dgm:constr type="b" for="ch" forName="d1" refType="h" fact="0.625"/>
              <dgm:constr type="w" for="ch" forName="d1" refType="w" fact="0.32475"/>
              <dgm:constr type="h" for="ch" forName="d1" refType="h" fact="0.469"/>
              <dgm:constr type="w" for="ch" forName="circle2" refType="w" fact="0.6"/>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3125"/>
              <dgm:constr type="r" for="ch" forName="text2" refType="w"/>
              <dgm:constr type="t" for="ch" forName="text2" refType="b" refFor="ch" refForName="text1"/>
              <dgm:constr type="l" for="ch" forName="line2" refType="w" fact="0.625"/>
              <dgm:constr type="ctrY" for="ch" forName="line2" refType="ctrY" refFor="ch" refForName="text2"/>
              <dgm:constr type="w" for="ch" forName="line2" refType="w" fact="0.075"/>
              <dgm:constr type="h" for="ch" forName="line2"/>
              <dgm:constr type="l" for="ch" forName="d2" refType="w" fact="0.44325"/>
              <dgm:constr type="b" for="ch" forName="d2" refType="h" fact="0.7975"/>
              <dgm:constr type="w" for="ch" forName="d2" refType="w" fact="0.1815"/>
              <dgm:constr type="h" for="ch" forName="d2" refType="h" fact="0.3283"/>
            </dgm:constrLst>
          </dgm:if>
          <dgm:if name="Name6" axis="ch" ptType="node" func="cnt" op="equ" val="3">
            <dgm:constrLst>
              <dgm:constr type="primFontSz" for="des" ptType="node" op="equ" val="65"/>
              <dgm:constr type="w" for="ch" forName="circle1" refType="w" fact="0.12"/>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21875"/>
              <dgm:constr type="r" for="ch" forName="text1" refType="w"/>
              <dgm:constr type="t" for="ch" forName="text1"/>
              <dgm:constr type="l" for="ch" forName="line1" refType="w" fact="0.625"/>
              <dgm:constr type="ctrY" for="ch" forName="line1" refType="ctrY" refFor="ch" refForName="text1"/>
              <dgm:constr type="w" for="ch" forName="line1" refType="w" fact="0.075"/>
              <dgm:constr type="h" for="ch" forName="line1"/>
              <dgm:constr type="l" for="ch" forName="d1" refType="w" fact="0.3"/>
              <dgm:constr type="b" for="ch" forName="d1" refType="h" fact="0.625"/>
              <dgm:constr type="w" for="ch" forName="d1" refType="w" fact="0.3247"/>
              <dgm:constr type="h" for="ch" forName="d1" refType="h" fact="0.5155"/>
              <dgm:constr type="w" for="ch" forName="circle2" refType="w" fact="0.36"/>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21875"/>
              <dgm:constr type="r" for="ch" forName="text2" refType="w"/>
              <dgm:constr type="t" for="ch" forName="text2" refType="b" refFor="ch" refForName="text1"/>
              <dgm:constr type="l" for="ch" forName="line2" refType="w" fact="0.625"/>
              <dgm:constr type="ctrY" for="ch" forName="line2" refType="ctrY" refFor="ch" refForName="text2"/>
              <dgm:constr type="w" for="ch" forName="line2" refType="w" fact="0.075"/>
              <dgm:constr type="h" for="ch" forName="line2"/>
              <dgm:constr type="l" for="ch" forName="d2" refType="w" fact="0.386"/>
              <dgm:constr type="b" for="ch" forName="d2" refType="h" fact="0.72969"/>
              <dgm:constr type="w" for="ch" forName="d2" refType="w" fact="0.2387"/>
              <dgm:constr type="h" for="ch" forName="d2" refType="h" fact="0.4017"/>
              <dgm:constr type="w" for="ch" forName="circle3" refType="w" fact="0.6"/>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21875"/>
              <dgm:constr type="r" for="ch" forName="text3" refType="w"/>
              <dgm:constr type="t" for="ch" forName="text3" refType="b" refFor="ch" refForName="text2"/>
              <dgm:constr type="l" for="ch" forName="line3" refType="w" fact="0.625"/>
              <dgm:constr type="ctrY" for="ch" forName="line3" refType="ctrY" refFor="ch" refForName="text3"/>
              <dgm:constr type="w" for="ch" forName="line3" refType="w" fact="0.075"/>
              <dgm:constr type="h" for="ch" forName="line3"/>
              <dgm:constr type="l" for="ch" forName="d3" refType="w" fact="0.47175"/>
              <dgm:constr type="b" for="ch" forName="d3" refType="h" fact="0.83375"/>
              <dgm:constr type="w" for="ch" forName="d3" refType="w" fact="0.1527"/>
              <dgm:constr type="h" for="ch" forName="d3" refType="h" fact="0.287"/>
            </dgm:constrLst>
          </dgm:if>
          <dgm:if name="Name7" axis="ch" ptType="node" func="cnt" op="equ" val="4">
            <dgm:constrLst>
              <dgm:constr type="primFontSz" for="des" ptType="node" op="equ" val="65"/>
              <dgm:constr type="w" for="ch" forName="circle1" refType="w" fact="0.0857"/>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17938"/>
              <dgm:constr type="r" for="ch" forName="text1" refType="w"/>
              <dgm:constr type="t" for="ch" forName="text1"/>
              <dgm:constr type="l" for="ch" forName="line1" refType="w" fact="0.625"/>
              <dgm:constr type="ctrY" for="ch" forName="line1" refType="ctrY" refFor="ch" refForName="text1"/>
              <dgm:constr type="w" for="ch" forName="line1" refType="w" fact="0.075"/>
              <dgm:constr type="h" for="ch" forName="line1"/>
              <dgm:constr type="l" for="ch" forName="d1" refType="w" fact="0.295"/>
              <dgm:constr type="b" for="ch" forName="d1" refType="h" fact="0.62"/>
              <dgm:constr type="w" for="ch" forName="d1" refType="w" fact="0.33"/>
              <dgm:constr type="h" for="ch" forName="d1" refType="h" fact="0.53"/>
              <dgm:constr type="w" for="ch" forName="circle2" refType="w" fact="0.2571"/>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17938"/>
              <dgm:constr type="r" for="ch" forName="text2" refType="w"/>
              <dgm:constr type="t" for="ch" forName="text2" refType="b" refFor="ch" refForName="text1"/>
              <dgm:constr type="l" for="ch" forName="line2" refType="w" fact="0.625"/>
              <dgm:constr type="ctrY" for="ch" forName="line2" refType="ctrY" refFor="ch" refForName="text2"/>
              <dgm:constr type="w" for="ch" forName="line2" refType="w" fact="0.075"/>
              <dgm:constr type="h" for="ch" forName="line2"/>
              <dgm:constr type="l" for="ch" forName="d2" refType="w" fact="0.36625"/>
              <dgm:constr type="b" for="ch" forName="d2" refType="h" fact="0.70438"/>
              <dgm:constr type="w" for="ch" forName="d2" refType="w" fact="0.2585"/>
              <dgm:constr type="h" for="ch" forName="d2" refType="h" fact="0.43525"/>
              <dgm:constr type="w" for="ch" forName="circle3" refType="w" fact="0.4285"/>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7938"/>
              <dgm:constr type="r" for="ch" forName="text3" refType="w"/>
              <dgm:constr type="t" for="ch" forName="text3" refType="b" refFor="ch" refForName="text2"/>
              <dgm:constr type="l" for="ch" forName="line3" refType="w" fact="0.625"/>
              <dgm:constr type="ctrY" for="ch" forName="line3" refType="ctrY" refFor="ch" refForName="text3"/>
              <dgm:constr type="w" for="ch" forName="line3" refType="w" fact="0.075"/>
              <dgm:constr type="h" for="ch" forName="line3"/>
              <dgm:constr type="l" for="ch" forName="d3" refType="w" fact="0.4255"/>
              <dgm:constr type="b" for="ch" forName="d3" refType="h" fact="0.78031"/>
              <dgm:constr type="w" for="ch" forName="d3" refType="w" fact="0.1995"/>
              <dgm:constr type="h" for="ch" forName="d3" refType="h" fact="0.332"/>
              <dgm:constr type="w" for="ch" forName="circle4" refType="w" fact="0.6"/>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7938"/>
              <dgm:constr type="r" for="ch" forName="text4" refType="w"/>
              <dgm:constr type="t" for="ch" forName="text4" refType="b" refFor="ch" refForName="text3"/>
              <dgm:constr type="l" for="ch" forName="line4" refType="w" fact="0.625"/>
              <dgm:constr type="ctrY" for="ch" forName="line4" refType="ctrY" refFor="ch" refForName="text4"/>
              <dgm:constr type="w" for="ch" forName="line4" refType="w" fact="0.075"/>
              <dgm:constr type="h" for="ch" forName="line4"/>
              <dgm:constr type="l" for="ch" forName="d4" refType="w" fact="0.48525"/>
              <dgm:constr type="b" for="ch" forName="d4" refType="h" fact="0.85594"/>
              <dgm:constr type="w" for="ch" forName="d4" refType="w" fact="0.1394"/>
              <dgm:constr type="h" for="ch" forName="d4" refType="h" fact="0.2282"/>
            </dgm:constrLst>
          </dgm:if>
          <dgm:if name="Name8" axis="ch" ptType="node" func="cnt" op="gte" val="5">
            <dgm:constrLst>
              <dgm:constr type="primFontSz" for="des" ptType="node" op="equ" val="65"/>
              <dgm:constr type="w" for="ch" forName="circle1" refType="w" fact="0.0667"/>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1324"/>
              <dgm:constr type="r" for="ch" forName="text1" refType="w"/>
              <dgm:constr type="ctrY" for="ch" forName="text1" refType="h" fact="0.13"/>
              <dgm:constr type="l" for="ch" forName="line1" refType="w" fact="0.625"/>
              <dgm:constr type="ctrY" for="ch" forName="line1" refType="ctrY" refFor="ch" refForName="text1"/>
              <dgm:constr type="w" for="ch" forName="line1" refType="w" fact="0.075"/>
              <dgm:constr type="h" for="ch" forName="line1"/>
              <dgm:constr type="l" for="ch" forName="d1" refType="w" fact="0.3"/>
              <dgm:constr type="b" for="ch" forName="d1" refType="h" fact="0.625"/>
              <dgm:constr type="w" for="ch" forName="d1" refType="w" fact="0.3245"/>
              <dgm:constr type="h" for="ch" forName="d1" refType="h" fact="0.495"/>
              <dgm:constr type="w" for="ch" forName="circle2" refType="w" fact="0.2"/>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1324"/>
              <dgm:constr type="r" for="ch" forName="text2" refType="w"/>
              <dgm:constr type="ctrY" for="ch" forName="text2" refType="h" fact="0.27"/>
              <dgm:constr type="l" for="ch" forName="line2" refType="w" fact="0.625"/>
              <dgm:constr type="ctrY" for="ch" forName="line2" refType="ctrY" refFor="ch" refForName="text2"/>
              <dgm:constr type="w" for="ch" forName="line2" refType="w" fact="0.075"/>
              <dgm:constr type="h" for="ch" forName="line2"/>
              <dgm:constr type="l" for="ch" forName="d2" refType="w" fact="0.3498"/>
              <dgm:constr type="b" for="ch" forName="d2" refType="h" fact="0.682"/>
              <dgm:constr type="w" for="ch" forName="d2" refType="w" fact="0.275"/>
              <dgm:constr type="h" for="ch" forName="d2" refType="h" fact="0.41215"/>
              <dgm:constr type="w" for="ch" forName="circle3" refType="w" fact="0.3334"/>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324"/>
              <dgm:constr type="r" for="ch" forName="text3" refType="w"/>
              <dgm:constr type="ctrY" for="ch" forName="text3" refType="h" fact="0.41"/>
              <dgm:constr type="l" for="ch" forName="line3" refType="w" fact="0.625"/>
              <dgm:constr type="ctrY" for="ch" forName="line3" refType="ctrY" refFor="ch" refForName="text3"/>
              <dgm:constr type="w" for="ch" forName="line3" refType="w" fact="0.075"/>
              <dgm:constr type="h" for="ch" forName="line3"/>
              <dgm:constr type="l" for="ch" forName="d3" refType="w" fact="0.394"/>
              <dgm:constr type="b" for="ch" forName="d3" refType="h" fact="0.735"/>
              <dgm:constr type="w" for="ch" forName="d3" refType="w" fact="0.231"/>
              <dgm:constr type="h" for="ch" forName="d3" refType="h" fact="0.325"/>
              <dgm:constr type="w" for="ch" forName="circle4" refType="w" fact="0.4667"/>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324"/>
              <dgm:constr type="r" for="ch" forName="text4" refType="w"/>
              <dgm:constr type="ctrY" for="ch" forName="text4" refType="h" fact="0.547"/>
              <dgm:constr type="l" for="ch" forName="line4" refType="w" fact="0.625"/>
              <dgm:constr type="ctrY" for="ch" forName="line4" refType="ctrY" refFor="ch" refForName="text4"/>
              <dgm:constr type="w" for="ch" forName="line4" refType="w" fact="0.075"/>
              <dgm:constr type="h" for="ch" forName="line4"/>
              <dgm:constr type="l" for="ch" forName="d4" refType="w" fact="0.446"/>
              <dgm:constr type="b" for="ch" forName="d4" refType="h" fact="0.795"/>
              <dgm:constr type="w" for="ch" forName="d4" refType="w" fact="0.179"/>
              <dgm:constr type="h" for="ch" forName="d4" refType="h" fact="0.248"/>
              <dgm:constr type="w" for="ch" forName="circle5" refType="w" fact="0.6"/>
              <dgm:constr type="h" for="ch" forName="circle5" refType="w" refFor="ch" refForName="circle5"/>
              <dgm:constr type="ctrX" for="ch" forName="circle5" refType="ctrX" refFor="ch" refForName="circle1"/>
              <dgm:constr type="ctrY" for="ch" forName="circle5" refType="ctrY" refFor="ch" refForName="circle1"/>
              <dgm:constr type="w" for="ch" forName="text5" refType="w" fact="0.3"/>
              <dgm:constr type="h" for="ch" forName="text5" refType="h" fact="0.1324"/>
              <dgm:constr type="r" for="ch" forName="text5" refType="w"/>
              <dgm:constr type="ctrY" for="ch" forName="text5" refType="h" fact="0.68"/>
              <dgm:constr type="l" for="ch" forName="line5" refType="w" fact="0.625"/>
              <dgm:constr type="ctrY" for="ch" forName="line5" refType="ctrY" refFor="ch" refForName="text5"/>
              <dgm:constr type="w" for="ch" forName="line5" refType="w" fact="0.075"/>
              <dgm:constr type="h" for="ch" forName="line5"/>
              <dgm:constr type="l" for="ch" forName="d5" refType="w" fact="0.495"/>
              <dgm:constr type="b" for="ch" forName="d5" refType="h" fact="0.855"/>
              <dgm:constr type="w" for="ch" forName="d5" refType="w" fact="0.13"/>
              <dgm:constr type="h" for="ch" forName="d5" refType="h" fact="0.175"/>
            </dgm:constrLst>
          </dgm:if>
          <dgm:else name="Name9"/>
        </dgm:choose>
      </dgm:if>
      <dgm:else name="Name10">
        <dgm:choose name="Name11">
          <dgm:if name="Name12" axis="ch" ptType="node" func="cnt" op="equ" val="0">
            <dgm:constrLst/>
          </dgm:if>
          <dgm:if name="Name13" axis="ch" ptType="node" func="cnt" op="equ" val="1">
            <dgm:constrLst>
              <dgm:constr type="primFontSz" for="des" ptType="node" op="equ" val="65"/>
              <dgm:constr type="w" for="ch" forName="circle1" refType="w" fact="0.6"/>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3125"/>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75"/>
              <dgm:constr type="h" for="ch" forName="d1" refType="h" fact="0.469"/>
            </dgm:constrLst>
          </dgm:if>
          <dgm:if name="Name14" axis="ch" ptType="node" func="cnt" op="equ" val="2">
            <dgm:constrLst>
              <dgm:constr type="primFontSz" for="des" ptType="node" op="equ" val="65"/>
              <dgm:constr type="w" for="ch" forName="circle1" refType="w" fact="0.2"/>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3125"/>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75"/>
              <dgm:constr type="h" for="ch" forName="d1" refType="h" fact="0.469"/>
              <dgm:constr type="w" for="ch" forName="circle2" refType="w" fact="0.6"/>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3125"/>
              <dgm:constr type="l" for="ch" forName="text2"/>
              <dgm:constr type="t" for="ch" forName="text2" refType="b" refFor="ch" refForName="text1"/>
              <dgm:constr type="l" for="ch" forName="line2" refType="r" refFor="ch" refForName="text2"/>
              <dgm:constr type="ctrY" for="ch" forName="line2" refType="ctrY" refFor="ch" refForName="text2"/>
              <dgm:constr type="r" for="ch" forName="line2" refType="w" fact="0.375"/>
              <dgm:constr type="h" for="ch" forName="line2"/>
              <dgm:constr type="r" for="ch" forName="d2" refType="w" fact="0.55675"/>
              <dgm:constr type="b" for="ch" forName="d2" refType="h" fact="0.7975"/>
              <dgm:constr type="w" for="ch" forName="d2" refType="w" fact="0.1815"/>
              <dgm:constr type="h" for="ch" forName="d2" refType="h" fact="0.3283"/>
            </dgm:constrLst>
          </dgm:if>
          <dgm:if name="Name15" axis="ch" ptType="node" func="cnt" op="equ" val="3">
            <dgm:constrLst>
              <dgm:constr type="primFontSz" for="des" ptType="node" op="equ" val="65"/>
              <dgm:constr type="w" for="ch" forName="circle1" refType="w" fact="0.12"/>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21875"/>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7"/>
              <dgm:constr type="h" for="ch" forName="d1" refType="h" fact="0.5155"/>
              <dgm:constr type="w" for="ch" forName="circle2" refType="w" fact="0.36"/>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21875"/>
              <dgm:constr type="l" for="ch" forName="text2"/>
              <dgm:constr type="t" for="ch" forName="text2" refType="b" refFor="ch" refForName="text1"/>
              <dgm:constr type="l" for="ch" forName="line2" refType="r" refFor="ch" refForName="text2"/>
              <dgm:constr type="ctrY" for="ch" forName="line2" refType="ctrY" refFor="ch" refForName="text2"/>
              <dgm:constr type="r" for="ch" forName="line2" refType="w" fact="0.375"/>
              <dgm:constr type="h" for="ch" forName="line2"/>
              <dgm:constr type="r" for="ch" forName="d2" refType="w" fact="0.614"/>
              <dgm:constr type="b" for="ch" forName="d2" refType="h" fact="0.72969"/>
              <dgm:constr type="w" for="ch" forName="d2" refType="w" fact="0.2387"/>
              <dgm:constr type="h" for="ch" forName="d2" refType="h" fact="0.4017"/>
              <dgm:constr type="w" for="ch" forName="circle3" refType="w" fact="0.6"/>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21875"/>
              <dgm:constr type="l" for="ch" forName="text3"/>
              <dgm:constr type="t" for="ch" forName="text3" refType="b" refFor="ch" refForName="text2"/>
              <dgm:constr type="l" for="ch" forName="line3" refType="r" refFor="ch" refForName="text3"/>
              <dgm:constr type="ctrY" for="ch" forName="line3" refType="ctrY" refFor="ch" refForName="text3"/>
              <dgm:constr type="r" for="ch" forName="line3" refType="w" fact="0.375"/>
              <dgm:constr type="h" for="ch" forName="line3"/>
              <dgm:constr type="r" for="ch" forName="d3" refType="w" fact="0.52825"/>
              <dgm:constr type="b" for="ch" forName="d3" refType="h" fact="0.83375"/>
              <dgm:constr type="w" for="ch" forName="d3" refType="w" fact="0.1527"/>
              <dgm:constr type="h" for="ch" forName="d3" refType="h" fact="0.287"/>
            </dgm:constrLst>
          </dgm:if>
          <dgm:if name="Name16" axis="ch" ptType="node" func="cnt" op="equ" val="4">
            <dgm:constrLst>
              <dgm:constr type="primFontSz" for="des" ptType="node" op="equ" val="65"/>
              <dgm:constr type="w" for="ch" forName="circle1" refType="w" fact="0.0857"/>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17938"/>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05"/>
              <dgm:constr type="b" for="ch" forName="d1" refType="h" fact="0.62"/>
              <dgm:constr type="w" for="ch" forName="d1" refType="w" fact="0.33"/>
              <dgm:constr type="h" for="ch" forName="d1" refType="h" fact="0.53"/>
              <dgm:constr type="w" for="ch" forName="circle2" refType="w" fact="0.2571"/>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17938"/>
              <dgm:constr type="l" for="ch" forName="text2"/>
              <dgm:constr type="t" for="ch" forName="text2" refType="b" refFor="ch" refForName="text1"/>
              <dgm:constr type="l" for="ch" forName="line2" refType="r" refFor="ch" refForName="text2"/>
              <dgm:constr type="ctrY" for="ch" forName="line2" refType="ctrY" refFor="ch" refForName="text2"/>
              <dgm:constr type="r" for="ch" forName="line2" refType="w" fact="0.375"/>
              <dgm:constr type="h" for="ch" forName="line2"/>
              <dgm:constr type="r" for="ch" forName="d2" refType="w" fact="0.63375"/>
              <dgm:constr type="b" for="ch" forName="d2" refType="h" fact="0.70438"/>
              <dgm:constr type="w" for="ch" forName="d2" refType="w" fact="0.2585"/>
              <dgm:constr type="h" for="ch" forName="d2" refType="h" fact="0.43525"/>
              <dgm:constr type="w" for="ch" forName="circle3" refType="w" fact="0.4285"/>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7938"/>
              <dgm:constr type="l" for="ch" forName="text3"/>
              <dgm:constr type="t" for="ch" forName="text3" refType="b" refFor="ch" refForName="text2"/>
              <dgm:constr type="l" for="ch" forName="line3" refType="r" refFor="ch" refForName="text3"/>
              <dgm:constr type="ctrY" for="ch" forName="line3" refType="ctrY" refFor="ch" refForName="text3"/>
              <dgm:constr type="r" for="ch" forName="line3" refType="w" fact="0.375"/>
              <dgm:constr type="h" for="ch" forName="line3"/>
              <dgm:constr type="r" for="ch" forName="d3" refType="w" fact="0.5745"/>
              <dgm:constr type="b" for="ch" forName="d3" refType="h" fact="0.78031"/>
              <dgm:constr type="w" for="ch" forName="d3" refType="w" fact="0.1995"/>
              <dgm:constr type="h" for="ch" forName="d3" refType="h" fact="0.332"/>
              <dgm:constr type="w" for="ch" forName="circle4" refType="w" fact="0.6"/>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7938"/>
              <dgm:constr type="l" for="ch" forName="text4"/>
              <dgm:constr type="t" for="ch" forName="text4" refType="b" refFor="ch" refForName="text3"/>
              <dgm:constr type="l" for="ch" forName="line4" refType="r" refFor="ch" refForName="text4"/>
              <dgm:constr type="ctrY" for="ch" forName="line4" refType="ctrY" refFor="ch" refForName="text4"/>
              <dgm:constr type="r" for="ch" forName="line4" refType="w" fact="0.375"/>
              <dgm:constr type="h" for="ch" forName="line4"/>
              <dgm:constr type="r" for="ch" forName="d4" refType="w" fact="0.51475"/>
              <dgm:constr type="b" for="ch" forName="d4" refType="h" fact="0.85594"/>
              <dgm:constr type="w" for="ch" forName="d4" refType="w" fact="0.1394"/>
              <dgm:constr type="h" for="ch" forName="d4" refType="h" fact="0.2282"/>
            </dgm:constrLst>
          </dgm:if>
          <dgm:if name="Name17" axis="ch" ptType="node" func="cnt" op="gte" val="5">
            <dgm:constrLst>
              <dgm:constr type="primFontSz" for="des" ptType="node" op="equ" val="65"/>
              <dgm:constr type="w" for="ch" forName="circle1" refType="w" fact="0.0667"/>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1324"/>
              <dgm:constr type="l" for="ch" forName="text1"/>
              <dgm:constr type="ctrY" for="ch" forName="text1" refType="h" fact="0.13"/>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5"/>
              <dgm:constr type="h" for="ch" forName="d1" refType="h" fact="0.495"/>
              <dgm:constr type="w" for="ch" forName="circle2" refType="w" fact="0.2"/>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1324"/>
              <dgm:constr type="l" for="ch" forName="text2"/>
              <dgm:constr type="ctrY" for="ch" forName="text2" refType="h" fact="0.27"/>
              <dgm:constr type="l" for="ch" forName="line2" refType="r" refFor="ch" refForName="text2"/>
              <dgm:constr type="ctrY" for="ch" forName="line2" refType="ctrY" refFor="ch" refForName="text2"/>
              <dgm:constr type="r" for="ch" forName="line2" refType="w" fact="0.375"/>
              <dgm:constr type="h" for="ch" forName="line2"/>
              <dgm:constr type="r" for="ch" forName="d2" refType="w" fact="0.6502"/>
              <dgm:constr type="b" for="ch" forName="d2" refType="h" fact="0.682"/>
              <dgm:constr type="w" for="ch" forName="d2" refType="w" fact="0.275"/>
              <dgm:constr type="h" for="ch" forName="d2" refType="h" fact="0.41215"/>
              <dgm:constr type="w" for="ch" forName="circle3" refType="w" fact="0.3334"/>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324"/>
              <dgm:constr type="l" for="ch" forName="text3"/>
              <dgm:constr type="ctrY" for="ch" forName="text3" refType="h" fact="0.41"/>
              <dgm:constr type="l" for="ch" forName="line3" refType="r" refFor="ch" refForName="text3"/>
              <dgm:constr type="ctrY" for="ch" forName="line3" refType="ctrY" refFor="ch" refForName="text3"/>
              <dgm:constr type="r" for="ch" forName="line3" refType="w" fact="0.375"/>
              <dgm:constr type="h" for="ch" forName="line3"/>
              <dgm:constr type="r" for="ch" forName="d3" refType="w" fact="0.606"/>
              <dgm:constr type="b" for="ch" forName="d3" refType="h" fact="0.735"/>
              <dgm:constr type="w" for="ch" forName="d3" refType="w" fact="0.231"/>
              <dgm:constr type="h" for="ch" forName="d3" refType="h" fact="0.325"/>
              <dgm:constr type="w" for="ch" forName="circle4" refType="w" fact="0.4667"/>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324"/>
              <dgm:constr type="l" for="ch" forName="text4"/>
              <dgm:constr type="ctrY" for="ch" forName="text4" refType="h" fact="0.547"/>
              <dgm:constr type="l" for="ch" forName="line4" refType="r" refFor="ch" refForName="text4"/>
              <dgm:constr type="ctrY" for="ch" forName="line4" refType="ctrY" refFor="ch" refForName="text4"/>
              <dgm:constr type="r" for="ch" forName="line4" refType="w" fact="0.375"/>
              <dgm:constr type="h" for="ch" forName="line4"/>
              <dgm:constr type="r" for="ch" forName="d4" refType="w" fact="0.554"/>
              <dgm:constr type="b" for="ch" forName="d4" refType="h" fact="0.795"/>
              <dgm:constr type="w" for="ch" forName="d4" refType="w" fact="0.179"/>
              <dgm:constr type="h" for="ch" forName="d4" refType="h" fact="0.248"/>
              <dgm:constr type="w" for="ch" forName="circle5" refType="w" fact="0.6"/>
              <dgm:constr type="h" for="ch" forName="circle5" refType="w" refFor="ch" refForName="circle5"/>
              <dgm:constr type="ctrX" for="ch" forName="circle5" refType="ctrX" refFor="ch" refForName="circle1"/>
              <dgm:constr type="ctrY" for="ch" forName="circle5" refType="ctrY" refFor="ch" refForName="circle1"/>
              <dgm:constr type="w" for="ch" forName="text5" refType="w" fact="0.3"/>
              <dgm:constr type="h" for="ch" forName="text5" refType="h" fact="0.1324"/>
              <dgm:constr type="l" for="ch" forName="text5"/>
              <dgm:constr type="ctrY" for="ch" forName="text5" refType="h" fact="0.68"/>
              <dgm:constr type="l" for="ch" forName="line5" refType="r" refFor="ch" refForName="text5"/>
              <dgm:constr type="ctrY" for="ch" forName="line5" refType="ctrY" refFor="ch" refForName="text5"/>
              <dgm:constr type="r" for="ch" forName="line5" refType="w" fact="0.375"/>
              <dgm:constr type="h" for="ch" forName="line5"/>
              <dgm:constr type="r" for="ch" forName="d5" refType="w" fact="0.505"/>
              <dgm:constr type="b" for="ch" forName="d5" refType="h" fact="0.855"/>
              <dgm:constr type="w" for="ch" forName="d5" refType="w" fact="0.13"/>
              <dgm:constr type="h" for="ch" forName="d5" refType="h" fact="0.175"/>
            </dgm:constrLst>
          </dgm:if>
          <dgm:else name="Name18"/>
        </dgm:choose>
      </dgm:else>
    </dgm:choose>
    <dgm:ruleLst/>
    <dgm:forEach name="Name19" axis="ch" ptType="node" cnt="1">
      <dgm:layoutNode name="circle1" styleLbl="lnNode1">
        <dgm:alg type="sp"/>
        <dgm:shape xmlns:r="http://schemas.openxmlformats.org/officeDocument/2006/relationships" type="ellipse" r:blip="">
          <dgm:adjLst/>
        </dgm:shape>
        <dgm:presOf/>
        <dgm:constrLst/>
        <dgm:ruleLst/>
      </dgm:layoutNode>
      <dgm:layoutNode name="text1" styleLbl="revTx">
        <dgm:varLst>
          <dgm:bulletEnabled val="1"/>
        </dgm:varLst>
        <dgm:choose name="Name20">
          <dgm:if name="Name21" func="var" arg="dir" op="equ" val="norm">
            <dgm:choose name="Name22">
              <dgm:if name="Name23" axis="root des" ptType="all node" func="maxDepth" op="gt" val="1">
                <dgm:alg type="tx">
                  <dgm:param type="parTxLTRAlign" val="l"/>
                  <dgm:param type="parTxRTLAlign" val="r"/>
                </dgm:alg>
              </dgm:if>
              <dgm:else name="Name24">
                <dgm:alg type="tx">
                  <dgm:param type="parTxLTRAlign" val="l"/>
                  <dgm:param type="parTxRTLAlign" val="l"/>
                </dgm:alg>
              </dgm:else>
            </dgm:choose>
          </dgm:if>
          <dgm:else name="Name25">
            <dgm:choose name="Name26">
              <dgm:if name="Name27" axis="root des" ptType="all node" func="maxDepth" op="gt" val="1">
                <dgm:alg type="tx">
                  <dgm:param type="parTxLTRAlign" val="l"/>
                  <dgm:param type="parTxRTLAlign" val="r"/>
                </dgm:alg>
              </dgm:if>
              <dgm:else name="Name28">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29">
          <dgm:if name="Name30" func="var" arg="dir" op="equ" val="norm">
            <dgm:constrLst>
              <dgm:constr type="tMarg" refType="primFontSz" fact="0.1"/>
              <dgm:constr type="bMarg" refType="primFontSz" fact="0.1"/>
              <dgm:constr type="rMarg" refType="primFontSz" fact="0.1"/>
            </dgm:constrLst>
          </dgm:if>
          <dgm:else name="Name31">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1" styleLbl="callout">
        <dgm:alg type="sp"/>
        <dgm:shape xmlns:r="http://schemas.openxmlformats.org/officeDocument/2006/relationships" type="line" r:blip="">
          <dgm:adjLst/>
        </dgm:shape>
        <dgm:presOf/>
        <dgm:constrLst/>
        <dgm:ruleLst/>
      </dgm:layoutNode>
      <dgm:layoutNode name="d1" styleLbl="callout">
        <dgm:alg type="sp"/>
        <dgm:choose name="Name32">
          <dgm:if name="Name33" func="var" arg="dir" op="equ" val="norm">
            <dgm:shape xmlns:r="http://schemas.openxmlformats.org/officeDocument/2006/relationships" rot="90" type="line" r:blip="">
              <dgm:adjLst/>
            </dgm:shape>
          </dgm:if>
          <dgm:else name="Name34">
            <dgm:shape xmlns:r="http://schemas.openxmlformats.org/officeDocument/2006/relationships" rot="180" type="line" r:blip="">
              <dgm:adjLst/>
            </dgm:shape>
          </dgm:else>
        </dgm:choose>
        <dgm:presOf/>
        <dgm:constrLst/>
        <dgm:ruleLst/>
      </dgm:layoutNode>
    </dgm:forEach>
    <dgm:forEach name="Name35" axis="ch" ptType="node" st="2" cnt="1">
      <dgm:layoutNode name="circle2" styleLbl="lnNode1">
        <dgm:alg type="sp"/>
        <dgm:shape xmlns:r="http://schemas.openxmlformats.org/officeDocument/2006/relationships" type="ellipse" r:blip="" zOrderOff="-5">
          <dgm:adjLst/>
        </dgm:shape>
        <dgm:presOf/>
        <dgm:constrLst/>
        <dgm:ruleLst/>
      </dgm:layoutNode>
      <dgm:layoutNode name="text2" styleLbl="revTx">
        <dgm:varLst>
          <dgm:bulletEnabled val="1"/>
        </dgm:varLst>
        <dgm:choose name="Name36">
          <dgm:if name="Name37" func="var" arg="dir" op="equ" val="norm">
            <dgm:choose name="Name38">
              <dgm:if name="Name39" axis="root des" ptType="all node" func="maxDepth" op="gt" val="1">
                <dgm:alg type="tx">
                  <dgm:param type="parTxLTRAlign" val="l"/>
                  <dgm:param type="parTxRTLAlign" val="r"/>
                </dgm:alg>
              </dgm:if>
              <dgm:else name="Name40">
                <dgm:alg type="tx">
                  <dgm:param type="parTxLTRAlign" val="l"/>
                  <dgm:param type="parTxRTLAlign" val="l"/>
                </dgm:alg>
              </dgm:else>
            </dgm:choose>
          </dgm:if>
          <dgm:else name="Name41">
            <dgm:choose name="Name42">
              <dgm:if name="Name43" axis="root des" ptType="all node" func="maxDepth" op="gt" val="1">
                <dgm:alg type="tx">
                  <dgm:param type="parTxLTRAlign" val="l"/>
                  <dgm:param type="parTxRTLAlign" val="r"/>
                </dgm:alg>
              </dgm:if>
              <dgm:else name="Name44">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45">
          <dgm:if name="Name46" func="var" arg="dir" op="equ" val="norm">
            <dgm:constrLst>
              <dgm:constr type="tMarg" refType="primFontSz" fact="0.1"/>
              <dgm:constr type="bMarg" refType="primFontSz" fact="0.1"/>
              <dgm:constr type="rMarg" refType="primFontSz" fact="0.1"/>
            </dgm:constrLst>
          </dgm:if>
          <dgm:else name="Name47">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2" styleLbl="callout">
        <dgm:alg type="sp"/>
        <dgm:shape xmlns:r="http://schemas.openxmlformats.org/officeDocument/2006/relationships" type="line" r:blip="">
          <dgm:adjLst/>
        </dgm:shape>
        <dgm:presOf/>
        <dgm:constrLst/>
        <dgm:ruleLst/>
      </dgm:layoutNode>
      <dgm:layoutNode name="d2" styleLbl="callout">
        <dgm:alg type="sp"/>
        <dgm:choose name="Name48">
          <dgm:if name="Name49" func="var" arg="dir" op="equ" val="norm">
            <dgm:shape xmlns:r="http://schemas.openxmlformats.org/officeDocument/2006/relationships" rot="90" type="line" r:blip="">
              <dgm:adjLst/>
            </dgm:shape>
          </dgm:if>
          <dgm:else name="Name50">
            <dgm:shape xmlns:r="http://schemas.openxmlformats.org/officeDocument/2006/relationships" rot="180" type="line" r:blip="">
              <dgm:adjLst/>
            </dgm:shape>
          </dgm:else>
        </dgm:choose>
        <dgm:presOf/>
        <dgm:constrLst/>
        <dgm:ruleLst/>
      </dgm:layoutNode>
    </dgm:forEach>
    <dgm:forEach name="Name51" axis="ch" ptType="node" st="3" cnt="1">
      <dgm:layoutNode name="circle3" styleLbl="lnNode1">
        <dgm:alg type="sp"/>
        <dgm:shape xmlns:r="http://schemas.openxmlformats.org/officeDocument/2006/relationships" type="ellipse" r:blip="" zOrderOff="-10">
          <dgm:adjLst/>
        </dgm:shape>
        <dgm:presOf/>
        <dgm:constrLst/>
        <dgm:ruleLst/>
      </dgm:layoutNode>
      <dgm:layoutNode name="text3" styleLbl="revTx">
        <dgm:varLst>
          <dgm:bulletEnabled val="1"/>
        </dgm:varLst>
        <dgm:choose name="Name52">
          <dgm:if name="Name53" func="var" arg="dir" op="equ" val="norm">
            <dgm:choose name="Name54">
              <dgm:if name="Name55" axis="root des" ptType="all node" func="maxDepth" op="gt" val="1">
                <dgm:alg type="tx">
                  <dgm:param type="parTxLTRAlign" val="l"/>
                  <dgm:param type="parTxRTLAlign" val="r"/>
                </dgm:alg>
              </dgm:if>
              <dgm:else name="Name56">
                <dgm:alg type="tx">
                  <dgm:param type="parTxLTRAlign" val="l"/>
                  <dgm:param type="parTxRTLAlign" val="l"/>
                </dgm:alg>
              </dgm:else>
            </dgm:choose>
          </dgm:if>
          <dgm:else name="Name57">
            <dgm:choose name="Name58">
              <dgm:if name="Name59" axis="root des" ptType="all node" func="maxDepth" op="gt" val="1">
                <dgm:alg type="tx">
                  <dgm:param type="parTxLTRAlign" val="l"/>
                  <dgm:param type="parTxRTLAlign" val="r"/>
                </dgm:alg>
              </dgm:if>
              <dgm:else name="Name60">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61">
          <dgm:if name="Name62" func="var" arg="dir" op="equ" val="norm">
            <dgm:constrLst>
              <dgm:constr type="tMarg" refType="primFontSz" fact="0.1"/>
              <dgm:constr type="bMarg" refType="primFontSz" fact="0.1"/>
              <dgm:constr type="rMarg" refType="primFontSz" fact="0.1"/>
            </dgm:constrLst>
          </dgm:if>
          <dgm:else name="Name63">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3" styleLbl="callout">
        <dgm:alg type="sp"/>
        <dgm:shape xmlns:r="http://schemas.openxmlformats.org/officeDocument/2006/relationships" type="line" r:blip="">
          <dgm:adjLst/>
        </dgm:shape>
        <dgm:presOf/>
        <dgm:constrLst/>
        <dgm:ruleLst/>
      </dgm:layoutNode>
      <dgm:layoutNode name="d3" styleLbl="callout">
        <dgm:alg type="sp"/>
        <dgm:choose name="Name64">
          <dgm:if name="Name65" func="var" arg="dir" op="equ" val="norm">
            <dgm:shape xmlns:r="http://schemas.openxmlformats.org/officeDocument/2006/relationships" rot="90" type="line" r:blip="">
              <dgm:adjLst/>
            </dgm:shape>
          </dgm:if>
          <dgm:else name="Name66">
            <dgm:shape xmlns:r="http://schemas.openxmlformats.org/officeDocument/2006/relationships" rot="180" type="line" r:blip="">
              <dgm:adjLst/>
            </dgm:shape>
          </dgm:else>
        </dgm:choose>
        <dgm:presOf/>
        <dgm:constrLst/>
        <dgm:ruleLst/>
      </dgm:layoutNode>
    </dgm:forEach>
    <dgm:forEach name="Name67" axis="ch" ptType="node" st="4" cnt="1">
      <dgm:layoutNode name="circle4" styleLbl="lnNode1">
        <dgm:alg type="sp"/>
        <dgm:shape xmlns:r="http://schemas.openxmlformats.org/officeDocument/2006/relationships" type="ellipse" r:blip="" zOrderOff="-15">
          <dgm:adjLst/>
        </dgm:shape>
        <dgm:presOf/>
        <dgm:constrLst/>
        <dgm:ruleLst/>
      </dgm:layoutNode>
      <dgm:layoutNode name="text4" styleLbl="revTx">
        <dgm:varLst>
          <dgm:bulletEnabled val="1"/>
        </dgm:varLst>
        <dgm:choose name="Name68">
          <dgm:if name="Name69" func="var" arg="dir" op="equ" val="norm">
            <dgm:choose name="Name70">
              <dgm:if name="Name71" axis="root des" ptType="all node" func="maxDepth" op="gt" val="1">
                <dgm:alg type="tx">
                  <dgm:param type="parTxLTRAlign" val="l"/>
                  <dgm:param type="parTxRTLAlign" val="r"/>
                </dgm:alg>
              </dgm:if>
              <dgm:else name="Name72">
                <dgm:alg type="tx">
                  <dgm:param type="parTxLTRAlign" val="l"/>
                  <dgm:param type="parTxRTLAlign" val="l"/>
                </dgm:alg>
              </dgm:else>
            </dgm:choose>
          </dgm:if>
          <dgm:else name="Name73">
            <dgm:choose name="Name74">
              <dgm:if name="Name75" axis="root des" ptType="all node" func="maxDepth" op="gt" val="1">
                <dgm:alg type="tx">
                  <dgm:param type="parTxLTRAlign" val="l"/>
                  <dgm:param type="parTxRTLAlign" val="r"/>
                </dgm:alg>
              </dgm:if>
              <dgm:else name="Name76">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77">
          <dgm:if name="Name78" func="var" arg="dir" op="equ" val="norm">
            <dgm:constrLst>
              <dgm:constr type="tMarg" refType="primFontSz" fact="0.1"/>
              <dgm:constr type="bMarg" refType="primFontSz" fact="0.1"/>
              <dgm:constr type="rMarg" refType="primFontSz" fact="0.1"/>
            </dgm:constrLst>
          </dgm:if>
          <dgm:else name="Name79">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4" styleLbl="callout">
        <dgm:alg type="sp"/>
        <dgm:shape xmlns:r="http://schemas.openxmlformats.org/officeDocument/2006/relationships" type="line" r:blip="">
          <dgm:adjLst/>
        </dgm:shape>
        <dgm:presOf/>
        <dgm:constrLst/>
        <dgm:ruleLst/>
      </dgm:layoutNode>
      <dgm:layoutNode name="d4" styleLbl="callout">
        <dgm:alg type="sp"/>
        <dgm:choose name="Name80">
          <dgm:if name="Name81" func="var" arg="dir" op="equ" val="norm">
            <dgm:shape xmlns:r="http://schemas.openxmlformats.org/officeDocument/2006/relationships" rot="90" type="line" r:blip="">
              <dgm:adjLst/>
            </dgm:shape>
          </dgm:if>
          <dgm:else name="Name82">
            <dgm:shape xmlns:r="http://schemas.openxmlformats.org/officeDocument/2006/relationships" rot="180" type="line" r:blip="">
              <dgm:adjLst/>
            </dgm:shape>
          </dgm:else>
        </dgm:choose>
        <dgm:presOf/>
        <dgm:constrLst/>
        <dgm:ruleLst/>
      </dgm:layoutNode>
    </dgm:forEach>
    <dgm:forEach name="Name83" axis="ch" ptType="node" st="5" cnt="1">
      <dgm:layoutNode name="circle5" styleLbl="lnNode1">
        <dgm:alg type="sp"/>
        <dgm:shape xmlns:r="http://schemas.openxmlformats.org/officeDocument/2006/relationships" type="ellipse" r:blip="" zOrderOff="-20">
          <dgm:adjLst/>
        </dgm:shape>
        <dgm:presOf/>
        <dgm:constrLst/>
        <dgm:ruleLst/>
      </dgm:layoutNode>
      <dgm:layoutNode name="text5" styleLbl="revTx">
        <dgm:varLst>
          <dgm:bulletEnabled val="1"/>
        </dgm:varLst>
        <dgm:choose name="Name84">
          <dgm:if name="Name85" func="var" arg="dir" op="equ" val="norm">
            <dgm:choose name="Name86">
              <dgm:if name="Name87" axis="root des" ptType="all node" func="maxDepth" op="gt" val="1">
                <dgm:alg type="tx">
                  <dgm:param type="parTxLTRAlign" val="l"/>
                  <dgm:param type="parTxRTLAlign" val="r"/>
                </dgm:alg>
              </dgm:if>
              <dgm:else name="Name88">
                <dgm:alg type="tx">
                  <dgm:param type="parTxLTRAlign" val="l"/>
                  <dgm:param type="parTxRTLAlign" val="l"/>
                </dgm:alg>
              </dgm:else>
            </dgm:choose>
          </dgm:if>
          <dgm:else name="Name89">
            <dgm:choose name="Name90">
              <dgm:if name="Name91" axis="root des" ptType="all node" func="maxDepth" op="gt" val="1">
                <dgm:alg type="tx">
                  <dgm:param type="parTxLTRAlign" val="l"/>
                  <dgm:param type="parTxRTLAlign" val="r"/>
                </dgm:alg>
              </dgm:if>
              <dgm:else name="Name92">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93">
          <dgm:if name="Name94" func="var" arg="dir" op="equ" val="norm">
            <dgm:constrLst>
              <dgm:constr type="tMarg" refType="primFontSz" fact="0.1"/>
              <dgm:constr type="bMarg" refType="primFontSz" fact="0.1"/>
              <dgm:constr type="rMarg" refType="primFontSz" fact="0.1"/>
            </dgm:constrLst>
          </dgm:if>
          <dgm:else name="Name95">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5" styleLbl="callout">
        <dgm:alg type="sp"/>
        <dgm:shape xmlns:r="http://schemas.openxmlformats.org/officeDocument/2006/relationships" type="line" r:blip="">
          <dgm:adjLst/>
        </dgm:shape>
        <dgm:presOf/>
        <dgm:constrLst/>
        <dgm:ruleLst/>
      </dgm:layoutNode>
      <dgm:layoutNode name="d5" styleLbl="callout">
        <dgm:alg type="sp"/>
        <dgm:choose name="Name96">
          <dgm:if name="Name97" func="var" arg="dir" op="equ" val="norm">
            <dgm:shape xmlns:r="http://schemas.openxmlformats.org/officeDocument/2006/relationships" rot="90" type="line" r:blip="">
              <dgm:adjLst/>
            </dgm:shape>
          </dgm:if>
          <dgm:else name="Name98">
            <dgm:shape xmlns:r="http://schemas.openxmlformats.org/officeDocument/2006/relationships" rot="180" type="line" r:blip="">
              <dgm:adjLst/>
            </dgm:shape>
          </dgm:else>
        </dgm:choose>
        <dgm:presOf/>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0248ED0-60B9-4218-BD9B-3E17C7188D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460</TotalTime>
  <Pages>13</Pages>
  <Words>3060</Words>
  <Characters>17447</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16</cp:revision>
  <dcterms:created xsi:type="dcterms:W3CDTF">2022-10-05T08:10:00Z</dcterms:created>
  <dcterms:modified xsi:type="dcterms:W3CDTF">2023-06-08T08:42:00Z</dcterms:modified>
</cp:coreProperties>
</file>