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92890" w14:textId="77777777" w:rsidR="004A017C" w:rsidRDefault="004A017C">
      <w:pPr>
        <w:spacing w:before="240" w:after="240" w:line="360" w:lineRule="auto"/>
        <w:jc w:val="center"/>
        <w:rPr>
          <w:rFonts w:ascii="Times New Roman" w:eastAsia="Times New Roman" w:hAnsi="Times New Roman" w:cs="Times New Roman"/>
          <w:b/>
          <w:bCs/>
          <w:sz w:val="32"/>
          <w:szCs w:val="32"/>
        </w:rPr>
      </w:pPr>
    </w:p>
    <w:p w14:paraId="14261506" w14:textId="77777777" w:rsidR="004A017C" w:rsidRDefault="004A017C">
      <w:pPr>
        <w:spacing w:before="240" w:after="240" w:line="360" w:lineRule="auto"/>
        <w:jc w:val="center"/>
        <w:rPr>
          <w:rFonts w:ascii="Times New Roman" w:eastAsia="Times New Roman" w:hAnsi="Times New Roman" w:cs="Times New Roman"/>
          <w:b/>
          <w:bCs/>
          <w:sz w:val="32"/>
          <w:szCs w:val="32"/>
        </w:rPr>
      </w:pPr>
    </w:p>
    <w:p w14:paraId="14015290" w14:textId="77777777" w:rsidR="004A017C" w:rsidRDefault="004A017C">
      <w:pPr>
        <w:spacing w:before="240" w:after="240" w:line="360" w:lineRule="auto"/>
        <w:jc w:val="center"/>
        <w:rPr>
          <w:rFonts w:ascii="Times New Roman" w:eastAsia="Times New Roman" w:hAnsi="Times New Roman" w:cs="Times New Roman"/>
          <w:b/>
          <w:bCs/>
          <w:sz w:val="32"/>
          <w:szCs w:val="32"/>
        </w:rPr>
      </w:pPr>
    </w:p>
    <w:p w14:paraId="11C90774" w14:textId="77777777" w:rsidR="004A017C" w:rsidRPr="00347EF7" w:rsidRDefault="00A222F5">
      <w:pPr>
        <w:spacing w:before="240" w:after="240" w:line="360" w:lineRule="auto"/>
        <w:jc w:val="center"/>
        <w:rPr>
          <w:rFonts w:ascii="Arial" w:eastAsia="Times New Roman" w:hAnsi="Arial" w:cs="Arial"/>
          <w:b/>
          <w:bCs/>
          <w:sz w:val="32"/>
          <w:szCs w:val="32"/>
        </w:rPr>
      </w:pPr>
      <w:r w:rsidRPr="00347EF7">
        <w:rPr>
          <w:rFonts w:ascii="Arial" w:hAnsi="Arial" w:cs="Arial"/>
          <w:noProof/>
        </w:rPr>
        <w:drawing>
          <wp:inline distT="0" distB="0" distL="0" distR="0" wp14:anchorId="73FFEB0C" wp14:editId="3BE9251E">
            <wp:extent cx="2742565" cy="998220"/>
            <wp:effectExtent l="0" t="0" r="635" b="7620"/>
            <wp:docPr id="8" name="Picture 8"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l="9187" t="13196" r="8800" b="15294"/>
                    <a:stretch>
                      <a:fillRect/>
                    </a:stretch>
                  </pic:blipFill>
                  <pic:spPr>
                    <a:xfrm>
                      <a:off x="0" y="0"/>
                      <a:ext cx="2755406" cy="1003478"/>
                    </a:xfrm>
                    <a:prstGeom prst="rect">
                      <a:avLst/>
                    </a:prstGeom>
                    <a:noFill/>
                    <a:ln>
                      <a:noFill/>
                    </a:ln>
                  </pic:spPr>
                </pic:pic>
              </a:graphicData>
            </a:graphic>
          </wp:inline>
        </w:drawing>
      </w:r>
    </w:p>
    <w:p w14:paraId="682F95E6" w14:textId="77777777" w:rsidR="004A017C" w:rsidRPr="00347EF7" w:rsidRDefault="00A222F5">
      <w:pPr>
        <w:spacing w:after="240" w:line="360" w:lineRule="auto"/>
        <w:jc w:val="center"/>
        <w:rPr>
          <w:rFonts w:ascii="Arial" w:hAnsi="Arial" w:cs="Arial"/>
          <w:b/>
          <w:bCs/>
          <w:sz w:val="32"/>
          <w:szCs w:val="24"/>
        </w:rPr>
      </w:pPr>
      <w:r w:rsidRPr="00347EF7">
        <w:rPr>
          <w:rFonts w:ascii="Arial" w:hAnsi="Arial" w:cs="Arial"/>
          <w:b/>
          <w:bCs/>
          <w:sz w:val="32"/>
          <w:szCs w:val="24"/>
        </w:rPr>
        <w:t>Program: Master of Business Administration</w:t>
      </w:r>
    </w:p>
    <w:p w14:paraId="04969191" w14:textId="77777777" w:rsidR="004A017C" w:rsidRPr="00347EF7" w:rsidRDefault="00A222F5">
      <w:pPr>
        <w:spacing w:after="240" w:line="360" w:lineRule="auto"/>
        <w:jc w:val="center"/>
        <w:rPr>
          <w:rFonts w:ascii="Arial" w:hAnsi="Arial" w:cs="Arial"/>
          <w:b/>
          <w:bCs/>
          <w:sz w:val="32"/>
          <w:szCs w:val="24"/>
        </w:rPr>
      </w:pPr>
      <w:r w:rsidRPr="00347EF7">
        <w:rPr>
          <w:rFonts w:ascii="Arial" w:hAnsi="Arial" w:cs="Arial"/>
          <w:b/>
          <w:bCs/>
          <w:sz w:val="32"/>
          <w:szCs w:val="24"/>
        </w:rPr>
        <w:t>Module Name: Human Capital Management</w:t>
      </w:r>
    </w:p>
    <w:p w14:paraId="1F5B2891" w14:textId="77777777" w:rsidR="004A017C" w:rsidRPr="00347EF7" w:rsidRDefault="00A222F5">
      <w:pPr>
        <w:spacing w:after="240" w:line="360" w:lineRule="auto"/>
        <w:jc w:val="center"/>
        <w:rPr>
          <w:rFonts w:ascii="Arial" w:hAnsi="Arial" w:cs="Arial"/>
          <w:b/>
          <w:bCs/>
          <w:sz w:val="32"/>
          <w:szCs w:val="24"/>
        </w:rPr>
      </w:pPr>
      <w:r w:rsidRPr="00347EF7">
        <w:rPr>
          <w:rFonts w:ascii="Arial" w:hAnsi="Arial" w:cs="Arial"/>
          <w:b/>
          <w:bCs/>
          <w:sz w:val="32"/>
          <w:szCs w:val="24"/>
        </w:rPr>
        <w:t>Module Code: LCMB7023</w:t>
      </w:r>
    </w:p>
    <w:p w14:paraId="073001B2" w14:textId="77777777" w:rsidR="004A017C" w:rsidRPr="00347EF7" w:rsidRDefault="00A222F5">
      <w:pPr>
        <w:spacing w:after="240" w:line="360" w:lineRule="auto"/>
        <w:jc w:val="center"/>
        <w:rPr>
          <w:rFonts w:ascii="Arial" w:hAnsi="Arial" w:cs="Arial"/>
          <w:b/>
          <w:bCs/>
          <w:sz w:val="32"/>
          <w:szCs w:val="24"/>
        </w:rPr>
      </w:pPr>
      <w:r w:rsidRPr="00347EF7">
        <w:rPr>
          <w:rFonts w:ascii="Arial" w:hAnsi="Arial" w:cs="Arial"/>
          <w:b/>
          <w:bCs/>
          <w:sz w:val="32"/>
          <w:szCs w:val="24"/>
        </w:rPr>
        <w:t>Module Lecturer: Eno Maycock</w:t>
      </w:r>
    </w:p>
    <w:p w14:paraId="57BDB3EC" w14:textId="77777777" w:rsidR="004A017C" w:rsidRPr="00347EF7" w:rsidRDefault="00A222F5">
      <w:pPr>
        <w:spacing w:after="240" w:line="360" w:lineRule="auto"/>
        <w:jc w:val="center"/>
        <w:rPr>
          <w:rFonts w:ascii="Arial" w:hAnsi="Arial" w:cs="Arial"/>
          <w:b/>
          <w:bCs/>
          <w:i/>
          <w:sz w:val="32"/>
          <w:szCs w:val="24"/>
        </w:rPr>
      </w:pPr>
      <w:r w:rsidRPr="00347EF7">
        <w:rPr>
          <w:rFonts w:ascii="Arial" w:hAnsi="Arial" w:cs="Arial"/>
          <w:b/>
          <w:bCs/>
          <w:i/>
          <w:sz w:val="32"/>
          <w:szCs w:val="24"/>
        </w:rPr>
        <w:t>Designing A Human Capital Architecture for Strategic Renewal</w:t>
      </w:r>
    </w:p>
    <w:p w14:paraId="23AC4FA9" w14:textId="77777777" w:rsidR="004A017C" w:rsidRPr="00347EF7" w:rsidRDefault="00A222F5">
      <w:pPr>
        <w:spacing w:after="240" w:line="360" w:lineRule="auto"/>
        <w:jc w:val="center"/>
        <w:rPr>
          <w:rFonts w:ascii="Arial" w:hAnsi="Arial" w:cs="Arial"/>
          <w:b/>
          <w:bCs/>
          <w:sz w:val="32"/>
          <w:szCs w:val="24"/>
        </w:rPr>
      </w:pPr>
      <w:r w:rsidRPr="00347EF7">
        <w:rPr>
          <w:rFonts w:ascii="Arial" w:hAnsi="Arial" w:cs="Arial"/>
          <w:b/>
          <w:bCs/>
          <w:sz w:val="32"/>
          <w:szCs w:val="24"/>
        </w:rPr>
        <w:t>Student Name: Darshil Mukeshkumar Dodiya</w:t>
      </w:r>
    </w:p>
    <w:p w14:paraId="2478C197" w14:textId="77777777" w:rsidR="004A017C" w:rsidRPr="00347EF7" w:rsidRDefault="00A222F5">
      <w:pPr>
        <w:spacing w:after="240" w:line="360" w:lineRule="auto"/>
        <w:jc w:val="center"/>
        <w:rPr>
          <w:rFonts w:ascii="Arial" w:hAnsi="Arial" w:cs="Arial"/>
          <w:b/>
          <w:bCs/>
          <w:sz w:val="32"/>
          <w:szCs w:val="24"/>
        </w:rPr>
      </w:pPr>
      <w:r w:rsidRPr="00347EF7">
        <w:rPr>
          <w:rFonts w:ascii="Arial" w:hAnsi="Arial" w:cs="Arial"/>
          <w:b/>
          <w:bCs/>
          <w:sz w:val="32"/>
          <w:szCs w:val="24"/>
        </w:rPr>
        <w:t>Student Id: 2522995</w:t>
      </w:r>
    </w:p>
    <w:p w14:paraId="47A7845D" w14:textId="77777777" w:rsidR="004A017C" w:rsidRDefault="004A017C">
      <w:pPr>
        <w:rPr>
          <w:rFonts w:ascii="Times New Roman" w:eastAsia="Times New Roman" w:hAnsi="Times New Roman" w:cs="Times New Roman"/>
          <w:b/>
          <w:bCs/>
          <w:sz w:val="24"/>
          <w:szCs w:val="24"/>
        </w:rPr>
      </w:pPr>
    </w:p>
    <w:p w14:paraId="008DBAB5" w14:textId="77777777" w:rsidR="004A017C" w:rsidRDefault="004A017C">
      <w:pPr>
        <w:rPr>
          <w:rFonts w:ascii="Times New Roman" w:eastAsia="Times New Roman" w:hAnsi="Times New Roman" w:cs="Times New Roman"/>
          <w:b/>
          <w:bCs/>
          <w:sz w:val="24"/>
          <w:szCs w:val="24"/>
        </w:rPr>
      </w:pPr>
    </w:p>
    <w:p w14:paraId="584059D7" w14:textId="77777777" w:rsidR="004A017C" w:rsidRDefault="004A017C">
      <w:pPr>
        <w:rPr>
          <w:rFonts w:ascii="Times New Roman" w:eastAsia="Times New Roman" w:hAnsi="Times New Roman" w:cs="Times New Roman"/>
          <w:b/>
          <w:bCs/>
          <w:sz w:val="24"/>
          <w:szCs w:val="24"/>
        </w:rPr>
      </w:pPr>
    </w:p>
    <w:p w14:paraId="37C36DC4" w14:textId="77777777" w:rsidR="004A017C" w:rsidRDefault="004A017C">
      <w:pPr>
        <w:rPr>
          <w:rFonts w:ascii="Times New Roman" w:eastAsia="Times New Roman" w:hAnsi="Times New Roman" w:cs="Times New Roman"/>
          <w:b/>
          <w:bCs/>
          <w:sz w:val="24"/>
          <w:szCs w:val="24"/>
        </w:rPr>
      </w:pPr>
    </w:p>
    <w:p w14:paraId="204F35DF" w14:textId="77777777" w:rsidR="004A017C" w:rsidRDefault="004A017C">
      <w:pPr>
        <w:rPr>
          <w:rFonts w:ascii="Times New Roman" w:eastAsia="Times New Roman" w:hAnsi="Times New Roman" w:cs="Times New Roman"/>
          <w:b/>
          <w:bCs/>
          <w:sz w:val="24"/>
          <w:szCs w:val="24"/>
        </w:rPr>
        <w:sectPr w:rsidR="004A017C">
          <w:headerReference w:type="default" r:id="rId10"/>
          <w:footerReference w:type="default" r:id="rId11"/>
          <w:head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19D27AFD" w14:textId="77777777" w:rsidR="004A017C" w:rsidRDefault="004A017C">
      <w:pPr>
        <w:rPr>
          <w:rFonts w:ascii="Times New Roman" w:eastAsia="Times New Roman" w:hAnsi="Times New Roman" w:cs="Times New Roman"/>
          <w:b/>
          <w:bCs/>
          <w:sz w:val="24"/>
          <w:szCs w:val="24"/>
        </w:rPr>
      </w:pPr>
    </w:p>
    <w:p w14:paraId="3AC5009F" w14:textId="77777777" w:rsidR="004A017C" w:rsidRDefault="004A017C">
      <w:pPr>
        <w:rPr>
          <w:rFonts w:ascii="Times New Roman" w:eastAsia="Times New Roman" w:hAnsi="Times New Roman" w:cs="Times New Roman"/>
          <w:b/>
          <w:bCs/>
          <w:sz w:val="24"/>
          <w:szCs w:val="24"/>
        </w:rPr>
      </w:pPr>
    </w:p>
    <w:p w14:paraId="32B59CE5" w14:textId="77777777" w:rsidR="004A017C" w:rsidRDefault="004A017C">
      <w:pPr>
        <w:rPr>
          <w:rFonts w:ascii="Times New Roman" w:eastAsia="Times New Roman" w:hAnsi="Times New Roman" w:cs="Times New Roman"/>
          <w:b/>
          <w:bCs/>
          <w:sz w:val="24"/>
          <w:szCs w:val="24"/>
        </w:rPr>
      </w:pPr>
    </w:p>
    <w:p w14:paraId="7C50BB74" w14:textId="77777777" w:rsidR="004A017C" w:rsidRDefault="004A017C">
      <w:pPr>
        <w:rPr>
          <w:rFonts w:ascii="Times New Roman" w:eastAsia="Times New Roman" w:hAnsi="Times New Roman" w:cs="Times New Roman"/>
          <w:b/>
          <w:bCs/>
          <w:sz w:val="24"/>
          <w:szCs w:val="24"/>
        </w:rPr>
      </w:pPr>
    </w:p>
    <w:p w14:paraId="40344F2C" w14:textId="77777777" w:rsidR="004A017C" w:rsidRDefault="00A222F5">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Executive summary</w:t>
      </w:r>
    </w:p>
    <w:p w14:paraId="31CE128B" w14:textId="77777777" w:rsidR="004A017C" w:rsidRDefault="00A222F5">
      <w:pPr>
        <w:pStyle w:val="NormalWeb"/>
        <w:spacing w:line="360" w:lineRule="auto"/>
        <w:jc w:val="both"/>
      </w:pPr>
      <w:r>
        <w:t xml:space="preserve">This report proposed the human capital architecture for a start-up, Helios Urban Mobility, to understand and mitigate the low employee engagement issues, high graduate attrition, and increasing needs for innovation. The task A has recommended to adopt a strategic organisational socialisation framework to focus on its organisational identification, ethical professionalism and stakeholder-focused business activism. The task B has focused on adopting an an adaptive job architecture. This part has covered various aspects like the Job Characteristics Model, Job Crafting Theory and a skills-based talent marketplace to focus on motivation and innovation. The last part is a reflective report focusing on the ethical and responsible use of AI in HR decision-making and outlined personal development plan. </w:t>
      </w:r>
    </w:p>
    <w:p w14:paraId="49AA23E1" w14:textId="77777777" w:rsidR="004A017C" w:rsidRDefault="00A222F5">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F2F5039" w14:textId="77777777" w:rsidR="004A017C" w:rsidRDefault="00A222F5">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p w14:paraId="75255A3E" w14:textId="77777777" w:rsidR="004A017C" w:rsidRDefault="00A222F5">
      <w:pPr>
        <w:pStyle w:val="TOC1"/>
        <w:tabs>
          <w:tab w:val="right" w:leader="dot" w:pos="9360"/>
        </w:tabs>
        <w:jc w:val="both"/>
        <w:rPr>
          <w:rFonts w:ascii="Times New Roman" w:hAnsi="Times New Roman" w:cs="Times New Roman"/>
          <w:sz w:val="24"/>
          <w:szCs w:val="24"/>
        </w:rPr>
      </w:pPr>
      <w:r>
        <w:rPr>
          <w:rFonts w:ascii="Times New Roman" w:eastAsia="Times New Roman" w:hAnsi="Times New Roman" w:cs="Times New Roman"/>
          <w:b/>
          <w:bCs/>
          <w:sz w:val="24"/>
          <w:szCs w:val="24"/>
        </w:rPr>
        <w:fldChar w:fldCharType="begin"/>
      </w:r>
      <w:r>
        <w:rPr>
          <w:rFonts w:ascii="Times New Roman" w:eastAsia="Times New Roman" w:hAnsi="Times New Roman" w:cs="Times New Roman"/>
          <w:b/>
          <w:bCs/>
          <w:sz w:val="24"/>
          <w:szCs w:val="24"/>
        </w:rPr>
        <w:instrText xml:space="preserve">TOC \o "1-3" \h \u </w:instrText>
      </w:r>
      <w:r>
        <w:rPr>
          <w:rFonts w:ascii="Times New Roman" w:eastAsia="Times New Roman" w:hAnsi="Times New Roman" w:cs="Times New Roman"/>
          <w:b/>
          <w:bCs/>
          <w:sz w:val="24"/>
          <w:szCs w:val="24"/>
        </w:rPr>
        <w:fldChar w:fldCharType="separate"/>
      </w:r>
      <w:hyperlink w:anchor="_Toc13218" w:history="1">
        <w:r>
          <w:rPr>
            <w:rFonts w:ascii="Times New Roman" w:hAnsi="Times New Roman" w:cs="Times New Roman"/>
            <w:sz w:val="24"/>
            <w:szCs w:val="24"/>
          </w:rPr>
          <w:t>TASK A: Socialisation, Identity &amp; Business Activism</w:t>
        </w:r>
        <w:r>
          <w:rPr>
            <w:rFonts w:ascii="Times New Roman" w:hAnsi="Times New Roman" w:cs="Times New Roman"/>
            <w:sz w:val="24"/>
            <w:szCs w:val="24"/>
          </w:rPr>
          <w:tab/>
        </w:r>
        <w:r>
          <w:rPr>
            <w:rFonts w:ascii="Times New Roman" w:hAnsi="Times New Roman" w:cs="Times New Roman"/>
            <w:sz w:val="24"/>
            <w:szCs w:val="24"/>
            <w:lang w:val="en-IN"/>
          </w:rPr>
          <w:t>3</w:t>
        </w:r>
      </w:hyperlink>
    </w:p>
    <w:p w14:paraId="3503FDED" w14:textId="77777777" w:rsidR="004A017C" w:rsidRDefault="008C76B0">
      <w:pPr>
        <w:pStyle w:val="TOC1"/>
        <w:tabs>
          <w:tab w:val="right" w:leader="dot" w:pos="9360"/>
        </w:tabs>
        <w:jc w:val="both"/>
        <w:rPr>
          <w:rFonts w:ascii="Times New Roman" w:hAnsi="Times New Roman" w:cs="Times New Roman"/>
          <w:sz w:val="24"/>
          <w:szCs w:val="24"/>
        </w:rPr>
      </w:pPr>
      <w:hyperlink w:anchor="_Toc5273" w:history="1">
        <w:r w:rsidR="00A222F5">
          <w:rPr>
            <w:rFonts w:ascii="Times New Roman" w:hAnsi="Times New Roman" w:cs="Times New Roman"/>
            <w:sz w:val="24"/>
            <w:szCs w:val="24"/>
          </w:rPr>
          <w:t>TASK B: Job Design for Strategic Renewal at Helios Urban Mobility</w:t>
        </w:r>
        <w:r w:rsidR="00A222F5">
          <w:rPr>
            <w:rFonts w:ascii="Times New Roman" w:hAnsi="Times New Roman" w:cs="Times New Roman"/>
            <w:sz w:val="24"/>
            <w:szCs w:val="24"/>
          </w:rPr>
          <w:tab/>
        </w:r>
        <w:r w:rsidR="00A222F5">
          <w:rPr>
            <w:rFonts w:ascii="Times New Roman" w:hAnsi="Times New Roman" w:cs="Times New Roman"/>
            <w:sz w:val="24"/>
            <w:szCs w:val="24"/>
          </w:rPr>
          <w:fldChar w:fldCharType="begin"/>
        </w:r>
        <w:r w:rsidR="00A222F5">
          <w:rPr>
            <w:rFonts w:ascii="Times New Roman" w:hAnsi="Times New Roman" w:cs="Times New Roman"/>
            <w:sz w:val="24"/>
            <w:szCs w:val="24"/>
          </w:rPr>
          <w:instrText xml:space="preserve"> PAGEREF _Toc5273 \h </w:instrText>
        </w:r>
        <w:r w:rsidR="00A222F5">
          <w:rPr>
            <w:rFonts w:ascii="Times New Roman" w:hAnsi="Times New Roman" w:cs="Times New Roman"/>
            <w:sz w:val="24"/>
            <w:szCs w:val="24"/>
          </w:rPr>
        </w:r>
        <w:r w:rsidR="00A222F5">
          <w:rPr>
            <w:rFonts w:ascii="Times New Roman" w:hAnsi="Times New Roman" w:cs="Times New Roman"/>
            <w:sz w:val="24"/>
            <w:szCs w:val="24"/>
          </w:rPr>
          <w:fldChar w:fldCharType="separate"/>
        </w:r>
        <w:r w:rsidR="00A222F5">
          <w:rPr>
            <w:rFonts w:ascii="Times New Roman" w:hAnsi="Times New Roman" w:cs="Times New Roman"/>
            <w:sz w:val="24"/>
            <w:szCs w:val="24"/>
          </w:rPr>
          <w:t>7</w:t>
        </w:r>
        <w:r w:rsidR="00A222F5">
          <w:rPr>
            <w:rFonts w:ascii="Times New Roman" w:hAnsi="Times New Roman" w:cs="Times New Roman"/>
            <w:sz w:val="24"/>
            <w:szCs w:val="24"/>
          </w:rPr>
          <w:fldChar w:fldCharType="end"/>
        </w:r>
      </w:hyperlink>
    </w:p>
    <w:p w14:paraId="75313B3F" w14:textId="77777777" w:rsidR="004A017C" w:rsidRDefault="008C76B0">
      <w:pPr>
        <w:pStyle w:val="TOC1"/>
        <w:tabs>
          <w:tab w:val="right" w:leader="dot" w:pos="9360"/>
        </w:tabs>
        <w:jc w:val="both"/>
        <w:rPr>
          <w:rFonts w:ascii="Times New Roman" w:hAnsi="Times New Roman" w:cs="Times New Roman"/>
          <w:sz w:val="24"/>
          <w:szCs w:val="24"/>
          <w:lang w:val="en-IN"/>
        </w:rPr>
      </w:pPr>
      <w:hyperlink w:anchor="_Toc23728" w:history="1">
        <w:r w:rsidR="00A222F5">
          <w:rPr>
            <w:rFonts w:ascii="Times New Roman" w:hAnsi="Times New Roman" w:cs="Times New Roman"/>
            <w:sz w:val="24"/>
            <w:szCs w:val="24"/>
          </w:rPr>
          <w:t>TASK C: Reflective Report</w:t>
        </w:r>
        <w:r w:rsidR="00A222F5">
          <w:rPr>
            <w:rFonts w:ascii="Times New Roman" w:hAnsi="Times New Roman" w:cs="Times New Roman"/>
            <w:sz w:val="24"/>
            <w:szCs w:val="24"/>
          </w:rPr>
          <w:tab/>
        </w:r>
        <w:r w:rsidR="00A222F5">
          <w:rPr>
            <w:rFonts w:ascii="Times New Roman" w:hAnsi="Times New Roman" w:cs="Times New Roman"/>
            <w:sz w:val="24"/>
            <w:szCs w:val="24"/>
            <w:lang w:val="en-IN"/>
          </w:rPr>
          <w:t>1</w:t>
        </w:r>
      </w:hyperlink>
      <w:r w:rsidR="00A222F5">
        <w:rPr>
          <w:rFonts w:ascii="Times New Roman" w:eastAsia="Times New Roman" w:hAnsi="Times New Roman" w:cs="Times New Roman"/>
          <w:bCs/>
          <w:sz w:val="24"/>
          <w:szCs w:val="28"/>
          <w:lang w:val="en-IN"/>
        </w:rPr>
        <w:t>1</w:t>
      </w:r>
    </w:p>
    <w:p w14:paraId="7CBACB08" w14:textId="77777777" w:rsidR="004A017C" w:rsidRDefault="008C76B0">
      <w:pPr>
        <w:pStyle w:val="TOC1"/>
        <w:tabs>
          <w:tab w:val="right" w:leader="dot" w:pos="9360"/>
        </w:tabs>
        <w:jc w:val="both"/>
      </w:pPr>
      <w:hyperlink w:anchor="_Toc17889" w:history="1">
        <w:r w:rsidR="00A222F5">
          <w:rPr>
            <w:rFonts w:ascii="Times New Roman" w:hAnsi="Times New Roman" w:cs="Times New Roman"/>
            <w:sz w:val="24"/>
            <w:szCs w:val="24"/>
          </w:rPr>
          <w:t>References</w:t>
        </w:r>
        <w:r w:rsidR="00A222F5">
          <w:rPr>
            <w:rFonts w:ascii="Times New Roman" w:hAnsi="Times New Roman" w:cs="Times New Roman"/>
            <w:sz w:val="24"/>
            <w:szCs w:val="24"/>
          </w:rPr>
          <w:tab/>
        </w:r>
        <w:r w:rsidR="00A222F5">
          <w:rPr>
            <w:rFonts w:ascii="Times New Roman" w:hAnsi="Times New Roman" w:cs="Times New Roman"/>
            <w:sz w:val="24"/>
            <w:szCs w:val="24"/>
          </w:rPr>
          <w:fldChar w:fldCharType="begin"/>
        </w:r>
        <w:r w:rsidR="00A222F5">
          <w:rPr>
            <w:rFonts w:ascii="Times New Roman" w:hAnsi="Times New Roman" w:cs="Times New Roman"/>
            <w:sz w:val="24"/>
            <w:szCs w:val="24"/>
          </w:rPr>
          <w:instrText xml:space="preserve"> PAGEREF _Toc17889 \h </w:instrText>
        </w:r>
        <w:r w:rsidR="00A222F5">
          <w:rPr>
            <w:rFonts w:ascii="Times New Roman" w:hAnsi="Times New Roman" w:cs="Times New Roman"/>
            <w:sz w:val="24"/>
            <w:szCs w:val="24"/>
          </w:rPr>
        </w:r>
        <w:r w:rsidR="00A222F5">
          <w:rPr>
            <w:rFonts w:ascii="Times New Roman" w:hAnsi="Times New Roman" w:cs="Times New Roman"/>
            <w:sz w:val="24"/>
            <w:szCs w:val="24"/>
          </w:rPr>
          <w:fldChar w:fldCharType="separate"/>
        </w:r>
        <w:r w:rsidR="00A222F5">
          <w:rPr>
            <w:rFonts w:ascii="Times New Roman" w:hAnsi="Times New Roman" w:cs="Times New Roman"/>
            <w:sz w:val="24"/>
            <w:szCs w:val="24"/>
          </w:rPr>
          <w:t>14</w:t>
        </w:r>
        <w:r w:rsidR="00A222F5">
          <w:rPr>
            <w:rFonts w:ascii="Times New Roman" w:hAnsi="Times New Roman" w:cs="Times New Roman"/>
            <w:sz w:val="24"/>
            <w:szCs w:val="24"/>
          </w:rPr>
          <w:fldChar w:fldCharType="end"/>
        </w:r>
      </w:hyperlink>
    </w:p>
    <w:p w14:paraId="250BE885" w14:textId="77777777" w:rsidR="004A017C" w:rsidRDefault="00A222F5">
      <w:pPr>
        <w:rPr>
          <w:rFonts w:ascii="Times New Roman" w:eastAsia="Times New Roman" w:hAnsi="Times New Roman" w:cs="Times New Roman"/>
          <w:b/>
          <w:bCs/>
          <w:sz w:val="24"/>
          <w:szCs w:val="24"/>
        </w:rPr>
      </w:pPr>
      <w:r>
        <w:rPr>
          <w:rFonts w:ascii="Times New Roman" w:eastAsia="Times New Roman" w:hAnsi="Times New Roman" w:cs="Times New Roman"/>
          <w:bCs/>
          <w:szCs w:val="24"/>
        </w:rPr>
        <w:fldChar w:fldCharType="end"/>
      </w:r>
    </w:p>
    <w:p w14:paraId="54E3FE79" w14:textId="77777777" w:rsidR="004A017C" w:rsidRDefault="00A222F5">
      <w:r>
        <w:br w:type="page"/>
      </w:r>
    </w:p>
    <w:p w14:paraId="49A63EB9" w14:textId="77777777" w:rsidR="004A017C" w:rsidRDefault="00A222F5">
      <w:pPr>
        <w:pStyle w:val="Heading1"/>
      </w:pPr>
      <w:bookmarkStart w:id="0" w:name="_Toc13218"/>
      <w:r>
        <w:lastRenderedPageBreak/>
        <w:t>TASK A: Socialisation, Identity &amp; Business Activism</w:t>
      </w:r>
      <w:bookmarkEnd w:id="0"/>
    </w:p>
    <w:p w14:paraId="09C12616"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rapidly evolving world of smart mobility, Helios Urban Mobility is operating in an industry marked by innovation, sharing of knowledge and involvement of employees. However, on average these users take 8 months to become involved and employees have a 54% engagement score, there are definite integration problems. These issues highlight a need for a strategic organisational socialisation approach to build committed employees who can add value to the organisation's goals and to the stakeholders.</w:t>
      </w:r>
    </w:p>
    <w:p w14:paraId="51DEDC87" w14:textId="77777777" w:rsidR="004A017C" w:rsidRDefault="00A222F5">
      <w:pPr>
        <w:spacing w:before="480" w:after="1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Traditional Onboarding versus Strategic Socialisation</w:t>
      </w:r>
    </w:p>
    <w:p w14:paraId="6DBF0C45"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traditional onboarding involves mainly administrative tasks, job description, compliance issues, etc. Though this can help someone understand the policies and responsibilities of the organisation, it can come across as a one-way lecture exercise for the newcomer. Employees can be taught organisational processes and yet fail to connect with organisational culture, values and purpose.</w:t>
      </w:r>
    </w:p>
    <w:p w14:paraId="55469C1D"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study indicates that despite a significant level of investment in employee onboarding initiatives employee engagement is still low (</w:t>
      </w:r>
      <w:r>
        <w:rPr>
          <w:rFonts w:ascii="Times New Roman" w:eastAsia="SimSun" w:hAnsi="Times New Roman" w:cs="Times New Roman"/>
          <w:color w:val="222222"/>
          <w:sz w:val="24"/>
          <w:szCs w:val="24"/>
          <w:shd w:val="clear" w:color="auto" w:fill="FFFFFF"/>
        </w:rPr>
        <w:t xml:space="preserve">Frögéli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2023). This illustrates that information sharing is not enough to achieve commitment and motivation. There is a growing trend among employees for purpose, belonging, and opportunities for personal growth. Organisations need more holistic socialisation approaches, therefore, to make employees aware of their roles as well as broader significance of their work.</w:t>
      </w:r>
    </w:p>
    <w:p w14:paraId="10DFF7DA" w14:textId="77777777" w:rsidR="004A017C" w:rsidRDefault="00A222F5">
      <w:pPr>
        <w:spacing w:before="480" w:after="1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Theoretical Perspectives on Socialisation</w:t>
      </w:r>
    </w:p>
    <w:p w14:paraId="7B342E93"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framework of Organisational Socialisation Theory can be helpful to explain when and how employees become integrated. Van Maanen and Schein argue that socialisation includes learning the organisation's knowledge, values and expectations of behavior (</w:t>
      </w:r>
      <w:r>
        <w:rPr>
          <w:rFonts w:ascii="Times New Roman" w:eastAsia="SimSun" w:hAnsi="Times New Roman" w:cs="Times New Roman"/>
          <w:color w:val="222222"/>
          <w:sz w:val="24"/>
          <w:szCs w:val="24"/>
          <w:shd w:val="clear" w:color="auto" w:fill="FFFFFF"/>
        </w:rPr>
        <w:t>DeMark and Kozyrev, 2021)</w:t>
      </w:r>
      <w:r>
        <w:rPr>
          <w:rFonts w:ascii="Times New Roman" w:eastAsia="Times New Roman" w:hAnsi="Times New Roman" w:cs="Times New Roman"/>
          <w:sz w:val="24"/>
          <w:szCs w:val="24"/>
        </w:rPr>
        <w:t>. Organizations, however, are dynamic and employees working on trans-functional and trans-geographical boundary.</w:t>
      </w:r>
    </w:p>
    <w:p w14:paraId="1BEBA914"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addition to highlighting that employees can actively construct their identities within the context of organisational values and stories, Identity Construction Theory provides further insight. In effective socialisation, sponsors must align their identity with that of the recruits in addition to sharing organizational knowledge (</w:t>
      </w:r>
      <w:r>
        <w:rPr>
          <w:rFonts w:ascii="Times New Roman" w:eastAsia="SimSun" w:hAnsi="Times New Roman" w:cs="Times New Roman"/>
          <w:color w:val="222222"/>
          <w:sz w:val="24"/>
          <w:szCs w:val="24"/>
          <w:shd w:val="clear" w:color="auto" w:fill="FFFFFF"/>
        </w:rPr>
        <w:t xml:space="preserve">Godinho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2023). Helios has a long ramp-up period, suggesting that staff are aware of procedures but are yet to make organisational purpose their responsibility.</w:t>
      </w:r>
    </w:p>
    <w:p w14:paraId="3AC2187E"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theory that emphasises employee expectations is Psychological Contract Theory. For employees, entering the workplace is often with the hope of support, development and purposefulness in their roles (</w:t>
      </w:r>
      <w:r>
        <w:rPr>
          <w:rFonts w:ascii="Times New Roman" w:eastAsia="SimSun" w:hAnsi="Times New Roman" w:cs="Times New Roman"/>
          <w:color w:val="222222"/>
          <w:sz w:val="24"/>
          <w:szCs w:val="24"/>
          <w:shd w:val="clear" w:color="auto" w:fill="FFFFFF"/>
        </w:rPr>
        <w:t xml:space="preserve">Junça Silva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2026). However, if they are not met, commitment wanes and their intention to leave rises. Higher-than-average staff separation rates could, therefore, be due to a mismatch between organisational promises and employee experience at Helios.</w:t>
      </w:r>
    </w:p>
    <w:p w14:paraId="43326467" w14:textId="77777777" w:rsidR="004A017C" w:rsidRDefault="00A222F5">
      <w:pPr>
        <w:spacing w:before="480" w:after="1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Strategic Socialisation Framework</w:t>
      </w:r>
    </w:p>
    <w:p w14:paraId="7F4299F5"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Phase One: Pre-Boarding</w:t>
      </w:r>
    </w:p>
    <w:p w14:paraId="39194457"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Socialisation must start on the day the contract is accepted. Helios should launch an online pre boarding platform for the organisational purpose, innovative priorities, sustainability goals. Senior leaders should welcome new staff in with messages, access for learning materials, introduce new staff to staff members (</w:t>
      </w:r>
      <w:r>
        <w:rPr>
          <w:rFonts w:ascii="Times New Roman" w:eastAsia="SimSun" w:hAnsi="Times New Roman" w:cs="Times New Roman"/>
          <w:color w:val="222222"/>
          <w:sz w:val="24"/>
          <w:szCs w:val="24"/>
          <w:shd w:val="clear" w:color="auto" w:fill="FFFFFF"/>
        </w:rPr>
        <w:t>Hussain and Mubarak, 2021)</w:t>
      </w:r>
      <w:r>
        <w:rPr>
          <w:rFonts w:ascii="Times New Roman" w:eastAsia="Times New Roman" w:hAnsi="Times New Roman" w:cs="Times New Roman"/>
          <w:sz w:val="24"/>
          <w:szCs w:val="24"/>
        </w:rPr>
        <w:t>.</w:t>
      </w:r>
    </w:p>
    <w:p w14:paraId="195F8CA8"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it is essential to assign a mentor to each new individual, as well as a mentor in a skill. This integrated solution can benefit their employees' professional development and help them acculturate and align themselves to the company culture and expectations.</w:t>
      </w:r>
    </w:p>
    <w:p w14:paraId="01A3D4B7"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Phase Two: First 90 Days</w:t>
      </w:r>
    </w:p>
    <w:p w14:paraId="05240F2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initial ninety days is for identity development and then understanding about organisations. The first 30 days the employees should carry out organisational history, organisational goals and organisational responsibilities workshops.</w:t>
      </w:r>
    </w:p>
    <w:p w14:paraId="536523A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From day 30 to 60, new-hires should be assigned to projects across departments, such as engineering and analytics and customer engagement. They foster collaboration and systems thinking experiences (</w:t>
      </w:r>
      <w:r>
        <w:rPr>
          <w:rFonts w:ascii="Times New Roman" w:eastAsia="SimSun" w:hAnsi="Times New Roman" w:cs="Times New Roman"/>
          <w:color w:val="222222"/>
          <w:sz w:val="24"/>
          <w:szCs w:val="24"/>
          <w:shd w:val="clear" w:color="auto" w:fill="FFFFFF"/>
        </w:rPr>
        <w:t>Herrera and De Las Heras-Rosas, 2021)</w:t>
      </w:r>
      <w:r>
        <w:rPr>
          <w:rFonts w:ascii="Times New Roman" w:eastAsia="Times New Roman" w:hAnsi="Times New Roman" w:cs="Times New Roman"/>
          <w:sz w:val="24"/>
          <w:szCs w:val="24"/>
        </w:rPr>
        <w:t>.</w:t>
      </w:r>
    </w:p>
    <w:p w14:paraId="6A14B72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Stakeholder immersion activities with transport agencies, community groups and external partners should take place during days 60-90. These experiences promote knowledge of the larger social implications of organisational decisions.</w:t>
      </w:r>
    </w:p>
    <w:p w14:paraId="37C24D32"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Phase Three: First Year Development</w:t>
      </w:r>
    </w:p>
    <w:p w14:paraId="341859B2"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Socialisation should not stop after orientation but continue for the whole year. Quarterly development reviews should include career progression as well as innovation contribution and impact on stakeholders. Staff should also have the possibility of being involved in sustainability programs and staff mobility programmes (</w:t>
      </w:r>
      <w:r>
        <w:rPr>
          <w:rFonts w:ascii="Times New Roman" w:eastAsia="SimSun" w:hAnsi="Times New Roman" w:cs="Times New Roman"/>
          <w:color w:val="222222"/>
          <w:sz w:val="24"/>
          <w:szCs w:val="24"/>
          <w:shd w:val="clear" w:color="auto" w:fill="FFFFFF"/>
        </w:rPr>
        <w:t xml:space="preserve">Davis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2023).</w:t>
      </w:r>
    </w:p>
    <w:p w14:paraId="2535D609"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Ongoing learning opportunities build enthusiasm of staff and reinforce organisational values. Successful socialisation leads to long-term employees actively contributing to the success of the organisation.</w:t>
      </w:r>
    </w:p>
    <w:p w14:paraId="1D60DEFA" w14:textId="77777777" w:rsidR="004A017C" w:rsidRDefault="00A222F5">
      <w:pPr>
        <w:spacing w:before="480" w:after="1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Cultivating Organisational Identification</w:t>
      </w:r>
    </w:p>
    <w:p w14:paraId="2856F024"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identification is the process in which an employee feels he or she is defined in part by his or her membership in an organisation. For Helios, identification can be enhanced by a strategic process of storytelling and through the employees' and leadership's presence.</w:t>
      </w:r>
    </w:p>
    <w:p w14:paraId="2A476E52"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narratives should highlight achievements in sustainable mobility, on the reduction of transport congestion, and environmental improvement (</w:t>
      </w:r>
      <w:r>
        <w:rPr>
          <w:rFonts w:ascii="Times New Roman" w:eastAsia="SimSun" w:hAnsi="Times New Roman" w:cs="Times New Roman"/>
          <w:color w:val="222222"/>
          <w:sz w:val="24"/>
          <w:szCs w:val="24"/>
          <w:shd w:val="clear" w:color="auto" w:fill="FFFFFF"/>
        </w:rPr>
        <w:t xml:space="preserve">Love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2023). Periodic global town hall sessions can bridge the gap between offices and help build a sense of unity and common values. Engaging workers in innovation or sustainability considerations can also increase psychological ownership and levels of engagement.</w:t>
      </w:r>
    </w:p>
    <w:p w14:paraId="11600015" w14:textId="77777777" w:rsidR="004A017C" w:rsidRDefault="00A222F5">
      <w:pPr>
        <w:spacing w:before="480" w:after="1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Promoting Ethical Professionalism and Business Activism</w:t>
      </w:r>
    </w:p>
    <w:p w14:paraId="2AEFD343"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Ethical professionalism must be an integral part of socialisation. Employees to be trained in responsible use of AI, data privacy, responsible use of environment and ethics. Ethical behaviors also need to be reinforced by leadership role modelling and performance assessment methods (</w:t>
      </w:r>
      <w:r>
        <w:rPr>
          <w:rFonts w:ascii="Times New Roman" w:eastAsia="SimSun" w:hAnsi="Times New Roman" w:cs="Times New Roman"/>
          <w:color w:val="222222"/>
          <w:sz w:val="24"/>
          <w:szCs w:val="24"/>
          <w:shd w:val="clear" w:color="auto" w:fill="FFFFFF"/>
        </w:rPr>
        <w:t xml:space="preserve">Costa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2021).</w:t>
      </w:r>
    </w:p>
    <w:p w14:paraId="4D887C9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Helios must also impart an attitude towards business activism through stakeholder engagement projects involving employees. These actions enable “thinking with work staff” regarding economic, social and environmental implications in decision-making (</w:t>
      </w:r>
      <w:r>
        <w:rPr>
          <w:rFonts w:ascii="Times New Roman" w:eastAsia="SimSun" w:hAnsi="Times New Roman" w:cs="Times New Roman"/>
          <w:color w:val="222222"/>
          <w:sz w:val="24"/>
          <w:szCs w:val="24"/>
          <w:shd w:val="clear" w:color="auto" w:fill="FFFFFF"/>
        </w:rPr>
        <w:t xml:space="preserve">Branicki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xml:space="preserve">., 2021). Helios can </w:t>
      </w:r>
      <w:proofErr w:type="spellStart"/>
      <w:r>
        <w:rPr>
          <w:rFonts w:ascii="Times New Roman" w:eastAsia="Times New Roman" w:hAnsi="Times New Roman" w:cs="Times New Roman"/>
          <w:sz w:val="24"/>
          <w:szCs w:val="24"/>
        </w:rPr>
        <w:t>socialise</w:t>
      </w:r>
      <w:proofErr w:type="spellEnd"/>
      <w:r>
        <w:rPr>
          <w:rFonts w:ascii="Times New Roman" w:eastAsia="Times New Roman" w:hAnsi="Times New Roman" w:cs="Times New Roman"/>
          <w:sz w:val="24"/>
          <w:szCs w:val="24"/>
        </w:rPr>
        <w:t xml:space="preserve"> their staff to become more ethical, more considerate of stakeholders and contribute to sustainable urban development to assure the success of the organisation in the long-term.</w:t>
      </w:r>
    </w:p>
    <w:p w14:paraId="081FAE9B" w14:textId="77777777" w:rsidR="004A017C" w:rsidRDefault="004A017C">
      <w:pPr>
        <w:spacing w:before="240" w:after="240" w:line="360" w:lineRule="auto"/>
        <w:jc w:val="both"/>
        <w:rPr>
          <w:rFonts w:ascii="Times New Roman" w:eastAsia="Times New Roman" w:hAnsi="Times New Roman" w:cs="Times New Roman"/>
          <w:sz w:val="24"/>
          <w:szCs w:val="24"/>
        </w:rPr>
      </w:pPr>
    </w:p>
    <w:p w14:paraId="427A2150" w14:textId="77777777" w:rsidR="004A017C" w:rsidRDefault="004A017C">
      <w:pPr>
        <w:spacing w:before="240" w:after="240" w:line="360" w:lineRule="auto"/>
        <w:jc w:val="both"/>
        <w:rPr>
          <w:rFonts w:ascii="Times New Roman" w:eastAsia="Times New Roman" w:hAnsi="Times New Roman" w:cs="Times New Roman"/>
          <w:sz w:val="24"/>
          <w:szCs w:val="24"/>
        </w:rPr>
      </w:pPr>
    </w:p>
    <w:p w14:paraId="625CCBF5" w14:textId="77777777" w:rsidR="004A017C" w:rsidRDefault="004A017C">
      <w:pPr>
        <w:spacing w:before="240" w:after="240" w:line="360" w:lineRule="auto"/>
        <w:jc w:val="both"/>
        <w:rPr>
          <w:rFonts w:ascii="Times New Roman" w:eastAsia="Times New Roman" w:hAnsi="Times New Roman" w:cs="Times New Roman"/>
          <w:sz w:val="24"/>
          <w:szCs w:val="24"/>
        </w:rPr>
      </w:pPr>
    </w:p>
    <w:p w14:paraId="1D09644D" w14:textId="77777777" w:rsidR="004A017C" w:rsidRDefault="004A017C">
      <w:pPr>
        <w:spacing w:before="240" w:after="240" w:line="360" w:lineRule="auto"/>
        <w:jc w:val="both"/>
        <w:rPr>
          <w:rFonts w:ascii="Times New Roman" w:eastAsia="Times New Roman" w:hAnsi="Times New Roman" w:cs="Times New Roman"/>
          <w:sz w:val="24"/>
          <w:szCs w:val="24"/>
        </w:rPr>
      </w:pPr>
    </w:p>
    <w:p w14:paraId="0C599FD7" w14:textId="77777777" w:rsidR="004A017C" w:rsidRDefault="004A017C">
      <w:pPr>
        <w:spacing w:before="240" w:after="240" w:line="360" w:lineRule="auto"/>
        <w:jc w:val="both"/>
        <w:rPr>
          <w:rFonts w:ascii="Times New Roman" w:eastAsia="Times New Roman" w:hAnsi="Times New Roman" w:cs="Times New Roman"/>
          <w:sz w:val="24"/>
          <w:szCs w:val="24"/>
        </w:rPr>
      </w:pPr>
    </w:p>
    <w:p w14:paraId="6555A19E" w14:textId="77777777" w:rsidR="004A017C" w:rsidRDefault="004A017C">
      <w:pPr>
        <w:spacing w:before="240" w:after="240" w:line="360" w:lineRule="auto"/>
        <w:jc w:val="both"/>
        <w:rPr>
          <w:rFonts w:ascii="Times New Roman" w:eastAsia="Times New Roman" w:hAnsi="Times New Roman" w:cs="Times New Roman"/>
          <w:sz w:val="24"/>
          <w:szCs w:val="24"/>
        </w:rPr>
      </w:pPr>
    </w:p>
    <w:p w14:paraId="2126122D" w14:textId="77777777" w:rsidR="004A017C" w:rsidRDefault="004A017C">
      <w:pPr>
        <w:spacing w:before="240" w:after="240" w:line="360" w:lineRule="auto"/>
        <w:jc w:val="both"/>
        <w:rPr>
          <w:rFonts w:ascii="Times New Roman" w:eastAsia="Times New Roman" w:hAnsi="Times New Roman" w:cs="Times New Roman"/>
          <w:sz w:val="24"/>
          <w:szCs w:val="24"/>
        </w:rPr>
      </w:pPr>
    </w:p>
    <w:p w14:paraId="4C9411C7" w14:textId="77777777" w:rsidR="004A017C" w:rsidRDefault="004A017C">
      <w:pPr>
        <w:spacing w:before="240" w:after="240" w:line="360" w:lineRule="auto"/>
        <w:jc w:val="both"/>
        <w:rPr>
          <w:rFonts w:ascii="Times New Roman" w:eastAsia="Times New Roman" w:hAnsi="Times New Roman" w:cs="Times New Roman"/>
          <w:sz w:val="24"/>
          <w:szCs w:val="24"/>
        </w:rPr>
      </w:pPr>
    </w:p>
    <w:p w14:paraId="677AD96E" w14:textId="77777777" w:rsidR="004A017C" w:rsidRDefault="004A017C">
      <w:pPr>
        <w:spacing w:before="240" w:after="240" w:line="360" w:lineRule="auto"/>
        <w:jc w:val="both"/>
        <w:rPr>
          <w:rFonts w:ascii="Times New Roman" w:eastAsia="Times New Roman" w:hAnsi="Times New Roman" w:cs="Times New Roman"/>
          <w:sz w:val="24"/>
          <w:szCs w:val="24"/>
        </w:rPr>
      </w:pPr>
    </w:p>
    <w:p w14:paraId="6EF43E81" w14:textId="77777777" w:rsidR="004A017C" w:rsidRDefault="004A017C">
      <w:pPr>
        <w:spacing w:before="240" w:after="240" w:line="360" w:lineRule="auto"/>
        <w:jc w:val="both"/>
        <w:rPr>
          <w:rFonts w:ascii="Times New Roman" w:eastAsia="Times New Roman" w:hAnsi="Times New Roman" w:cs="Times New Roman"/>
          <w:sz w:val="24"/>
          <w:szCs w:val="24"/>
        </w:rPr>
      </w:pPr>
    </w:p>
    <w:p w14:paraId="2B0ECA22" w14:textId="77777777" w:rsidR="004A017C" w:rsidRDefault="004A017C">
      <w:pPr>
        <w:spacing w:before="240" w:after="240" w:line="360" w:lineRule="auto"/>
        <w:jc w:val="both"/>
        <w:rPr>
          <w:rFonts w:ascii="Times New Roman" w:eastAsia="Times New Roman" w:hAnsi="Times New Roman" w:cs="Times New Roman"/>
          <w:sz w:val="24"/>
          <w:szCs w:val="24"/>
        </w:rPr>
      </w:pPr>
    </w:p>
    <w:p w14:paraId="716D4A26" w14:textId="77777777" w:rsidR="004A017C" w:rsidRDefault="00A222F5">
      <w:pPr>
        <w:pStyle w:val="Heading1"/>
      </w:pPr>
      <w:bookmarkStart w:id="1" w:name="_Toc5273"/>
      <w:r>
        <w:lastRenderedPageBreak/>
        <w:t>TASK B: Job Design for Strategic Renewal at Helios Urban Mobility</w:t>
      </w:r>
      <w:bookmarkEnd w:id="1"/>
      <w:r>
        <w:t xml:space="preserve">  </w:t>
      </w:r>
    </w:p>
    <w:p w14:paraId="08C27ECE"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Helios Urban Mobility is situated in a fast-evolving field defined by technological innovation, disruption and shifting stakeholder expectations. Low staff engagement and high staff turnover of graduates suggest that current structures of employment do not foster motivation, learning and innovation. Traditional job design methods emphasize effective task performance and the degree of task specialization, which are less applicable to knowledge-intensive environments (</w:t>
      </w:r>
      <w:r>
        <w:rPr>
          <w:rFonts w:ascii="Times New Roman" w:eastAsia="SimSun" w:hAnsi="Times New Roman" w:cs="Times New Roman"/>
          <w:color w:val="222222"/>
          <w:sz w:val="24"/>
          <w:szCs w:val="24"/>
          <w:shd w:val="clear" w:color="auto" w:fill="FFFFFF"/>
        </w:rPr>
        <w:t xml:space="preserve">Kuijpers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2020). Helios would need to implement an adaptive job design encompassing the Job Characteristics Model, Job Crafting Theory and a skills-based talent marketplace to cope with these challenges. This holistic strategy can enhance the motivation of employees, agility of the workplace, and the capacity for innovation within the organisation.</w:t>
      </w:r>
    </w:p>
    <w:p w14:paraId="28876700"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Limitations of Traditional Job Design</w:t>
      </w:r>
    </w:p>
    <w:p w14:paraId="6D872D62"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job design was based on Taylorist assumptions that prioritised task simplification, standardisation and managerial control. These methods can boost efficiency but can also limit employee empowerment, creativity and learning. Especially within organisations, where employees are required to find answers to complex technology and mobility issues.</w:t>
      </w:r>
    </w:p>
    <w:p w14:paraId="75E5064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job descriptions are based on the assumption of stability in the organisation and definite competency requirements. But with the fast-paced evolution of technology and artificial intelligence, constantly evolving needs are reshaping skills at work (</w:t>
      </w:r>
      <w:r>
        <w:rPr>
          <w:rFonts w:ascii="Times New Roman" w:eastAsia="SimSun" w:hAnsi="Times New Roman" w:cs="Times New Roman"/>
          <w:color w:val="222222"/>
          <w:sz w:val="24"/>
          <w:szCs w:val="24"/>
          <w:shd w:val="clear" w:color="auto" w:fill="FFFFFF"/>
        </w:rPr>
        <w:t xml:space="preserve">Holman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2024). Static job structures can easily result in capability gaps and decrease organisational responsiveness. Helios' jobs need to not only fulfill an operational performance expectation, but must also enable innovation and ongoing capability building.</w:t>
      </w:r>
    </w:p>
    <w:p w14:paraId="6E2DDCFA"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Applying the Job Characteristics Model</w:t>
      </w:r>
    </w:p>
    <w:p w14:paraId="70835C47"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Hackman and Oldham's Job Characteristics Model continues to be one of the most important models of job design. The model pinpoints 5 job factors that promote motivation and performance – skill variety, task identity, task significance, autonomy and feedback.</w:t>
      </w:r>
    </w:p>
    <w:p w14:paraId="7A77FA90"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Skill variety can be improved by having employees work on projects involving cross-functional teams, such as engineers, urban planners, data analysts, and AI experts (</w:t>
      </w:r>
      <w:r>
        <w:rPr>
          <w:rFonts w:ascii="Times New Roman" w:eastAsia="SimSun" w:hAnsi="Times New Roman" w:cs="Times New Roman"/>
          <w:color w:val="222222"/>
          <w:sz w:val="24"/>
          <w:szCs w:val="24"/>
          <w:shd w:val="clear" w:color="auto" w:fill="FFFFFF"/>
        </w:rPr>
        <w:t xml:space="preserve">Wang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2020). This partnership creates a culture of sharing and creativity for solving problems.</w:t>
      </w:r>
    </w:p>
    <w:p w14:paraId="67D4605E"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Identification of the task must be highlighted by engaging the employees in every stage of the project and not limited to only some of the activities in the project. Ownership, engagement and commitment to a project will be higher if involved people are from the development to implementation phase (</w:t>
      </w:r>
      <w:r>
        <w:rPr>
          <w:rFonts w:ascii="Times New Roman" w:eastAsia="SimSun" w:hAnsi="Times New Roman" w:cs="Times New Roman"/>
          <w:color w:val="222222"/>
          <w:sz w:val="24"/>
          <w:szCs w:val="24"/>
          <w:shd w:val="clear" w:color="auto" w:fill="FFFFFF"/>
        </w:rPr>
        <w:t xml:space="preserve">Costantini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2022).</w:t>
      </w:r>
    </w:p>
    <w:p w14:paraId="5981F24E"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task significance, encourage a reduction of urban congestion and mobility/friendliness to the employees' work environment. A social impact understanding will increase engagement and objectives.</w:t>
      </w:r>
    </w:p>
    <w:p w14:paraId="69397359"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increase the level of autonomy by teaming and distributing decision-making. Increased autonomy fosters experimentation, creativity and proactive problem-solving (</w:t>
      </w:r>
      <w:r>
        <w:rPr>
          <w:rFonts w:ascii="Times New Roman" w:eastAsia="SimSun" w:hAnsi="Times New Roman" w:cs="Times New Roman"/>
          <w:color w:val="222222"/>
          <w:sz w:val="24"/>
          <w:szCs w:val="24"/>
          <w:shd w:val="clear" w:color="auto" w:fill="FFFFFF"/>
        </w:rPr>
        <w:t xml:space="preserve">Sahu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2026).</w:t>
      </w:r>
    </w:p>
    <w:p w14:paraId="5C0B157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but not least, annual assessment should be abandoned for continuous feedback. Immediate feedback helps the workforce learn rapidly and adjust to evolving organisational needs.</w:t>
      </w:r>
    </w:p>
    <w:p w14:paraId="30427069"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Embedding Job Crafting into Work Design</w:t>
      </w:r>
    </w:p>
    <w:p w14:paraId="7FDF363F"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Job Characteristics Model does not capture the full extent of employee agency, although it does positively impact motivation. Job Crafting Theory suggests that employees actively shape their own jobs by modifying tasks, relationships and perceptions of work.</w:t>
      </w:r>
    </w:p>
    <w:p w14:paraId="3131016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may particularly be true for young workers seeking independence, career advancement and meaningful work. Task differentiation has been demonstrated to positively influence employee engagement, innovation and retention (</w:t>
      </w:r>
      <w:r>
        <w:rPr>
          <w:rFonts w:ascii="Times New Roman" w:eastAsia="SimSun" w:hAnsi="Times New Roman" w:cs="Times New Roman"/>
          <w:color w:val="222222"/>
          <w:sz w:val="24"/>
          <w:szCs w:val="24"/>
          <w:shd w:val="clear" w:color="auto" w:fill="FFFFFF"/>
        </w:rPr>
        <w:t>Collings and McMackin, 2025)</w:t>
      </w:r>
      <w:r>
        <w:rPr>
          <w:rFonts w:ascii="Times New Roman" w:eastAsia="Times New Roman" w:hAnsi="Times New Roman" w:cs="Times New Roman"/>
          <w:sz w:val="24"/>
          <w:szCs w:val="24"/>
        </w:rPr>
        <w:t>.</w:t>
      </w:r>
    </w:p>
    <w:p w14:paraId="400EAEB2"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 Helios has to institutionalise job crafting as best practices in organisations. Staff had around 15-20% of their time allocated for Innovation around their own strategic priorities. These types of opportunities may stimulate creativity and promote new ideas.</w:t>
      </w:r>
    </w:p>
    <w:p w14:paraId="0E50AEF2"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Collaboration networks to enable relationship crafting between employees across London, Berlin and Singapore should also be promoted (</w:t>
      </w:r>
      <w:r>
        <w:rPr>
          <w:rFonts w:ascii="Times New Roman" w:eastAsia="SimSun" w:hAnsi="Times New Roman" w:cs="Times New Roman"/>
          <w:color w:val="222222"/>
          <w:sz w:val="24"/>
          <w:szCs w:val="24"/>
          <w:shd w:val="clear" w:color="auto" w:fill="FFFFFF"/>
        </w:rPr>
        <w:t xml:space="preserve">Tims </w:t>
      </w:r>
      <w:r>
        <w:rPr>
          <w:rFonts w:ascii="Times New Roman" w:eastAsia="SimSun" w:hAnsi="Times New Roman" w:cs="Times New Roman"/>
          <w:i/>
          <w:iCs/>
          <w:color w:val="222222"/>
          <w:sz w:val="24"/>
          <w:szCs w:val="24"/>
          <w:shd w:val="clear" w:color="auto" w:fill="FFFFFF"/>
        </w:rPr>
        <w:t>et al</w:t>
      </w:r>
      <w:r>
        <w:rPr>
          <w:rFonts w:ascii="Times New Roman" w:eastAsia="Times New Roman" w:hAnsi="Times New Roman" w:cs="Times New Roman"/>
          <w:sz w:val="24"/>
          <w:szCs w:val="24"/>
        </w:rPr>
        <w:t>., 2022). These can help facilitate knowledge sharing, improve network or professional learning and promote organizational learning.</w:t>
      </w:r>
    </w:p>
    <w:p w14:paraId="485429F1"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through cognitive crafting, the communication of leaders focusing on the socio-value of the work of their employees can be supported. The relationship between personal action and sustainable urban mobility boosts motivation and purpose.</w:t>
      </w:r>
    </w:p>
    <w:p w14:paraId="5FD9ECF3"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autonomy, however, should be within a clear strategic boundary, all while avoiding role ambiguity and alignment with organisation.</w:t>
      </w:r>
    </w:p>
    <w:p w14:paraId="4663FD6B"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Implementing a Skills-Based Talent Marketplace</w:t>
      </w:r>
    </w:p>
    <w:p w14:paraId="04FDD53B"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growing number of modern organisations that are getting away from job structures and toward skills-based methods. Emphasising skills and competencies over job roles means that the organisation can now deploy the talent more effectively.</w:t>
      </w:r>
    </w:p>
    <w:p w14:paraId="18E9E65E"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Helios should create an ongoing list of technical, analytical, leadership and innovation proficiency. This would help to improve awareness of workforce skills and facilitate strategic workforce planning (</w:t>
      </w:r>
      <w:r>
        <w:rPr>
          <w:rFonts w:ascii="Times New Roman" w:eastAsia="SimSun" w:hAnsi="Times New Roman" w:cs="Times New Roman"/>
          <w:color w:val="222222"/>
          <w:sz w:val="24"/>
          <w:szCs w:val="24"/>
          <w:shd w:val="clear" w:color="auto" w:fill="FFFFFF"/>
        </w:rPr>
        <w:t>Dwivedula, 2020)</w:t>
      </w:r>
      <w:r>
        <w:rPr>
          <w:rFonts w:ascii="Times New Roman" w:eastAsia="Times New Roman" w:hAnsi="Times New Roman" w:cs="Times New Roman"/>
          <w:sz w:val="24"/>
          <w:szCs w:val="24"/>
        </w:rPr>
        <w:t>.</w:t>
      </w:r>
    </w:p>
    <w:p w14:paraId="603764E3"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should be coupled with an internal talent marketplace. Employees were able to get involved in short-term projects, mentoring, innovative project development and cross-functional projects of interest and skill through a digital platform.</w:t>
      </w:r>
    </w:p>
    <w:p w14:paraId="48262FE8"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a number of advantages. It enhances the agility of the workforce by aligning skill sets with organisational needs and beliefs, establishes recurring training opportunities and promotes career ladders. It is, therefore, likely to increase employee engagement/retention and organisational adaptability.</w:t>
      </w:r>
    </w:p>
    <w:p w14:paraId="7C08B025"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Supporting Motivation and Innovation</w:t>
      </w:r>
    </w:p>
    <w:p w14:paraId="745A659D"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proposed job architecture facilitates intrinsic motivation in several ways. According to Self-Determination Theory, employees' motivation is enhanced if they felt autonomous, competent, and connected.</w:t>
      </w:r>
    </w:p>
    <w:p w14:paraId="4AF920B6"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Job Characteristics Model states that an enriched work design makes workers more autonomous and competent. Job Crafting boosts personal agency and meaningfulness. The internal talent marketplace helps identify learning opportunities, develops and tracks careers (</w:t>
      </w:r>
      <w:r>
        <w:rPr>
          <w:rFonts w:ascii="Times New Roman" w:eastAsia="SimSun" w:hAnsi="Times New Roman" w:cs="Times New Roman"/>
          <w:color w:val="222222"/>
          <w:sz w:val="24"/>
          <w:szCs w:val="24"/>
          <w:shd w:val="clear" w:color="auto" w:fill="FFFFFF"/>
        </w:rPr>
        <w:t>Kamani, 2020)</w:t>
      </w:r>
      <w:r>
        <w:rPr>
          <w:rFonts w:ascii="Times New Roman" w:eastAsia="Times New Roman" w:hAnsi="Times New Roman" w:cs="Times New Roman"/>
          <w:sz w:val="24"/>
          <w:szCs w:val="24"/>
        </w:rPr>
        <w:t>. These, in addition to other elements, also address psychological needs for long-duration engagement and performance.</w:t>
      </w:r>
    </w:p>
    <w:p w14:paraId="5268B684" w14:textId="77777777" w:rsidR="004A017C" w:rsidRDefault="00A222F5">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The framework also promotes the development of knowledge and experimentation via innovation perspectives. Cognitive diversity through cross-functional collaboration and proactivity and creativity through job crafting. Skills based deployment to quickly and easily pool to help with new challenges.</w:t>
      </w:r>
    </w:p>
    <w:p w14:paraId="162EBBF9"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Helios can develop a flexible and future-focused job structure by incorporating the Job Characteristics Model, Job Crafting Theory, and a skills-based talent marketplace. This is beyond the traditional roles and enables workers to always be learning and adaptable while fostering innovation. Finally, the suggested framework will enhance the motivation, employees retention and the long-term competitiveness of the organisation in the smart mobility market.</w:t>
      </w:r>
    </w:p>
    <w:p w14:paraId="19EE0704" w14:textId="77777777" w:rsidR="004A017C" w:rsidRDefault="004A017C">
      <w:pPr>
        <w:spacing w:before="240" w:after="240" w:line="360" w:lineRule="auto"/>
        <w:jc w:val="both"/>
        <w:rPr>
          <w:rFonts w:ascii="Times New Roman" w:eastAsia="Times New Roman" w:hAnsi="Times New Roman" w:cs="Times New Roman"/>
          <w:sz w:val="24"/>
          <w:szCs w:val="24"/>
        </w:rPr>
      </w:pPr>
    </w:p>
    <w:p w14:paraId="5B8FE9D6" w14:textId="77777777" w:rsidR="004A017C" w:rsidRDefault="004A017C">
      <w:pPr>
        <w:spacing w:before="240" w:after="240" w:line="360" w:lineRule="auto"/>
        <w:jc w:val="both"/>
        <w:rPr>
          <w:rFonts w:ascii="Times New Roman" w:eastAsia="Times New Roman" w:hAnsi="Times New Roman" w:cs="Times New Roman"/>
          <w:sz w:val="24"/>
          <w:szCs w:val="24"/>
        </w:rPr>
      </w:pPr>
    </w:p>
    <w:p w14:paraId="3B0A9839" w14:textId="77777777" w:rsidR="004A017C" w:rsidRDefault="004A017C">
      <w:pPr>
        <w:spacing w:before="240" w:after="240" w:line="360" w:lineRule="auto"/>
        <w:jc w:val="both"/>
        <w:rPr>
          <w:rFonts w:ascii="Times New Roman" w:eastAsia="Times New Roman" w:hAnsi="Times New Roman" w:cs="Times New Roman"/>
          <w:sz w:val="24"/>
          <w:szCs w:val="24"/>
        </w:rPr>
      </w:pPr>
    </w:p>
    <w:p w14:paraId="207EA89D" w14:textId="77777777" w:rsidR="004A017C" w:rsidRDefault="004A017C">
      <w:pPr>
        <w:spacing w:before="240" w:after="240" w:line="360" w:lineRule="auto"/>
        <w:jc w:val="both"/>
        <w:rPr>
          <w:rFonts w:ascii="Times New Roman" w:eastAsia="Times New Roman" w:hAnsi="Times New Roman" w:cs="Times New Roman"/>
          <w:sz w:val="24"/>
          <w:szCs w:val="24"/>
        </w:rPr>
      </w:pPr>
    </w:p>
    <w:p w14:paraId="361743B6" w14:textId="77777777" w:rsidR="004A017C" w:rsidRDefault="004A017C">
      <w:pPr>
        <w:spacing w:before="240" w:after="240" w:line="360" w:lineRule="auto"/>
        <w:jc w:val="both"/>
        <w:rPr>
          <w:rFonts w:ascii="Times New Roman" w:eastAsia="Times New Roman" w:hAnsi="Times New Roman" w:cs="Times New Roman"/>
          <w:sz w:val="24"/>
          <w:szCs w:val="24"/>
        </w:rPr>
      </w:pPr>
    </w:p>
    <w:p w14:paraId="358D6B32" w14:textId="77777777" w:rsidR="004A017C" w:rsidRDefault="004A017C">
      <w:pPr>
        <w:spacing w:before="240" w:after="240" w:line="360" w:lineRule="auto"/>
        <w:jc w:val="both"/>
        <w:rPr>
          <w:rFonts w:ascii="Times New Roman" w:eastAsia="Times New Roman" w:hAnsi="Times New Roman" w:cs="Times New Roman"/>
          <w:sz w:val="24"/>
          <w:szCs w:val="24"/>
        </w:rPr>
      </w:pPr>
    </w:p>
    <w:p w14:paraId="0D561AFC" w14:textId="77777777" w:rsidR="004A017C" w:rsidRDefault="004A017C">
      <w:pPr>
        <w:spacing w:before="240" w:after="240" w:line="360" w:lineRule="auto"/>
        <w:jc w:val="both"/>
        <w:rPr>
          <w:rFonts w:ascii="Times New Roman" w:eastAsia="Times New Roman" w:hAnsi="Times New Roman" w:cs="Times New Roman"/>
          <w:sz w:val="24"/>
          <w:szCs w:val="24"/>
        </w:rPr>
      </w:pPr>
    </w:p>
    <w:p w14:paraId="3B55E367" w14:textId="77777777" w:rsidR="004A017C" w:rsidRDefault="004A017C">
      <w:pPr>
        <w:spacing w:before="240" w:after="240" w:line="360" w:lineRule="auto"/>
        <w:jc w:val="both"/>
        <w:rPr>
          <w:rFonts w:ascii="Times New Roman" w:eastAsia="Times New Roman" w:hAnsi="Times New Roman" w:cs="Times New Roman"/>
          <w:sz w:val="24"/>
          <w:szCs w:val="24"/>
        </w:rPr>
      </w:pPr>
    </w:p>
    <w:p w14:paraId="6901C68C" w14:textId="77777777" w:rsidR="004A017C" w:rsidRDefault="004A017C">
      <w:pPr>
        <w:spacing w:before="240" w:after="240" w:line="360" w:lineRule="auto"/>
        <w:jc w:val="both"/>
        <w:rPr>
          <w:rFonts w:ascii="Times New Roman" w:eastAsia="Times New Roman" w:hAnsi="Times New Roman" w:cs="Times New Roman"/>
          <w:sz w:val="24"/>
          <w:szCs w:val="24"/>
        </w:rPr>
      </w:pPr>
    </w:p>
    <w:p w14:paraId="042AEACA" w14:textId="77777777" w:rsidR="004A017C" w:rsidRDefault="00A222F5">
      <w:pPr>
        <w:pStyle w:val="Heading1"/>
      </w:pPr>
      <w:bookmarkStart w:id="2" w:name="_Toc23728"/>
      <w:r>
        <w:t>TASK C: Reflective Report</w:t>
      </w:r>
      <w:bookmarkEnd w:id="2"/>
    </w:p>
    <w:p w14:paraId="7D7DF982"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Using AI Without Eroding Human Judgement</w:t>
      </w:r>
    </w:p>
    <w:p w14:paraId="64D9DDEB"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module has helped me to gain a better understanding of the potential for and challenges of artificial intelligence (AI) in strategic HRM. I understand how AI can help make better decisions by processing vast amounts of workforce information to uncover patterns and make forecasts. But I also know that AI systems are constrained by the quality of data, and implicit assumptions and possible algorithmic bias. I would then employ AI to aid in decision making, but not in the making of decisions.</w:t>
      </w:r>
    </w:p>
    <w:p w14:paraId="15237D94"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future occupation involves taking advice from AI models critically as the primary step. Important data is useful, but it is not, nor can ever be, the final word on the nature of ethical and un-quantifiable contextual, stakeholder and organisational concerns. So, I believe, to achieve a successful role in HR, one should be technologically skilled, mentally analytical, ethical and professional judgment oriented. This will enable me to have the best of both worlds – AI insights, but without depending too directly on the AI-generated output.</w:t>
      </w:r>
    </w:p>
    <w:p w14:paraId="0D955E40" w14:textId="77777777" w:rsidR="004A017C" w:rsidRDefault="00A222F5">
      <w:pPr>
        <w:spacing w:before="360" w:after="8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Personal Capability Development Plan</w:t>
      </w:r>
    </w:p>
    <w:tbl>
      <w:tblPr>
        <w:tblStyle w:val="Style14"/>
        <w:tblW w:w="9360" w:type="dxa"/>
        <w:tblInd w:w="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0" w:type="dxa"/>
          <w:left w:w="108" w:type="dxa"/>
          <w:bottom w:w="0" w:type="dxa"/>
          <w:right w:w="108" w:type="dxa"/>
        </w:tblCellMar>
        <w:tblLook w:val="04A0" w:firstRow="1" w:lastRow="0" w:firstColumn="1" w:lastColumn="0" w:noHBand="0" w:noVBand="1"/>
      </w:tblPr>
      <w:tblGrid>
        <w:gridCol w:w="1737"/>
        <w:gridCol w:w="2752"/>
        <w:gridCol w:w="2546"/>
        <w:gridCol w:w="2325"/>
      </w:tblGrid>
      <w:tr w:rsidR="004A017C" w14:paraId="49E3006C" w14:textId="77777777">
        <w:trPr>
          <w:trHeight w:val="770"/>
        </w:trPr>
        <w:tc>
          <w:tcPr>
            <w:tcW w:w="1737" w:type="dxa"/>
            <w:tcBorders>
              <w:top w:val="single" w:sz="4" w:space="0" w:color="000000"/>
              <w:left w:val="single" w:sz="4" w:space="0" w:color="000000"/>
              <w:bottom w:val="single" w:sz="4" w:space="0" w:color="000000"/>
              <w:right w:val="single" w:sz="4" w:space="0" w:color="000000"/>
              <w:tl2br w:val="nil"/>
            </w:tcBorders>
            <w:shd w:val="clear" w:color="auto" w:fill="FFFFFF"/>
            <w:tcMar>
              <w:top w:w="100" w:type="dxa"/>
              <w:left w:w="100" w:type="dxa"/>
              <w:bottom w:w="100" w:type="dxa"/>
              <w:right w:w="100" w:type="dxa"/>
            </w:tcMar>
          </w:tcPr>
          <w:p w14:paraId="364D7BAB" w14:textId="77777777" w:rsidR="004A017C" w:rsidRDefault="00A222F5">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Capability Area</w:t>
            </w:r>
          </w:p>
        </w:tc>
        <w:tc>
          <w:tcPr>
            <w:tcW w:w="275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58E0E5C" w14:textId="77777777" w:rsidR="004A017C" w:rsidRDefault="00A222F5">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Current Development Need</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5C9C4F3" w14:textId="77777777" w:rsidR="004A017C" w:rsidRDefault="00A222F5">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Planned Actions</w:t>
            </w:r>
          </w:p>
        </w:tc>
        <w:tc>
          <w:tcPr>
            <w:tcW w:w="232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8957CD6" w14:textId="77777777" w:rsidR="004A017C" w:rsidRDefault="00A222F5">
            <w:pP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Expected Outcome</w:t>
            </w:r>
          </w:p>
        </w:tc>
      </w:tr>
      <w:tr w:rsidR="004A017C" w14:paraId="7AAF5A6A" w14:textId="77777777">
        <w:trPr>
          <w:trHeight w:val="2390"/>
        </w:trPr>
        <w:tc>
          <w:tcPr>
            <w:tcW w:w="173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494118B"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lastRenderedPageBreak/>
              <w:t>Data Literacy</w:t>
            </w:r>
          </w:p>
        </w:tc>
        <w:tc>
          <w:tcPr>
            <w:tcW w:w="275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F71C0F5"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Limited experience in advanced HR analytics.</w:t>
            </w:r>
          </w:p>
          <w:p w14:paraId="2A047170"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Need stronger capability in interpreting workforce data.</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0780A7E3"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Complete HR analytics and data visualisation courses.</w:t>
            </w:r>
          </w:p>
          <w:p w14:paraId="6DB56CE7" w14:textId="0599435D"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73419">
              <w:rPr>
                <w:rFonts w:ascii="Times New Roman" w:eastAsia="Times New Roman" w:hAnsi="Times New Roman" w:cs="Times New Roman"/>
                <w:color w:val="000000"/>
                <w:sz w:val="24"/>
                <w:szCs w:val="24"/>
              </w:rPr>
              <w:t>Practice</w:t>
            </w:r>
            <w:r>
              <w:rPr>
                <w:rFonts w:ascii="Times New Roman" w:eastAsia="Times New Roman" w:hAnsi="Times New Roman" w:cs="Times New Roman"/>
                <w:color w:val="000000"/>
                <w:sz w:val="24"/>
                <w:szCs w:val="24"/>
              </w:rPr>
              <w:t xml:space="preserve"> analysing workforce metrics and dashboards.</w:t>
            </w:r>
          </w:p>
          <w:p w14:paraId="641FD805"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Engage with people analytics case studies.</w:t>
            </w:r>
          </w:p>
        </w:tc>
        <w:tc>
          <w:tcPr>
            <w:tcW w:w="232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4AF2CA1"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Improved ability to make evidence-based HR decisions.</w:t>
            </w:r>
          </w:p>
          <w:p w14:paraId="3F4FFD25"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Greater confidence in analysing and communicating workforce insights (</w:t>
            </w:r>
            <w:r>
              <w:rPr>
                <w:rFonts w:ascii="Times New Roman" w:eastAsia="SimSun" w:hAnsi="Times New Roman" w:cs="Times New Roman"/>
                <w:color w:val="222222"/>
                <w:sz w:val="24"/>
                <w:szCs w:val="24"/>
                <w:shd w:val="clear" w:color="auto" w:fill="FFFFFF"/>
              </w:rPr>
              <w:t>Bandvi, 2026)</w:t>
            </w:r>
            <w:r>
              <w:rPr>
                <w:rFonts w:ascii="Times New Roman" w:eastAsia="Times New Roman" w:hAnsi="Times New Roman" w:cs="Times New Roman"/>
                <w:color w:val="000000"/>
                <w:sz w:val="24"/>
                <w:szCs w:val="24"/>
              </w:rPr>
              <w:t>.</w:t>
            </w:r>
          </w:p>
        </w:tc>
      </w:tr>
      <w:tr w:rsidR="004A017C" w14:paraId="66A81CBD" w14:textId="77777777">
        <w:trPr>
          <w:trHeight w:val="2660"/>
        </w:trPr>
        <w:tc>
          <w:tcPr>
            <w:tcW w:w="173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42C9CE1"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AI Augmentation in HR</w:t>
            </w:r>
          </w:p>
        </w:tc>
        <w:tc>
          <w:tcPr>
            <w:tcW w:w="275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E8B2DB2"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Need deeper understanding of AI applications in HR functions.</w:t>
            </w:r>
          </w:p>
          <w:p w14:paraId="2C64C3DB"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Limited knowledge of AI ethics and governance.</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0BA7942"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Attend HR technology workshops and webinars.</w:t>
            </w:r>
          </w:p>
          <w:p w14:paraId="7CCAA480"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Explore AI tools used in recruitment and talent management.</w:t>
            </w:r>
          </w:p>
          <w:p w14:paraId="0515C64E"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Study responsible AI implementation practices.</w:t>
            </w:r>
          </w:p>
        </w:tc>
        <w:tc>
          <w:tcPr>
            <w:tcW w:w="232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2F653EEE"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Ability to use AI as a strategic decision-support tool.</w:t>
            </w:r>
          </w:p>
          <w:p w14:paraId="5A2C0AD3"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Enhanced capability to balance AI insights with human judgement.</w:t>
            </w:r>
          </w:p>
        </w:tc>
      </w:tr>
      <w:tr w:rsidR="004A017C" w14:paraId="619A0A76" w14:textId="77777777">
        <w:trPr>
          <w:trHeight w:val="2660"/>
        </w:trPr>
        <w:tc>
          <w:tcPr>
            <w:tcW w:w="173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A636190"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Strategic Influencing Skills</w:t>
            </w:r>
          </w:p>
        </w:tc>
        <w:tc>
          <w:tcPr>
            <w:tcW w:w="275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1A2C886"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Further development required in stakeholder engagement and persuasive communication.</w:t>
            </w:r>
          </w:p>
          <w:p w14:paraId="4CF39625"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Need greater confidence when presenting strategic recommendations.</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37D3DEA3"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Participate in leadership and communication training.</w:t>
            </w:r>
          </w:p>
          <w:p w14:paraId="5610DAD8" w14:textId="7326F276"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sidR="00073419">
              <w:rPr>
                <w:rFonts w:ascii="Times New Roman" w:eastAsia="Times New Roman" w:hAnsi="Times New Roman" w:cs="Times New Roman"/>
                <w:color w:val="000000"/>
                <w:sz w:val="24"/>
                <w:szCs w:val="24"/>
              </w:rPr>
              <w:t>Practice</w:t>
            </w:r>
            <w:r>
              <w:rPr>
                <w:rFonts w:ascii="Times New Roman" w:eastAsia="Times New Roman" w:hAnsi="Times New Roman" w:cs="Times New Roman"/>
                <w:color w:val="000000"/>
                <w:sz w:val="24"/>
                <w:szCs w:val="24"/>
              </w:rPr>
              <w:t xml:space="preserve"> presentation, negotiation and influencing techniques.</w:t>
            </w:r>
          </w:p>
          <w:p w14:paraId="5FA8832F"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Seek opportunities to lead group projects.</w:t>
            </w:r>
          </w:p>
        </w:tc>
        <w:tc>
          <w:tcPr>
            <w:tcW w:w="232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EBD7F6F"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Stronger ability to influence decision-makers.</w:t>
            </w:r>
          </w:p>
          <w:p w14:paraId="26CEAB9A"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Improved effectiveness in aligning HR </w:t>
            </w:r>
            <w:r>
              <w:rPr>
                <w:rFonts w:ascii="Times New Roman" w:eastAsia="Times New Roman" w:hAnsi="Times New Roman" w:cs="Times New Roman"/>
                <w:color w:val="000000"/>
                <w:sz w:val="24"/>
                <w:szCs w:val="24"/>
              </w:rPr>
              <w:lastRenderedPageBreak/>
              <w:t>initiatives with organisational strategy.</w:t>
            </w:r>
          </w:p>
        </w:tc>
      </w:tr>
      <w:tr w:rsidR="004A017C" w14:paraId="50DCA88A" w14:textId="77777777">
        <w:trPr>
          <w:trHeight w:val="2390"/>
        </w:trPr>
        <w:tc>
          <w:tcPr>
            <w:tcW w:w="1737"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6D9030B3"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lastRenderedPageBreak/>
              <w:t>Global Mobility Awareness</w:t>
            </w:r>
          </w:p>
        </w:tc>
        <w:tc>
          <w:tcPr>
            <w:tcW w:w="2751"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4FA92914"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Limited exposure to international HRM and global workforce challenges.</w:t>
            </w:r>
          </w:p>
          <w:p w14:paraId="2799CD64"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Need broader understanding of cross-cultural management.</w:t>
            </w:r>
          </w:p>
        </w:tc>
        <w:tc>
          <w:tcPr>
            <w:tcW w:w="25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52694919"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Study international HRM practices and global talent strategies.</w:t>
            </w:r>
          </w:p>
          <w:p w14:paraId="2C2620C5"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Follow global labour market trends.</w:t>
            </w:r>
          </w:p>
          <w:p w14:paraId="4DC3F37E"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Engage with multicultural case studies and professional networks.</w:t>
            </w:r>
          </w:p>
        </w:tc>
        <w:tc>
          <w:tcPr>
            <w:tcW w:w="232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14:paraId="7160FF03"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Increased capability to work within international environments.</w:t>
            </w:r>
          </w:p>
          <w:p w14:paraId="312418EA" w14:textId="77777777" w:rsidR="004A017C" w:rsidRDefault="00A222F5">
            <w:pP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Enhanced understanding of global talent and mobility issues.</w:t>
            </w:r>
          </w:p>
        </w:tc>
      </w:tr>
    </w:tbl>
    <w:p w14:paraId="3C3AA6AD" w14:textId="77777777" w:rsidR="004A017C" w:rsidRDefault="00A222F5">
      <w:bookmarkStart w:id="3" w:name="_Toc17889"/>
      <w:r>
        <w:br w:type="page"/>
      </w:r>
    </w:p>
    <w:p w14:paraId="31190DF2" w14:textId="77777777" w:rsidR="004A017C" w:rsidRDefault="00A222F5">
      <w:pPr>
        <w:pStyle w:val="Heading1"/>
      </w:pPr>
      <w:r>
        <w:lastRenderedPageBreak/>
        <w:t>References</w:t>
      </w:r>
      <w:bookmarkEnd w:id="3"/>
    </w:p>
    <w:p w14:paraId="2938C140" w14:textId="77777777" w:rsidR="004A017C" w:rsidRDefault="00A222F5">
      <w:pPr>
        <w:pStyle w:val="NormalWeb"/>
        <w:spacing w:beforeAutospacing="0" w:after="200" w:afterAutospacing="0" w:line="360" w:lineRule="auto"/>
        <w:jc w:val="both"/>
      </w:pPr>
      <w:r>
        <w:rPr>
          <w:color w:val="222222"/>
          <w:shd w:val="clear" w:color="auto" w:fill="FFFFFF"/>
        </w:rPr>
        <w:t xml:space="preserve">Branicki, L., Brammer, S., Pullen, A. and Rhodes, C., 2021. The morality of “new” CEO activism. </w:t>
      </w:r>
      <w:r>
        <w:rPr>
          <w:i/>
          <w:iCs/>
          <w:color w:val="222222"/>
          <w:shd w:val="clear" w:color="auto" w:fill="FFFFFF"/>
        </w:rPr>
        <w:t>Journal of business ethics</w:t>
      </w:r>
      <w:r>
        <w:rPr>
          <w:color w:val="222222"/>
          <w:shd w:val="clear" w:color="auto" w:fill="FFFFFF"/>
        </w:rPr>
        <w:t xml:space="preserve">, </w:t>
      </w:r>
      <w:r>
        <w:rPr>
          <w:i/>
          <w:iCs/>
          <w:color w:val="222222"/>
          <w:shd w:val="clear" w:color="auto" w:fill="FFFFFF"/>
        </w:rPr>
        <w:t>170</w:t>
      </w:r>
      <w:r>
        <w:rPr>
          <w:color w:val="222222"/>
          <w:shd w:val="clear" w:color="auto" w:fill="FFFFFF"/>
        </w:rPr>
        <w:t>(2), pp.269-285.</w:t>
      </w:r>
      <w:r>
        <w:rPr>
          <w:color w:val="000000"/>
        </w:rPr>
        <w:t xml:space="preserve"> </w:t>
      </w:r>
      <w:hyperlink r:id="rId13" w:history="1">
        <w:r>
          <w:rPr>
            <w:rStyle w:val="Hyperlink"/>
            <w:color w:val="1155CC"/>
          </w:rPr>
          <w:t>https://oro.open.ac.uk/72718/3/72718.pdf</w:t>
        </w:r>
      </w:hyperlink>
      <w:r>
        <w:rPr>
          <w:color w:val="000000"/>
        </w:rPr>
        <w:t> </w:t>
      </w:r>
    </w:p>
    <w:p w14:paraId="015A80E8" w14:textId="77777777" w:rsidR="004A017C" w:rsidRDefault="00A222F5">
      <w:pPr>
        <w:pStyle w:val="NormalWeb"/>
        <w:spacing w:beforeAutospacing="0" w:after="200" w:afterAutospacing="0" w:line="360" w:lineRule="auto"/>
        <w:jc w:val="both"/>
      </w:pPr>
      <w:r>
        <w:rPr>
          <w:color w:val="222222"/>
          <w:shd w:val="clear" w:color="auto" w:fill="FFFFFF"/>
        </w:rPr>
        <w:t>Bandvi, A., 2026. The Human Capital Equation: Artificial Intelligence, the Future of Work, and the Reinvention of Human Resources.</w:t>
      </w:r>
      <w:r>
        <w:rPr>
          <w:color w:val="000000"/>
        </w:rPr>
        <w:t xml:space="preserve"> </w:t>
      </w:r>
      <w:hyperlink r:id="rId14" w:history="1">
        <w:r>
          <w:rPr>
            <w:rStyle w:val="Hyperlink"/>
            <w:color w:val="1155CC"/>
          </w:rPr>
          <w:t>https://papers.ssrn.com/sol3/Delivery.cfm?abstractid=6336158</w:t>
        </w:r>
      </w:hyperlink>
      <w:r>
        <w:rPr>
          <w:color w:val="000000"/>
        </w:rPr>
        <w:t> </w:t>
      </w:r>
    </w:p>
    <w:p w14:paraId="080FF0CB" w14:textId="77777777" w:rsidR="004A017C" w:rsidRDefault="00A222F5">
      <w:pPr>
        <w:pStyle w:val="NormalWeb"/>
        <w:spacing w:beforeAutospacing="0" w:after="200" w:afterAutospacing="0" w:line="360" w:lineRule="auto"/>
        <w:jc w:val="both"/>
      </w:pPr>
      <w:r>
        <w:rPr>
          <w:color w:val="222222"/>
          <w:shd w:val="clear" w:color="auto" w:fill="FFFFFF"/>
        </w:rPr>
        <w:t xml:space="preserve">Collings, D.G. and McMackin, J., 2025. Skills-first HR: a key enabler of future global strategy. </w:t>
      </w:r>
      <w:r>
        <w:rPr>
          <w:i/>
          <w:iCs/>
          <w:color w:val="222222"/>
          <w:shd w:val="clear" w:color="auto" w:fill="FFFFFF"/>
        </w:rPr>
        <w:t>Organizational Dynamics</w:t>
      </w:r>
      <w:r>
        <w:rPr>
          <w:color w:val="222222"/>
          <w:shd w:val="clear" w:color="auto" w:fill="FFFFFF"/>
        </w:rPr>
        <w:t>, p.101140.</w:t>
      </w:r>
      <w:r>
        <w:rPr>
          <w:color w:val="000000"/>
        </w:rPr>
        <w:t xml:space="preserve"> </w:t>
      </w:r>
      <w:hyperlink r:id="rId15" w:history="1">
        <w:r>
          <w:rPr>
            <w:rStyle w:val="Hyperlink"/>
            <w:color w:val="1155CC"/>
          </w:rPr>
          <w:t>https://www.sciencedirect.com/science/article/pii/S0090261625000178</w:t>
        </w:r>
      </w:hyperlink>
    </w:p>
    <w:p w14:paraId="66954B2D" w14:textId="77777777" w:rsidR="004A017C" w:rsidRDefault="00A222F5">
      <w:pPr>
        <w:pStyle w:val="NormalWeb"/>
        <w:spacing w:beforeAutospacing="0" w:after="200" w:afterAutospacing="0" w:line="360" w:lineRule="auto"/>
        <w:jc w:val="both"/>
      </w:pPr>
      <w:r>
        <w:rPr>
          <w:color w:val="222222"/>
          <w:shd w:val="clear" w:color="auto" w:fill="FFFFFF"/>
        </w:rPr>
        <w:t xml:space="preserve">Costa, A.L., </w:t>
      </w:r>
      <w:proofErr w:type="spellStart"/>
      <w:r>
        <w:rPr>
          <w:color w:val="222222"/>
          <w:shd w:val="clear" w:color="auto" w:fill="FFFFFF"/>
        </w:rPr>
        <w:t>Vaz</w:t>
      </w:r>
      <w:proofErr w:type="spellEnd"/>
      <w:r>
        <w:rPr>
          <w:color w:val="222222"/>
          <w:shd w:val="clear" w:color="auto" w:fill="FFFFFF"/>
        </w:rPr>
        <w:t xml:space="preserve">, H. and Menezes, I., 2021. Exploring the meanings of professional activism. </w:t>
      </w:r>
      <w:r>
        <w:rPr>
          <w:i/>
          <w:iCs/>
          <w:color w:val="222222"/>
          <w:shd w:val="clear" w:color="auto" w:fill="FFFFFF"/>
        </w:rPr>
        <w:t>Community development</w:t>
      </w:r>
      <w:r>
        <w:rPr>
          <w:color w:val="222222"/>
          <w:shd w:val="clear" w:color="auto" w:fill="FFFFFF"/>
        </w:rPr>
        <w:t xml:space="preserve">, </w:t>
      </w:r>
      <w:r>
        <w:rPr>
          <w:i/>
          <w:iCs/>
          <w:color w:val="222222"/>
          <w:shd w:val="clear" w:color="auto" w:fill="FFFFFF"/>
        </w:rPr>
        <w:t>52</w:t>
      </w:r>
      <w:r>
        <w:rPr>
          <w:color w:val="222222"/>
          <w:shd w:val="clear" w:color="auto" w:fill="FFFFFF"/>
        </w:rPr>
        <w:t>(2), pp.244-261.</w:t>
      </w:r>
      <w:r>
        <w:rPr>
          <w:color w:val="000000"/>
        </w:rPr>
        <w:t xml:space="preserve"> </w:t>
      </w:r>
      <w:hyperlink r:id="rId16" w:history="1">
        <w:r>
          <w:rPr>
            <w:rStyle w:val="Hyperlink"/>
            <w:color w:val="1155CC"/>
          </w:rPr>
          <w:t>https://www.academia.edu/download/65460770/Exploring_the_meanings_of_professional_activism.pdf</w:t>
        </w:r>
      </w:hyperlink>
    </w:p>
    <w:p w14:paraId="0871E1DE" w14:textId="77777777" w:rsidR="004A017C" w:rsidRDefault="00A222F5">
      <w:pPr>
        <w:pStyle w:val="NormalWeb"/>
        <w:spacing w:beforeAutospacing="0" w:after="200" w:afterAutospacing="0" w:line="360" w:lineRule="auto"/>
        <w:jc w:val="both"/>
      </w:pPr>
      <w:r>
        <w:rPr>
          <w:color w:val="222222"/>
          <w:shd w:val="clear" w:color="auto" w:fill="FFFFFF"/>
        </w:rPr>
        <w:t xml:space="preserve">Costantini, A., Demerouti, E., Ceschi, A. and Sartori, R., 2022. Implementing job crafting behaviors: Exploring the effects of a job crafting intervention based on the theory of planned behavior. </w:t>
      </w:r>
      <w:r>
        <w:rPr>
          <w:i/>
          <w:iCs/>
          <w:color w:val="222222"/>
          <w:shd w:val="clear" w:color="auto" w:fill="FFFFFF"/>
        </w:rPr>
        <w:t>The Journal of Applied Behavioral Science</w:t>
      </w:r>
      <w:r>
        <w:rPr>
          <w:color w:val="222222"/>
          <w:shd w:val="clear" w:color="auto" w:fill="FFFFFF"/>
        </w:rPr>
        <w:t xml:space="preserve">, </w:t>
      </w:r>
      <w:r>
        <w:rPr>
          <w:i/>
          <w:iCs/>
          <w:color w:val="222222"/>
          <w:shd w:val="clear" w:color="auto" w:fill="FFFFFF"/>
        </w:rPr>
        <w:t>58</w:t>
      </w:r>
      <w:r>
        <w:rPr>
          <w:color w:val="222222"/>
          <w:shd w:val="clear" w:color="auto" w:fill="FFFFFF"/>
        </w:rPr>
        <w:t>(3), pp.477-512.</w:t>
      </w:r>
      <w:r>
        <w:rPr>
          <w:color w:val="000000"/>
        </w:rPr>
        <w:t xml:space="preserve"> </w:t>
      </w:r>
      <w:hyperlink r:id="rId17" w:history="1">
        <w:r>
          <w:rPr>
            <w:rStyle w:val="Hyperlink"/>
            <w:color w:val="1155CC"/>
          </w:rPr>
          <w:t>https://www.academia.edu/download/65153901/Accepted_Costantini_et_al._2020_._Implementing.pdf</w:t>
        </w:r>
      </w:hyperlink>
    </w:p>
    <w:p w14:paraId="13F2BBA5" w14:textId="77777777" w:rsidR="004A017C" w:rsidRDefault="00A222F5">
      <w:pPr>
        <w:pStyle w:val="NormalWeb"/>
        <w:spacing w:beforeAutospacing="0" w:after="200" w:afterAutospacing="0" w:line="360" w:lineRule="auto"/>
        <w:jc w:val="both"/>
      </w:pPr>
      <w:r>
        <w:rPr>
          <w:color w:val="222222"/>
          <w:shd w:val="clear" w:color="auto" w:fill="FFFFFF"/>
        </w:rPr>
        <w:t xml:space="preserve">Dwivedula, R., 2020. Job characteristics as a determinant of intrinsic motivation: an empirical study of generation Z. </w:t>
      </w:r>
      <w:r>
        <w:rPr>
          <w:i/>
          <w:iCs/>
          <w:color w:val="222222"/>
          <w:shd w:val="clear" w:color="auto" w:fill="FFFFFF"/>
        </w:rPr>
        <w:t>Journal of Strategic Human Resource Management</w:t>
      </w:r>
      <w:r>
        <w:rPr>
          <w:color w:val="222222"/>
          <w:shd w:val="clear" w:color="auto" w:fill="FFFFFF"/>
        </w:rPr>
        <w:t xml:space="preserve">, </w:t>
      </w:r>
      <w:r>
        <w:rPr>
          <w:i/>
          <w:iCs/>
          <w:color w:val="222222"/>
          <w:shd w:val="clear" w:color="auto" w:fill="FFFFFF"/>
        </w:rPr>
        <w:t>9</w:t>
      </w:r>
      <w:r>
        <w:rPr>
          <w:color w:val="222222"/>
          <w:shd w:val="clear" w:color="auto" w:fill="FFFFFF"/>
        </w:rPr>
        <w:t>(2), pp.29-40.</w:t>
      </w:r>
      <w:r>
        <w:rPr>
          <w:color w:val="000000"/>
        </w:rPr>
        <w:t xml:space="preserve"> </w:t>
      </w:r>
      <w:hyperlink r:id="rId18" w:history="1">
        <w:r>
          <w:rPr>
            <w:rStyle w:val="Hyperlink"/>
            <w:color w:val="1155CC"/>
          </w:rPr>
          <w:t>https://www.academia.edu/download/76203517/Job_Characteristics_as_a_Determinant_of_Intrinsic_Motivation_An_Empirical_Study_of_Generation_Z.pdf</w:t>
        </w:r>
      </w:hyperlink>
    </w:p>
    <w:p w14:paraId="6215730B" w14:textId="77777777" w:rsidR="004A017C" w:rsidRDefault="00A222F5">
      <w:pPr>
        <w:pStyle w:val="NormalWeb"/>
        <w:spacing w:beforeAutospacing="0" w:after="200" w:afterAutospacing="0" w:line="360" w:lineRule="auto"/>
        <w:jc w:val="both"/>
      </w:pPr>
      <w:r>
        <w:rPr>
          <w:color w:val="222222"/>
          <w:shd w:val="clear" w:color="auto" w:fill="FFFFFF"/>
        </w:rPr>
        <w:t xml:space="preserve">DeMark, S. and Kozyrev, J., 2021. Enabling pathways to opportunity through a skills‐based architecture. </w:t>
      </w:r>
      <w:r>
        <w:rPr>
          <w:i/>
          <w:iCs/>
          <w:color w:val="222222"/>
          <w:shd w:val="clear" w:color="auto" w:fill="FFFFFF"/>
        </w:rPr>
        <w:t>The Journal of Competency‐Based Education</w:t>
      </w:r>
      <w:r>
        <w:rPr>
          <w:color w:val="222222"/>
          <w:shd w:val="clear" w:color="auto" w:fill="FFFFFF"/>
        </w:rPr>
        <w:t xml:space="preserve">, </w:t>
      </w:r>
      <w:r>
        <w:rPr>
          <w:i/>
          <w:iCs/>
          <w:color w:val="222222"/>
          <w:shd w:val="clear" w:color="auto" w:fill="FFFFFF"/>
        </w:rPr>
        <w:t>6</w:t>
      </w:r>
      <w:r>
        <w:rPr>
          <w:color w:val="222222"/>
          <w:shd w:val="clear" w:color="auto" w:fill="FFFFFF"/>
        </w:rPr>
        <w:t>(1), p.e1241.</w:t>
      </w:r>
      <w:r>
        <w:rPr>
          <w:color w:val="000000"/>
        </w:rPr>
        <w:t xml:space="preserve"> </w:t>
      </w:r>
      <w:hyperlink r:id="rId19" w:history="1">
        <w:r>
          <w:rPr>
            <w:rStyle w:val="Hyperlink"/>
            <w:color w:val="1155CC"/>
          </w:rPr>
          <w:t>https://onlinelibrary.wiley.com/doi/pdf/10.1002/cbe2.1241</w:t>
        </w:r>
      </w:hyperlink>
    </w:p>
    <w:p w14:paraId="6BEB5F7C" w14:textId="77777777" w:rsidR="004A017C" w:rsidRDefault="00A222F5">
      <w:pPr>
        <w:pStyle w:val="NormalWeb"/>
        <w:spacing w:beforeAutospacing="0" w:after="200" w:afterAutospacing="0" w:line="360" w:lineRule="auto"/>
        <w:jc w:val="both"/>
      </w:pPr>
      <w:r>
        <w:rPr>
          <w:color w:val="222222"/>
          <w:shd w:val="clear" w:color="auto" w:fill="FFFFFF"/>
        </w:rPr>
        <w:lastRenderedPageBreak/>
        <w:t xml:space="preserve">Davis, J., Agrawal, D. and Guo, X., 2023. Enhancing users’ security engagement through cultivating commitment: the role of psychological needs fulfilment. </w:t>
      </w:r>
      <w:r>
        <w:rPr>
          <w:i/>
          <w:iCs/>
          <w:color w:val="222222"/>
          <w:shd w:val="clear" w:color="auto" w:fill="FFFFFF"/>
        </w:rPr>
        <w:t>European Journal of Information Systems</w:t>
      </w:r>
      <w:r>
        <w:rPr>
          <w:color w:val="222222"/>
          <w:shd w:val="clear" w:color="auto" w:fill="FFFFFF"/>
        </w:rPr>
        <w:t xml:space="preserve">, </w:t>
      </w:r>
      <w:r>
        <w:rPr>
          <w:i/>
          <w:iCs/>
          <w:color w:val="222222"/>
          <w:shd w:val="clear" w:color="auto" w:fill="FFFFFF"/>
        </w:rPr>
        <w:t>32</w:t>
      </w:r>
      <w:r>
        <w:rPr>
          <w:color w:val="222222"/>
          <w:shd w:val="clear" w:color="auto" w:fill="FFFFFF"/>
        </w:rPr>
        <w:t>(2), pp.195-206.</w:t>
      </w:r>
      <w:r>
        <w:rPr>
          <w:color w:val="000000"/>
        </w:rPr>
        <w:t xml:space="preserve"> </w:t>
      </w:r>
      <w:hyperlink r:id="rId20" w:history="1">
        <w:r>
          <w:rPr>
            <w:rStyle w:val="Hyperlink"/>
            <w:color w:val="1155CC"/>
          </w:rPr>
          <w:t>https://www.tandfonline.com/doi/pdf/10.1080/0960085X.2021.1927866</w:t>
        </w:r>
      </w:hyperlink>
    </w:p>
    <w:p w14:paraId="3FBB06DE" w14:textId="77777777" w:rsidR="004A017C" w:rsidRDefault="00A222F5">
      <w:pPr>
        <w:pStyle w:val="NormalWeb"/>
        <w:spacing w:beforeAutospacing="0" w:after="200" w:afterAutospacing="0" w:line="360" w:lineRule="auto"/>
        <w:jc w:val="both"/>
      </w:pPr>
      <w:r>
        <w:rPr>
          <w:color w:val="222222"/>
          <w:shd w:val="clear" w:color="auto" w:fill="FFFFFF"/>
        </w:rPr>
        <w:t xml:space="preserve">Frögéli, E., Jenner, B. and Gustavsson, P., 2023. Effectiveness of formal onboarding for facilitating organizational socialization: A systematic review. </w:t>
      </w:r>
      <w:r>
        <w:rPr>
          <w:i/>
          <w:iCs/>
          <w:color w:val="222222"/>
          <w:shd w:val="clear" w:color="auto" w:fill="FFFFFF"/>
        </w:rPr>
        <w:t>PloS one</w:t>
      </w:r>
      <w:r>
        <w:rPr>
          <w:color w:val="222222"/>
          <w:shd w:val="clear" w:color="auto" w:fill="FFFFFF"/>
        </w:rPr>
        <w:t xml:space="preserve">, </w:t>
      </w:r>
      <w:r>
        <w:rPr>
          <w:i/>
          <w:iCs/>
          <w:color w:val="222222"/>
          <w:shd w:val="clear" w:color="auto" w:fill="FFFFFF"/>
        </w:rPr>
        <w:t>18</w:t>
      </w:r>
      <w:r>
        <w:rPr>
          <w:color w:val="222222"/>
          <w:shd w:val="clear" w:color="auto" w:fill="FFFFFF"/>
        </w:rPr>
        <w:t>(2), p.e0281823.</w:t>
      </w:r>
      <w:r>
        <w:rPr>
          <w:color w:val="000000"/>
        </w:rPr>
        <w:t xml:space="preserve"> </w:t>
      </w:r>
      <w:hyperlink r:id="rId21" w:history="1">
        <w:r>
          <w:rPr>
            <w:rStyle w:val="Hyperlink"/>
            <w:color w:val="1155CC"/>
          </w:rPr>
          <w:t>https://journals.plos.org/plosone/article/file?id=10.1371/journal.pone.0281823&amp;type=printable</w:t>
        </w:r>
      </w:hyperlink>
    </w:p>
    <w:p w14:paraId="05033F01" w14:textId="77777777" w:rsidR="004A017C" w:rsidRDefault="00A222F5">
      <w:pPr>
        <w:pStyle w:val="NormalWeb"/>
        <w:spacing w:beforeAutospacing="0" w:after="200" w:afterAutospacing="0" w:line="360" w:lineRule="auto"/>
        <w:jc w:val="both"/>
      </w:pPr>
      <w:r>
        <w:rPr>
          <w:color w:val="222222"/>
          <w:shd w:val="clear" w:color="auto" w:fill="FFFFFF"/>
        </w:rPr>
        <w:t xml:space="preserve">Godinho, T., Reis, I.P., Carvalho, R. and Martinho, F., 2023. Onboarding handbook: An indispensable tool for onboarding processes. </w:t>
      </w:r>
      <w:r>
        <w:rPr>
          <w:i/>
          <w:iCs/>
          <w:color w:val="222222"/>
          <w:shd w:val="clear" w:color="auto" w:fill="FFFFFF"/>
        </w:rPr>
        <w:t>Administrative sciences</w:t>
      </w:r>
      <w:r>
        <w:rPr>
          <w:color w:val="222222"/>
          <w:shd w:val="clear" w:color="auto" w:fill="FFFFFF"/>
        </w:rPr>
        <w:t xml:space="preserve">, </w:t>
      </w:r>
      <w:r>
        <w:rPr>
          <w:i/>
          <w:iCs/>
          <w:color w:val="222222"/>
          <w:shd w:val="clear" w:color="auto" w:fill="FFFFFF"/>
        </w:rPr>
        <w:t>13</w:t>
      </w:r>
      <w:r>
        <w:rPr>
          <w:color w:val="222222"/>
          <w:shd w:val="clear" w:color="auto" w:fill="FFFFFF"/>
        </w:rPr>
        <w:t>(3), p.79.</w:t>
      </w:r>
      <w:r>
        <w:rPr>
          <w:color w:val="000000"/>
        </w:rPr>
        <w:t xml:space="preserve"> </w:t>
      </w:r>
      <w:hyperlink r:id="rId22" w:history="1">
        <w:r>
          <w:rPr>
            <w:rStyle w:val="Hyperlink"/>
            <w:color w:val="1155CC"/>
          </w:rPr>
          <w:t>https://www.mdpi.com/2076-3387/13/3/79</w:t>
        </w:r>
      </w:hyperlink>
    </w:p>
    <w:p w14:paraId="6894C05C" w14:textId="77777777" w:rsidR="004A017C" w:rsidRDefault="00A222F5">
      <w:pPr>
        <w:pStyle w:val="NormalWeb"/>
        <w:spacing w:beforeAutospacing="0" w:after="200" w:afterAutospacing="0" w:line="360" w:lineRule="auto"/>
        <w:jc w:val="both"/>
      </w:pPr>
      <w:r>
        <w:rPr>
          <w:color w:val="222222"/>
          <w:shd w:val="clear" w:color="auto" w:fill="FFFFFF"/>
        </w:rPr>
        <w:t xml:space="preserve">Holman, D., Escaffi‐Schwarz, M., Vasquez, C.A., Irmer, J.P. and Zapf, D., 2024. Does job </w:t>
      </w:r>
      <w:proofErr w:type="gramStart"/>
      <w:r>
        <w:rPr>
          <w:color w:val="222222"/>
          <w:shd w:val="clear" w:color="auto" w:fill="FFFFFF"/>
        </w:rPr>
        <w:t>crafting</w:t>
      </w:r>
      <w:proofErr w:type="gramEnd"/>
      <w:r>
        <w:rPr>
          <w:color w:val="222222"/>
          <w:shd w:val="clear" w:color="auto" w:fill="FFFFFF"/>
        </w:rPr>
        <w:t xml:space="preserve"> affect employee outcomes via job characteristics? A meta‐analytic test of a key job crafting mechanism. </w:t>
      </w:r>
      <w:r>
        <w:rPr>
          <w:i/>
          <w:iCs/>
          <w:color w:val="222222"/>
          <w:shd w:val="clear" w:color="auto" w:fill="FFFFFF"/>
        </w:rPr>
        <w:t>Journal of Occupational and Organizational Psychology</w:t>
      </w:r>
      <w:r>
        <w:rPr>
          <w:color w:val="222222"/>
          <w:shd w:val="clear" w:color="auto" w:fill="FFFFFF"/>
        </w:rPr>
        <w:t xml:space="preserve">, </w:t>
      </w:r>
      <w:r>
        <w:rPr>
          <w:i/>
          <w:iCs/>
          <w:color w:val="222222"/>
          <w:shd w:val="clear" w:color="auto" w:fill="FFFFFF"/>
        </w:rPr>
        <w:t>97</w:t>
      </w:r>
      <w:r>
        <w:rPr>
          <w:color w:val="222222"/>
          <w:shd w:val="clear" w:color="auto" w:fill="FFFFFF"/>
        </w:rPr>
        <w:t>(1), pp.47-73.</w:t>
      </w:r>
      <w:r>
        <w:rPr>
          <w:color w:val="000000"/>
        </w:rPr>
        <w:t xml:space="preserve"> </w:t>
      </w:r>
      <w:hyperlink r:id="rId23" w:history="1">
        <w:r>
          <w:rPr>
            <w:rStyle w:val="Hyperlink"/>
            <w:color w:val="1155CC"/>
          </w:rPr>
          <w:t>https://bpspsychub.onlinelibrary.wiley.com/doi/pdfdirect/10.1111/joop.12450</w:t>
        </w:r>
      </w:hyperlink>
      <w:r>
        <w:rPr>
          <w:color w:val="000000"/>
        </w:rPr>
        <w:t> </w:t>
      </w:r>
    </w:p>
    <w:p w14:paraId="2DA46FB3" w14:textId="77777777" w:rsidR="004A017C" w:rsidRDefault="00A222F5">
      <w:pPr>
        <w:pStyle w:val="NormalWeb"/>
        <w:spacing w:beforeAutospacing="0" w:after="200" w:afterAutospacing="0" w:line="360" w:lineRule="auto"/>
        <w:jc w:val="both"/>
      </w:pPr>
      <w:r>
        <w:rPr>
          <w:color w:val="222222"/>
          <w:shd w:val="clear" w:color="auto" w:fill="FFFFFF"/>
        </w:rPr>
        <w:t xml:space="preserve">Herrera, J. and De </w:t>
      </w:r>
      <w:proofErr w:type="gramStart"/>
      <w:r>
        <w:rPr>
          <w:color w:val="222222"/>
          <w:shd w:val="clear" w:color="auto" w:fill="FFFFFF"/>
        </w:rPr>
        <w:t>Las</w:t>
      </w:r>
      <w:proofErr w:type="gramEnd"/>
      <w:r>
        <w:rPr>
          <w:color w:val="222222"/>
          <w:shd w:val="clear" w:color="auto" w:fill="FFFFFF"/>
        </w:rPr>
        <w:t xml:space="preserve"> Heras-Rosas, C., 2021. The organizational commitment in the company and its relationship with the psychological contract. </w:t>
      </w:r>
      <w:r>
        <w:rPr>
          <w:i/>
          <w:iCs/>
          <w:color w:val="222222"/>
          <w:shd w:val="clear" w:color="auto" w:fill="FFFFFF"/>
        </w:rPr>
        <w:t>Frontiers in psychology</w:t>
      </w:r>
      <w:r>
        <w:rPr>
          <w:color w:val="222222"/>
          <w:shd w:val="clear" w:color="auto" w:fill="FFFFFF"/>
        </w:rPr>
        <w:t xml:space="preserve">, </w:t>
      </w:r>
      <w:r>
        <w:rPr>
          <w:i/>
          <w:iCs/>
          <w:color w:val="222222"/>
          <w:shd w:val="clear" w:color="auto" w:fill="FFFFFF"/>
        </w:rPr>
        <w:t>11</w:t>
      </w:r>
      <w:r>
        <w:rPr>
          <w:color w:val="222222"/>
          <w:shd w:val="clear" w:color="auto" w:fill="FFFFFF"/>
        </w:rPr>
        <w:t>, p.609211.</w:t>
      </w:r>
      <w:r>
        <w:rPr>
          <w:color w:val="000000"/>
        </w:rPr>
        <w:t xml:space="preserve"> </w:t>
      </w:r>
      <w:hyperlink r:id="rId24" w:history="1">
        <w:r>
          <w:rPr>
            <w:rStyle w:val="Hyperlink"/>
            <w:color w:val="1155CC"/>
          </w:rPr>
          <w:t>https://www.frontiersin.org/journals/psychology/articles/10.3389/fpsyg.2020.609211/pdf</w:t>
        </w:r>
      </w:hyperlink>
    </w:p>
    <w:p w14:paraId="185DFD8C" w14:textId="77777777" w:rsidR="004A017C" w:rsidRDefault="00A222F5">
      <w:pPr>
        <w:pStyle w:val="NormalWeb"/>
        <w:spacing w:beforeAutospacing="0" w:after="200" w:afterAutospacing="0" w:line="360" w:lineRule="auto"/>
        <w:jc w:val="both"/>
      </w:pPr>
      <w:r>
        <w:rPr>
          <w:color w:val="222222"/>
          <w:shd w:val="clear" w:color="auto" w:fill="FFFFFF"/>
        </w:rPr>
        <w:t xml:space="preserve">Hussain, M. and Mubarak, S., 2021. Measuring human resource attitude using organisational theory of relationship: The way forward. </w:t>
      </w:r>
      <w:r>
        <w:rPr>
          <w:i/>
          <w:iCs/>
          <w:color w:val="222222"/>
          <w:shd w:val="clear" w:color="auto" w:fill="FFFFFF"/>
        </w:rPr>
        <w:t>International Journal of Management Studies (IJMS)</w:t>
      </w:r>
      <w:r>
        <w:rPr>
          <w:color w:val="222222"/>
          <w:shd w:val="clear" w:color="auto" w:fill="FFFFFF"/>
        </w:rPr>
        <w:t xml:space="preserve">, </w:t>
      </w:r>
      <w:r>
        <w:rPr>
          <w:i/>
          <w:iCs/>
          <w:color w:val="222222"/>
          <w:shd w:val="clear" w:color="auto" w:fill="FFFFFF"/>
        </w:rPr>
        <w:t>28</w:t>
      </w:r>
      <w:r>
        <w:rPr>
          <w:color w:val="222222"/>
          <w:shd w:val="clear" w:color="auto" w:fill="FFFFFF"/>
        </w:rPr>
        <w:t>(1), pp.57-88.</w:t>
      </w:r>
      <w:r>
        <w:rPr>
          <w:color w:val="000000"/>
        </w:rPr>
        <w:t xml:space="preserve"> </w:t>
      </w:r>
      <w:hyperlink r:id="rId25" w:history="1">
        <w:r>
          <w:rPr>
            <w:rStyle w:val="Hyperlink"/>
            <w:color w:val="1155CC"/>
          </w:rPr>
          <w:t>https://repo.uum.edu.my/id/eprint/29273/1/IJMS%2028%2001%202021%2057-88.pdf</w:t>
        </w:r>
      </w:hyperlink>
    </w:p>
    <w:p w14:paraId="68D49D54" w14:textId="77777777" w:rsidR="004A017C" w:rsidRDefault="00A222F5">
      <w:pPr>
        <w:pStyle w:val="NormalWeb"/>
        <w:spacing w:beforeAutospacing="0" w:after="200" w:afterAutospacing="0" w:line="360" w:lineRule="auto"/>
        <w:jc w:val="both"/>
      </w:pPr>
      <w:r>
        <w:rPr>
          <w:color w:val="222222"/>
          <w:shd w:val="clear" w:color="auto" w:fill="FFFFFF"/>
        </w:rPr>
        <w:t xml:space="preserve">Junça Silva, A., Faria, C. and Lopes, R.R., 2026. Onboarding for success: exploring the effects of socialization tactics on newcomer well-being. </w:t>
      </w:r>
      <w:r>
        <w:rPr>
          <w:i/>
          <w:iCs/>
          <w:color w:val="222222"/>
          <w:shd w:val="clear" w:color="auto" w:fill="FFFFFF"/>
        </w:rPr>
        <w:t>International Journal of Organizational Analysis</w:t>
      </w:r>
      <w:r>
        <w:rPr>
          <w:color w:val="222222"/>
          <w:shd w:val="clear" w:color="auto" w:fill="FFFFFF"/>
        </w:rPr>
        <w:t xml:space="preserve">, </w:t>
      </w:r>
      <w:r>
        <w:rPr>
          <w:i/>
          <w:iCs/>
          <w:color w:val="222222"/>
          <w:shd w:val="clear" w:color="auto" w:fill="FFFFFF"/>
        </w:rPr>
        <w:t>34</w:t>
      </w:r>
      <w:r>
        <w:rPr>
          <w:color w:val="222222"/>
          <w:shd w:val="clear" w:color="auto" w:fill="FFFFFF"/>
        </w:rPr>
        <w:t>(2), pp.657-680.</w:t>
      </w:r>
      <w:r>
        <w:rPr>
          <w:color w:val="000000"/>
        </w:rPr>
        <w:t xml:space="preserve"> </w:t>
      </w:r>
      <w:hyperlink r:id="rId26" w:history="1">
        <w:r>
          <w:rPr>
            <w:rStyle w:val="Hyperlink"/>
            <w:color w:val="1155CC"/>
          </w:rPr>
          <w:t>https://dau.url.edu/bitstream/handle/20.500.14342/6253/Onboarding%20for%20success%20-%20Exploring%20the%20effects%20of%20socialization%20tactics%20on%20newcomer%20well-being.pdf?sequence=1</w:t>
        </w:r>
      </w:hyperlink>
    </w:p>
    <w:p w14:paraId="3FA48591" w14:textId="77777777" w:rsidR="004A017C" w:rsidRDefault="00A222F5">
      <w:pPr>
        <w:pStyle w:val="NormalWeb"/>
        <w:spacing w:beforeAutospacing="0" w:after="200" w:afterAutospacing="0" w:line="360" w:lineRule="auto"/>
        <w:jc w:val="both"/>
      </w:pPr>
      <w:r>
        <w:rPr>
          <w:color w:val="222222"/>
          <w:shd w:val="clear" w:color="auto" w:fill="FFFFFF"/>
        </w:rPr>
        <w:lastRenderedPageBreak/>
        <w:t xml:space="preserve">Kuijpers, E., </w:t>
      </w:r>
      <w:proofErr w:type="spellStart"/>
      <w:r>
        <w:rPr>
          <w:color w:val="222222"/>
          <w:shd w:val="clear" w:color="auto" w:fill="FFFFFF"/>
        </w:rPr>
        <w:t>Kooij</w:t>
      </w:r>
      <w:proofErr w:type="spellEnd"/>
      <w:r>
        <w:rPr>
          <w:color w:val="222222"/>
          <w:shd w:val="clear" w:color="auto" w:fill="FFFFFF"/>
        </w:rPr>
        <w:t xml:space="preserve">, D.T. and van </w:t>
      </w:r>
      <w:proofErr w:type="spellStart"/>
      <w:r>
        <w:rPr>
          <w:color w:val="222222"/>
          <w:shd w:val="clear" w:color="auto" w:fill="FFFFFF"/>
        </w:rPr>
        <w:t>Woerkom</w:t>
      </w:r>
      <w:proofErr w:type="spellEnd"/>
      <w:r>
        <w:rPr>
          <w:color w:val="222222"/>
          <w:shd w:val="clear" w:color="auto" w:fill="FFFFFF"/>
        </w:rPr>
        <w:t xml:space="preserve">, M., 2020. Align your job with yourself: The relationship between a job crafting intervention and work engagement, and the role of workload. </w:t>
      </w:r>
      <w:r>
        <w:rPr>
          <w:i/>
          <w:iCs/>
          <w:color w:val="222222"/>
          <w:shd w:val="clear" w:color="auto" w:fill="FFFFFF"/>
        </w:rPr>
        <w:t>Journal of occupational health psychology</w:t>
      </w:r>
      <w:r>
        <w:rPr>
          <w:color w:val="222222"/>
          <w:shd w:val="clear" w:color="auto" w:fill="FFFFFF"/>
        </w:rPr>
        <w:t xml:space="preserve">, </w:t>
      </w:r>
      <w:r>
        <w:rPr>
          <w:i/>
          <w:iCs/>
          <w:color w:val="222222"/>
          <w:shd w:val="clear" w:color="auto" w:fill="FFFFFF"/>
        </w:rPr>
        <w:t>25</w:t>
      </w:r>
      <w:r>
        <w:rPr>
          <w:color w:val="222222"/>
          <w:shd w:val="clear" w:color="auto" w:fill="FFFFFF"/>
        </w:rPr>
        <w:t>(1), p.1.</w:t>
      </w:r>
      <w:r>
        <w:rPr>
          <w:color w:val="000000"/>
        </w:rPr>
        <w:t xml:space="preserve"> </w:t>
      </w:r>
      <w:hyperlink r:id="rId27" w:history="1">
        <w:r>
          <w:rPr>
            <w:rStyle w:val="Hyperlink"/>
            <w:color w:val="1155CC"/>
          </w:rPr>
          <w:t>https://www.researchgate.net/profile/Evy-Kuijpers/publication/337924478_Align_your_job_with_yourself_The_relationship_between_a_job_crafting_intervention_and_work_engagement_and_the_role_of_workload/links/622a1ab484ce8e5b4d16eda6/Align-Your-Job-With-Yourself-The-Relationship-Between-a-Job-Crafting-Intervention-and-Work-Engagement-and-the-Role-of-Workload.pdf</w:t>
        </w:r>
      </w:hyperlink>
    </w:p>
    <w:p w14:paraId="25A4F4A7" w14:textId="77777777" w:rsidR="004A017C" w:rsidRDefault="00A222F5">
      <w:pPr>
        <w:pStyle w:val="NormalWeb"/>
        <w:spacing w:beforeAutospacing="0" w:after="200" w:afterAutospacing="0" w:line="360" w:lineRule="auto"/>
        <w:jc w:val="both"/>
      </w:pPr>
      <w:r>
        <w:rPr>
          <w:color w:val="222222"/>
          <w:shd w:val="clear" w:color="auto" w:fill="FFFFFF"/>
        </w:rPr>
        <w:t xml:space="preserve">Kamani, T., 2020. Analysis of the job characteristics model. </w:t>
      </w:r>
      <w:r>
        <w:rPr>
          <w:i/>
          <w:iCs/>
          <w:color w:val="222222"/>
          <w:shd w:val="clear" w:color="auto" w:fill="FFFFFF"/>
        </w:rPr>
        <w:t>Available at SSRN 3600844</w:t>
      </w:r>
      <w:r>
        <w:rPr>
          <w:color w:val="222222"/>
          <w:shd w:val="clear" w:color="auto" w:fill="FFFFFF"/>
        </w:rPr>
        <w:t>.</w:t>
      </w:r>
      <w:r>
        <w:rPr>
          <w:color w:val="000000"/>
        </w:rPr>
        <w:t xml:space="preserve"> </w:t>
      </w:r>
      <w:hyperlink r:id="rId28" w:history="1">
        <w:r>
          <w:rPr>
            <w:rStyle w:val="Hyperlink"/>
            <w:color w:val="1155CC"/>
          </w:rPr>
          <w:t>https://papers.ssrn.com/sol3/Delivery.cfm?abstractid=3600844</w:t>
        </w:r>
      </w:hyperlink>
    </w:p>
    <w:p w14:paraId="444A7080" w14:textId="77777777" w:rsidR="004A017C" w:rsidRDefault="00A222F5">
      <w:pPr>
        <w:pStyle w:val="NormalWeb"/>
        <w:spacing w:beforeAutospacing="0" w:after="200" w:afterAutospacing="0" w:line="360" w:lineRule="auto"/>
        <w:jc w:val="both"/>
      </w:pPr>
      <w:r>
        <w:rPr>
          <w:color w:val="222222"/>
          <w:shd w:val="clear" w:color="auto" w:fill="FFFFFF"/>
        </w:rPr>
        <w:t xml:space="preserve">Love, P.E., Matthews, J., </w:t>
      </w:r>
      <w:proofErr w:type="spellStart"/>
      <w:r>
        <w:rPr>
          <w:color w:val="222222"/>
          <w:shd w:val="clear" w:color="auto" w:fill="FFFFFF"/>
        </w:rPr>
        <w:t>Ika</w:t>
      </w:r>
      <w:proofErr w:type="spellEnd"/>
      <w:r>
        <w:rPr>
          <w:color w:val="222222"/>
          <w:shd w:val="clear" w:color="auto" w:fill="FFFFFF"/>
        </w:rPr>
        <w:t xml:space="preserve">, L.A., Teo, P., Fang, W. and Morrison, J., 2023. From Quality-I to Quality-II: cultivating an error culture to support lean thinking and rework mitigation in infrastructure projects. </w:t>
      </w:r>
      <w:r>
        <w:rPr>
          <w:i/>
          <w:iCs/>
          <w:color w:val="222222"/>
          <w:shd w:val="clear" w:color="auto" w:fill="FFFFFF"/>
        </w:rPr>
        <w:t>Production Planning &amp; Control</w:t>
      </w:r>
      <w:r>
        <w:rPr>
          <w:color w:val="222222"/>
          <w:shd w:val="clear" w:color="auto" w:fill="FFFFFF"/>
        </w:rPr>
        <w:t xml:space="preserve">, </w:t>
      </w:r>
      <w:r>
        <w:rPr>
          <w:i/>
          <w:iCs/>
          <w:color w:val="222222"/>
          <w:shd w:val="clear" w:color="auto" w:fill="FFFFFF"/>
        </w:rPr>
        <w:t>34</w:t>
      </w:r>
      <w:r>
        <w:rPr>
          <w:color w:val="222222"/>
          <w:shd w:val="clear" w:color="auto" w:fill="FFFFFF"/>
        </w:rPr>
        <w:t>(9), pp.812-829.</w:t>
      </w:r>
      <w:r>
        <w:rPr>
          <w:color w:val="000000"/>
        </w:rPr>
        <w:t xml:space="preserve"> </w:t>
      </w:r>
      <w:hyperlink r:id="rId29" w:history="1">
        <w:r>
          <w:rPr>
            <w:rStyle w:val="Hyperlink"/>
            <w:color w:val="1155CC"/>
          </w:rPr>
          <w:t>https://www.researchgate.net/profile/John-Morrison-9/publication/354033868_From_Quality-I_to_Quality-II_cultivating_an_error_culture_to_support_lean_thinking_and_rework_mitigation_in_infrastructure_projects/links/61242b4d0c2bfa282a669eaf/From-Quality-I-to-Quality-II-cultivating-an-error-culture-to-support-lean-thinking-and-rework-mitigation-in-infrastructure-projects.pdf</w:t>
        </w:r>
      </w:hyperlink>
    </w:p>
    <w:p w14:paraId="76CAC36D" w14:textId="77777777" w:rsidR="004A017C" w:rsidRDefault="00A222F5">
      <w:pPr>
        <w:pStyle w:val="NormalWeb"/>
        <w:spacing w:beforeAutospacing="0" w:after="200" w:afterAutospacing="0" w:line="360" w:lineRule="auto"/>
        <w:jc w:val="both"/>
      </w:pPr>
      <w:r>
        <w:rPr>
          <w:color w:val="222222"/>
          <w:shd w:val="clear" w:color="auto" w:fill="FFFFFF"/>
        </w:rPr>
        <w:t xml:space="preserve">Sahu, A., Datta, S. and Bhattacharya, J., 2026. Skill Based Hiring Transformation Impact </w:t>
      </w:r>
      <w:proofErr w:type="gramStart"/>
      <w:r>
        <w:rPr>
          <w:color w:val="222222"/>
          <w:shd w:val="clear" w:color="auto" w:fill="FFFFFF"/>
        </w:rPr>
        <w:t>On</w:t>
      </w:r>
      <w:proofErr w:type="gramEnd"/>
      <w:r>
        <w:rPr>
          <w:color w:val="222222"/>
          <w:shd w:val="clear" w:color="auto" w:fill="FFFFFF"/>
        </w:rPr>
        <w:t xml:space="preserve"> Talent Acquisition And Internal Mobility. </w:t>
      </w:r>
      <w:r>
        <w:rPr>
          <w:i/>
          <w:iCs/>
          <w:color w:val="222222"/>
          <w:shd w:val="clear" w:color="auto" w:fill="FFFFFF"/>
        </w:rPr>
        <w:t xml:space="preserve">International Journal of Innovations in Science, Engineering </w:t>
      </w:r>
      <w:proofErr w:type="gramStart"/>
      <w:r>
        <w:rPr>
          <w:i/>
          <w:iCs/>
          <w:color w:val="222222"/>
          <w:shd w:val="clear" w:color="auto" w:fill="FFFFFF"/>
        </w:rPr>
        <w:t>And</w:t>
      </w:r>
      <w:proofErr w:type="gramEnd"/>
      <w:r>
        <w:rPr>
          <w:i/>
          <w:iCs/>
          <w:color w:val="222222"/>
          <w:shd w:val="clear" w:color="auto" w:fill="FFFFFF"/>
        </w:rPr>
        <w:t xml:space="preserve"> Management</w:t>
      </w:r>
      <w:r>
        <w:rPr>
          <w:color w:val="222222"/>
          <w:shd w:val="clear" w:color="auto" w:fill="FFFFFF"/>
        </w:rPr>
        <w:t>, pp.56-64.</w:t>
      </w:r>
      <w:r>
        <w:rPr>
          <w:color w:val="000000"/>
        </w:rPr>
        <w:t xml:space="preserve"> </w:t>
      </w:r>
      <w:hyperlink r:id="rId30" w:history="1">
        <w:r>
          <w:rPr>
            <w:rStyle w:val="Hyperlink"/>
            <w:color w:val="1155CC"/>
          </w:rPr>
          <w:t>https://ijisem.com/journal/index.php/ijisem/article/download/448/416</w:t>
        </w:r>
      </w:hyperlink>
    </w:p>
    <w:p w14:paraId="5BB82023" w14:textId="77777777" w:rsidR="004A017C" w:rsidRDefault="00A222F5">
      <w:pPr>
        <w:pStyle w:val="NormalWeb"/>
        <w:spacing w:beforeAutospacing="0" w:after="200" w:afterAutospacing="0" w:line="360" w:lineRule="auto"/>
        <w:jc w:val="both"/>
      </w:pPr>
      <w:r>
        <w:rPr>
          <w:color w:val="222222"/>
          <w:shd w:val="clear" w:color="auto" w:fill="FFFFFF"/>
        </w:rPr>
        <w:t xml:space="preserve">Tims, M., </w:t>
      </w:r>
      <w:proofErr w:type="spellStart"/>
      <w:r>
        <w:rPr>
          <w:color w:val="222222"/>
          <w:shd w:val="clear" w:color="auto" w:fill="FFFFFF"/>
        </w:rPr>
        <w:t>Twemlow</w:t>
      </w:r>
      <w:proofErr w:type="spellEnd"/>
      <w:r>
        <w:rPr>
          <w:color w:val="222222"/>
          <w:shd w:val="clear" w:color="auto" w:fill="FFFFFF"/>
        </w:rPr>
        <w:t xml:space="preserve">, M. and Fong, C.Y.M., 2022. A state-of-the-art overview of job-crafting research: current trends and future research directions. </w:t>
      </w:r>
      <w:r>
        <w:rPr>
          <w:i/>
          <w:iCs/>
          <w:color w:val="222222"/>
          <w:shd w:val="clear" w:color="auto" w:fill="FFFFFF"/>
        </w:rPr>
        <w:t>Career Development International</w:t>
      </w:r>
      <w:r>
        <w:rPr>
          <w:color w:val="222222"/>
          <w:shd w:val="clear" w:color="auto" w:fill="FFFFFF"/>
        </w:rPr>
        <w:t xml:space="preserve">, </w:t>
      </w:r>
      <w:r>
        <w:rPr>
          <w:i/>
          <w:iCs/>
          <w:color w:val="222222"/>
          <w:shd w:val="clear" w:color="auto" w:fill="FFFFFF"/>
        </w:rPr>
        <w:t>27</w:t>
      </w:r>
      <w:r>
        <w:rPr>
          <w:color w:val="222222"/>
          <w:shd w:val="clear" w:color="auto" w:fill="FFFFFF"/>
        </w:rPr>
        <w:t>(1), pp.54-78.</w:t>
      </w:r>
      <w:r>
        <w:rPr>
          <w:color w:val="000000"/>
        </w:rPr>
        <w:t xml:space="preserve"> </w:t>
      </w:r>
      <w:hyperlink r:id="rId31" w:history="1">
        <w:r>
          <w:rPr>
            <w:rStyle w:val="Hyperlink"/>
            <w:color w:val="1155CC"/>
          </w:rPr>
          <w:t>https://research.tilburguniversity.edu/files/63284771/HRS_Fong_a_state_of_the_art_overview_of_job_crafting_2022_Postprint.pdf</w:t>
        </w:r>
      </w:hyperlink>
    </w:p>
    <w:p w14:paraId="41B5BC27" w14:textId="77777777" w:rsidR="004A017C" w:rsidRDefault="00A222F5">
      <w:pPr>
        <w:spacing w:before="240" w:after="240" w:line="360" w:lineRule="auto"/>
        <w:jc w:val="both"/>
        <w:rPr>
          <w:rFonts w:ascii="Times New Roman" w:eastAsia="Times New Roman" w:hAnsi="Times New Roman" w:cs="Times New Roman"/>
          <w:sz w:val="24"/>
          <w:szCs w:val="24"/>
        </w:rPr>
      </w:pPr>
      <w:r>
        <w:rPr>
          <w:rFonts w:ascii="Times New Roman" w:eastAsia="SimSun" w:hAnsi="Times New Roman" w:cs="Times New Roman"/>
          <w:color w:val="222222"/>
          <w:sz w:val="24"/>
          <w:szCs w:val="24"/>
          <w:shd w:val="clear" w:color="auto" w:fill="FFFFFF"/>
        </w:rPr>
        <w:lastRenderedPageBreak/>
        <w:t xml:space="preserve">Wang, H., Li, P. and Chen, S., 2020. The impact of social factors on job crafting: A meta-analysis and review. </w:t>
      </w:r>
      <w:r>
        <w:rPr>
          <w:rFonts w:ascii="Times New Roman" w:eastAsia="SimSun" w:hAnsi="Times New Roman" w:cs="Times New Roman"/>
          <w:i/>
          <w:iCs/>
          <w:color w:val="222222"/>
          <w:sz w:val="24"/>
          <w:szCs w:val="24"/>
          <w:shd w:val="clear" w:color="auto" w:fill="FFFFFF"/>
        </w:rPr>
        <w:t>International Journal of Environmental Research and Public Health</w:t>
      </w:r>
      <w:r>
        <w:rPr>
          <w:rFonts w:ascii="Times New Roman" w:eastAsia="SimSun" w:hAnsi="Times New Roman" w:cs="Times New Roman"/>
          <w:color w:val="222222"/>
          <w:sz w:val="24"/>
          <w:szCs w:val="24"/>
          <w:shd w:val="clear" w:color="auto" w:fill="FFFFFF"/>
        </w:rPr>
        <w:t xml:space="preserve">, </w:t>
      </w:r>
      <w:r>
        <w:rPr>
          <w:rFonts w:ascii="Times New Roman" w:eastAsia="SimSun" w:hAnsi="Times New Roman" w:cs="Times New Roman"/>
          <w:i/>
          <w:iCs/>
          <w:color w:val="222222"/>
          <w:sz w:val="24"/>
          <w:szCs w:val="24"/>
          <w:shd w:val="clear" w:color="auto" w:fill="FFFFFF"/>
        </w:rPr>
        <w:t>17</w:t>
      </w:r>
      <w:r>
        <w:rPr>
          <w:rFonts w:ascii="Times New Roman" w:eastAsia="SimSun" w:hAnsi="Times New Roman" w:cs="Times New Roman"/>
          <w:color w:val="222222"/>
          <w:sz w:val="24"/>
          <w:szCs w:val="24"/>
          <w:shd w:val="clear" w:color="auto" w:fill="FFFFFF"/>
        </w:rPr>
        <w:t>(21), p.8016.</w:t>
      </w:r>
      <w:r>
        <w:rPr>
          <w:rFonts w:ascii="Times New Roman" w:eastAsia="SimSun" w:hAnsi="Times New Roman" w:cs="Times New Roman"/>
          <w:color w:val="000000"/>
          <w:sz w:val="24"/>
          <w:szCs w:val="24"/>
        </w:rPr>
        <w:t xml:space="preserve"> </w:t>
      </w:r>
      <w:hyperlink r:id="rId32" w:history="1">
        <w:r>
          <w:rPr>
            <w:rStyle w:val="Hyperlink"/>
            <w:rFonts w:ascii="Times New Roman" w:eastAsia="SimSun" w:hAnsi="Times New Roman" w:cs="Times New Roman"/>
            <w:color w:val="1155CC"/>
            <w:sz w:val="24"/>
            <w:szCs w:val="24"/>
          </w:rPr>
          <w:t>https://www.mdpi.com/1660-4601/17/21/8016</w:t>
        </w:r>
      </w:hyperlink>
    </w:p>
    <w:sectPr w:rsidR="004A017C">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90F90" w14:textId="77777777" w:rsidR="008C76B0" w:rsidRDefault="008C76B0">
      <w:pPr>
        <w:spacing w:line="240" w:lineRule="auto"/>
      </w:pPr>
      <w:r>
        <w:separator/>
      </w:r>
    </w:p>
  </w:endnote>
  <w:endnote w:type="continuationSeparator" w:id="0">
    <w:p w14:paraId="3AEE2CBC" w14:textId="77777777" w:rsidR="008C76B0" w:rsidRDefault="008C76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fontKey="{D635299C-E91D-4B11-8128-5FA42C9A2867}"/>
    <w:embedBold r:id="rId2" w:fontKey="{7E763DD4-2A38-4BFE-9DB2-C7EFEF51E2E9}"/>
    <w:embedBoldItalic r:id="rId3" w:fontKey="{8EA50E90-A88F-47A8-8F00-E1C17B23DC2A}"/>
  </w:font>
  <w:font w:name="Georgia">
    <w:panose1 w:val="02040502050405020303"/>
    <w:charset w:val="00"/>
    <w:family w:val="roman"/>
    <w:pitch w:val="variable"/>
    <w:sig w:usb0="00000287" w:usb1="00000000" w:usb2="00000000" w:usb3="00000000" w:csb0="0000009F" w:csb1="00000000"/>
    <w:embedItalic r:id="rId4" w:fontKey="{03151EFF-43FF-48BD-AEEC-4F6E142DB1FB}"/>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C701566C-2563-467C-A467-A37B85104E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56E3" w14:textId="77777777" w:rsidR="004A017C" w:rsidRDefault="00A222F5">
    <w:pPr>
      <w:jc w:val="center"/>
    </w:pPr>
    <w:r>
      <w:rPr>
        <w:noProof/>
      </w:rPr>
      <mc:AlternateContent>
        <mc:Choice Requires="wps">
          <w:drawing>
            <wp:anchor distT="0" distB="0" distL="114300" distR="114300" simplePos="0" relativeHeight="251659264" behindDoc="0" locked="0" layoutInCell="1" allowOverlap="1" wp14:anchorId="1922149B" wp14:editId="4B7D3FA5">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701C7" w14:textId="77777777" w:rsidR="004A017C" w:rsidRDefault="00A222F5">
                          <w:pPr>
                            <w:pStyle w:val="Footer"/>
                          </w:pPr>
                          <w:r>
                            <w:rPr>
                              <w:lang w:val="en-IN"/>
                            </w:rPr>
                            <w:t>0</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922149B" id="_x0000_t202" coordsize="21600,21600" o:spt="202" path="m,l,21600r21600,l21600,xe">
              <v:stroke joinstyle="miter"/>
              <v:path gradientshapeok="t" o:connecttype="rect"/>
            </v:shapetype>
            <v:shape id="Text Box 2" o:spid="_x0000_s1026" type="#_x0000_t202" style="position:absolute;left:0;text-align:left;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J5m&#10;BIJSAgAACQUAAA4AAAAAAAAAAAAAAAAALgIAAGRycy9lMm9Eb2MueG1sUEsBAi0AFAAGAAgAAAAh&#10;AHGq0bnXAAAABQEAAA8AAAAAAAAAAAAAAAAArAQAAGRycy9kb3ducmV2LnhtbFBLBQYAAAAABAAE&#10;APMAAACwBQAAAAA=&#10;" filled="f" stroked="f" strokeweight=".5pt">
              <v:textbox style="mso-fit-shape-to-text:t" inset="0,0,0,0">
                <w:txbxContent>
                  <w:p w14:paraId="625701C7" w14:textId="77777777" w:rsidR="004A017C" w:rsidRDefault="00A222F5">
                    <w:pPr>
                      <w:pStyle w:val="Footer"/>
                    </w:pPr>
                    <w:r>
                      <w:rPr>
                        <w:lang w:val="en-IN"/>
                      </w:rPr>
                      <w:t>0</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896774"/>
      <w:docPartObj>
        <w:docPartGallery w:val="Page Numbers (Bottom of Page)"/>
        <w:docPartUnique/>
      </w:docPartObj>
    </w:sdtPr>
    <w:sdtContent>
      <w:p w14:paraId="01879C68" w14:textId="5E48A618" w:rsidR="00706082" w:rsidRDefault="00706082">
        <w:pPr>
          <w:pStyle w:val="Footer"/>
          <w:jc w:val="right"/>
        </w:pPr>
        <w:r>
          <w:fldChar w:fldCharType="begin"/>
        </w:r>
        <w:r>
          <w:instrText>PAGE   \* MERGEFORMAT</w:instrText>
        </w:r>
        <w:r>
          <w:fldChar w:fldCharType="separate"/>
        </w:r>
        <w:r>
          <w:rPr>
            <w:lang w:val="en-GB"/>
          </w:rPr>
          <w:t>2</w:t>
        </w:r>
        <w:r>
          <w:fldChar w:fldCharType="end"/>
        </w:r>
      </w:p>
    </w:sdtContent>
  </w:sdt>
  <w:p w14:paraId="292BAEE0" w14:textId="4BD6910E" w:rsidR="004A017C" w:rsidRDefault="004A017C">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8F178" w14:textId="77777777" w:rsidR="008C76B0" w:rsidRDefault="008C76B0">
      <w:pPr>
        <w:spacing w:after="0"/>
      </w:pPr>
      <w:r>
        <w:separator/>
      </w:r>
    </w:p>
  </w:footnote>
  <w:footnote w:type="continuationSeparator" w:id="0">
    <w:p w14:paraId="7E4DE194" w14:textId="77777777" w:rsidR="008C76B0" w:rsidRDefault="008C76B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C4EE8" w14:textId="77777777" w:rsidR="004A017C" w:rsidRDefault="004A017C">
    <w:pPr>
      <w:widowControl w:val="0"/>
      <w:spacing w:after="0" w:line="240" w:lineRule="auto"/>
      <w:ind w:right="-6"/>
      <w:rPr>
        <w:rFonts w:ascii="Arial" w:eastAsia="Arial" w:hAnsi="Arial" w:cs="Arial"/>
        <w:b/>
        <w:bCs/>
        <w:color w:val="222222"/>
        <w:sz w:val="34"/>
        <w:szCs w:val="3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B780A" w14:textId="77777777" w:rsidR="004A017C" w:rsidRDefault="00A222F5">
    <w:pPr>
      <w:widowControl w:val="0"/>
      <w:spacing w:after="0" w:line="240" w:lineRule="auto"/>
      <w:ind w:right="-6"/>
      <w:jc w:val="right"/>
    </w:pPr>
    <w:r>
      <w:rPr>
        <w:rFonts w:ascii="Arial" w:eastAsia="Arial" w:hAnsi="Arial" w:cs="Arial"/>
        <w:noProof/>
      </w:rPr>
      <w:drawing>
        <wp:inline distT="19050" distB="19050" distL="19050" distR="19050" wp14:anchorId="1EFF85C5" wp14:editId="4BBB8E76">
          <wp:extent cx="1640840" cy="42989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
                  <a:srcRect/>
                  <a:stretch>
                    <a:fillRect/>
                  </a:stretch>
                </pic:blipFill>
                <pic:spPr>
                  <a:xfrm>
                    <a:off x="0" y="0"/>
                    <a:ext cx="1640840" cy="42989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bordersDoNotSurroundHeader/>
  <w:bordersDoNotSurroundFooter/>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17C"/>
    <w:rsid w:val="00047D12"/>
    <w:rsid w:val="00073419"/>
    <w:rsid w:val="00347EF7"/>
    <w:rsid w:val="004A017C"/>
    <w:rsid w:val="005B182B"/>
    <w:rsid w:val="00640A29"/>
    <w:rsid w:val="00706082"/>
    <w:rsid w:val="00770081"/>
    <w:rsid w:val="008C76B0"/>
    <w:rsid w:val="00A222F5"/>
    <w:rsid w:val="00C5437C"/>
    <w:rsid w:val="00F77EBA"/>
    <w:rsid w:val="04A574F9"/>
    <w:rsid w:val="29E74054"/>
    <w:rsid w:val="33D87B9A"/>
    <w:rsid w:val="3A513E01"/>
    <w:rsid w:val="3CEB03F0"/>
    <w:rsid w:val="422D0F9E"/>
    <w:rsid w:val="43B27422"/>
    <w:rsid w:val="63791282"/>
    <w:rsid w:val="6B464D0B"/>
    <w:rsid w:val="70757E8B"/>
    <w:rsid w:val="716B762F"/>
    <w:rsid w:val="720352C6"/>
    <w:rsid w:val="7AD16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0304F"/>
  <w15:docId w15:val="{2D821658-9AA4-4DC0-8B62-245713436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eastAsia="Calibri" w:hAnsi="Calibri" w:cs="Calibri"/>
      <w:sz w:val="22"/>
      <w:szCs w:val="22"/>
      <w:lang w:val="en-US"/>
    </w:rPr>
  </w:style>
  <w:style w:type="paragraph" w:styleId="Heading1">
    <w:name w:val="heading 1"/>
    <w:basedOn w:val="Normal"/>
    <w:next w:val="Normal"/>
    <w:qFormat/>
    <w:pPr>
      <w:keepNext/>
      <w:keepLines/>
      <w:spacing w:before="240" w:after="240" w:line="360" w:lineRule="auto"/>
      <w:jc w:val="both"/>
      <w:outlineLvl w:val="0"/>
    </w:pPr>
    <w:rPr>
      <w:rFonts w:ascii="Times New Roman" w:eastAsia="Times New Roman" w:hAnsi="Times New Roman" w:cs="Times New Roman"/>
      <w:b/>
      <w:bCs/>
      <w:color w:val="222222"/>
      <w:sz w:val="28"/>
      <w:szCs w:val="24"/>
    </w:rPr>
  </w:style>
  <w:style w:type="paragraph" w:styleId="Heading2">
    <w:name w:val="heading 2"/>
    <w:basedOn w:val="Normal"/>
    <w:next w:val="Normal"/>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qFormat/>
    <w:pPr>
      <w:keepNext/>
      <w:keepLines/>
      <w:spacing w:before="280" w:after="80"/>
      <w:outlineLvl w:val="2"/>
    </w:pPr>
    <w:rPr>
      <w:b/>
      <w:bCs/>
      <w:sz w:val="28"/>
      <w:szCs w:val="28"/>
    </w:rPr>
  </w:style>
  <w:style w:type="paragraph" w:styleId="Heading4">
    <w:name w:val="heading 4"/>
    <w:basedOn w:val="Normal"/>
    <w:next w:val="Normal"/>
    <w:qFormat/>
    <w:pPr>
      <w:keepNext/>
      <w:keepLines/>
      <w:spacing w:before="240" w:after="40"/>
      <w:outlineLvl w:val="3"/>
    </w:pPr>
    <w:rPr>
      <w:b/>
      <w:bCs/>
      <w:sz w:val="24"/>
      <w:szCs w:val="24"/>
    </w:rPr>
  </w:style>
  <w:style w:type="paragraph" w:styleId="Heading5">
    <w:name w:val="heading 5"/>
    <w:basedOn w:val="Normal"/>
    <w:next w:val="Normal"/>
    <w:qFormat/>
    <w:pPr>
      <w:keepNext/>
      <w:keepLines/>
      <w:spacing w:before="220" w:after="40"/>
      <w:outlineLvl w:val="4"/>
    </w:pPr>
    <w:rPr>
      <w:b/>
      <w:bCs/>
    </w:rPr>
  </w:style>
  <w:style w:type="paragraph" w:styleId="Heading6">
    <w:name w:val="heading 6"/>
    <w:basedOn w:val="Normal"/>
    <w:next w:val="Normal"/>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 w:type="paragraph" w:styleId="Subtitle">
    <w:name w:val="Subtitle"/>
    <w:basedOn w:val="Normal"/>
    <w:next w:val="Normal"/>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qFormat/>
    <w:pPr>
      <w:keepNext/>
      <w:keepLines/>
      <w:spacing w:before="480" w:after="120"/>
    </w:pPr>
    <w:rPr>
      <w:b/>
      <w:bCs/>
      <w:sz w:val="72"/>
      <w:szCs w:val="72"/>
    </w:rPr>
  </w:style>
  <w:style w:type="paragraph" w:styleId="TOC1">
    <w:name w:val="toc 1"/>
    <w:basedOn w:val="Normal"/>
    <w:next w:val="Normal"/>
    <w:qFormat/>
  </w:style>
  <w:style w:type="table" w:customStyle="1" w:styleId="TableNormal0">
    <w:name w:val="TableNormal"/>
    <w:qFormat/>
    <w:tblPr>
      <w:tblCellMar>
        <w:top w:w="100" w:type="dxa"/>
        <w:left w:w="100" w:type="dxa"/>
        <w:bottom w:w="100" w:type="dxa"/>
        <w:right w:w="100" w:type="dxa"/>
      </w:tblCellMar>
    </w:tblPr>
  </w:style>
  <w:style w:type="paragraph" w:styleId="ListParagraph">
    <w:name w:val="List Paragraph"/>
    <w:basedOn w:val="Normal"/>
    <w:uiPriority w:val="34"/>
    <w:qFormat/>
    <w:pPr>
      <w:ind w:left="720"/>
      <w:contextualSpacing/>
    </w:pPr>
  </w:style>
  <w:style w:type="table" w:customStyle="1" w:styleId="Style14">
    <w:name w:val="_Style 14"/>
    <w:basedOn w:val="TableNormal0"/>
    <w:qFormat/>
    <w:tblPr/>
  </w:style>
  <w:style w:type="paragraph" w:styleId="Header">
    <w:name w:val="header"/>
    <w:basedOn w:val="Normal"/>
    <w:link w:val="HeaderChar"/>
    <w:rsid w:val="00706082"/>
    <w:pPr>
      <w:tabs>
        <w:tab w:val="center" w:pos="4513"/>
        <w:tab w:val="right" w:pos="9026"/>
      </w:tabs>
      <w:spacing w:after="0" w:line="240" w:lineRule="auto"/>
    </w:pPr>
  </w:style>
  <w:style w:type="character" w:customStyle="1" w:styleId="HeaderChar">
    <w:name w:val="Header Char"/>
    <w:basedOn w:val="DefaultParagraphFont"/>
    <w:link w:val="Header"/>
    <w:rsid w:val="00706082"/>
    <w:rPr>
      <w:rFonts w:ascii="Calibri" w:eastAsia="Calibri" w:hAnsi="Calibri" w:cs="Calibri"/>
      <w:sz w:val="22"/>
      <w:szCs w:val="22"/>
      <w:lang w:val="en-US"/>
    </w:rPr>
  </w:style>
  <w:style w:type="character" w:customStyle="1" w:styleId="FooterChar">
    <w:name w:val="Footer Char"/>
    <w:basedOn w:val="DefaultParagraphFont"/>
    <w:link w:val="Footer"/>
    <w:uiPriority w:val="99"/>
    <w:rsid w:val="00706082"/>
    <w:rPr>
      <w:rFonts w:ascii="Calibri" w:eastAsia="Calibri" w:hAnsi="Calibri" w:cs="Calibr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o.open.ac.uk/72718/3/72718.pdf" TargetMode="External"/><Relationship Id="rId18" Type="http://schemas.openxmlformats.org/officeDocument/2006/relationships/hyperlink" Target="https://www.academia.edu/download/76203517/Job_Characteristics_as_a_Determinant_of_Intrinsic_Motivation_An_Empirical_Study_of_Generation_Z.pdf" TargetMode="External"/><Relationship Id="rId26" Type="http://schemas.openxmlformats.org/officeDocument/2006/relationships/hyperlink" Target="https://dau.url.edu/bitstream/handle/20.500.14342/6253/Onboarding%20for%20success%20-%20Exploring%20the%20effects%20of%20socialization%20tactics%20on%20newcomer%20well-being.pdf?sequence=1" TargetMode="External"/><Relationship Id="rId3" Type="http://schemas.openxmlformats.org/officeDocument/2006/relationships/customXml" Target="../customXml/item3.xml"/><Relationship Id="rId21" Type="http://schemas.openxmlformats.org/officeDocument/2006/relationships/hyperlink" Target="https://journals.plos.org/plosone/article/file?id=10.1371/journal.pone.0281823&amp;type=printabl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academia.edu/download/65153901/Accepted_Costantini_et_al._2020_._Implementing.pdf" TargetMode="External"/><Relationship Id="rId25" Type="http://schemas.openxmlformats.org/officeDocument/2006/relationships/hyperlink" Target="https://repo.uum.edu.my/id/eprint/29273/1/IJMS%2028%2001%202021%2057-88.pdf"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academia.edu/download/65460770/Exploring_the_meanings_of_professional_activism.pdf" TargetMode="External"/><Relationship Id="rId20" Type="http://schemas.openxmlformats.org/officeDocument/2006/relationships/hyperlink" Target="https://www.tandfonline.com/doi/pdf/10.1080/0960085X.2021.1927866" TargetMode="External"/><Relationship Id="rId29" Type="http://schemas.openxmlformats.org/officeDocument/2006/relationships/hyperlink" Target="https://www.researchgate.net/profile/John-Morrison-9/publication/354033868_From_Quality-I_to_Quality-II_cultivating_an_error_culture_to_support_lean_thinking_and_rework_mitigation_in_infrastructure_projects/links/61242b4d0c2bfa282a669eaf/From-Quality-I-to-Quality-II-cultivating-an-error-culture-to-support-lean-thinking-and-rework-mitigation-in-infrastructure-project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ww.frontiersin.org/journals/psychology/articles/10.3389/fpsyg.2020.609211/pdf" TargetMode="External"/><Relationship Id="rId32" Type="http://schemas.openxmlformats.org/officeDocument/2006/relationships/hyperlink" Target="https://www.mdpi.com/1660-4601/17/21/8016" TargetMode="External"/><Relationship Id="rId5" Type="http://schemas.openxmlformats.org/officeDocument/2006/relationships/settings" Target="settings.xml"/><Relationship Id="rId15" Type="http://schemas.openxmlformats.org/officeDocument/2006/relationships/hyperlink" Target="https://www.sciencedirect.com/science/article/pii/S0090261625000178" TargetMode="External"/><Relationship Id="rId23" Type="http://schemas.openxmlformats.org/officeDocument/2006/relationships/hyperlink" Target="https://bpspsychub.onlinelibrary.wiley.com/doi/pdfdirect/10.1111/joop.12450" TargetMode="External"/><Relationship Id="rId28" Type="http://schemas.openxmlformats.org/officeDocument/2006/relationships/hyperlink" Target="https://papers.ssrn.com/sol3/Delivery.cfm?abstractid=3600844" TargetMode="External"/><Relationship Id="rId10" Type="http://schemas.openxmlformats.org/officeDocument/2006/relationships/header" Target="header1.xml"/><Relationship Id="rId19" Type="http://schemas.openxmlformats.org/officeDocument/2006/relationships/hyperlink" Target="https://onlinelibrary.wiley.com/doi/pdf/10.1002/cbe2.1241" TargetMode="External"/><Relationship Id="rId31" Type="http://schemas.openxmlformats.org/officeDocument/2006/relationships/hyperlink" Target="https://research.tilburguniversity.edu/files/63284771/HRS_Fong_a_state_of_the_art_overview_of_job_crafting_2022_Postprint.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apers.ssrn.com/sol3/Delivery.cfm?abstractid=6336158" TargetMode="External"/><Relationship Id="rId22" Type="http://schemas.openxmlformats.org/officeDocument/2006/relationships/hyperlink" Target="https://www.mdpi.com/2076-3387/13/3/79" TargetMode="External"/><Relationship Id="rId27" Type="http://schemas.openxmlformats.org/officeDocument/2006/relationships/hyperlink" Target="https://www.researchgate.net/profile/Evy-Kuijpers/publication/337924478_Align_your_job_with_yourself_The_relationship_between_a_job_crafting_intervention_and_work_engagement_and_the_role_of_workload/links/622a1ab484ce8e5b4d16eda6/Align-Your-Job-With-Yourself-The-Relationship-Between-a-Job-Crafting-Intervention-and-Work-Engagement-and-the-Role-of-Workload.pdf" TargetMode="External"/><Relationship Id="rId30" Type="http://schemas.openxmlformats.org/officeDocument/2006/relationships/hyperlink" Target="https://ijisem.com/journal/index.php/ijisem/article/download/448/416" TargetMode="External"/><Relationship Id="rId35" Type="http://schemas.openxmlformats.org/officeDocument/2006/relationships/theme" Target="theme/theme1.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y9uE79j/Lto19gXkFYALa1Es8w==">CgMxLjA4AHIhMWZ3em9hZU9yTTZwclB5VERFdk4tdVNpbl9OU3NyY3pv</go:docsCustomData>
</go:gDocsCustomXmlDataStorag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48FD8D81-0A2B-46F0-A36E-EBC5897B4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3997</Words>
  <Characters>22788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Darshil Dodiya</dc:creator>
  <cp:lastModifiedBy>Darshil Dodiya</cp:lastModifiedBy>
  <cp:revision>8</cp:revision>
  <dcterms:created xsi:type="dcterms:W3CDTF">2024-09-17T06:06:00Z</dcterms:created>
  <dcterms:modified xsi:type="dcterms:W3CDTF">2026-06-26T07:40:00Z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eyJoZGlkIjoiZTUzZTNhZDA5MWQ4OWIyNWEyY2ExYzllMWJmYzBjYTAiLCJ1c2VySWQiOiI1NjcxNzg5OTY0MTkifQ==</vt:lpwstr>
  </property>
  <property fmtid="{D5CDD505-2E9C-101B-9397-08002B2CF9AE}" pid="3" name="KSOProductBuildVer">
    <vt:lpwstr>1033-12.1.0.26880</vt:lpwstr>
  </property>
  <property fmtid="{D5CDD505-2E9C-101B-9397-08002B2CF9AE}" pid="4" name="ICV">
    <vt:lpwstr>A4C1A8C4A9BF42B1BE7958AA829DCC90_13</vt:lpwstr>
  </property>
</Properties>
</file>