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380945125"/>
        <w:docPartObj>
          <w:docPartGallery w:val="Cover Pages"/>
          <w:docPartUnique/>
        </w:docPartObj>
      </w:sdtPr>
      <w:sdtEndPr>
        <w:rPr>
          <w:rFonts w:ascii="Arial" w:hAnsi="Arial" w:cs="Arial"/>
          <w:color w:val="auto"/>
        </w:rPr>
      </w:sdtEndPr>
      <w:sdtContent>
        <w:p w14:paraId="3F26934F" w14:textId="3CED3F66" w:rsidR="0004585E" w:rsidRDefault="0004585E">
          <w:pPr>
            <w:pStyle w:val="NoSpacing"/>
            <w:spacing w:before="1540" w:after="240"/>
            <w:jc w:val="center"/>
            <w:rPr>
              <w:color w:val="156082" w:themeColor="accent1"/>
            </w:rPr>
          </w:pPr>
          <w:r>
            <w:rPr>
              <w:noProof/>
              <w:color w:val="156082" w:themeColor="accent1"/>
            </w:rPr>
            <w:drawing>
              <wp:inline distT="0" distB="0" distL="0" distR="0" wp14:anchorId="6B55DE79" wp14:editId="5844BB5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19E4043F47746ADAEA6DDBE7E30118E"/>
            </w:placeholder>
            <w:dataBinding w:prefixMappings="xmlns:ns0='http://purl.org/dc/elements/1.1/' xmlns:ns1='http://schemas.openxmlformats.org/package/2006/metadata/core-properties' " w:xpath="/ns1:coreProperties[1]/ns0:title[1]" w:storeItemID="{6C3C8BC8-F283-45AE-878A-BAB7291924A1}"/>
            <w:text/>
          </w:sdtPr>
          <w:sdtContent>
            <w:p w14:paraId="45EE1C69" w14:textId="4B2F41C8" w:rsidR="0004585E" w:rsidRDefault="0004585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04585E">
                <w:rPr>
                  <w:rFonts w:asciiTheme="majorHAnsi" w:eastAsiaTheme="majorEastAsia" w:hAnsiTheme="majorHAnsi" w:cstheme="majorBidi"/>
                  <w:caps/>
                  <w:color w:val="156082" w:themeColor="accent1"/>
                  <w:sz w:val="72"/>
                  <w:szCs w:val="72"/>
                </w:rPr>
                <w:t>– “Equality, Diversity and Inclusion within Industry”</w:t>
              </w:r>
            </w:p>
          </w:sdtContent>
        </w:sdt>
        <w:sdt>
          <w:sdtPr>
            <w:rPr>
              <w:color w:val="156082" w:themeColor="accent1"/>
              <w:sz w:val="28"/>
              <w:szCs w:val="28"/>
            </w:rPr>
            <w:alias w:val="Subtitle"/>
            <w:tag w:val=""/>
            <w:id w:val="328029620"/>
            <w:placeholder>
              <w:docPart w:val="34A7AFC83E54420180C63C1C4D8B6864"/>
            </w:placeholder>
            <w:showingPlcHdr/>
            <w:dataBinding w:prefixMappings="xmlns:ns0='http://purl.org/dc/elements/1.1/' xmlns:ns1='http://schemas.openxmlformats.org/package/2006/metadata/core-properties' " w:xpath="/ns1:coreProperties[1]/ns0:subject[1]" w:storeItemID="{6C3C8BC8-F283-45AE-878A-BAB7291924A1}"/>
            <w:text/>
          </w:sdtPr>
          <w:sdtContent>
            <w:p w14:paraId="5AC4B266" w14:textId="3B656DA9" w:rsidR="0004585E" w:rsidRDefault="004175C2">
              <w:pPr>
                <w:pStyle w:val="NoSpacing"/>
                <w:jc w:val="center"/>
                <w:rPr>
                  <w:color w:val="156082" w:themeColor="accent1"/>
                  <w:sz w:val="28"/>
                  <w:szCs w:val="28"/>
                </w:rPr>
              </w:pPr>
              <w:r>
                <w:rPr>
                  <w:color w:val="156082" w:themeColor="accent1"/>
                  <w:sz w:val="28"/>
                  <w:szCs w:val="28"/>
                </w:rPr>
                <w:t>[Document subtitle]</w:t>
              </w:r>
            </w:p>
          </w:sdtContent>
        </w:sdt>
        <w:p w14:paraId="305B0209" w14:textId="002D7310" w:rsidR="0004585E" w:rsidRPr="0004585E" w:rsidRDefault="0004585E" w:rsidP="0004585E">
          <w:pPr>
            <w:pStyle w:val="NoSpacing"/>
            <w:spacing w:before="480"/>
            <w:jc w:val="center"/>
            <w:rPr>
              <w:noProof/>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FD414AE" wp14:editId="662A3EC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6F013" w14:textId="5030A22B" w:rsidR="0004585E" w:rsidRPr="0004585E" w:rsidRDefault="0004585E" w:rsidP="0004585E">
                                <w:pPr>
                                  <w:pStyle w:val="NoSpacing"/>
                                  <w:spacing w:after="40"/>
                                  <w:rPr>
                                    <w:caps/>
                                    <w:color w:val="156082"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D414A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B86F013" w14:textId="5030A22B" w:rsidR="0004585E" w:rsidRPr="0004585E" w:rsidRDefault="0004585E" w:rsidP="0004585E">
                          <w:pPr>
                            <w:pStyle w:val="NoSpacing"/>
                            <w:spacing w:after="40"/>
                            <w:rPr>
                              <w:caps/>
                              <w:color w:val="156082" w:themeColor="accent1"/>
                              <w:sz w:val="28"/>
                              <w:szCs w:val="28"/>
                            </w:rPr>
                          </w:pPr>
                        </w:p>
                      </w:txbxContent>
                    </v:textbox>
                    <w10:wrap anchorx="margin" anchory="page"/>
                  </v:shape>
                </w:pict>
              </mc:Fallback>
            </mc:AlternateContent>
          </w:r>
          <w:r w:rsidRPr="0004585E">
            <w:t xml:space="preserve"> </w:t>
          </w:r>
          <w:r w:rsidRPr="0004585E">
            <w:rPr>
              <w:noProof/>
              <w:color w:val="156082" w:themeColor="accent1"/>
            </w:rPr>
            <w:t>Student Name</w:t>
          </w:r>
        </w:p>
        <w:p w14:paraId="2E69EBFC" w14:textId="77777777" w:rsidR="0004585E" w:rsidRPr="0004585E" w:rsidRDefault="0004585E" w:rsidP="0004585E">
          <w:pPr>
            <w:pStyle w:val="NoSpacing"/>
            <w:spacing w:before="480"/>
            <w:jc w:val="center"/>
            <w:rPr>
              <w:noProof/>
              <w:color w:val="156082" w:themeColor="accent1"/>
            </w:rPr>
          </w:pPr>
        </w:p>
        <w:p w14:paraId="308EFEC9" w14:textId="77777777" w:rsidR="0004585E" w:rsidRPr="0004585E" w:rsidRDefault="0004585E" w:rsidP="0004585E">
          <w:pPr>
            <w:pStyle w:val="NoSpacing"/>
            <w:spacing w:before="480"/>
            <w:jc w:val="center"/>
            <w:rPr>
              <w:noProof/>
              <w:color w:val="156082" w:themeColor="accent1"/>
            </w:rPr>
          </w:pPr>
          <w:r w:rsidRPr="0004585E">
            <w:rPr>
              <w:noProof/>
              <w:color w:val="156082" w:themeColor="accent1"/>
            </w:rPr>
            <w:t>Rebeca A. Baccela</w:t>
          </w:r>
        </w:p>
        <w:p w14:paraId="78D12F7F" w14:textId="77777777" w:rsidR="0004585E" w:rsidRPr="0004585E" w:rsidRDefault="0004585E" w:rsidP="0004585E">
          <w:pPr>
            <w:pStyle w:val="NoSpacing"/>
            <w:spacing w:before="480"/>
            <w:jc w:val="center"/>
            <w:rPr>
              <w:noProof/>
              <w:color w:val="156082" w:themeColor="accent1"/>
            </w:rPr>
          </w:pPr>
        </w:p>
        <w:p w14:paraId="0C180A1C" w14:textId="77777777" w:rsidR="0004585E" w:rsidRPr="0004585E" w:rsidRDefault="0004585E" w:rsidP="0004585E">
          <w:pPr>
            <w:pStyle w:val="NoSpacing"/>
            <w:spacing w:before="480"/>
            <w:jc w:val="center"/>
            <w:rPr>
              <w:noProof/>
              <w:color w:val="156082" w:themeColor="accent1"/>
            </w:rPr>
          </w:pPr>
          <w:r w:rsidRPr="0004585E">
            <w:rPr>
              <w:noProof/>
              <w:color w:val="156082" w:themeColor="accent1"/>
            </w:rPr>
            <w:t>Student ID number</w:t>
          </w:r>
        </w:p>
        <w:p w14:paraId="1148881A" w14:textId="77777777" w:rsidR="0004585E" w:rsidRPr="0004585E" w:rsidRDefault="0004585E" w:rsidP="0004585E">
          <w:pPr>
            <w:pStyle w:val="NoSpacing"/>
            <w:spacing w:before="480"/>
            <w:jc w:val="center"/>
            <w:rPr>
              <w:noProof/>
              <w:color w:val="156082" w:themeColor="accent1"/>
            </w:rPr>
          </w:pPr>
          <w:r w:rsidRPr="0004585E">
            <w:rPr>
              <w:noProof/>
              <w:color w:val="156082" w:themeColor="accent1"/>
            </w:rPr>
            <w:t>2230716</w:t>
          </w:r>
        </w:p>
        <w:p w14:paraId="2699FC34" w14:textId="77777777" w:rsidR="0004585E" w:rsidRPr="0004585E" w:rsidRDefault="0004585E" w:rsidP="0004585E">
          <w:pPr>
            <w:pStyle w:val="NoSpacing"/>
            <w:spacing w:before="480"/>
            <w:jc w:val="center"/>
            <w:rPr>
              <w:noProof/>
              <w:color w:val="156082" w:themeColor="accent1"/>
            </w:rPr>
          </w:pPr>
          <w:r w:rsidRPr="0004585E">
            <w:rPr>
              <w:noProof/>
              <w:color w:val="156082" w:themeColor="accent1"/>
            </w:rPr>
            <w:t>International Meetings Management for the Hotel Industry BMIH6007</w:t>
          </w:r>
        </w:p>
        <w:p w14:paraId="46FCCD1E" w14:textId="7C6D178D" w:rsidR="0004585E" w:rsidRDefault="0004585E" w:rsidP="0004585E">
          <w:pPr>
            <w:pStyle w:val="NoSpacing"/>
            <w:spacing w:before="480"/>
            <w:jc w:val="center"/>
            <w:rPr>
              <w:color w:val="156082" w:themeColor="accent1"/>
            </w:rPr>
          </w:pPr>
          <w:r w:rsidRPr="0004585E">
            <w:rPr>
              <w:noProof/>
              <w:color w:val="156082" w:themeColor="accent1"/>
              <w:lang w:val="en-GB"/>
            </w:rPr>
            <w:t>Module Lecturer: Kathryn Flynn</w:t>
          </w:r>
          <w:r>
            <w:rPr>
              <w:noProof/>
              <w:color w:val="156082" w:themeColor="accent1"/>
            </w:rPr>
            <w:drawing>
              <wp:inline distT="0" distB="0" distL="0" distR="0" wp14:anchorId="7DB699B9" wp14:editId="61345B1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5B3978" w14:textId="468A8E1E" w:rsidR="0004585E" w:rsidRDefault="0004585E">
          <w:pPr>
            <w:rPr>
              <w:rFonts w:ascii="Arial" w:hAnsi="Arial" w:cs="Arial"/>
            </w:rPr>
          </w:pPr>
          <w:r>
            <w:rPr>
              <w:rFonts w:ascii="Arial" w:hAnsi="Arial" w:cs="Arial"/>
            </w:rPr>
            <w:br w:type="page"/>
          </w:r>
        </w:p>
      </w:sdtContent>
    </w:sdt>
    <w:p w14:paraId="6D2A2C92" w14:textId="77777777" w:rsidR="000B6CF7" w:rsidRPr="006D2012" w:rsidRDefault="000B6CF7" w:rsidP="006D2012">
      <w:pPr>
        <w:spacing w:line="360" w:lineRule="auto"/>
        <w:jc w:val="both"/>
        <w:rPr>
          <w:rFonts w:ascii="Arial" w:hAnsi="Arial" w:cs="Arial"/>
        </w:rPr>
      </w:pPr>
      <w:r w:rsidRPr="006D2012">
        <w:rPr>
          <w:rFonts w:ascii="Arial" w:hAnsi="Arial" w:cs="Arial"/>
        </w:rPr>
        <w:lastRenderedPageBreak/>
        <w:t>Executive Summary</w:t>
      </w:r>
    </w:p>
    <w:p w14:paraId="34B48DE2" w14:textId="77777777" w:rsidR="006D2012" w:rsidRPr="006D2012" w:rsidRDefault="006D2012" w:rsidP="006D2012">
      <w:pPr>
        <w:spacing w:line="360" w:lineRule="auto"/>
        <w:jc w:val="both"/>
        <w:rPr>
          <w:rFonts w:ascii="Arial" w:hAnsi="Arial" w:cs="Arial"/>
        </w:rPr>
      </w:pPr>
    </w:p>
    <w:p w14:paraId="0DB3F1FE" w14:textId="7954DFDC" w:rsidR="006D2012" w:rsidRPr="006D2012" w:rsidRDefault="006D2012" w:rsidP="006D2012">
      <w:pPr>
        <w:spacing w:line="360" w:lineRule="auto"/>
        <w:jc w:val="both"/>
        <w:rPr>
          <w:rFonts w:ascii="Arial" w:hAnsi="Arial" w:cs="Arial"/>
        </w:rPr>
      </w:pPr>
      <w:r w:rsidRPr="006D2012">
        <w:rPr>
          <w:rFonts w:ascii="Arial" w:hAnsi="Arial" w:cs="Arial"/>
        </w:rPr>
        <w:t>This report presents a strategic roadmap for the "Equality, Diversity, and Inclusion (EDI) within the Hospitality Industry" event. Building on the findings of the feasibility study, the event aims to address key EDI challenges in the sector by promoting awareness, driving policy change, facilitating knowledge sharing, and encouraging collaboration. The event will leverage theoretical frameworks, such as Stakeholder Theory (Freeman, 1984</w:t>
      </w:r>
      <w:r w:rsidRPr="006D2012">
        <w:rPr>
          <w:rFonts w:ascii="Arial" w:hAnsi="Arial" w:cs="Arial"/>
        </w:rPr>
        <w:t>) and</w:t>
      </w:r>
      <w:r w:rsidRPr="006D2012">
        <w:rPr>
          <w:rFonts w:ascii="Arial" w:hAnsi="Arial" w:cs="Arial"/>
        </w:rPr>
        <w:t xml:space="preserve"> include case studies from industry leaders like Marriott International (Marriott, 2022) and Accor (Accor, 2023).</w:t>
      </w:r>
    </w:p>
    <w:p w14:paraId="4B575D69" w14:textId="77777777" w:rsidR="006D2012" w:rsidRPr="006D2012" w:rsidRDefault="006D2012" w:rsidP="006D2012">
      <w:pPr>
        <w:spacing w:line="360" w:lineRule="auto"/>
        <w:jc w:val="both"/>
        <w:rPr>
          <w:rFonts w:ascii="Arial" w:hAnsi="Arial" w:cs="Arial"/>
        </w:rPr>
      </w:pPr>
    </w:p>
    <w:p w14:paraId="71A77190" w14:textId="77777777" w:rsidR="006D2012" w:rsidRPr="006D2012" w:rsidRDefault="006D2012" w:rsidP="006D2012">
      <w:pPr>
        <w:spacing w:line="360" w:lineRule="auto"/>
        <w:jc w:val="both"/>
        <w:rPr>
          <w:rFonts w:ascii="Arial" w:hAnsi="Arial" w:cs="Arial"/>
        </w:rPr>
      </w:pPr>
      <w:r w:rsidRPr="006D2012">
        <w:rPr>
          <w:rFonts w:ascii="Arial" w:hAnsi="Arial" w:cs="Arial"/>
        </w:rPr>
        <w:t>Key objectives include raising awareness of EDI issues, encouraging policy implementation among senior leaders, and creating opportunities for networking and knowledge exchange. The event will be hosted at ExCeL London, chosen for its accessibility, capacity, and advanced facilities (Smith &amp; Andrews, 2023). A targeted marketing strategy will engage attendees through social media, email campaigns, and press releases (Kotler &amp; Keller, 2016).</w:t>
      </w:r>
    </w:p>
    <w:p w14:paraId="3FBC9B25" w14:textId="77777777" w:rsidR="006D2012" w:rsidRPr="006D2012" w:rsidRDefault="006D2012" w:rsidP="006D2012">
      <w:pPr>
        <w:spacing w:line="360" w:lineRule="auto"/>
        <w:jc w:val="both"/>
        <w:rPr>
          <w:rFonts w:ascii="Arial" w:hAnsi="Arial" w:cs="Arial"/>
        </w:rPr>
      </w:pPr>
    </w:p>
    <w:p w14:paraId="4198C1C5" w14:textId="77777777" w:rsidR="006D2012" w:rsidRPr="006D2012" w:rsidRDefault="006D2012" w:rsidP="006D2012">
      <w:pPr>
        <w:spacing w:line="360" w:lineRule="auto"/>
        <w:jc w:val="both"/>
        <w:rPr>
          <w:rFonts w:ascii="Arial" w:hAnsi="Arial" w:cs="Arial"/>
        </w:rPr>
      </w:pPr>
      <w:r w:rsidRPr="006D2012">
        <w:rPr>
          <w:rFonts w:ascii="Arial" w:hAnsi="Arial" w:cs="Arial"/>
        </w:rPr>
        <w:t>Risk management strategies will address potential challenges, such as low attendance, technical issues, and speaker cancellations. The event aims to leave a lasting impact on the hospitality industry by fostering inclusivity and diversity across the sector.</w:t>
      </w:r>
    </w:p>
    <w:p w14:paraId="1C4E688D" w14:textId="77777777" w:rsidR="006D2012" w:rsidRPr="006D2012" w:rsidRDefault="006D2012" w:rsidP="006D2012">
      <w:pPr>
        <w:spacing w:line="360" w:lineRule="auto"/>
        <w:jc w:val="both"/>
        <w:rPr>
          <w:rFonts w:ascii="Arial" w:hAnsi="Arial" w:cs="Arial"/>
        </w:rPr>
      </w:pPr>
    </w:p>
    <w:p w14:paraId="070DB5BA" w14:textId="77777777" w:rsidR="006D2012" w:rsidRPr="006D2012" w:rsidRDefault="006D2012" w:rsidP="006D2012">
      <w:pPr>
        <w:spacing w:line="360" w:lineRule="auto"/>
        <w:jc w:val="both"/>
        <w:rPr>
          <w:rFonts w:ascii="Arial" w:hAnsi="Arial" w:cs="Arial"/>
        </w:rPr>
      </w:pPr>
      <w:r w:rsidRPr="006D2012">
        <w:rPr>
          <w:rFonts w:ascii="Arial" w:hAnsi="Arial" w:cs="Arial"/>
        </w:rPr>
        <w:t>Additionally, the appendix includes detailed analyses using the SWOT framework to assess the internal strengths, weaknesses, opportunities, and threats related to the event, and the PESTLE analysis to examine external factors including political, economic, social, technological, legal, and environmental influences. These analyses provide a holistic view of the factors that could impact the event’s success and inform strategic decision-making.</w:t>
      </w:r>
    </w:p>
    <w:p w14:paraId="0B5047CE" w14:textId="77777777" w:rsidR="000B6CF7" w:rsidRPr="006D2012" w:rsidRDefault="000B6CF7" w:rsidP="006D2012">
      <w:pPr>
        <w:spacing w:line="360" w:lineRule="auto"/>
        <w:jc w:val="both"/>
        <w:rPr>
          <w:rFonts w:ascii="Arial" w:hAnsi="Arial" w:cs="Arial"/>
        </w:rPr>
      </w:pPr>
    </w:p>
    <w:p w14:paraId="136A3371" w14:textId="77777777" w:rsidR="000B6CF7" w:rsidRPr="006D2012" w:rsidRDefault="000B6CF7" w:rsidP="006D2012">
      <w:pPr>
        <w:spacing w:line="360" w:lineRule="auto"/>
        <w:jc w:val="both"/>
        <w:rPr>
          <w:rFonts w:ascii="Arial" w:hAnsi="Arial" w:cs="Arial"/>
        </w:rPr>
      </w:pPr>
    </w:p>
    <w:p w14:paraId="11EF3421" w14:textId="77777777" w:rsidR="000B6CF7" w:rsidRPr="006D2012" w:rsidRDefault="000B6CF7" w:rsidP="006D2012">
      <w:pPr>
        <w:spacing w:line="360" w:lineRule="auto"/>
        <w:jc w:val="both"/>
        <w:rPr>
          <w:rFonts w:ascii="Arial" w:hAnsi="Arial" w:cs="Arial"/>
        </w:rPr>
      </w:pPr>
    </w:p>
    <w:p w14:paraId="0CD14285" w14:textId="77777777" w:rsidR="000B6CF7" w:rsidRPr="006D2012" w:rsidRDefault="000B6CF7" w:rsidP="006D2012">
      <w:pPr>
        <w:spacing w:line="360" w:lineRule="auto"/>
        <w:jc w:val="both"/>
        <w:rPr>
          <w:rFonts w:ascii="Arial" w:hAnsi="Arial" w:cs="Arial"/>
        </w:rPr>
      </w:pPr>
    </w:p>
    <w:p w14:paraId="6DFED4E6" w14:textId="00F9CF1B" w:rsidR="000B6CF7" w:rsidRPr="006D2012" w:rsidRDefault="000B6CF7" w:rsidP="006D2012">
      <w:pPr>
        <w:pStyle w:val="TOCHeading"/>
        <w:spacing w:line="360" w:lineRule="auto"/>
        <w:jc w:val="both"/>
        <w:rPr>
          <w:rFonts w:ascii="Arial" w:hAnsi="Arial" w:cs="Arial"/>
          <w:sz w:val="24"/>
          <w:szCs w:val="24"/>
        </w:rPr>
      </w:pPr>
    </w:p>
    <w:p w14:paraId="5B29BC13" w14:textId="77777777" w:rsidR="000B6CF7" w:rsidRPr="006D2012" w:rsidRDefault="000B6CF7" w:rsidP="006D2012">
      <w:pPr>
        <w:pStyle w:val="Heading1"/>
        <w:spacing w:line="360" w:lineRule="auto"/>
        <w:jc w:val="both"/>
        <w:rPr>
          <w:rFonts w:ascii="Arial" w:hAnsi="Arial" w:cs="Arial"/>
          <w:sz w:val="24"/>
          <w:szCs w:val="24"/>
        </w:rPr>
      </w:pPr>
    </w:p>
    <w:p w14:paraId="083395E4" w14:textId="77777777" w:rsidR="000B6CF7" w:rsidRPr="006D2012" w:rsidRDefault="000B6CF7" w:rsidP="006D2012">
      <w:pPr>
        <w:spacing w:line="360" w:lineRule="auto"/>
        <w:jc w:val="both"/>
        <w:rPr>
          <w:rFonts w:ascii="Arial" w:hAnsi="Arial" w:cs="Arial"/>
        </w:rPr>
      </w:pPr>
    </w:p>
    <w:p w14:paraId="6E23F64F" w14:textId="77777777" w:rsidR="000B6CF7" w:rsidRPr="006D2012" w:rsidRDefault="000B6CF7" w:rsidP="006D2012">
      <w:pPr>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1492975355"/>
        <w:docPartObj>
          <w:docPartGallery w:val="Table of Contents"/>
          <w:docPartUnique/>
        </w:docPartObj>
      </w:sdtPr>
      <w:sdtEndPr>
        <w:rPr>
          <w:b/>
          <w:bCs/>
          <w:noProof/>
        </w:rPr>
      </w:sdtEndPr>
      <w:sdtContent>
        <w:p w14:paraId="0A8AF49C" w14:textId="5CF134A9" w:rsidR="000B6CF7" w:rsidRPr="006D2012" w:rsidRDefault="000B6CF7" w:rsidP="006D2012">
          <w:pPr>
            <w:pStyle w:val="TOCHeading"/>
            <w:spacing w:line="360" w:lineRule="auto"/>
            <w:jc w:val="both"/>
            <w:rPr>
              <w:rFonts w:ascii="Arial" w:hAnsi="Arial" w:cs="Arial"/>
              <w:sz w:val="24"/>
              <w:szCs w:val="24"/>
            </w:rPr>
          </w:pPr>
          <w:r w:rsidRPr="006D2012">
            <w:rPr>
              <w:rFonts w:ascii="Arial" w:hAnsi="Arial" w:cs="Arial"/>
              <w:sz w:val="24"/>
              <w:szCs w:val="24"/>
            </w:rPr>
            <w:t>Contents</w:t>
          </w:r>
        </w:p>
        <w:p w14:paraId="55695352" w14:textId="2F308BFE" w:rsidR="006D2012" w:rsidRDefault="000B6CF7">
          <w:pPr>
            <w:pStyle w:val="TOC1"/>
            <w:tabs>
              <w:tab w:val="right" w:leader="dot" w:pos="9016"/>
            </w:tabs>
            <w:rPr>
              <w:rFonts w:eastAsiaTheme="minorEastAsia"/>
              <w:noProof/>
              <w:lang w:eastAsia="en-GB"/>
            </w:rPr>
          </w:pPr>
          <w:r w:rsidRPr="006D2012">
            <w:rPr>
              <w:rFonts w:ascii="Arial" w:hAnsi="Arial" w:cs="Arial"/>
            </w:rPr>
            <w:fldChar w:fldCharType="begin"/>
          </w:r>
          <w:r w:rsidRPr="006D2012">
            <w:rPr>
              <w:rFonts w:ascii="Arial" w:hAnsi="Arial" w:cs="Arial"/>
            </w:rPr>
            <w:instrText xml:space="preserve"> TOC \o "1-3" \h \z \u </w:instrText>
          </w:r>
          <w:r w:rsidRPr="006D2012">
            <w:rPr>
              <w:rFonts w:ascii="Arial" w:hAnsi="Arial" w:cs="Arial"/>
            </w:rPr>
            <w:fldChar w:fldCharType="separate"/>
          </w:r>
          <w:hyperlink w:anchor="_Toc191627567" w:history="1">
            <w:r w:rsidR="006D2012" w:rsidRPr="00E516A0">
              <w:rPr>
                <w:rStyle w:val="Hyperlink"/>
                <w:rFonts w:ascii="Arial" w:hAnsi="Arial" w:cs="Arial"/>
                <w:noProof/>
              </w:rPr>
              <w:t>Introduction</w:t>
            </w:r>
            <w:r w:rsidR="006D2012">
              <w:rPr>
                <w:noProof/>
                <w:webHidden/>
              </w:rPr>
              <w:tab/>
            </w:r>
            <w:r w:rsidR="006D2012">
              <w:rPr>
                <w:noProof/>
                <w:webHidden/>
              </w:rPr>
              <w:fldChar w:fldCharType="begin"/>
            </w:r>
            <w:r w:rsidR="006D2012">
              <w:rPr>
                <w:noProof/>
                <w:webHidden/>
              </w:rPr>
              <w:instrText xml:space="preserve"> PAGEREF _Toc191627567 \h </w:instrText>
            </w:r>
            <w:r w:rsidR="006D2012">
              <w:rPr>
                <w:noProof/>
                <w:webHidden/>
              </w:rPr>
            </w:r>
            <w:r w:rsidR="006D2012">
              <w:rPr>
                <w:noProof/>
                <w:webHidden/>
              </w:rPr>
              <w:fldChar w:fldCharType="separate"/>
            </w:r>
            <w:r w:rsidR="006D2012">
              <w:rPr>
                <w:noProof/>
                <w:webHidden/>
              </w:rPr>
              <w:t>3</w:t>
            </w:r>
            <w:r w:rsidR="006D2012">
              <w:rPr>
                <w:noProof/>
                <w:webHidden/>
              </w:rPr>
              <w:fldChar w:fldCharType="end"/>
            </w:r>
          </w:hyperlink>
        </w:p>
        <w:p w14:paraId="44AE550B" w14:textId="4A9E8BCA" w:rsidR="006D2012" w:rsidRDefault="006D2012">
          <w:pPr>
            <w:pStyle w:val="TOC1"/>
            <w:tabs>
              <w:tab w:val="right" w:leader="dot" w:pos="9016"/>
            </w:tabs>
            <w:rPr>
              <w:rFonts w:eastAsiaTheme="minorEastAsia"/>
              <w:noProof/>
              <w:lang w:eastAsia="en-GB"/>
            </w:rPr>
          </w:pPr>
          <w:hyperlink w:anchor="_Toc191627568" w:history="1">
            <w:r w:rsidRPr="00E516A0">
              <w:rPr>
                <w:rStyle w:val="Hyperlink"/>
                <w:rFonts w:ascii="Arial" w:hAnsi="Arial" w:cs="Arial"/>
                <w:noProof/>
              </w:rPr>
              <w:t>Event Objectives and Goals</w:t>
            </w:r>
            <w:r>
              <w:rPr>
                <w:noProof/>
                <w:webHidden/>
              </w:rPr>
              <w:tab/>
            </w:r>
            <w:r>
              <w:rPr>
                <w:noProof/>
                <w:webHidden/>
              </w:rPr>
              <w:fldChar w:fldCharType="begin"/>
            </w:r>
            <w:r>
              <w:rPr>
                <w:noProof/>
                <w:webHidden/>
              </w:rPr>
              <w:instrText xml:space="preserve"> PAGEREF _Toc191627568 \h </w:instrText>
            </w:r>
            <w:r>
              <w:rPr>
                <w:noProof/>
                <w:webHidden/>
              </w:rPr>
            </w:r>
            <w:r>
              <w:rPr>
                <w:noProof/>
                <w:webHidden/>
              </w:rPr>
              <w:fldChar w:fldCharType="separate"/>
            </w:r>
            <w:r>
              <w:rPr>
                <w:noProof/>
                <w:webHidden/>
              </w:rPr>
              <w:t>4</w:t>
            </w:r>
            <w:r>
              <w:rPr>
                <w:noProof/>
                <w:webHidden/>
              </w:rPr>
              <w:fldChar w:fldCharType="end"/>
            </w:r>
          </w:hyperlink>
        </w:p>
        <w:p w14:paraId="6F01622E" w14:textId="0346BD3D" w:rsidR="006D2012" w:rsidRDefault="006D2012">
          <w:pPr>
            <w:pStyle w:val="TOC1"/>
            <w:tabs>
              <w:tab w:val="right" w:leader="dot" w:pos="9016"/>
            </w:tabs>
            <w:rPr>
              <w:rFonts w:eastAsiaTheme="minorEastAsia"/>
              <w:noProof/>
              <w:lang w:eastAsia="en-GB"/>
            </w:rPr>
          </w:pPr>
          <w:hyperlink w:anchor="_Toc191627569" w:history="1">
            <w:r w:rsidRPr="00E516A0">
              <w:rPr>
                <w:rStyle w:val="Hyperlink"/>
                <w:rFonts w:ascii="Arial" w:hAnsi="Arial" w:cs="Arial"/>
                <w:noProof/>
              </w:rPr>
              <w:t>Budget and Financial Planning</w:t>
            </w:r>
            <w:r>
              <w:rPr>
                <w:noProof/>
                <w:webHidden/>
              </w:rPr>
              <w:tab/>
            </w:r>
            <w:r>
              <w:rPr>
                <w:noProof/>
                <w:webHidden/>
              </w:rPr>
              <w:fldChar w:fldCharType="begin"/>
            </w:r>
            <w:r>
              <w:rPr>
                <w:noProof/>
                <w:webHidden/>
              </w:rPr>
              <w:instrText xml:space="preserve"> PAGEREF _Toc191627569 \h </w:instrText>
            </w:r>
            <w:r>
              <w:rPr>
                <w:noProof/>
                <w:webHidden/>
              </w:rPr>
            </w:r>
            <w:r>
              <w:rPr>
                <w:noProof/>
                <w:webHidden/>
              </w:rPr>
              <w:fldChar w:fldCharType="separate"/>
            </w:r>
            <w:r>
              <w:rPr>
                <w:noProof/>
                <w:webHidden/>
              </w:rPr>
              <w:t>7</w:t>
            </w:r>
            <w:r>
              <w:rPr>
                <w:noProof/>
                <w:webHidden/>
              </w:rPr>
              <w:fldChar w:fldCharType="end"/>
            </w:r>
          </w:hyperlink>
        </w:p>
        <w:p w14:paraId="23208117" w14:textId="43A008DA" w:rsidR="006D2012" w:rsidRDefault="006D2012">
          <w:pPr>
            <w:pStyle w:val="TOC1"/>
            <w:tabs>
              <w:tab w:val="right" w:leader="dot" w:pos="9016"/>
            </w:tabs>
            <w:rPr>
              <w:rFonts w:eastAsiaTheme="minorEastAsia"/>
              <w:noProof/>
              <w:lang w:eastAsia="en-GB"/>
            </w:rPr>
          </w:pPr>
          <w:hyperlink w:anchor="_Toc191627570" w:history="1">
            <w:r w:rsidRPr="00E516A0">
              <w:rPr>
                <w:rStyle w:val="Hyperlink"/>
                <w:rFonts w:ascii="Arial" w:hAnsi="Arial" w:cs="Arial"/>
                <w:noProof/>
              </w:rPr>
              <w:t>Planning Considerations for EDI in Hospitality Event</w:t>
            </w:r>
            <w:r>
              <w:rPr>
                <w:noProof/>
                <w:webHidden/>
              </w:rPr>
              <w:tab/>
            </w:r>
            <w:r>
              <w:rPr>
                <w:noProof/>
                <w:webHidden/>
              </w:rPr>
              <w:fldChar w:fldCharType="begin"/>
            </w:r>
            <w:r>
              <w:rPr>
                <w:noProof/>
                <w:webHidden/>
              </w:rPr>
              <w:instrText xml:space="preserve"> PAGEREF _Toc191627570 \h </w:instrText>
            </w:r>
            <w:r>
              <w:rPr>
                <w:noProof/>
                <w:webHidden/>
              </w:rPr>
            </w:r>
            <w:r>
              <w:rPr>
                <w:noProof/>
                <w:webHidden/>
              </w:rPr>
              <w:fldChar w:fldCharType="separate"/>
            </w:r>
            <w:r>
              <w:rPr>
                <w:noProof/>
                <w:webHidden/>
              </w:rPr>
              <w:t>9</w:t>
            </w:r>
            <w:r>
              <w:rPr>
                <w:noProof/>
                <w:webHidden/>
              </w:rPr>
              <w:fldChar w:fldCharType="end"/>
            </w:r>
          </w:hyperlink>
        </w:p>
        <w:p w14:paraId="310504EE" w14:textId="2C957A49" w:rsidR="006D2012" w:rsidRDefault="006D2012">
          <w:pPr>
            <w:pStyle w:val="TOC1"/>
            <w:tabs>
              <w:tab w:val="right" w:leader="dot" w:pos="9016"/>
            </w:tabs>
            <w:rPr>
              <w:rFonts w:eastAsiaTheme="minorEastAsia"/>
              <w:noProof/>
              <w:lang w:eastAsia="en-GB"/>
            </w:rPr>
          </w:pPr>
          <w:hyperlink w:anchor="_Toc191627571" w:history="1">
            <w:r w:rsidRPr="00E516A0">
              <w:rPr>
                <w:rStyle w:val="Hyperlink"/>
                <w:rFonts w:ascii="Arial" w:hAnsi="Arial" w:cs="Arial"/>
                <w:noProof/>
              </w:rPr>
              <w:t>Marketing strategy plan:</w:t>
            </w:r>
            <w:r>
              <w:rPr>
                <w:noProof/>
                <w:webHidden/>
              </w:rPr>
              <w:tab/>
            </w:r>
            <w:r>
              <w:rPr>
                <w:noProof/>
                <w:webHidden/>
              </w:rPr>
              <w:fldChar w:fldCharType="begin"/>
            </w:r>
            <w:r>
              <w:rPr>
                <w:noProof/>
                <w:webHidden/>
              </w:rPr>
              <w:instrText xml:space="preserve"> PAGEREF _Toc191627571 \h </w:instrText>
            </w:r>
            <w:r>
              <w:rPr>
                <w:noProof/>
                <w:webHidden/>
              </w:rPr>
            </w:r>
            <w:r>
              <w:rPr>
                <w:noProof/>
                <w:webHidden/>
              </w:rPr>
              <w:fldChar w:fldCharType="separate"/>
            </w:r>
            <w:r>
              <w:rPr>
                <w:noProof/>
                <w:webHidden/>
              </w:rPr>
              <w:t>12</w:t>
            </w:r>
            <w:r>
              <w:rPr>
                <w:noProof/>
                <w:webHidden/>
              </w:rPr>
              <w:fldChar w:fldCharType="end"/>
            </w:r>
          </w:hyperlink>
        </w:p>
        <w:p w14:paraId="289AF36E" w14:textId="7274C6AD" w:rsidR="006D2012" w:rsidRDefault="006D2012">
          <w:pPr>
            <w:pStyle w:val="TOC1"/>
            <w:tabs>
              <w:tab w:val="right" w:leader="dot" w:pos="9016"/>
            </w:tabs>
            <w:rPr>
              <w:rFonts w:eastAsiaTheme="minorEastAsia"/>
              <w:noProof/>
              <w:lang w:eastAsia="en-GB"/>
            </w:rPr>
          </w:pPr>
          <w:hyperlink w:anchor="_Toc191627572" w:history="1">
            <w:r w:rsidRPr="00E516A0">
              <w:rPr>
                <w:rStyle w:val="Hyperlink"/>
                <w:rFonts w:ascii="Arial" w:hAnsi="Arial" w:cs="Arial"/>
                <w:noProof/>
              </w:rPr>
              <w:t>Program and Content Design</w:t>
            </w:r>
            <w:r>
              <w:rPr>
                <w:noProof/>
                <w:webHidden/>
              </w:rPr>
              <w:tab/>
            </w:r>
            <w:r>
              <w:rPr>
                <w:noProof/>
                <w:webHidden/>
              </w:rPr>
              <w:fldChar w:fldCharType="begin"/>
            </w:r>
            <w:r>
              <w:rPr>
                <w:noProof/>
                <w:webHidden/>
              </w:rPr>
              <w:instrText xml:space="preserve"> PAGEREF _Toc191627572 \h </w:instrText>
            </w:r>
            <w:r>
              <w:rPr>
                <w:noProof/>
                <w:webHidden/>
              </w:rPr>
            </w:r>
            <w:r>
              <w:rPr>
                <w:noProof/>
                <w:webHidden/>
              </w:rPr>
              <w:fldChar w:fldCharType="separate"/>
            </w:r>
            <w:r>
              <w:rPr>
                <w:noProof/>
                <w:webHidden/>
              </w:rPr>
              <w:t>14</w:t>
            </w:r>
            <w:r>
              <w:rPr>
                <w:noProof/>
                <w:webHidden/>
              </w:rPr>
              <w:fldChar w:fldCharType="end"/>
            </w:r>
          </w:hyperlink>
        </w:p>
        <w:p w14:paraId="5B799C0D" w14:textId="334F049D" w:rsidR="006D2012" w:rsidRDefault="006D2012">
          <w:pPr>
            <w:pStyle w:val="TOC1"/>
            <w:tabs>
              <w:tab w:val="right" w:leader="dot" w:pos="9016"/>
            </w:tabs>
            <w:rPr>
              <w:rFonts w:eastAsiaTheme="minorEastAsia"/>
              <w:noProof/>
              <w:lang w:eastAsia="en-GB"/>
            </w:rPr>
          </w:pPr>
          <w:hyperlink w:anchor="_Toc191627573" w:history="1">
            <w:r w:rsidRPr="00E516A0">
              <w:rPr>
                <w:rStyle w:val="Hyperlink"/>
                <w:rFonts w:ascii="Arial" w:hAnsi="Arial" w:cs="Arial"/>
                <w:noProof/>
              </w:rPr>
              <w:t>Risk Management and Contingency Planning</w:t>
            </w:r>
            <w:r>
              <w:rPr>
                <w:noProof/>
                <w:webHidden/>
              </w:rPr>
              <w:tab/>
            </w:r>
            <w:r>
              <w:rPr>
                <w:noProof/>
                <w:webHidden/>
              </w:rPr>
              <w:fldChar w:fldCharType="begin"/>
            </w:r>
            <w:r>
              <w:rPr>
                <w:noProof/>
                <w:webHidden/>
              </w:rPr>
              <w:instrText xml:space="preserve"> PAGEREF _Toc191627573 \h </w:instrText>
            </w:r>
            <w:r>
              <w:rPr>
                <w:noProof/>
                <w:webHidden/>
              </w:rPr>
            </w:r>
            <w:r>
              <w:rPr>
                <w:noProof/>
                <w:webHidden/>
              </w:rPr>
              <w:fldChar w:fldCharType="separate"/>
            </w:r>
            <w:r>
              <w:rPr>
                <w:noProof/>
                <w:webHidden/>
              </w:rPr>
              <w:t>16</w:t>
            </w:r>
            <w:r>
              <w:rPr>
                <w:noProof/>
                <w:webHidden/>
              </w:rPr>
              <w:fldChar w:fldCharType="end"/>
            </w:r>
          </w:hyperlink>
        </w:p>
        <w:p w14:paraId="63647770" w14:textId="4B8CACB6" w:rsidR="006D2012" w:rsidRDefault="006D2012">
          <w:pPr>
            <w:pStyle w:val="TOC1"/>
            <w:tabs>
              <w:tab w:val="right" w:leader="dot" w:pos="9016"/>
            </w:tabs>
            <w:rPr>
              <w:rFonts w:eastAsiaTheme="minorEastAsia"/>
              <w:noProof/>
              <w:lang w:eastAsia="en-GB"/>
            </w:rPr>
          </w:pPr>
          <w:hyperlink w:anchor="_Toc191627574" w:history="1">
            <w:r w:rsidRPr="00E516A0">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_Toc191627574 \h </w:instrText>
            </w:r>
            <w:r>
              <w:rPr>
                <w:noProof/>
                <w:webHidden/>
              </w:rPr>
            </w:r>
            <w:r>
              <w:rPr>
                <w:noProof/>
                <w:webHidden/>
              </w:rPr>
              <w:fldChar w:fldCharType="separate"/>
            </w:r>
            <w:r>
              <w:rPr>
                <w:noProof/>
                <w:webHidden/>
              </w:rPr>
              <w:t>18</w:t>
            </w:r>
            <w:r>
              <w:rPr>
                <w:noProof/>
                <w:webHidden/>
              </w:rPr>
              <w:fldChar w:fldCharType="end"/>
            </w:r>
          </w:hyperlink>
        </w:p>
        <w:p w14:paraId="2046DFED" w14:textId="5B59CA14" w:rsidR="006D2012" w:rsidRDefault="006D2012">
          <w:pPr>
            <w:pStyle w:val="TOC1"/>
            <w:tabs>
              <w:tab w:val="right" w:leader="dot" w:pos="9016"/>
            </w:tabs>
            <w:rPr>
              <w:rFonts w:eastAsiaTheme="minorEastAsia"/>
              <w:noProof/>
              <w:lang w:eastAsia="en-GB"/>
            </w:rPr>
          </w:pPr>
          <w:hyperlink w:anchor="_Toc191627575" w:history="1">
            <w:r w:rsidRPr="00E516A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_Toc191627575 \h </w:instrText>
            </w:r>
            <w:r>
              <w:rPr>
                <w:noProof/>
                <w:webHidden/>
              </w:rPr>
            </w:r>
            <w:r>
              <w:rPr>
                <w:noProof/>
                <w:webHidden/>
              </w:rPr>
              <w:fldChar w:fldCharType="separate"/>
            </w:r>
            <w:r>
              <w:rPr>
                <w:noProof/>
                <w:webHidden/>
              </w:rPr>
              <w:t>20</w:t>
            </w:r>
            <w:r>
              <w:rPr>
                <w:noProof/>
                <w:webHidden/>
              </w:rPr>
              <w:fldChar w:fldCharType="end"/>
            </w:r>
          </w:hyperlink>
        </w:p>
        <w:p w14:paraId="5A095193" w14:textId="7BC7E404" w:rsidR="006D2012" w:rsidRDefault="006D2012">
          <w:pPr>
            <w:pStyle w:val="TOC1"/>
            <w:tabs>
              <w:tab w:val="right" w:leader="dot" w:pos="9016"/>
            </w:tabs>
            <w:rPr>
              <w:rFonts w:eastAsiaTheme="minorEastAsia"/>
              <w:noProof/>
              <w:lang w:eastAsia="en-GB"/>
            </w:rPr>
          </w:pPr>
          <w:hyperlink w:anchor="_Toc191627576" w:history="1">
            <w:r w:rsidRPr="00E516A0">
              <w:rPr>
                <w:rStyle w:val="Hyperlink"/>
                <w:rFonts w:ascii="Arial" w:hAnsi="Arial" w:cs="Arial"/>
                <w:noProof/>
              </w:rPr>
              <w:t>Appendix</w:t>
            </w:r>
            <w:r>
              <w:rPr>
                <w:noProof/>
                <w:webHidden/>
              </w:rPr>
              <w:tab/>
            </w:r>
            <w:r>
              <w:rPr>
                <w:noProof/>
                <w:webHidden/>
              </w:rPr>
              <w:fldChar w:fldCharType="begin"/>
            </w:r>
            <w:r>
              <w:rPr>
                <w:noProof/>
                <w:webHidden/>
              </w:rPr>
              <w:instrText xml:space="preserve"> PAGEREF _Toc191627576 \h </w:instrText>
            </w:r>
            <w:r>
              <w:rPr>
                <w:noProof/>
                <w:webHidden/>
              </w:rPr>
            </w:r>
            <w:r>
              <w:rPr>
                <w:noProof/>
                <w:webHidden/>
              </w:rPr>
              <w:fldChar w:fldCharType="separate"/>
            </w:r>
            <w:r>
              <w:rPr>
                <w:noProof/>
                <w:webHidden/>
              </w:rPr>
              <w:t>24</w:t>
            </w:r>
            <w:r>
              <w:rPr>
                <w:noProof/>
                <w:webHidden/>
              </w:rPr>
              <w:fldChar w:fldCharType="end"/>
            </w:r>
          </w:hyperlink>
        </w:p>
        <w:p w14:paraId="0FD6C830" w14:textId="328B635F" w:rsidR="000B6CF7" w:rsidRPr="006D2012" w:rsidRDefault="000B6CF7" w:rsidP="006D2012">
          <w:pPr>
            <w:spacing w:line="360" w:lineRule="auto"/>
            <w:jc w:val="both"/>
            <w:rPr>
              <w:rFonts w:ascii="Arial" w:hAnsi="Arial" w:cs="Arial"/>
            </w:rPr>
          </w:pPr>
          <w:r w:rsidRPr="006D2012">
            <w:rPr>
              <w:rFonts w:ascii="Arial" w:hAnsi="Arial" w:cs="Arial"/>
              <w:b/>
              <w:bCs/>
              <w:noProof/>
            </w:rPr>
            <w:fldChar w:fldCharType="end"/>
          </w:r>
        </w:p>
      </w:sdtContent>
    </w:sdt>
    <w:p w14:paraId="34464E7E" w14:textId="77777777" w:rsidR="000B6CF7" w:rsidRPr="006D2012" w:rsidRDefault="000B6CF7" w:rsidP="006D2012">
      <w:pPr>
        <w:spacing w:line="360" w:lineRule="auto"/>
        <w:jc w:val="both"/>
        <w:rPr>
          <w:rFonts w:ascii="Arial" w:hAnsi="Arial" w:cs="Arial"/>
        </w:rPr>
      </w:pPr>
    </w:p>
    <w:p w14:paraId="4F7E8DFC" w14:textId="77777777" w:rsidR="000B6CF7" w:rsidRPr="006D2012" w:rsidRDefault="000B6CF7" w:rsidP="006D2012">
      <w:pPr>
        <w:spacing w:line="360" w:lineRule="auto"/>
        <w:jc w:val="both"/>
        <w:rPr>
          <w:rFonts w:ascii="Arial" w:hAnsi="Arial" w:cs="Arial"/>
        </w:rPr>
      </w:pPr>
    </w:p>
    <w:p w14:paraId="223D91DF" w14:textId="77777777" w:rsidR="000B6CF7" w:rsidRPr="006D2012" w:rsidRDefault="000B6CF7" w:rsidP="006D2012">
      <w:pPr>
        <w:spacing w:line="360" w:lineRule="auto"/>
        <w:jc w:val="both"/>
        <w:rPr>
          <w:rFonts w:ascii="Arial" w:hAnsi="Arial" w:cs="Arial"/>
        </w:rPr>
      </w:pPr>
    </w:p>
    <w:p w14:paraId="593C8622" w14:textId="77777777" w:rsidR="000B6CF7" w:rsidRPr="006D2012" w:rsidRDefault="000B6CF7" w:rsidP="006D2012">
      <w:pPr>
        <w:spacing w:line="360" w:lineRule="auto"/>
        <w:jc w:val="both"/>
        <w:rPr>
          <w:rFonts w:ascii="Arial" w:hAnsi="Arial" w:cs="Arial"/>
        </w:rPr>
      </w:pPr>
    </w:p>
    <w:p w14:paraId="543D465E" w14:textId="77777777" w:rsidR="000B6CF7" w:rsidRPr="006D2012" w:rsidRDefault="000B6CF7" w:rsidP="006D2012">
      <w:pPr>
        <w:spacing w:line="360" w:lineRule="auto"/>
        <w:jc w:val="both"/>
        <w:rPr>
          <w:rFonts w:ascii="Arial" w:hAnsi="Arial" w:cs="Arial"/>
        </w:rPr>
      </w:pPr>
    </w:p>
    <w:p w14:paraId="109B406E" w14:textId="77777777" w:rsidR="000B6CF7" w:rsidRPr="006D2012" w:rsidRDefault="000B6CF7" w:rsidP="006D2012">
      <w:pPr>
        <w:spacing w:line="360" w:lineRule="auto"/>
        <w:jc w:val="both"/>
        <w:rPr>
          <w:rFonts w:ascii="Arial" w:hAnsi="Arial" w:cs="Arial"/>
        </w:rPr>
      </w:pPr>
    </w:p>
    <w:p w14:paraId="32F3808F" w14:textId="77777777" w:rsidR="000B6CF7" w:rsidRPr="006D2012" w:rsidRDefault="000B6CF7" w:rsidP="006D2012">
      <w:pPr>
        <w:spacing w:line="360" w:lineRule="auto"/>
        <w:jc w:val="both"/>
        <w:rPr>
          <w:rFonts w:ascii="Arial" w:hAnsi="Arial" w:cs="Arial"/>
        </w:rPr>
      </w:pPr>
    </w:p>
    <w:p w14:paraId="0A792EB1" w14:textId="77777777" w:rsidR="000B6CF7" w:rsidRPr="006D2012" w:rsidRDefault="000B6CF7" w:rsidP="006D2012">
      <w:pPr>
        <w:spacing w:line="360" w:lineRule="auto"/>
        <w:jc w:val="both"/>
        <w:rPr>
          <w:rFonts w:ascii="Arial" w:hAnsi="Arial" w:cs="Arial"/>
        </w:rPr>
      </w:pPr>
    </w:p>
    <w:p w14:paraId="4FE6D557" w14:textId="77777777" w:rsidR="000B6CF7" w:rsidRPr="006D2012" w:rsidRDefault="000B6CF7" w:rsidP="006D2012">
      <w:pPr>
        <w:spacing w:line="360" w:lineRule="auto"/>
        <w:jc w:val="both"/>
        <w:rPr>
          <w:rFonts w:ascii="Arial" w:hAnsi="Arial" w:cs="Arial"/>
        </w:rPr>
      </w:pPr>
    </w:p>
    <w:p w14:paraId="5E0BD734" w14:textId="77777777" w:rsidR="000B6CF7" w:rsidRPr="006D2012" w:rsidRDefault="000B6CF7" w:rsidP="006D2012">
      <w:pPr>
        <w:spacing w:line="360" w:lineRule="auto"/>
        <w:jc w:val="both"/>
        <w:rPr>
          <w:rFonts w:ascii="Arial" w:hAnsi="Arial" w:cs="Arial"/>
        </w:rPr>
      </w:pPr>
    </w:p>
    <w:p w14:paraId="046E07EA" w14:textId="77777777" w:rsidR="000B6CF7" w:rsidRPr="006D2012" w:rsidRDefault="000B6CF7" w:rsidP="006D2012">
      <w:pPr>
        <w:spacing w:line="360" w:lineRule="auto"/>
        <w:jc w:val="both"/>
        <w:rPr>
          <w:rFonts w:ascii="Arial" w:hAnsi="Arial" w:cs="Arial"/>
        </w:rPr>
      </w:pPr>
    </w:p>
    <w:p w14:paraId="006DE1BE" w14:textId="77777777" w:rsidR="000B6CF7" w:rsidRPr="006D2012" w:rsidRDefault="000B6CF7" w:rsidP="006D2012">
      <w:pPr>
        <w:spacing w:line="360" w:lineRule="auto"/>
        <w:jc w:val="both"/>
        <w:rPr>
          <w:rFonts w:ascii="Arial" w:hAnsi="Arial" w:cs="Arial"/>
        </w:rPr>
      </w:pPr>
    </w:p>
    <w:p w14:paraId="67FA3C73" w14:textId="77777777" w:rsidR="000B6CF7" w:rsidRPr="006D2012" w:rsidRDefault="000B6CF7" w:rsidP="006D2012">
      <w:pPr>
        <w:spacing w:line="360" w:lineRule="auto"/>
        <w:jc w:val="both"/>
        <w:rPr>
          <w:rFonts w:ascii="Arial" w:hAnsi="Arial" w:cs="Arial"/>
        </w:rPr>
      </w:pPr>
    </w:p>
    <w:p w14:paraId="158BA2CB" w14:textId="77777777" w:rsidR="000B6CF7" w:rsidRPr="006D2012" w:rsidRDefault="000B6CF7" w:rsidP="006D2012">
      <w:pPr>
        <w:spacing w:line="360" w:lineRule="auto"/>
        <w:jc w:val="both"/>
        <w:rPr>
          <w:rFonts w:ascii="Arial" w:hAnsi="Arial" w:cs="Arial"/>
        </w:rPr>
      </w:pPr>
    </w:p>
    <w:p w14:paraId="3E31616A" w14:textId="77777777" w:rsidR="000B6CF7" w:rsidRPr="006D2012" w:rsidRDefault="000B6CF7" w:rsidP="006D2012">
      <w:pPr>
        <w:spacing w:line="360" w:lineRule="auto"/>
        <w:jc w:val="both"/>
        <w:rPr>
          <w:rFonts w:ascii="Arial" w:hAnsi="Arial" w:cs="Arial"/>
        </w:rPr>
      </w:pPr>
    </w:p>
    <w:p w14:paraId="629AC892" w14:textId="77777777" w:rsidR="000B6CF7" w:rsidRPr="006D2012" w:rsidRDefault="000B6CF7" w:rsidP="006D2012">
      <w:pPr>
        <w:spacing w:line="360" w:lineRule="auto"/>
        <w:jc w:val="both"/>
        <w:rPr>
          <w:rFonts w:ascii="Arial" w:hAnsi="Arial" w:cs="Arial"/>
        </w:rPr>
      </w:pPr>
    </w:p>
    <w:p w14:paraId="07AE2261" w14:textId="77777777" w:rsidR="000B6CF7" w:rsidRPr="006D2012" w:rsidRDefault="000B6CF7" w:rsidP="006D2012">
      <w:pPr>
        <w:spacing w:line="360" w:lineRule="auto"/>
        <w:jc w:val="both"/>
        <w:rPr>
          <w:rFonts w:ascii="Arial" w:hAnsi="Arial" w:cs="Arial"/>
        </w:rPr>
      </w:pPr>
    </w:p>
    <w:p w14:paraId="2FD08A24" w14:textId="77777777" w:rsidR="000B6CF7" w:rsidRPr="006D2012" w:rsidRDefault="000B6CF7" w:rsidP="006D2012">
      <w:pPr>
        <w:spacing w:line="360" w:lineRule="auto"/>
        <w:jc w:val="both"/>
        <w:rPr>
          <w:rFonts w:ascii="Arial" w:hAnsi="Arial" w:cs="Arial"/>
        </w:rPr>
      </w:pPr>
    </w:p>
    <w:p w14:paraId="5020ECDC" w14:textId="77777777" w:rsidR="000B6CF7" w:rsidRPr="006D2012" w:rsidRDefault="000B6CF7" w:rsidP="006D2012">
      <w:pPr>
        <w:spacing w:line="360" w:lineRule="auto"/>
        <w:jc w:val="both"/>
        <w:rPr>
          <w:rFonts w:ascii="Arial" w:hAnsi="Arial" w:cs="Arial"/>
        </w:rPr>
      </w:pPr>
    </w:p>
    <w:p w14:paraId="170C3F6F" w14:textId="77777777" w:rsidR="000B6CF7" w:rsidRPr="006D2012" w:rsidRDefault="000B6CF7" w:rsidP="006D2012">
      <w:pPr>
        <w:spacing w:line="360" w:lineRule="auto"/>
        <w:jc w:val="both"/>
        <w:rPr>
          <w:rFonts w:ascii="Arial" w:hAnsi="Arial" w:cs="Arial"/>
        </w:rPr>
      </w:pPr>
    </w:p>
    <w:p w14:paraId="73ABC0FA" w14:textId="1AA60D18" w:rsidR="000B6CF7" w:rsidRPr="006D2012" w:rsidRDefault="000B6CF7" w:rsidP="006D2012">
      <w:pPr>
        <w:pStyle w:val="Heading1"/>
        <w:spacing w:line="360" w:lineRule="auto"/>
        <w:jc w:val="both"/>
        <w:rPr>
          <w:rFonts w:ascii="Arial" w:hAnsi="Arial" w:cs="Arial"/>
          <w:sz w:val="24"/>
          <w:szCs w:val="24"/>
        </w:rPr>
      </w:pPr>
      <w:bookmarkStart w:id="0" w:name="_Toc191627567"/>
      <w:r w:rsidRPr="006D2012">
        <w:rPr>
          <w:rFonts w:ascii="Arial" w:hAnsi="Arial" w:cs="Arial"/>
          <w:sz w:val="24"/>
          <w:szCs w:val="24"/>
        </w:rPr>
        <w:t>Introduction</w:t>
      </w:r>
      <w:bookmarkEnd w:id="0"/>
    </w:p>
    <w:p w14:paraId="547D9ACF" w14:textId="4BEA3979" w:rsidR="00F01756" w:rsidRPr="006D2012" w:rsidRDefault="00F01756" w:rsidP="006D2012">
      <w:pPr>
        <w:spacing w:line="360" w:lineRule="auto"/>
        <w:jc w:val="both"/>
        <w:rPr>
          <w:rFonts w:ascii="Arial" w:hAnsi="Arial" w:cs="Arial"/>
        </w:rPr>
      </w:pPr>
      <w:r w:rsidRPr="006D2012">
        <w:rPr>
          <w:rFonts w:ascii="Arial" w:hAnsi="Arial" w:cs="Arial"/>
        </w:rPr>
        <w:t xml:space="preserve">Building on the feasibility study from Assignment 1, this report outlines a strategic roadmap for planning and executing the "Equality, Diversity, and Inclusion (EDI) within the Hospitality Industry" event. This roadmap critically examines strategic considerations, drawing upon relevant theoretical frameworks, such as Stakeholder Theory (Freeman, 1984) and Project Management principles (PMI, 2021), to ensure a structured and impactful event. Given the hospitality sector's dependence on a diverse workforce and a global customer base, fostering an inclusive environment is essential for business sustainability and employee well-being (Baum et al., 2020; Sharma &amp; Singh, 2021). Research highlights that organisations with strong EDI policies report higher employee retention and improved customer satisfaction (Davidson et al., 2021). Furthermore, the report delves into operational challenges, risk management strategies, and marketing approaches to maximise engagement and long-term industry influence. By incorporating real-world case studies from companies like Marriott International (Marriott, 2022) and Accor (Accor, 2023), the event aims to </w:t>
      </w:r>
      <w:r w:rsidRPr="006D2012">
        <w:rPr>
          <w:rFonts w:ascii="Arial" w:hAnsi="Arial" w:cs="Arial"/>
        </w:rPr>
        <w:lastRenderedPageBreak/>
        <w:t>position itself as a leading platform for driving meaningful EDI initiatives within the hospitality sector.</w:t>
      </w:r>
    </w:p>
    <w:p w14:paraId="71A8E079" w14:textId="77777777" w:rsidR="00F01756" w:rsidRPr="006D2012" w:rsidRDefault="00F01756" w:rsidP="006D2012">
      <w:pPr>
        <w:spacing w:line="360" w:lineRule="auto"/>
        <w:jc w:val="both"/>
        <w:rPr>
          <w:rFonts w:ascii="Arial" w:hAnsi="Arial" w:cs="Arial"/>
        </w:rPr>
      </w:pPr>
    </w:p>
    <w:p w14:paraId="76B863A9"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1AD44534" w14:textId="77777777" w:rsidR="00F01756" w:rsidRPr="006D2012" w:rsidRDefault="00F01756" w:rsidP="006D2012">
      <w:pPr>
        <w:spacing w:line="360" w:lineRule="auto"/>
        <w:jc w:val="both"/>
        <w:rPr>
          <w:rFonts w:ascii="Arial" w:hAnsi="Arial" w:cs="Arial"/>
        </w:rPr>
      </w:pPr>
    </w:p>
    <w:p w14:paraId="35BAECA2" w14:textId="77777777" w:rsidR="00D50EE3" w:rsidRPr="006D2012" w:rsidRDefault="00D50EE3" w:rsidP="006D2012">
      <w:pPr>
        <w:pStyle w:val="Heading1"/>
        <w:spacing w:line="360" w:lineRule="auto"/>
        <w:jc w:val="both"/>
        <w:rPr>
          <w:rFonts w:ascii="Arial" w:hAnsi="Arial" w:cs="Arial"/>
          <w:sz w:val="24"/>
          <w:szCs w:val="24"/>
        </w:rPr>
      </w:pPr>
    </w:p>
    <w:p w14:paraId="3C8BD92F" w14:textId="77777777" w:rsidR="00D50EE3" w:rsidRPr="006D2012" w:rsidRDefault="00D50EE3" w:rsidP="006D2012">
      <w:pPr>
        <w:pStyle w:val="Heading1"/>
        <w:spacing w:line="360" w:lineRule="auto"/>
        <w:jc w:val="both"/>
        <w:rPr>
          <w:rFonts w:ascii="Arial" w:hAnsi="Arial" w:cs="Arial"/>
          <w:sz w:val="24"/>
          <w:szCs w:val="24"/>
        </w:rPr>
      </w:pPr>
    </w:p>
    <w:p w14:paraId="45896436" w14:textId="77777777" w:rsidR="00D50EE3" w:rsidRPr="006D2012" w:rsidRDefault="00D50EE3" w:rsidP="006D2012">
      <w:pPr>
        <w:pStyle w:val="Heading1"/>
        <w:spacing w:line="360" w:lineRule="auto"/>
        <w:jc w:val="both"/>
        <w:rPr>
          <w:rFonts w:ascii="Arial" w:hAnsi="Arial" w:cs="Arial"/>
          <w:sz w:val="24"/>
          <w:szCs w:val="24"/>
        </w:rPr>
      </w:pPr>
    </w:p>
    <w:p w14:paraId="5C6FAAA4" w14:textId="5FB92E84" w:rsidR="00F01756" w:rsidRPr="006D2012" w:rsidRDefault="00F01756" w:rsidP="006D2012">
      <w:pPr>
        <w:pStyle w:val="Heading1"/>
        <w:spacing w:line="360" w:lineRule="auto"/>
        <w:jc w:val="both"/>
        <w:rPr>
          <w:rFonts w:ascii="Arial" w:hAnsi="Arial" w:cs="Arial"/>
          <w:sz w:val="24"/>
          <w:szCs w:val="24"/>
        </w:rPr>
      </w:pPr>
      <w:bookmarkStart w:id="1" w:name="_Toc191627568"/>
      <w:r w:rsidRPr="006D2012">
        <w:rPr>
          <w:rFonts w:ascii="Arial" w:hAnsi="Arial" w:cs="Arial"/>
          <w:sz w:val="24"/>
          <w:szCs w:val="24"/>
        </w:rPr>
        <w:t>Event Objectives and Goals</w:t>
      </w:r>
      <w:bookmarkEnd w:id="1"/>
    </w:p>
    <w:p w14:paraId="42F22BBF" w14:textId="77777777" w:rsidR="00F01756" w:rsidRPr="006D2012" w:rsidRDefault="00F01756" w:rsidP="006D2012">
      <w:pPr>
        <w:spacing w:line="360" w:lineRule="auto"/>
        <w:jc w:val="both"/>
        <w:rPr>
          <w:rFonts w:ascii="Arial" w:hAnsi="Arial" w:cs="Arial"/>
        </w:rPr>
      </w:pPr>
    </w:p>
    <w:p w14:paraId="5F8513E1"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The event's objectives are not just goals but the pillars of our collective commitment to promoting equality, diversity, and inclusion (EDI) within the hospitality industry. As a sector that increasingly acknowledges the importance of these principles, the event serves as a dynamic platform for knowledge-sharing, addressing the ongoing challenges and exploring the vast opportunities for fostering inclusivity in a fast-evolving sector. The event aims to facilitate significant change and create a more equitable and inclusive hospitality environment by bringing together stakeholders across the industry. These objectives are not just words on a page but the roadmap to a more inclusive future. </w:t>
      </w:r>
    </w:p>
    <w:p w14:paraId="3C8BA0A6" w14:textId="4ABF3791"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539ED220"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The first and perhaps most essential goal is to raise awareness of the significant EDI challenges in the hospitality sector. This is not just a goal but a mission to ensure that everyone in the industry is informed and empowered to combat inequality. The focus will be on gender disparities, racial inequality, and the barriers faced by marginalised groups, such as people with disabilities, LGBTQ+ individuals, and those from lower socio-economic backgrounds. According to Lloyd (2020), increasing awareness is critical for creating informed conversations and sparking the necessary actions to combat inequality within the workplace. By providing a platform for industry leaders, </w:t>
      </w:r>
      <w:r w:rsidRPr="006D2012">
        <w:rPr>
          <w:rFonts w:ascii="Arial" w:hAnsi="Arial" w:cs="Arial"/>
        </w:rPr>
        <w:lastRenderedPageBreak/>
        <w:t>activists, and marginalised voices to share their experiences and challenges, the event aims to highlight the issues that often go unnoticed. This approach will empower attendees to engage with and advocate for change within their organisations actively. Furthermore, raising awareness will encourage broader reflection on how inclusive practices can be implemented, measured, and expanded to benefit the industry, its employees, customers, and communities (Lloyd, 2020).</w:t>
      </w:r>
    </w:p>
    <w:p w14:paraId="27C7E2A0" w14:textId="77777777" w:rsidR="00F01756" w:rsidRPr="006D2012" w:rsidRDefault="00F01756" w:rsidP="006D2012">
      <w:pPr>
        <w:spacing w:line="360" w:lineRule="auto"/>
        <w:jc w:val="both"/>
        <w:rPr>
          <w:rFonts w:ascii="Arial" w:hAnsi="Arial" w:cs="Arial"/>
        </w:rPr>
      </w:pPr>
    </w:p>
    <w:p w14:paraId="57071E45" w14:textId="40B71576" w:rsidR="00F01756" w:rsidRPr="006D2012" w:rsidRDefault="00F01756" w:rsidP="006D2012">
      <w:pPr>
        <w:spacing w:line="360" w:lineRule="auto"/>
        <w:jc w:val="both"/>
        <w:rPr>
          <w:rFonts w:ascii="Arial" w:hAnsi="Arial" w:cs="Arial"/>
        </w:rPr>
      </w:pPr>
      <w:r w:rsidRPr="006D2012">
        <w:rPr>
          <w:rFonts w:ascii="Arial" w:hAnsi="Arial" w:cs="Arial"/>
        </w:rPr>
        <w:t>A critical goal of this event is to drive the adoption and expansion of inclusive policies within the hospitality industry, particularly among senior leaders and organisational decision-makers. These policies must dismantle existing barriers, ensure equitable opportunities for all employees, and foster a culture that actively celebrates diversity. As highlighted by Jones and Taylor (2022), organisational cultures often resist change, making it crucial for leadership to champion diversity-driven initiatives. The event will serve as a platform to showcase successful policy implementations, offering actionable examples and frameworks that attendees can tailor to their organisations.</w:t>
      </w:r>
    </w:p>
    <w:p w14:paraId="47211555"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5B3C36AB" w14:textId="77777777" w:rsidR="00F01756" w:rsidRPr="006D2012" w:rsidRDefault="00F01756" w:rsidP="006D2012">
      <w:pPr>
        <w:spacing w:line="360" w:lineRule="auto"/>
        <w:jc w:val="both"/>
        <w:rPr>
          <w:rFonts w:ascii="Arial" w:hAnsi="Arial" w:cs="Arial"/>
        </w:rPr>
      </w:pPr>
    </w:p>
    <w:p w14:paraId="300A2154" w14:textId="77777777" w:rsidR="00F01756" w:rsidRPr="006D2012" w:rsidRDefault="00F01756" w:rsidP="006D2012">
      <w:pPr>
        <w:spacing w:line="360" w:lineRule="auto"/>
        <w:jc w:val="both"/>
        <w:rPr>
          <w:rFonts w:ascii="Arial" w:hAnsi="Arial" w:cs="Arial"/>
        </w:rPr>
      </w:pPr>
      <w:r w:rsidRPr="006D2012">
        <w:rPr>
          <w:rFonts w:ascii="Arial" w:hAnsi="Arial" w:cs="Arial"/>
        </w:rPr>
        <w:t>Industry leaders will share best practices for crafting inclusive workplace policies that align with legal standards and ethical business objectives through keynote speeches and panel discussions. These sessions will provide tangible strategies for creating lasting change, including introducing diversity quotas, flexible work arrangements, equal pay initiatives, and career development programs designed explicitly for underrepresented groups (Jones &amp; Taylor, 2022). By presenting these actionable insights, the event inspires hospitality leaders to commit to progressive policies that foster a truly inclusive and equitable work environment.</w:t>
      </w:r>
    </w:p>
    <w:p w14:paraId="0FAD59E0"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596F770D"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The event will provide a collaborative space for exchanging knowledge, best practices, and case studies from organisations successfully implementing EDI initiatives. This will allow for direct learning from experienced industry leaders and foster an environment where less experienced or less aware organisations can learn how to approach EDI in their own workplaces. Examples of success stories, such as Accor’s </w:t>
      </w:r>
      <w:r w:rsidRPr="006D2012">
        <w:rPr>
          <w:rFonts w:ascii="Arial" w:hAnsi="Arial" w:cs="Arial"/>
        </w:rPr>
        <w:lastRenderedPageBreak/>
        <w:t>Diversity &amp; Inclusion Program—which emphasises gender equality in the workplace and supports the creation of inclusive recruitment processes—will be highlighted (Accor, 2022). Similarly, Hilton’s “Thrive at Hilton” initiative, which aims to support the professional growth of underrepresented minority groups through mentorship and training, will also serve as a best-practice model for other organisations in the sector (Hilton, 2023). Facilitating this knowledge-sharing helps create a sense of community within the hospitality sector, where everyone is working toward the same goal of creating more inclusive environments.</w:t>
      </w:r>
    </w:p>
    <w:p w14:paraId="24371294"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69AAEF38" w14:textId="77777777" w:rsidR="00F01756" w:rsidRPr="006D2012" w:rsidRDefault="00F01756" w:rsidP="006D2012">
      <w:pPr>
        <w:spacing w:line="360" w:lineRule="auto"/>
        <w:jc w:val="both"/>
        <w:rPr>
          <w:rFonts w:ascii="Arial" w:hAnsi="Arial" w:cs="Arial"/>
        </w:rPr>
      </w:pPr>
    </w:p>
    <w:p w14:paraId="5DA81680" w14:textId="77777777" w:rsidR="00F01756" w:rsidRPr="006D2012" w:rsidRDefault="00F01756" w:rsidP="006D2012">
      <w:pPr>
        <w:spacing w:line="360" w:lineRule="auto"/>
        <w:jc w:val="both"/>
        <w:rPr>
          <w:rFonts w:ascii="Arial" w:hAnsi="Arial" w:cs="Arial"/>
        </w:rPr>
      </w:pPr>
      <w:r w:rsidRPr="006D2012">
        <w:rPr>
          <w:rFonts w:ascii="Arial" w:hAnsi="Arial" w:cs="Arial"/>
        </w:rPr>
        <w:t>The final key goal of the event is to foster meaningful networking and collaboration between various stakeholders, such as industry professionals, policymakers, advocacy groups, and academic researchers. This is not just a goal but a commitment to creating a collaborative environment where everyone's voice is heard. Greenwood &amp; Smith (2021) noted that collaboration is vital in translating insights and knowledge into actionable strategies. Through networking sessions, informal meetups, and roundtable discussions, attendees can connect with others working in the same field or those with shared interests in EDI. These collaborative spaces will facilitate idea exchange, building new partnerships, and developing actionable strategies for implementing EDI initiatives across organisations. By creating a collaborative environment where various stakeholders can share their experiences, concerns, and solutions, the event will also ensure that diverse voices are heard in shaping the industry's future. Moreover, these connections will help generate a network of change-makers who can provide continuous support to one another beyond the event (Greenwood &amp; Smith, 2021).</w:t>
      </w:r>
    </w:p>
    <w:p w14:paraId="14742091"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2FE0EFE0"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These objectives are not just goals but a strategic plan to make the event a catalyst for change. Participants will leave with a greater understanding of EDI and the tools and networks required to take meaningful action within their spheres of influence. By focusing on awareness, policy change, knowledge exchange, and collaboration, the event will ensure that EDI is not just a buzzword in the hospitality industry but a practical and embedded principle across all levels of operation. The synergy between </w:t>
      </w:r>
      <w:r w:rsidRPr="006D2012">
        <w:rPr>
          <w:rFonts w:ascii="Arial" w:hAnsi="Arial" w:cs="Arial"/>
        </w:rPr>
        <w:lastRenderedPageBreak/>
        <w:t>these goals will help create a collective commitment to inclusivity that reaches beyond the event and continues to shape the future of the hospitality sector for years to come.</w:t>
      </w:r>
    </w:p>
    <w:p w14:paraId="1566AE5C" w14:textId="77777777" w:rsidR="004175C2" w:rsidRPr="006D2012" w:rsidRDefault="004175C2" w:rsidP="006D2012">
      <w:pPr>
        <w:spacing w:line="360" w:lineRule="auto"/>
        <w:jc w:val="both"/>
        <w:rPr>
          <w:rFonts w:ascii="Arial" w:hAnsi="Arial" w:cs="Arial"/>
        </w:rPr>
      </w:pPr>
    </w:p>
    <w:p w14:paraId="5386CDFB" w14:textId="77777777" w:rsidR="004175C2" w:rsidRPr="006D2012" w:rsidRDefault="004175C2" w:rsidP="006D2012">
      <w:pPr>
        <w:spacing w:line="360" w:lineRule="auto"/>
        <w:jc w:val="both"/>
        <w:rPr>
          <w:rFonts w:ascii="Arial" w:hAnsi="Arial" w:cs="Arial"/>
        </w:rPr>
      </w:pPr>
    </w:p>
    <w:p w14:paraId="106C75B3" w14:textId="0D0F820A" w:rsidR="004175C2" w:rsidRPr="006D2012" w:rsidRDefault="004175C2" w:rsidP="006D2012">
      <w:pPr>
        <w:spacing w:line="360" w:lineRule="auto"/>
        <w:jc w:val="both"/>
        <w:rPr>
          <w:rFonts w:ascii="Arial" w:hAnsi="Arial" w:cs="Arial"/>
        </w:rPr>
      </w:pPr>
      <w:r w:rsidRPr="006D2012">
        <w:rPr>
          <w:rFonts w:ascii="Arial" w:hAnsi="Arial" w:cs="Arial"/>
          <w:noProof/>
        </w:rPr>
        <w:t>(Nauruki, 2023)</w:t>
      </w:r>
      <w:r w:rsidRPr="006D2012">
        <w:rPr>
          <w:rFonts w:ascii="Arial" w:hAnsi="Arial" w:cs="Arial"/>
          <w:noProof/>
        </w:rPr>
        <w:drawing>
          <wp:inline distT="0" distB="0" distL="0" distR="0" wp14:anchorId="15043DD9" wp14:editId="37F592A0">
            <wp:extent cx="5168265" cy="2049780"/>
            <wp:effectExtent l="0" t="0" r="0" b="7620"/>
            <wp:docPr id="450344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8265" cy="2049780"/>
                    </a:xfrm>
                    <a:prstGeom prst="rect">
                      <a:avLst/>
                    </a:prstGeom>
                    <a:noFill/>
                  </pic:spPr>
                </pic:pic>
              </a:graphicData>
            </a:graphic>
          </wp:inline>
        </w:drawing>
      </w:r>
    </w:p>
    <w:p w14:paraId="40EF108A" w14:textId="5F9F6B52" w:rsidR="004175C2" w:rsidRPr="006D2012" w:rsidRDefault="004175C2" w:rsidP="006D2012">
      <w:pPr>
        <w:spacing w:line="360" w:lineRule="auto"/>
        <w:jc w:val="both"/>
        <w:rPr>
          <w:rFonts w:ascii="Arial" w:hAnsi="Arial" w:cs="Arial"/>
        </w:rPr>
      </w:pPr>
    </w:p>
    <w:p w14:paraId="61110DC0" w14:textId="7DB12885" w:rsidR="004175C2" w:rsidRPr="006D2012" w:rsidRDefault="004175C2" w:rsidP="006D2012">
      <w:pPr>
        <w:pStyle w:val="Heading1"/>
        <w:spacing w:line="360" w:lineRule="auto"/>
        <w:jc w:val="both"/>
        <w:rPr>
          <w:rFonts w:ascii="Arial" w:hAnsi="Arial" w:cs="Arial"/>
          <w:sz w:val="24"/>
          <w:szCs w:val="24"/>
        </w:rPr>
      </w:pPr>
      <w:bookmarkStart w:id="2" w:name="_Toc191627569"/>
      <w:r w:rsidRPr="006D2012">
        <w:rPr>
          <w:rFonts w:ascii="Arial" w:hAnsi="Arial" w:cs="Arial"/>
          <w:sz w:val="24"/>
          <w:szCs w:val="24"/>
        </w:rPr>
        <w:t>Budget and Financial Planning</w:t>
      </w:r>
      <w:bookmarkEnd w:id="2"/>
    </w:p>
    <w:p w14:paraId="7ADCB676" w14:textId="77777777" w:rsidR="007E3063" w:rsidRPr="006D2012" w:rsidRDefault="007E3063" w:rsidP="006D2012">
      <w:pPr>
        <w:spacing w:line="360" w:lineRule="auto"/>
        <w:jc w:val="both"/>
        <w:rPr>
          <w:rFonts w:ascii="Arial" w:hAnsi="Arial" w:cs="Arial"/>
        </w:rPr>
      </w:pPr>
      <w:r w:rsidRPr="006D2012">
        <w:rPr>
          <w:rFonts w:ascii="Arial" w:hAnsi="Arial" w:cs="Arial"/>
        </w:rPr>
        <w:t>This section presents the estimated revenue and costs associated with the "Equality, Diversity, and Inclusion (EDI) within the Hospitality Industry" event, ensuring financial transparency and sustainability.</w:t>
      </w:r>
    </w:p>
    <w:p w14:paraId="0050B82B" w14:textId="77777777" w:rsidR="007E3063" w:rsidRPr="006D2012" w:rsidRDefault="007E3063" w:rsidP="006D2012">
      <w:pPr>
        <w:spacing w:line="360" w:lineRule="auto"/>
        <w:jc w:val="both"/>
        <w:rPr>
          <w:rFonts w:ascii="Arial" w:hAnsi="Arial" w:cs="Arial"/>
        </w:rPr>
      </w:pPr>
    </w:p>
    <w:p w14:paraId="33B6014B" w14:textId="77777777" w:rsidR="007E3063" w:rsidRPr="006D2012" w:rsidRDefault="007E3063" w:rsidP="006D2012">
      <w:pPr>
        <w:spacing w:line="360" w:lineRule="auto"/>
        <w:jc w:val="both"/>
        <w:rPr>
          <w:rFonts w:ascii="Arial" w:hAnsi="Arial" w:cs="Arial"/>
        </w:rPr>
      </w:pPr>
      <w:r w:rsidRPr="006D2012">
        <w:rPr>
          <w:rFonts w:ascii="Arial" w:hAnsi="Arial" w:cs="Arial"/>
        </w:rPr>
        <w:t>Projected Revenue</w:t>
      </w:r>
    </w:p>
    <w:p w14:paraId="685C7283" w14:textId="77777777" w:rsidR="007E3063" w:rsidRPr="006D2012" w:rsidRDefault="007E3063" w:rsidP="006D2012">
      <w:pPr>
        <w:spacing w:line="360" w:lineRule="auto"/>
        <w:jc w:val="both"/>
        <w:rPr>
          <w:rFonts w:ascii="Arial" w:hAnsi="Arial" w:cs="Arial"/>
        </w:rPr>
      </w:pPr>
      <w:r w:rsidRPr="006D2012">
        <w:rPr>
          <w:rFonts w:ascii="Arial" w:hAnsi="Arial" w:cs="Arial"/>
        </w:rPr>
        <w:t>Early Bird Tickets (300 @ £350): £105,000</w:t>
      </w:r>
    </w:p>
    <w:p w14:paraId="3DA1F2C4" w14:textId="77777777" w:rsidR="007E3063" w:rsidRPr="006D2012" w:rsidRDefault="007E3063" w:rsidP="006D2012">
      <w:pPr>
        <w:spacing w:line="360" w:lineRule="auto"/>
        <w:jc w:val="both"/>
        <w:rPr>
          <w:rFonts w:ascii="Arial" w:hAnsi="Arial" w:cs="Arial"/>
        </w:rPr>
      </w:pPr>
      <w:r w:rsidRPr="006D2012">
        <w:rPr>
          <w:rFonts w:ascii="Arial" w:hAnsi="Arial" w:cs="Arial"/>
        </w:rPr>
        <w:t>Encourages early registrations to secure upfront funding.</w:t>
      </w:r>
    </w:p>
    <w:p w14:paraId="08EB279E" w14:textId="77777777" w:rsidR="007E3063" w:rsidRPr="006D2012" w:rsidRDefault="007E3063" w:rsidP="006D2012">
      <w:pPr>
        <w:spacing w:line="360" w:lineRule="auto"/>
        <w:jc w:val="both"/>
        <w:rPr>
          <w:rFonts w:ascii="Arial" w:hAnsi="Arial" w:cs="Arial"/>
        </w:rPr>
      </w:pPr>
      <w:r w:rsidRPr="006D2012">
        <w:rPr>
          <w:rFonts w:ascii="Arial" w:hAnsi="Arial" w:cs="Arial"/>
        </w:rPr>
        <w:t>Regular Tickets (200 @ £450): £90,000</w:t>
      </w:r>
    </w:p>
    <w:p w14:paraId="405B86C8" w14:textId="77777777" w:rsidR="007E3063" w:rsidRPr="006D2012" w:rsidRDefault="007E3063" w:rsidP="006D2012">
      <w:pPr>
        <w:spacing w:line="360" w:lineRule="auto"/>
        <w:jc w:val="both"/>
        <w:rPr>
          <w:rFonts w:ascii="Arial" w:hAnsi="Arial" w:cs="Arial"/>
        </w:rPr>
      </w:pPr>
      <w:r w:rsidRPr="006D2012">
        <w:rPr>
          <w:rFonts w:ascii="Arial" w:hAnsi="Arial" w:cs="Arial"/>
        </w:rPr>
        <w:t>Strategic pricing to attract a broad audience.</w:t>
      </w:r>
    </w:p>
    <w:p w14:paraId="124E6AD8" w14:textId="77777777" w:rsidR="007E3063" w:rsidRPr="006D2012" w:rsidRDefault="007E3063" w:rsidP="006D2012">
      <w:pPr>
        <w:spacing w:line="360" w:lineRule="auto"/>
        <w:jc w:val="both"/>
        <w:rPr>
          <w:rFonts w:ascii="Arial" w:hAnsi="Arial" w:cs="Arial"/>
        </w:rPr>
      </w:pPr>
      <w:r w:rsidRPr="006D2012">
        <w:rPr>
          <w:rFonts w:ascii="Arial" w:hAnsi="Arial" w:cs="Arial"/>
        </w:rPr>
        <w:t>Sponsorships (5 @ £10,000): £50,000</w:t>
      </w:r>
    </w:p>
    <w:p w14:paraId="65659F2F" w14:textId="77777777" w:rsidR="007E3063" w:rsidRPr="006D2012" w:rsidRDefault="007E3063" w:rsidP="006D2012">
      <w:pPr>
        <w:spacing w:line="360" w:lineRule="auto"/>
        <w:jc w:val="both"/>
        <w:rPr>
          <w:rFonts w:ascii="Arial" w:hAnsi="Arial" w:cs="Arial"/>
        </w:rPr>
      </w:pPr>
      <w:r w:rsidRPr="006D2012">
        <w:rPr>
          <w:rFonts w:ascii="Arial" w:hAnsi="Arial" w:cs="Arial"/>
        </w:rPr>
        <w:t>Offers branding opportunities and access to key industry leaders.</w:t>
      </w:r>
    </w:p>
    <w:p w14:paraId="0698A931" w14:textId="77777777" w:rsidR="007E3063" w:rsidRPr="006D2012" w:rsidRDefault="007E3063" w:rsidP="006D2012">
      <w:pPr>
        <w:spacing w:line="360" w:lineRule="auto"/>
        <w:jc w:val="both"/>
        <w:rPr>
          <w:rFonts w:ascii="Arial" w:hAnsi="Arial" w:cs="Arial"/>
        </w:rPr>
      </w:pPr>
      <w:r w:rsidRPr="006D2012">
        <w:rPr>
          <w:rFonts w:ascii="Arial" w:hAnsi="Arial" w:cs="Arial"/>
        </w:rPr>
        <w:t>Exhibition Booths (20 @ £2,000): £40,000</w:t>
      </w:r>
    </w:p>
    <w:p w14:paraId="299F6B7C" w14:textId="77777777" w:rsidR="007E3063" w:rsidRPr="006D2012" w:rsidRDefault="007E3063" w:rsidP="006D2012">
      <w:pPr>
        <w:spacing w:line="360" w:lineRule="auto"/>
        <w:jc w:val="both"/>
        <w:rPr>
          <w:rFonts w:ascii="Arial" w:hAnsi="Arial" w:cs="Arial"/>
        </w:rPr>
      </w:pPr>
      <w:r w:rsidRPr="006D2012">
        <w:rPr>
          <w:rFonts w:ascii="Arial" w:hAnsi="Arial" w:cs="Arial"/>
        </w:rPr>
        <w:lastRenderedPageBreak/>
        <w:t>Provides hospitality and wellness brands a platform to showcase products.</w:t>
      </w:r>
    </w:p>
    <w:p w14:paraId="63EB2DBD" w14:textId="77777777" w:rsidR="007E3063" w:rsidRPr="006D2012" w:rsidRDefault="007E3063" w:rsidP="006D2012">
      <w:pPr>
        <w:spacing w:line="360" w:lineRule="auto"/>
        <w:jc w:val="both"/>
        <w:rPr>
          <w:rFonts w:ascii="Arial" w:hAnsi="Arial" w:cs="Arial"/>
        </w:rPr>
      </w:pPr>
      <w:r w:rsidRPr="006D2012">
        <w:rPr>
          <w:rFonts w:ascii="Arial" w:hAnsi="Arial" w:cs="Arial"/>
        </w:rPr>
        <w:t>Total Estimated Revenue: £285,000</w:t>
      </w:r>
    </w:p>
    <w:p w14:paraId="5046A69E" w14:textId="77777777" w:rsidR="007E3063" w:rsidRPr="006D2012" w:rsidRDefault="007E3063" w:rsidP="006D2012">
      <w:pPr>
        <w:spacing w:line="360" w:lineRule="auto"/>
        <w:jc w:val="both"/>
        <w:rPr>
          <w:rFonts w:ascii="Arial" w:hAnsi="Arial" w:cs="Arial"/>
        </w:rPr>
      </w:pPr>
    </w:p>
    <w:p w14:paraId="4172D803" w14:textId="77777777" w:rsidR="007E3063" w:rsidRPr="006D2012" w:rsidRDefault="007E3063" w:rsidP="006D2012">
      <w:pPr>
        <w:spacing w:line="360" w:lineRule="auto"/>
        <w:jc w:val="both"/>
        <w:rPr>
          <w:rFonts w:ascii="Arial" w:hAnsi="Arial" w:cs="Arial"/>
        </w:rPr>
      </w:pPr>
      <w:r w:rsidRPr="006D2012">
        <w:rPr>
          <w:rFonts w:ascii="Arial" w:hAnsi="Arial" w:cs="Arial"/>
        </w:rPr>
        <w:t>Projected Expenses</w:t>
      </w:r>
    </w:p>
    <w:p w14:paraId="6DD5B20B" w14:textId="77777777" w:rsidR="007E3063" w:rsidRPr="006D2012" w:rsidRDefault="007E3063" w:rsidP="006D2012">
      <w:pPr>
        <w:spacing w:line="360" w:lineRule="auto"/>
        <w:jc w:val="both"/>
        <w:rPr>
          <w:rFonts w:ascii="Arial" w:hAnsi="Arial" w:cs="Arial"/>
        </w:rPr>
      </w:pPr>
      <w:r w:rsidRPr="006D2012">
        <w:rPr>
          <w:rFonts w:ascii="Arial" w:hAnsi="Arial" w:cs="Arial"/>
        </w:rPr>
        <w:t>Venue Hire: £50,000</w:t>
      </w:r>
    </w:p>
    <w:p w14:paraId="3A1C50B9" w14:textId="77777777" w:rsidR="007E3063" w:rsidRPr="006D2012" w:rsidRDefault="007E3063" w:rsidP="006D2012">
      <w:pPr>
        <w:spacing w:line="360" w:lineRule="auto"/>
        <w:jc w:val="both"/>
        <w:rPr>
          <w:rFonts w:ascii="Arial" w:hAnsi="Arial" w:cs="Arial"/>
        </w:rPr>
      </w:pPr>
      <w:r w:rsidRPr="006D2012">
        <w:rPr>
          <w:rFonts w:ascii="Arial" w:hAnsi="Arial" w:cs="Arial"/>
        </w:rPr>
        <w:t>Covers keynote halls, breakout spaces, and exhibition areas.</w:t>
      </w:r>
    </w:p>
    <w:p w14:paraId="6B51A571" w14:textId="77777777" w:rsidR="007E3063" w:rsidRPr="006D2012" w:rsidRDefault="007E3063" w:rsidP="006D2012">
      <w:pPr>
        <w:spacing w:line="360" w:lineRule="auto"/>
        <w:jc w:val="both"/>
        <w:rPr>
          <w:rFonts w:ascii="Arial" w:hAnsi="Arial" w:cs="Arial"/>
        </w:rPr>
      </w:pPr>
      <w:r w:rsidRPr="006D2012">
        <w:rPr>
          <w:rFonts w:ascii="Arial" w:hAnsi="Arial" w:cs="Arial"/>
        </w:rPr>
        <w:t>Catering: £60,000</w:t>
      </w:r>
    </w:p>
    <w:p w14:paraId="3644D0E5" w14:textId="77777777" w:rsidR="007E3063" w:rsidRPr="006D2012" w:rsidRDefault="007E3063" w:rsidP="006D2012">
      <w:pPr>
        <w:spacing w:line="360" w:lineRule="auto"/>
        <w:jc w:val="both"/>
        <w:rPr>
          <w:rFonts w:ascii="Arial" w:hAnsi="Arial" w:cs="Arial"/>
        </w:rPr>
      </w:pPr>
      <w:r w:rsidRPr="006D2012">
        <w:rPr>
          <w:rFonts w:ascii="Arial" w:hAnsi="Arial" w:cs="Arial"/>
        </w:rPr>
        <w:t>Inclusive meal options catering to diverse dietary needs.</w:t>
      </w:r>
    </w:p>
    <w:p w14:paraId="090EA9F3" w14:textId="77777777" w:rsidR="007E3063" w:rsidRPr="006D2012" w:rsidRDefault="007E3063" w:rsidP="006D2012">
      <w:pPr>
        <w:spacing w:line="360" w:lineRule="auto"/>
        <w:jc w:val="both"/>
        <w:rPr>
          <w:rFonts w:ascii="Arial" w:hAnsi="Arial" w:cs="Arial"/>
        </w:rPr>
      </w:pPr>
      <w:r w:rsidRPr="006D2012">
        <w:rPr>
          <w:rFonts w:ascii="Arial" w:hAnsi="Arial" w:cs="Arial"/>
        </w:rPr>
        <w:t>Staffing: £30,000</w:t>
      </w:r>
    </w:p>
    <w:p w14:paraId="129A9111" w14:textId="77777777" w:rsidR="007E3063" w:rsidRPr="006D2012" w:rsidRDefault="007E3063" w:rsidP="006D2012">
      <w:pPr>
        <w:spacing w:line="360" w:lineRule="auto"/>
        <w:jc w:val="both"/>
        <w:rPr>
          <w:rFonts w:ascii="Arial" w:hAnsi="Arial" w:cs="Arial"/>
        </w:rPr>
      </w:pPr>
      <w:r w:rsidRPr="006D2012">
        <w:rPr>
          <w:rFonts w:ascii="Arial" w:hAnsi="Arial" w:cs="Arial"/>
        </w:rPr>
        <w:t>Includes event coordinators and wellness facilitators.</w:t>
      </w:r>
    </w:p>
    <w:p w14:paraId="4EBBFF15" w14:textId="77777777" w:rsidR="007E3063" w:rsidRPr="006D2012" w:rsidRDefault="007E3063" w:rsidP="006D2012">
      <w:pPr>
        <w:spacing w:line="360" w:lineRule="auto"/>
        <w:jc w:val="both"/>
        <w:rPr>
          <w:rFonts w:ascii="Arial" w:hAnsi="Arial" w:cs="Arial"/>
        </w:rPr>
      </w:pPr>
      <w:r w:rsidRPr="006D2012">
        <w:rPr>
          <w:rFonts w:ascii="Arial" w:hAnsi="Arial" w:cs="Arial"/>
        </w:rPr>
        <w:t>Marketing: £25,000</w:t>
      </w:r>
    </w:p>
    <w:p w14:paraId="1D35B487" w14:textId="77777777" w:rsidR="007E3063" w:rsidRPr="006D2012" w:rsidRDefault="007E3063" w:rsidP="006D2012">
      <w:pPr>
        <w:spacing w:line="360" w:lineRule="auto"/>
        <w:jc w:val="both"/>
        <w:rPr>
          <w:rFonts w:ascii="Arial" w:hAnsi="Arial" w:cs="Arial"/>
        </w:rPr>
      </w:pPr>
      <w:r w:rsidRPr="006D2012">
        <w:rPr>
          <w:rFonts w:ascii="Arial" w:hAnsi="Arial" w:cs="Arial"/>
        </w:rPr>
        <w:t>Encompasses social media promotions and industry press coverage.</w:t>
      </w:r>
    </w:p>
    <w:p w14:paraId="305B6819" w14:textId="77777777" w:rsidR="007E3063" w:rsidRPr="006D2012" w:rsidRDefault="007E3063" w:rsidP="006D2012">
      <w:pPr>
        <w:spacing w:line="360" w:lineRule="auto"/>
        <w:jc w:val="both"/>
        <w:rPr>
          <w:rFonts w:ascii="Arial" w:hAnsi="Arial" w:cs="Arial"/>
        </w:rPr>
      </w:pPr>
      <w:r w:rsidRPr="006D2012">
        <w:rPr>
          <w:rFonts w:ascii="Arial" w:hAnsi="Arial" w:cs="Arial"/>
        </w:rPr>
        <w:t>Speakers &amp; Travel: £40,000</w:t>
      </w:r>
    </w:p>
    <w:p w14:paraId="3DB564BE" w14:textId="77777777" w:rsidR="007E3063" w:rsidRPr="006D2012" w:rsidRDefault="007E3063" w:rsidP="006D2012">
      <w:pPr>
        <w:spacing w:line="360" w:lineRule="auto"/>
        <w:jc w:val="both"/>
        <w:rPr>
          <w:rFonts w:ascii="Arial" w:hAnsi="Arial" w:cs="Arial"/>
        </w:rPr>
      </w:pPr>
      <w:r w:rsidRPr="006D2012">
        <w:rPr>
          <w:rFonts w:ascii="Arial" w:hAnsi="Arial" w:cs="Arial"/>
        </w:rPr>
        <w:t>Covers keynote speakers, panellists, and associated travel costs.</w:t>
      </w:r>
    </w:p>
    <w:p w14:paraId="72E6A8CF" w14:textId="77777777" w:rsidR="007E3063" w:rsidRPr="006D2012" w:rsidRDefault="007E3063" w:rsidP="006D2012">
      <w:pPr>
        <w:spacing w:line="360" w:lineRule="auto"/>
        <w:jc w:val="both"/>
        <w:rPr>
          <w:rFonts w:ascii="Arial" w:hAnsi="Arial" w:cs="Arial"/>
        </w:rPr>
      </w:pPr>
      <w:r w:rsidRPr="006D2012">
        <w:rPr>
          <w:rFonts w:ascii="Arial" w:hAnsi="Arial" w:cs="Arial"/>
        </w:rPr>
        <w:t>AV &amp; Technology: £20,000</w:t>
      </w:r>
    </w:p>
    <w:p w14:paraId="15E6FA99" w14:textId="77777777" w:rsidR="007E3063" w:rsidRPr="006D2012" w:rsidRDefault="007E3063" w:rsidP="006D2012">
      <w:pPr>
        <w:spacing w:line="360" w:lineRule="auto"/>
        <w:jc w:val="both"/>
        <w:rPr>
          <w:rFonts w:ascii="Arial" w:hAnsi="Arial" w:cs="Arial"/>
        </w:rPr>
      </w:pPr>
      <w:r w:rsidRPr="006D2012">
        <w:rPr>
          <w:rFonts w:ascii="Arial" w:hAnsi="Arial" w:cs="Arial"/>
        </w:rPr>
        <w:t>Ensures high-quality audio-visual and hybrid event solutions.</w:t>
      </w:r>
    </w:p>
    <w:p w14:paraId="59287A8D" w14:textId="77777777" w:rsidR="007E3063" w:rsidRPr="006D2012" w:rsidRDefault="007E3063" w:rsidP="006D2012">
      <w:pPr>
        <w:spacing w:line="360" w:lineRule="auto"/>
        <w:jc w:val="both"/>
        <w:rPr>
          <w:rFonts w:ascii="Arial" w:hAnsi="Arial" w:cs="Arial"/>
        </w:rPr>
      </w:pPr>
      <w:r w:rsidRPr="006D2012">
        <w:rPr>
          <w:rFonts w:ascii="Arial" w:hAnsi="Arial" w:cs="Arial"/>
        </w:rPr>
        <w:t>Wellness Activities: £15,000</w:t>
      </w:r>
    </w:p>
    <w:p w14:paraId="00F24B31" w14:textId="77777777" w:rsidR="007E3063" w:rsidRPr="006D2012" w:rsidRDefault="007E3063" w:rsidP="006D2012">
      <w:pPr>
        <w:spacing w:line="360" w:lineRule="auto"/>
        <w:jc w:val="both"/>
        <w:rPr>
          <w:rFonts w:ascii="Arial" w:hAnsi="Arial" w:cs="Arial"/>
        </w:rPr>
      </w:pPr>
      <w:r w:rsidRPr="006D2012">
        <w:rPr>
          <w:rFonts w:ascii="Arial" w:hAnsi="Arial" w:cs="Arial"/>
        </w:rPr>
        <w:t>Funds mindfulness sessions and wellness kits for attendees.</w:t>
      </w:r>
    </w:p>
    <w:p w14:paraId="6A3B53B7" w14:textId="77777777" w:rsidR="007E3063" w:rsidRPr="006D2012" w:rsidRDefault="007E3063" w:rsidP="006D2012">
      <w:pPr>
        <w:spacing w:line="360" w:lineRule="auto"/>
        <w:jc w:val="both"/>
        <w:rPr>
          <w:rFonts w:ascii="Arial" w:hAnsi="Arial" w:cs="Arial"/>
        </w:rPr>
      </w:pPr>
      <w:r w:rsidRPr="006D2012">
        <w:rPr>
          <w:rFonts w:ascii="Arial" w:hAnsi="Arial" w:cs="Arial"/>
        </w:rPr>
        <w:t>Contingency Fund: £12,000</w:t>
      </w:r>
    </w:p>
    <w:p w14:paraId="0107872D" w14:textId="77777777" w:rsidR="007E3063" w:rsidRPr="006D2012" w:rsidRDefault="007E3063" w:rsidP="006D2012">
      <w:pPr>
        <w:spacing w:line="360" w:lineRule="auto"/>
        <w:jc w:val="both"/>
        <w:rPr>
          <w:rFonts w:ascii="Arial" w:hAnsi="Arial" w:cs="Arial"/>
        </w:rPr>
      </w:pPr>
      <w:r w:rsidRPr="006D2012">
        <w:rPr>
          <w:rFonts w:ascii="Arial" w:hAnsi="Arial" w:cs="Arial"/>
        </w:rPr>
        <w:t>Allocated for unexpected expenses.</w:t>
      </w:r>
    </w:p>
    <w:p w14:paraId="18D9734F" w14:textId="77777777" w:rsidR="007E3063" w:rsidRPr="006D2012" w:rsidRDefault="007E3063" w:rsidP="006D2012">
      <w:pPr>
        <w:spacing w:line="360" w:lineRule="auto"/>
        <w:jc w:val="both"/>
        <w:rPr>
          <w:rFonts w:ascii="Arial" w:hAnsi="Arial" w:cs="Arial"/>
        </w:rPr>
      </w:pPr>
      <w:r w:rsidRPr="006D2012">
        <w:rPr>
          <w:rFonts w:ascii="Arial" w:hAnsi="Arial" w:cs="Arial"/>
        </w:rPr>
        <w:t>Total Estimated Expenses: £252,000</w:t>
      </w:r>
    </w:p>
    <w:p w14:paraId="69296CBF" w14:textId="77777777" w:rsidR="007E3063" w:rsidRPr="006D2012" w:rsidRDefault="007E3063" w:rsidP="006D2012">
      <w:pPr>
        <w:spacing w:line="360" w:lineRule="auto"/>
        <w:jc w:val="both"/>
        <w:rPr>
          <w:rFonts w:ascii="Arial" w:hAnsi="Arial" w:cs="Arial"/>
        </w:rPr>
      </w:pPr>
    </w:p>
    <w:p w14:paraId="753DD8ED" w14:textId="77777777" w:rsidR="007E3063" w:rsidRPr="006D2012" w:rsidRDefault="007E3063" w:rsidP="006D2012">
      <w:pPr>
        <w:spacing w:line="360" w:lineRule="auto"/>
        <w:jc w:val="both"/>
        <w:rPr>
          <w:rFonts w:ascii="Arial" w:hAnsi="Arial" w:cs="Arial"/>
        </w:rPr>
      </w:pPr>
      <w:r w:rsidRPr="006D2012">
        <w:rPr>
          <w:rFonts w:ascii="Arial" w:hAnsi="Arial" w:cs="Arial"/>
        </w:rPr>
        <w:t>Projected Profit: £33,000</w:t>
      </w:r>
    </w:p>
    <w:p w14:paraId="478A0F05" w14:textId="60B7F614" w:rsidR="007E3063" w:rsidRPr="006D2012" w:rsidRDefault="007E3063" w:rsidP="006D2012">
      <w:pPr>
        <w:spacing w:line="360" w:lineRule="auto"/>
        <w:jc w:val="both"/>
        <w:rPr>
          <w:rFonts w:ascii="Arial" w:hAnsi="Arial" w:cs="Arial"/>
        </w:rPr>
      </w:pPr>
      <w:r w:rsidRPr="006D2012">
        <w:rPr>
          <w:rFonts w:ascii="Arial" w:hAnsi="Arial" w:cs="Arial"/>
        </w:rPr>
        <w:t>Additional revenue opportunities, such as VIP ticket packages and digital event access, could further enhance profitability.</w:t>
      </w:r>
    </w:p>
    <w:p w14:paraId="635F30CD" w14:textId="77777777" w:rsidR="00F01756" w:rsidRPr="006D2012" w:rsidRDefault="00F01756" w:rsidP="006D2012">
      <w:pPr>
        <w:pStyle w:val="Heading1"/>
        <w:spacing w:line="360" w:lineRule="auto"/>
        <w:jc w:val="both"/>
        <w:rPr>
          <w:rFonts w:ascii="Arial" w:hAnsi="Arial" w:cs="Arial"/>
          <w:sz w:val="24"/>
          <w:szCs w:val="24"/>
        </w:rPr>
      </w:pPr>
      <w:bookmarkStart w:id="3" w:name="_Toc191627570"/>
      <w:r w:rsidRPr="006D2012">
        <w:rPr>
          <w:rFonts w:ascii="Arial" w:hAnsi="Arial" w:cs="Arial"/>
          <w:sz w:val="24"/>
          <w:szCs w:val="24"/>
        </w:rPr>
        <w:lastRenderedPageBreak/>
        <w:t>Planning Considerations for EDI in Hospitality Event</w:t>
      </w:r>
      <w:bookmarkEnd w:id="3"/>
    </w:p>
    <w:p w14:paraId="0F57F6A2" w14:textId="3FBCF1D2" w:rsidR="00F01756" w:rsidRPr="006D2012" w:rsidRDefault="00D50EE3" w:rsidP="006D2012">
      <w:pPr>
        <w:spacing w:line="360" w:lineRule="auto"/>
        <w:jc w:val="both"/>
        <w:rPr>
          <w:rFonts w:ascii="Arial" w:hAnsi="Arial" w:cs="Arial"/>
        </w:rPr>
      </w:pPr>
      <w:r w:rsidRPr="006D2012">
        <w:rPr>
          <w:rFonts w:ascii="Arial" w:hAnsi="Arial" w:cs="Arial"/>
          <w:noProof/>
        </w:rPr>
        <w:drawing>
          <wp:inline distT="0" distB="0" distL="0" distR="0" wp14:anchorId="0E05ADC0" wp14:editId="4E95EECA">
            <wp:extent cx="4801870" cy="1386840"/>
            <wp:effectExtent l="0" t="0" r="0" b="3810"/>
            <wp:docPr id="4122972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1870" cy="1386840"/>
                    </a:xfrm>
                    <a:prstGeom prst="rect">
                      <a:avLst/>
                    </a:prstGeom>
                    <a:noFill/>
                  </pic:spPr>
                </pic:pic>
              </a:graphicData>
            </a:graphic>
          </wp:inline>
        </w:drawing>
      </w:r>
      <w:r w:rsidRPr="006D2012">
        <w:rPr>
          <w:rFonts w:ascii="Arial" w:hAnsi="Arial" w:cs="Arial"/>
        </w:rPr>
        <w:t xml:space="preserve"> (The People's Picture, 2024).</w:t>
      </w:r>
    </w:p>
    <w:p w14:paraId="46A0FBFC" w14:textId="77777777" w:rsidR="00CA415F" w:rsidRPr="006D2012" w:rsidRDefault="00CA415F" w:rsidP="006D2012">
      <w:pPr>
        <w:spacing w:line="360" w:lineRule="auto"/>
        <w:jc w:val="both"/>
        <w:rPr>
          <w:rFonts w:ascii="Arial" w:hAnsi="Arial" w:cs="Arial"/>
        </w:rPr>
      </w:pPr>
    </w:p>
    <w:p w14:paraId="28EFC5F2" w14:textId="77777777" w:rsidR="00CA415F" w:rsidRPr="006D2012" w:rsidRDefault="00CA415F" w:rsidP="006D2012">
      <w:pPr>
        <w:spacing w:line="360" w:lineRule="auto"/>
        <w:jc w:val="both"/>
        <w:rPr>
          <w:rFonts w:ascii="Arial" w:hAnsi="Arial" w:cs="Arial"/>
        </w:rPr>
      </w:pPr>
    </w:p>
    <w:p w14:paraId="11898EC3" w14:textId="77777777" w:rsidR="00CA415F" w:rsidRPr="006D2012" w:rsidRDefault="00CA415F" w:rsidP="006D2012">
      <w:pPr>
        <w:spacing w:line="360" w:lineRule="auto"/>
        <w:jc w:val="both"/>
        <w:rPr>
          <w:rFonts w:ascii="Arial" w:hAnsi="Arial" w:cs="Arial"/>
        </w:rPr>
      </w:pPr>
      <w:r w:rsidRPr="006D2012">
        <w:rPr>
          <w:rFonts w:ascii="Arial" w:hAnsi="Arial" w:cs="Arial"/>
        </w:rPr>
        <w:t>ExCeL London has been selected for this event due to its strong reputation in hosting major hospitality conferences, such as the Hotel &amp; Hospitality Expo UK (Smith &amp; Andrews, 2023). Several key factors influenced this choice:</w:t>
      </w:r>
    </w:p>
    <w:p w14:paraId="65368B01" w14:textId="77777777" w:rsidR="00CA415F" w:rsidRPr="006D2012" w:rsidRDefault="00CA415F" w:rsidP="006D2012">
      <w:pPr>
        <w:spacing w:line="360" w:lineRule="auto"/>
        <w:jc w:val="both"/>
        <w:rPr>
          <w:rFonts w:ascii="Arial" w:hAnsi="Arial" w:cs="Arial"/>
        </w:rPr>
      </w:pPr>
    </w:p>
    <w:p w14:paraId="787FA018"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532DA6CA" w14:textId="77777777" w:rsidR="00CA415F" w:rsidRPr="006D2012" w:rsidRDefault="00CA415F" w:rsidP="006D2012">
      <w:pPr>
        <w:spacing w:line="360" w:lineRule="auto"/>
        <w:jc w:val="both"/>
        <w:rPr>
          <w:rFonts w:ascii="Arial" w:hAnsi="Arial" w:cs="Arial"/>
        </w:rPr>
      </w:pPr>
    </w:p>
    <w:p w14:paraId="196466C8" w14:textId="77777777" w:rsidR="00CA415F" w:rsidRPr="006D2012" w:rsidRDefault="00CA415F" w:rsidP="006D2012">
      <w:pPr>
        <w:spacing w:line="360" w:lineRule="auto"/>
        <w:jc w:val="both"/>
        <w:rPr>
          <w:rFonts w:ascii="Arial" w:hAnsi="Arial" w:cs="Arial"/>
        </w:rPr>
      </w:pPr>
      <w:r w:rsidRPr="006D2012">
        <w:rPr>
          <w:rFonts w:ascii="Arial" w:hAnsi="Arial" w:cs="Arial"/>
        </w:rPr>
        <w:t>Accessibility: ExCeL London provides step-free access, prayer rooms, and multilingual support, ensuring that it is accessible and inclusive for a diverse range of attendees (ExCeL London, 2024).This commitment to inclusivity aligns with the event’s goals of fostering a welcoming environment for all.</w:t>
      </w:r>
    </w:p>
    <w:p w14:paraId="3BC7C080" w14:textId="77777777" w:rsidR="00CA415F" w:rsidRPr="006D2012" w:rsidRDefault="00CA415F" w:rsidP="006D2012">
      <w:pPr>
        <w:spacing w:line="360" w:lineRule="auto"/>
        <w:jc w:val="both"/>
        <w:rPr>
          <w:rFonts w:ascii="Arial" w:hAnsi="Arial" w:cs="Arial"/>
        </w:rPr>
      </w:pPr>
    </w:p>
    <w:p w14:paraId="7930D107"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60CFF446" w14:textId="77777777" w:rsidR="00CA415F" w:rsidRPr="006D2012" w:rsidRDefault="00CA415F" w:rsidP="006D2012">
      <w:pPr>
        <w:spacing w:line="360" w:lineRule="auto"/>
        <w:jc w:val="both"/>
        <w:rPr>
          <w:rFonts w:ascii="Arial" w:hAnsi="Arial" w:cs="Arial"/>
        </w:rPr>
      </w:pPr>
    </w:p>
    <w:p w14:paraId="24DB0FA7" w14:textId="77777777" w:rsidR="00CA415F" w:rsidRPr="006D2012" w:rsidRDefault="00CA415F" w:rsidP="006D2012">
      <w:pPr>
        <w:spacing w:line="360" w:lineRule="auto"/>
        <w:jc w:val="both"/>
        <w:rPr>
          <w:rFonts w:ascii="Arial" w:hAnsi="Arial" w:cs="Arial"/>
        </w:rPr>
      </w:pPr>
      <w:r w:rsidRPr="006D2012">
        <w:rPr>
          <w:rFonts w:ascii="Arial" w:hAnsi="Arial" w:cs="Arial"/>
        </w:rPr>
        <w:t>Capacity: With its expansive facilities, ExCeL London offers ample space to accommodate a dynamic event layout. The venue features multiple session rooms, networking areas, and flexible exhibition spaces, allowing for varied group sizes and promoting interactive engagement (ExCeL London, 2024). (</w:t>
      </w:r>
    </w:p>
    <w:p w14:paraId="02F43491" w14:textId="77777777" w:rsidR="00CA415F" w:rsidRPr="006D2012" w:rsidRDefault="00CA415F" w:rsidP="006D2012">
      <w:pPr>
        <w:spacing w:line="360" w:lineRule="auto"/>
        <w:jc w:val="both"/>
        <w:rPr>
          <w:rFonts w:ascii="Arial" w:hAnsi="Arial" w:cs="Arial"/>
        </w:rPr>
      </w:pPr>
    </w:p>
    <w:p w14:paraId="6D91494F"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79B64319" w14:textId="77777777" w:rsidR="00CA415F" w:rsidRPr="006D2012" w:rsidRDefault="00CA415F" w:rsidP="006D2012">
      <w:pPr>
        <w:spacing w:line="360" w:lineRule="auto"/>
        <w:jc w:val="both"/>
        <w:rPr>
          <w:rFonts w:ascii="Arial" w:hAnsi="Arial" w:cs="Arial"/>
        </w:rPr>
      </w:pPr>
    </w:p>
    <w:p w14:paraId="60392079" w14:textId="77777777" w:rsidR="00CA415F" w:rsidRPr="006D2012" w:rsidRDefault="00CA415F" w:rsidP="006D2012">
      <w:pPr>
        <w:spacing w:line="360" w:lineRule="auto"/>
        <w:jc w:val="both"/>
        <w:rPr>
          <w:rFonts w:ascii="Arial" w:hAnsi="Arial" w:cs="Arial"/>
        </w:rPr>
      </w:pPr>
      <w:r w:rsidRPr="006D2012">
        <w:rPr>
          <w:rFonts w:ascii="Arial" w:hAnsi="Arial" w:cs="Arial"/>
        </w:rPr>
        <w:t>AV Facilities: The venue has cutting-edge audiovisual infrastructure, making it well-suited to handle high-quality live streaming and hybrid event capabilities. This ensures a seamless experience for in-person and remote attendees, broadening the event’s reach and accessibility (ExCeL London, 2024).</w:t>
      </w:r>
    </w:p>
    <w:p w14:paraId="0A9FAEAE" w14:textId="77777777" w:rsidR="00CA415F" w:rsidRPr="006D2012" w:rsidRDefault="00CA415F" w:rsidP="006D2012">
      <w:pPr>
        <w:spacing w:line="360" w:lineRule="auto"/>
        <w:jc w:val="both"/>
        <w:rPr>
          <w:rFonts w:ascii="Arial" w:hAnsi="Arial" w:cs="Arial"/>
        </w:rPr>
      </w:pPr>
    </w:p>
    <w:p w14:paraId="2AFD1231"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49AFB87E" w14:textId="77777777" w:rsidR="00CA415F" w:rsidRPr="006D2012" w:rsidRDefault="00CA415F" w:rsidP="006D2012">
      <w:pPr>
        <w:spacing w:line="360" w:lineRule="auto"/>
        <w:jc w:val="both"/>
        <w:rPr>
          <w:rFonts w:ascii="Arial" w:hAnsi="Arial" w:cs="Arial"/>
        </w:rPr>
      </w:pPr>
    </w:p>
    <w:p w14:paraId="754599AE" w14:textId="77777777" w:rsidR="00CA415F" w:rsidRPr="006D2012" w:rsidRDefault="00CA415F" w:rsidP="006D2012">
      <w:pPr>
        <w:spacing w:line="360" w:lineRule="auto"/>
        <w:jc w:val="both"/>
        <w:rPr>
          <w:rFonts w:ascii="Arial" w:hAnsi="Arial" w:cs="Arial"/>
        </w:rPr>
      </w:pPr>
      <w:r w:rsidRPr="006D2012">
        <w:rPr>
          <w:rFonts w:ascii="Arial" w:hAnsi="Arial" w:cs="Arial"/>
        </w:rPr>
        <w:t>Logistics: Strategically located near London City Airport, with excellent transport links, including direct access to the DLR and underground stations, ExCeL London is easily accessible for both domestic and international attendees. Its central location further enhances its appeal, making it a convenient choice for participants travelling from the UK and abroad (ExCeL London, 2024).</w:t>
      </w:r>
    </w:p>
    <w:p w14:paraId="0A25953C" w14:textId="77777777" w:rsidR="00CA415F" w:rsidRPr="006D2012" w:rsidRDefault="00CA415F" w:rsidP="006D2012">
      <w:pPr>
        <w:spacing w:line="360" w:lineRule="auto"/>
        <w:jc w:val="both"/>
        <w:rPr>
          <w:rFonts w:ascii="Arial" w:hAnsi="Arial" w:cs="Arial"/>
        </w:rPr>
      </w:pPr>
    </w:p>
    <w:p w14:paraId="5EDADD5C"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0D6B05F7" w14:textId="77777777" w:rsidR="00CA415F" w:rsidRPr="006D2012" w:rsidRDefault="00CA415F" w:rsidP="006D2012">
      <w:pPr>
        <w:spacing w:line="360" w:lineRule="auto"/>
        <w:jc w:val="both"/>
        <w:rPr>
          <w:rFonts w:ascii="Arial" w:hAnsi="Arial" w:cs="Arial"/>
        </w:rPr>
      </w:pPr>
    </w:p>
    <w:p w14:paraId="5DD08BA7" w14:textId="77777777" w:rsidR="00CA415F" w:rsidRPr="006D2012" w:rsidRDefault="00CA415F" w:rsidP="006D2012">
      <w:pPr>
        <w:spacing w:line="360" w:lineRule="auto"/>
        <w:jc w:val="both"/>
        <w:rPr>
          <w:rFonts w:ascii="Arial" w:hAnsi="Arial" w:cs="Arial"/>
        </w:rPr>
      </w:pPr>
      <w:r w:rsidRPr="006D2012">
        <w:rPr>
          <w:rFonts w:ascii="Arial" w:hAnsi="Arial" w:cs="Arial"/>
        </w:rPr>
        <w:t>Given its central location, extensive facilities, and commitment to hosting successful events, ExCeL London is ideal for a high-profile hospitality conference (ExCeL London, 2024).</w:t>
      </w:r>
    </w:p>
    <w:p w14:paraId="248A64FB" w14:textId="77777777" w:rsidR="00CA415F" w:rsidRPr="006D2012" w:rsidRDefault="00CA415F" w:rsidP="006D2012">
      <w:pPr>
        <w:spacing w:line="360" w:lineRule="auto"/>
        <w:jc w:val="both"/>
        <w:rPr>
          <w:rFonts w:ascii="Arial" w:hAnsi="Arial" w:cs="Arial"/>
        </w:rPr>
      </w:pPr>
    </w:p>
    <w:p w14:paraId="6C50A675"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6D0EB5F6" w14:textId="77777777" w:rsidR="00CA415F" w:rsidRPr="006D2012" w:rsidRDefault="00CA415F" w:rsidP="006D2012">
      <w:pPr>
        <w:spacing w:line="360" w:lineRule="auto"/>
        <w:jc w:val="both"/>
        <w:rPr>
          <w:rFonts w:ascii="Arial" w:hAnsi="Arial" w:cs="Arial"/>
        </w:rPr>
      </w:pPr>
      <w:r w:rsidRPr="006D2012">
        <w:rPr>
          <w:rFonts w:ascii="Arial" w:hAnsi="Arial" w:cs="Arial"/>
        </w:rPr>
        <w:t>Marketing strategy plan:</w:t>
      </w:r>
    </w:p>
    <w:p w14:paraId="68678817"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66DCBF95" w14:textId="77777777" w:rsidR="00CA415F" w:rsidRPr="006D2012" w:rsidRDefault="00CA415F" w:rsidP="006D2012">
      <w:pPr>
        <w:spacing w:line="360" w:lineRule="auto"/>
        <w:jc w:val="both"/>
        <w:rPr>
          <w:rFonts w:ascii="Arial" w:hAnsi="Arial" w:cs="Arial"/>
        </w:rPr>
      </w:pPr>
    </w:p>
    <w:p w14:paraId="3DAEA02E" w14:textId="77777777" w:rsidR="00CA415F" w:rsidRPr="006D2012" w:rsidRDefault="00CA415F" w:rsidP="006D2012">
      <w:pPr>
        <w:spacing w:line="360" w:lineRule="auto"/>
        <w:jc w:val="both"/>
        <w:rPr>
          <w:rFonts w:ascii="Arial" w:hAnsi="Arial" w:cs="Arial"/>
        </w:rPr>
      </w:pPr>
      <w:r w:rsidRPr="006D2012">
        <w:rPr>
          <w:rFonts w:ascii="Arial" w:hAnsi="Arial" w:cs="Arial"/>
        </w:rPr>
        <w:t>The marketing strategy for the event is designed to raise awareness, drive attendance, and engage target audiences effectively. The plan includes the following elements:</w:t>
      </w:r>
    </w:p>
    <w:p w14:paraId="6F43D183" w14:textId="77777777" w:rsidR="00CA415F" w:rsidRPr="006D2012" w:rsidRDefault="00CA415F" w:rsidP="006D2012">
      <w:pPr>
        <w:spacing w:line="360" w:lineRule="auto"/>
        <w:jc w:val="both"/>
        <w:rPr>
          <w:rFonts w:ascii="Arial" w:hAnsi="Arial" w:cs="Arial"/>
        </w:rPr>
      </w:pPr>
    </w:p>
    <w:p w14:paraId="17C96F66" w14:textId="77777777" w:rsidR="00CA415F" w:rsidRPr="006D2012" w:rsidRDefault="00CA415F" w:rsidP="006D2012">
      <w:pPr>
        <w:spacing w:line="360" w:lineRule="auto"/>
        <w:jc w:val="both"/>
        <w:rPr>
          <w:rFonts w:ascii="Arial" w:hAnsi="Arial" w:cs="Arial"/>
        </w:rPr>
      </w:pPr>
      <w:r w:rsidRPr="006D2012">
        <w:rPr>
          <w:rFonts w:ascii="Arial" w:hAnsi="Arial" w:cs="Arial"/>
        </w:rPr>
        <w:lastRenderedPageBreak/>
        <w:t xml:space="preserve"> </w:t>
      </w:r>
    </w:p>
    <w:p w14:paraId="25C3699B" w14:textId="77777777" w:rsidR="00CA415F" w:rsidRPr="006D2012" w:rsidRDefault="00CA415F" w:rsidP="006D2012">
      <w:pPr>
        <w:spacing w:line="360" w:lineRule="auto"/>
        <w:jc w:val="both"/>
        <w:rPr>
          <w:rFonts w:ascii="Arial" w:hAnsi="Arial" w:cs="Arial"/>
        </w:rPr>
      </w:pPr>
    </w:p>
    <w:p w14:paraId="54B73912" w14:textId="77777777" w:rsidR="00CA415F" w:rsidRPr="006D2012" w:rsidRDefault="00CA415F" w:rsidP="006D2012">
      <w:pPr>
        <w:spacing w:line="360" w:lineRule="auto"/>
        <w:jc w:val="both"/>
        <w:rPr>
          <w:rFonts w:ascii="Arial" w:hAnsi="Arial" w:cs="Arial"/>
        </w:rPr>
      </w:pPr>
      <w:r w:rsidRPr="006D2012">
        <w:rPr>
          <w:rFonts w:ascii="Arial" w:hAnsi="Arial" w:cs="Arial"/>
        </w:rPr>
        <w:t>Social Media Campaigns: We will leverage LinkedIn, Instagram, and Twitter platforms to engage hospitality professionals and EDI advocates. These platforms will serve as channels for promoting the event, sharing information about key speakers, workshops, and relevant topics, and interacting with potential attendees through regular updates and engaging content (Brown &amp; White, 2022).</w:t>
      </w:r>
    </w:p>
    <w:p w14:paraId="1415589C"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11F50FD2" w14:textId="77777777" w:rsidR="00CA415F" w:rsidRPr="006D2012" w:rsidRDefault="00CA415F" w:rsidP="006D2012">
      <w:pPr>
        <w:spacing w:line="360" w:lineRule="auto"/>
        <w:jc w:val="both"/>
        <w:rPr>
          <w:rFonts w:ascii="Arial" w:hAnsi="Arial" w:cs="Arial"/>
        </w:rPr>
      </w:pPr>
    </w:p>
    <w:p w14:paraId="016CB925" w14:textId="77777777" w:rsidR="00CA415F" w:rsidRPr="006D2012" w:rsidRDefault="00CA415F" w:rsidP="006D2012">
      <w:pPr>
        <w:spacing w:line="360" w:lineRule="auto"/>
        <w:jc w:val="both"/>
        <w:rPr>
          <w:rFonts w:ascii="Arial" w:hAnsi="Arial" w:cs="Arial"/>
        </w:rPr>
      </w:pPr>
      <w:r w:rsidRPr="006D2012">
        <w:rPr>
          <w:rFonts w:ascii="Arial" w:hAnsi="Arial" w:cs="Arial"/>
        </w:rPr>
        <w:t>Email Marketing: A targeted email campaign will be sent to HR professionals, hospitality managers, and academic institutions. These emails will include personalised messaging highlighting the event’s benefits, such as gaining insights into EDI best practices and networking opportunities with industry leaders (Kotler &amp; Keller, 2016).</w:t>
      </w:r>
    </w:p>
    <w:p w14:paraId="4307695A" w14:textId="77777777" w:rsidR="00CA415F" w:rsidRPr="006D2012" w:rsidRDefault="00CA415F" w:rsidP="006D2012">
      <w:pPr>
        <w:spacing w:line="360" w:lineRule="auto"/>
        <w:jc w:val="both"/>
        <w:rPr>
          <w:rFonts w:ascii="Arial" w:hAnsi="Arial" w:cs="Arial"/>
        </w:rPr>
      </w:pPr>
    </w:p>
    <w:p w14:paraId="0E618248"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4DCFC844" w14:textId="77777777" w:rsidR="00CA415F" w:rsidRPr="006D2012" w:rsidRDefault="00CA415F" w:rsidP="006D2012">
      <w:pPr>
        <w:spacing w:line="360" w:lineRule="auto"/>
        <w:jc w:val="both"/>
        <w:rPr>
          <w:rFonts w:ascii="Arial" w:hAnsi="Arial" w:cs="Arial"/>
        </w:rPr>
      </w:pPr>
    </w:p>
    <w:p w14:paraId="3742B6D0" w14:textId="77777777" w:rsidR="00CA415F" w:rsidRPr="006D2012" w:rsidRDefault="00CA415F" w:rsidP="006D2012">
      <w:pPr>
        <w:spacing w:line="360" w:lineRule="auto"/>
        <w:jc w:val="both"/>
        <w:rPr>
          <w:rFonts w:ascii="Arial" w:hAnsi="Arial" w:cs="Arial"/>
        </w:rPr>
      </w:pPr>
      <w:r w:rsidRPr="006D2012">
        <w:rPr>
          <w:rFonts w:ascii="Arial" w:hAnsi="Arial" w:cs="Arial"/>
        </w:rPr>
        <w:t>Press Releases: The event will be featured in prominent industry publications like The Caterer and Hospitality Net to build credibility and visibility. These press releases will emphasise the event’s significance in promoting EDI initiatives within the hospitality industry and drive awareness among a wider audience (Taylor &amp; Brown, 2021).</w:t>
      </w:r>
    </w:p>
    <w:p w14:paraId="156C28CD"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7165EEC7" w14:textId="77777777" w:rsidR="00CA415F" w:rsidRPr="006D2012" w:rsidRDefault="00CA415F" w:rsidP="006D2012">
      <w:pPr>
        <w:spacing w:line="360" w:lineRule="auto"/>
        <w:jc w:val="both"/>
        <w:rPr>
          <w:rFonts w:ascii="Arial" w:hAnsi="Arial" w:cs="Arial"/>
        </w:rPr>
      </w:pPr>
    </w:p>
    <w:p w14:paraId="6E862BDF" w14:textId="77777777" w:rsidR="00CA415F" w:rsidRPr="006D2012" w:rsidRDefault="00CA415F" w:rsidP="006D2012">
      <w:pPr>
        <w:spacing w:line="360" w:lineRule="auto"/>
        <w:jc w:val="both"/>
        <w:rPr>
          <w:rFonts w:ascii="Arial" w:hAnsi="Arial" w:cs="Arial"/>
        </w:rPr>
      </w:pPr>
      <w:r w:rsidRPr="006D2012">
        <w:rPr>
          <w:rFonts w:ascii="Arial" w:hAnsi="Arial" w:cs="Arial"/>
        </w:rPr>
        <w:t>Influencer Engagement: We will enhance the event's credibility and reach by collaborating with influential EDI advocates and thought leaders. These influencers will help amplify the event message, share content, and engage diverse audiences, reinforcing the event’s focus on inclusivity and equity (Williams et al., 2021).</w:t>
      </w:r>
    </w:p>
    <w:p w14:paraId="2C4DF34A"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457B194D" w14:textId="77777777" w:rsidR="00CA415F" w:rsidRPr="006D2012" w:rsidRDefault="00CA415F" w:rsidP="006D2012">
      <w:pPr>
        <w:spacing w:line="360" w:lineRule="auto"/>
        <w:jc w:val="both"/>
        <w:rPr>
          <w:rFonts w:ascii="Arial" w:hAnsi="Arial" w:cs="Arial"/>
        </w:rPr>
      </w:pPr>
    </w:p>
    <w:p w14:paraId="1E867A63" w14:textId="77777777" w:rsidR="00CA415F" w:rsidRPr="006D2012" w:rsidRDefault="00CA415F" w:rsidP="006D2012">
      <w:pPr>
        <w:spacing w:line="360" w:lineRule="auto"/>
        <w:jc w:val="both"/>
        <w:rPr>
          <w:rFonts w:ascii="Arial" w:hAnsi="Arial" w:cs="Arial"/>
        </w:rPr>
      </w:pPr>
      <w:r w:rsidRPr="006D2012">
        <w:rPr>
          <w:rFonts w:ascii="Arial" w:hAnsi="Arial" w:cs="Arial"/>
        </w:rPr>
        <w:t>The marketing strategy follows the AIDA model (Kotler &amp; Keller, 2016), focusing on:</w:t>
      </w:r>
    </w:p>
    <w:p w14:paraId="2811F285" w14:textId="77777777" w:rsidR="00CA415F" w:rsidRPr="006D2012" w:rsidRDefault="00CA415F" w:rsidP="006D2012">
      <w:pPr>
        <w:spacing w:line="360" w:lineRule="auto"/>
        <w:jc w:val="both"/>
        <w:rPr>
          <w:rFonts w:ascii="Arial" w:hAnsi="Arial" w:cs="Arial"/>
        </w:rPr>
      </w:pPr>
    </w:p>
    <w:p w14:paraId="5391A7E4"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 </w:t>
      </w:r>
    </w:p>
    <w:p w14:paraId="15E2ABEC" w14:textId="77777777" w:rsidR="00CA415F" w:rsidRPr="006D2012" w:rsidRDefault="00CA415F" w:rsidP="006D2012">
      <w:pPr>
        <w:spacing w:line="360" w:lineRule="auto"/>
        <w:jc w:val="both"/>
        <w:rPr>
          <w:rFonts w:ascii="Arial" w:hAnsi="Arial" w:cs="Arial"/>
        </w:rPr>
      </w:pPr>
    </w:p>
    <w:p w14:paraId="33EA4B43" w14:textId="77777777" w:rsidR="00CA415F" w:rsidRPr="006D2012" w:rsidRDefault="00CA415F" w:rsidP="006D2012">
      <w:pPr>
        <w:spacing w:line="360" w:lineRule="auto"/>
        <w:jc w:val="both"/>
        <w:rPr>
          <w:rFonts w:ascii="Arial" w:hAnsi="Arial" w:cs="Arial"/>
        </w:rPr>
      </w:pPr>
      <w:r w:rsidRPr="006D2012">
        <w:rPr>
          <w:rFonts w:ascii="Arial" w:hAnsi="Arial" w:cs="Arial"/>
        </w:rPr>
        <w:t>Attention: Drawing potential attendees in with eye-catching social media posts and emails.</w:t>
      </w:r>
    </w:p>
    <w:p w14:paraId="3E560A9A" w14:textId="77777777" w:rsidR="00CA415F" w:rsidRPr="006D2012" w:rsidRDefault="00CA415F" w:rsidP="006D2012">
      <w:pPr>
        <w:spacing w:line="360" w:lineRule="auto"/>
        <w:jc w:val="both"/>
        <w:rPr>
          <w:rFonts w:ascii="Arial" w:hAnsi="Arial" w:cs="Arial"/>
        </w:rPr>
      </w:pPr>
    </w:p>
    <w:p w14:paraId="05E197CE" w14:textId="77777777" w:rsidR="00CA415F" w:rsidRPr="006D2012" w:rsidRDefault="00CA415F" w:rsidP="006D2012">
      <w:pPr>
        <w:spacing w:line="360" w:lineRule="auto"/>
        <w:jc w:val="both"/>
        <w:rPr>
          <w:rFonts w:ascii="Arial" w:hAnsi="Arial" w:cs="Arial"/>
        </w:rPr>
      </w:pPr>
      <w:r w:rsidRPr="006D2012">
        <w:rPr>
          <w:rFonts w:ascii="Arial" w:hAnsi="Arial" w:cs="Arial"/>
        </w:rPr>
        <w:t>Interest: Capturing attention by highlighting key event features, such as speakers, workshops, and the focus on EDI.</w:t>
      </w:r>
    </w:p>
    <w:p w14:paraId="3A8975DB" w14:textId="77777777" w:rsidR="00CA415F" w:rsidRPr="006D2012" w:rsidRDefault="00CA415F" w:rsidP="006D2012">
      <w:pPr>
        <w:spacing w:line="360" w:lineRule="auto"/>
        <w:jc w:val="both"/>
        <w:rPr>
          <w:rFonts w:ascii="Arial" w:hAnsi="Arial" w:cs="Arial"/>
        </w:rPr>
      </w:pPr>
    </w:p>
    <w:p w14:paraId="467B18FE" w14:textId="77777777" w:rsidR="00CA415F" w:rsidRPr="006D2012" w:rsidRDefault="00CA415F" w:rsidP="006D2012">
      <w:pPr>
        <w:spacing w:line="360" w:lineRule="auto"/>
        <w:jc w:val="both"/>
        <w:rPr>
          <w:rFonts w:ascii="Arial" w:hAnsi="Arial" w:cs="Arial"/>
        </w:rPr>
      </w:pPr>
      <w:r w:rsidRPr="006D2012">
        <w:rPr>
          <w:rFonts w:ascii="Arial" w:hAnsi="Arial" w:cs="Arial"/>
        </w:rPr>
        <w:t>Desire: Creating interest by showcasing the benefits of attending, such as networking opportunities and gaining valuable insights on best practices in EDI.</w:t>
      </w:r>
    </w:p>
    <w:p w14:paraId="7B7A9838" w14:textId="77777777" w:rsidR="00CA415F" w:rsidRPr="006D2012" w:rsidRDefault="00CA415F" w:rsidP="006D2012">
      <w:pPr>
        <w:spacing w:line="360" w:lineRule="auto"/>
        <w:jc w:val="both"/>
        <w:rPr>
          <w:rFonts w:ascii="Arial" w:hAnsi="Arial" w:cs="Arial"/>
        </w:rPr>
      </w:pPr>
    </w:p>
    <w:p w14:paraId="292E9548" w14:textId="77777777" w:rsidR="00CA415F" w:rsidRPr="006D2012" w:rsidRDefault="00CA415F" w:rsidP="006D2012">
      <w:pPr>
        <w:spacing w:line="360" w:lineRule="auto"/>
        <w:jc w:val="both"/>
        <w:rPr>
          <w:rFonts w:ascii="Arial" w:hAnsi="Arial" w:cs="Arial"/>
        </w:rPr>
      </w:pPr>
      <w:r w:rsidRPr="006D2012">
        <w:rPr>
          <w:rFonts w:ascii="Arial" w:hAnsi="Arial" w:cs="Arial"/>
        </w:rPr>
        <w:t>Action: Encouraging ticket sales through clear, persuasive calls to action across all marketing channels.</w:t>
      </w:r>
    </w:p>
    <w:p w14:paraId="3C9D5661" w14:textId="77777777" w:rsidR="00F01756" w:rsidRPr="006D2012" w:rsidRDefault="00F01756" w:rsidP="006D2012">
      <w:pPr>
        <w:spacing w:line="360" w:lineRule="auto"/>
        <w:jc w:val="both"/>
        <w:rPr>
          <w:rFonts w:ascii="Arial" w:hAnsi="Arial" w:cs="Arial"/>
        </w:rPr>
      </w:pPr>
    </w:p>
    <w:p w14:paraId="538037A0" w14:textId="77777777" w:rsidR="00F01756" w:rsidRPr="006D2012" w:rsidRDefault="00F01756" w:rsidP="006D2012">
      <w:pPr>
        <w:spacing w:line="360" w:lineRule="auto"/>
        <w:jc w:val="both"/>
        <w:rPr>
          <w:rFonts w:ascii="Arial" w:hAnsi="Arial" w:cs="Arial"/>
        </w:rPr>
      </w:pPr>
    </w:p>
    <w:p w14:paraId="5C1991E4" w14:textId="77777777" w:rsidR="00F01756" w:rsidRPr="006D2012" w:rsidRDefault="00F01756" w:rsidP="006D2012">
      <w:pPr>
        <w:spacing w:line="360" w:lineRule="auto"/>
        <w:jc w:val="both"/>
        <w:rPr>
          <w:rFonts w:ascii="Arial" w:hAnsi="Arial" w:cs="Arial"/>
        </w:rPr>
      </w:pPr>
    </w:p>
    <w:p w14:paraId="1AE972AC" w14:textId="62D369A5"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08E1030F" w14:textId="78788B4D" w:rsidR="00F01756" w:rsidRPr="006D2012" w:rsidRDefault="000B6CF7" w:rsidP="006D2012">
      <w:pPr>
        <w:pStyle w:val="Heading1"/>
        <w:spacing w:line="360" w:lineRule="auto"/>
        <w:jc w:val="both"/>
        <w:rPr>
          <w:rFonts w:ascii="Arial" w:hAnsi="Arial" w:cs="Arial"/>
          <w:sz w:val="24"/>
          <w:szCs w:val="24"/>
        </w:rPr>
      </w:pPr>
      <w:bookmarkStart w:id="4" w:name="_Toc191627571"/>
      <w:r w:rsidRPr="006D2012">
        <w:rPr>
          <w:rFonts w:ascii="Arial" w:hAnsi="Arial" w:cs="Arial"/>
          <w:sz w:val="24"/>
          <w:szCs w:val="24"/>
        </w:rPr>
        <w:t>Marketing strategy plan:</w:t>
      </w:r>
      <w:bookmarkEnd w:id="4"/>
    </w:p>
    <w:p w14:paraId="0E079502" w14:textId="77777777" w:rsidR="00CA415F" w:rsidRPr="006D2012" w:rsidRDefault="00CA415F" w:rsidP="006D2012">
      <w:pPr>
        <w:spacing w:line="360" w:lineRule="auto"/>
        <w:jc w:val="both"/>
        <w:rPr>
          <w:rFonts w:ascii="Arial" w:hAnsi="Arial" w:cs="Arial"/>
        </w:rPr>
      </w:pPr>
      <w:r w:rsidRPr="006D2012">
        <w:rPr>
          <w:rFonts w:ascii="Arial" w:hAnsi="Arial" w:cs="Arial"/>
        </w:rPr>
        <w:t>Marketing Strategy</w:t>
      </w:r>
    </w:p>
    <w:p w14:paraId="53EC1F2E" w14:textId="77777777" w:rsidR="00CA415F" w:rsidRPr="006D2012" w:rsidRDefault="00CA415F" w:rsidP="006D2012">
      <w:pPr>
        <w:spacing w:line="360" w:lineRule="auto"/>
        <w:jc w:val="both"/>
        <w:rPr>
          <w:rFonts w:ascii="Arial" w:hAnsi="Arial" w:cs="Arial"/>
        </w:rPr>
      </w:pPr>
      <w:r w:rsidRPr="006D2012">
        <w:rPr>
          <w:rFonts w:ascii="Arial" w:hAnsi="Arial" w:cs="Arial"/>
        </w:rPr>
        <w:t xml:space="preserve">The marketing strategy for the event is designed to raise awareness, drive attendance, and engage a wide audience of hospitality professionals and EDI advocates. The plan integrates a combination of digital and traditional media, utilizing both social media </w:t>
      </w:r>
      <w:r w:rsidRPr="006D2012">
        <w:rPr>
          <w:rFonts w:ascii="Arial" w:hAnsi="Arial" w:cs="Arial"/>
        </w:rPr>
        <w:lastRenderedPageBreak/>
        <w:t>platforms and direct communication channels to engage potential attendees effectively.</w:t>
      </w:r>
    </w:p>
    <w:p w14:paraId="2474FD0E" w14:textId="77777777" w:rsidR="00CA415F" w:rsidRPr="006D2012" w:rsidRDefault="00CA415F" w:rsidP="006D2012">
      <w:pPr>
        <w:spacing w:line="360" w:lineRule="auto"/>
        <w:jc w:val="both"/>
        <w:rPr>
          <w:rFonts w:ascii="Arial" w:hAnsi="Arial" w:cs="Arial"/>
        </w:rPr>
      </w:pPr>
    </w:p>
    <w:p w14:paraId="371CD7A8" w14:textId="77777777" w:rsidR="00CA415F" w:rsidRPr="006D2012" w:rsidRDefault="00CA415F" w:rsidP="006D2012">
      <w:pPr>
        <w:spacing w:line="360" w:lineRule="auto"/>
        <w:jc w:val="both"/>
        <w:rPr>
          <w:rFonts w:ascii="Arial" w:hAnsi="Arial" w:cs="Arial"/>
        </w:rPr>
      </w:pPr>
      <w:r w:rsidRPr="006D2012">
        <w:rPr>
          <w:rFonts w:ascii="Arial" w:hAnsi="Arial" w:cs="Arial"/>
        </w:rPr>
        <w:t>Social Media Campaigns will leverage platforms such as LinkedIn, Instagram, and Twitter to engage hospitality professionals and EDI advocates. These channels will promote key speakers, workshops, and event highlights, while fostering regular interactions through updates and engaging content (Brown &amp; White, 2022). This approach ensures that the event maintains a strong digital presence and reaches a broad audience.</w:t>
      </w:r>
    </w:p>
    <w:p w14:paraId="688A0C24" w14:textId="77777777" w:rsidR="00CA415F" w:rsidRPr="006D2012" w:rsidRDefault="00CA415F" w:rsidP="006D2012">
      <w:pPr>
        <w:spacing w:line="360" w:lineRule="auto"/>
        <w:jc w:val="both"/>
        <w:rPr>
          <w:rFonts w:ascii="Arial" w:hAnsi="Arial" w:cs="Arial"/>
        </w:rPr>
      </w:pPr>
    </w:p>
    <w:p w14:paraId="13009F31" w14:textId="77777777" w:rsidR="00CA415F" w:rsidRPr="006D2012" w:rsidRDefault="00CA415F" w:rsidP="006D2012">
      <w:pPr>
        <w:spacing w:line="360" w:lineRule="auto"/>
        <w:jc w:val="both"/>
        <w:rPr>
          <w:rFonts w:ascii="Arial" w:hAnsi="Arial" w:cs="Arial"/>
        </w:rPr>
      </w:pPr>
      <w:r w:rsidRPr="006D2012">
        <w:rPr>
          <w:rFonts w:ascii="Arial" w:hAnsi="Arial" w:cs="Arial"/>
        </w:rPr>
        <w:t>Email Marketing will target HR professionals, hospitality managers, and academic institutions with personalized messages. These emails will emphasize the benefits of attending, including gaining insights into best practices in EDI and the opportunity to network with industry leaders (Kotler &amp; Keller, 2016). This targeted approach ensures that the message resonates with the right audience.</w:t>
      </w:r>
    </w:p>
    <w:p w14:paraId="19E7D3AD" w14:textId="77777777" w:rsidR="00CA415F" w:rsidRPr="006D2012" w:rsidRDefault="00CA415F" w:rsidP="006D2012">
      <w:pPr>
        <w:spacing w:line="360" w:lineRule="auto"/>
        <w:jc w:val="both"/>
        <w:rPr>
          <w:rFonts w:ascii="Arial" w:hAnsi="Arial" w:cs="Arial"/>
        </w:rPr>
      </w:pPr>
    </w:p>
    <w:p w14:paraId="6DB04227" w14:textId="77777777" w:rsidR="00CA415F" w:rsidRPr="006D2012" w:rsidRDefault="00CA415F" w:rsidP="006D2012">
      <w:pPr>
        <w:spacing w:line="360" w:lineRule="auto"/>
        <w:jc w:val="both"/>
        <w:rPr>
          <w:rFonts w:ascii="Arial" w:hAnsi="Arial" w:cs="Arial"/>
        </w:rPr>
      </w:pPr>
      <w:r w:rsidRPr="006D2012">
        <w:rPr>
          <w:rFonts w:ascii="Arial" w:hAnsi="Arial" w:cs="Arial"/>
        </w:rPr>
        <w:t>Press Releases will be issued to prominent industry publications like The Caterer and Hospitality Net, building credibility and visibility for the event. These press releases will emphasize the event’s significance in promoting EDI within the hospitality industry, helping to expand its reach (Taylor &amp; Brown, 2021).</w:t>
      </w:r>
    </w:p>
    <w:p w14:paraId="1DE6B5C0" w14:textId="77777777" w:rsidR="00CA415F" w:rsidRPr="006D2012" w:rsidRDefault="00CA415F" w:rsidP="006D2012">
      <w:pPr>
        <w:spacing w:line="360" w:lineRule="auto"/>
        <w:jc w:val="both"/>
        <w:rPr>
          <w:rFonts w:ascii="Arial" w:hAnsi="Arial" w:cs="Arial"/>
        </w:rPr>
      </w:pPr>
    </w:p>
    <w:p w14:paraId="36D749A9" w14:textId="77777777" w:rsidR="00CA415F" w:rsidRPr="006D2012" w:rsidRDefault="00CA415F" w:rsidP="006D2012">
      <w:pPr>
        <w:spacing w:line="360" w:lineRule="auto"/>
        <w:jc w:val="both"/>
        <w:rPr>
          <w:rFonts w:ascii="Arial" w:hAnsi="Arial" w:cs="Arial"/>
        </w:rPr>
      </w:pPr>
      <w:r w:rsidRPr="006D2012">
        <w:rPr>
          <w:rFonts w:ascii="Arial" w:hAnsi="Arial" w:cs="Arial"/>
        </w:rPr>
        <w:t>Influencer Engagement will also play a key role in amplifying the event’s message. Collaborating with influential EDI advocates and thought leaders will help broaden the event’s reach and reinforce its focus on inclusivity (Williams et al., 2021).</w:t>
      </w:r>
    </w:p>
    <w:p w14:paraId="7C31BA19" w14:textId="77777777" w:rsidR="00CA415F" w:rsidRPr="006D2012" w:rsidRDefault="00CA415F" w:rsidP="006D2012">
      <w:pPr>
        <w:spacing w:line="360" w:lineRule="auto"/>
        <w:jc w:val="both"/>
        <w:rPr>
          <w:rFonts w:ascii="Arial" w:hAnsi="Arial" w:cs="Arial"/>
        </w:rPr>
      </w:pPr>
    </w:p>
    <w:p w14:paraId="1ABD4BE4" w14:textId="77777777" w:rsidR="00CA415F" w:rsidRPr="006D2012" w:rsidRDefault="00CA415F" w:rsidP="006D2012">
      <w:pPr>
        <w:spacing w:line="360" w:lineRule="auto"/>
        <w:jc w:val="both"/>
        <w:rPr>
          <w:rFonts w:ascii="Arial" w:hAnsi="Arial" w:cs="Arial"/>
        </w:rPr>
      </w:pPr>
      <w:r w:rsidRPr="006D2012">
        <w:rPr>
          <w:rFonts w:ascii="Arial" w:hAnsi="Arial" w:cs="Arial"/>
        </w:rPr>
        <w:t>The marketing plan follows the AIDA model (Kotler &amp; Keller, 2016) to guide potential attendees through the decision-making process:</w:t>
      </w:r>
    </w:p>
    <w:p w14:paraId="6B153893" w14:textId="77777777" w:rsidR="00CA415F" w:rsidRPr="006D2012" w:rsidRDefault="00CA415F" w:rsidP="006D2012">
      <w:pPr>
        <w:spacing w:line="360" w:lineRule="auto"/>
        <w:jc w:val="both"/>
        <w:rPr>
          <w:rFonts w:ascii="Arial" w:hAnsi="Arial" w:cs="Arial"/>
        </w:rPr>
      </w:pPr>
    </w:p>
    <w:p w14:paraId="28285BEF" w14:textId="77777777" w:rsidR="00CA415F" w:rsidRPr="006D2012" w:rsidRDefault="00CA415F" w:rsidP="006D2012">
      <w:pPr>
        <w:spacing w:line="360" w:lineRule="auto"/>
        <w:jc w:val="both"/>
        <w:rPr>
          <w:rFonts w:ascii="Arial" w:hAnsi="Arial" w:cs="Arial"/>
        </w:rPr>
      </w:pPr>
      <w:r w:rsidRPr="006D2012">
        <w:rPr>
          <w:rFonts w:ascii="Arial" w:hAnsi="Arial" w:cs="Arial"/>
        </w:rPr>
        <w:lastRenderedPageBreak/>
        <w:t>Attention: Drawing attention through eye-catching social media posts and targeted emails.</w:t>
      </w:r>
    </w:p>
    <w:p w14:paraId="2F5BB578" w14:textId="77777777" w:rsidR="00CA415F" w:rsidRPr="006D2012" w:rsidRDefault="00CA415F" w:rsidP="006D2012">
      <w:pPr>
        <w:spacing w:line="360" w:lineRule="auto"/>
        <w:jc w:val="both"/>
        <w:rPr>
          <w:rFonts w:ascii="Arial" w:hAnsi="Arial" w:cs="Arial"/>
        </w:rPr>
      </w:pPr>
      <w:r w:rsidRPr="006D2012">
        <w:rPr>
          <w:rFonts w:ascii="Arial" w:hAnsi="Arial" w:cs="Arial"/>
        </w:rPr>
        <w:t>Interest: Highlighting event features, such as renowned speakers and workshops focused on EDI.</w:t>
      </w:r>
    </w:p>
    <w:p w14:paraId="6C4D87AB" w14:textId="77777777" w:rsidR="00CA415F" w:rsidRPr="006D2012" w:rsidRDefault="00CA415F" w:rsidP="006D2012">
      <w:pPr>
        <w:spacing w:line="360" w:lineRule="auto"/>
        <w:jc w:val="both"/>
        <w:rPr>
          <w:rFonts w:ascii="Arial" w:hAnsi="Arial" w:cs="Arial"/>
        </w:rPr>
      </w:pPr>
      <w:r w:rsidRPr="006D2012">
        <w:rPr>
          <w:rFonts w:ascii="Arial" w:hAnsi="Arial" w:cs="Arial"/>
        </w:rPr>
        <w:t>Desire: Generating interest by showcasing networking opportunities and valuable insights on EDI.</w:t>
      </w:r>
    </w:p>
    <w:p w14:paraId="755AAB78" w14:textId="77777777" w:rsidR="00CA415F" w:rsidRPr="006D2012" w:rsidRDefault="00CA415F" w:rsidP="006D2012">
      <w:pPr>
        <w:spacing w:line="360" w:lineRule="auto"/>
        <w:jc w:val="both"/>
        <w:rPr>
          <w:rFonts w:ascii="Arial" w:hAnsi="Arial" w:cs="Arial"/>
        </w:rPr>
      </w:pPr>
      <w:r w:rsidRPr="006D2012">
        <w:rPr>
          <w:rFonts w:ascii="Arial" w:hAnsi="Arial" w:cs="Arial"/>
        </w:rPr>
        <w:t>Action: Encouraging ticket sales through clear, persuasive calls to action across all marketing channels.</w:t>
      </w:r>
    </w:p>
    <w:p w14:paraId="327120A4" w14:textId="1F6C3502" w:rsidR="00CA415F" w:rsidRPr="006D2012" w:rsidRDefault="00CA415F" w:rsidP="006D2012">
      <w:pPr>
        <w:spacing w:line="360" w:lineRule="auto"/>
        <w:jc w:val="both"/>
        <w:rPr>
          <w:rFonts w:ascii="Arial" w:hAnsi="Arial" w:cs="Arial"/>
        </w:rPr>
      </w:pPr>
    </w:p>
    <w:p w14:paraId="54CC7324" w14:textId="7E92E219" w:rsidR="00CA415F" w:rsidRPr="006D2012" w:rsidRDefault="0011285A" w:rsidP="006D2012">
      <w:pPr>
        <w:spacing w:line="360" w:lineRule="auto"/>
        <w:jc w:val="both"/>
        <w:rPr>
          <w:rFonts w:ascii="Arial" w:hAnsi="Arial" w:cs="Arial"/>
        </w:rPr>
      </w:pPr>
      <w:r w:rsidRPr="006D2012">
        <w:rPr>
          <w:rFonts w:ascii="Arial" w:hAnsi="Arial" w:cs="Arial"/>
        </w:rPr>
        <w:t>Furth more b</w:t>
      </w:r>
      <w:r w:rsidR="00CA415F" w:rsidRPr="006D2012">
        <w:rPr>
          <w:rFonts w:ascii="Arial" w:hAnsi="Arial" w:cs="Arial"/>
        </w:rPr>
        <w:t>y choosing ExCeL London as the venue and implementing a comprehensive marketing strategy, the EDI in Hospitality Event is poised to have a significant impact. The venue’s accessibility, capacity, audiovisual capabilities, and strategic location, combined with a targeted marketing plan, will ensure that the event reaches a wide and diverse audience. These strategic considerations, aligned with the event’s core mission, will help drive long-term industry change in EDI practices and set the stage for future scalability. Through this approach, the event will not only raise awareness but also encourage actionable steps toward fostering an inclusive hospitality industry.</w:t>
      </w:r>
    </w:p>
    <w:p w14:paraId="3B3F105F"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7D63CFA5" w14:textId="77777777" w:rsidR="00F01756" w:rsidRPr="006D2012" w:rsidRDefault="00F01756" w:rsidP="006D2012">
      <w:pPr>
        <w:spacing w:line="360" w:lineRule="auto"/>
        <w:jc w:val="both"/>
        <w:rPr>
          <w:rFonts w:ascii="Arial" w:hAnsi="Arial" w:cs="Arial"/>
        </w:rPr>
      </w:pPr>
    </w:p>
    <w:p w14:paraId="240A276F" w14:textId="523B7463" w:rsidR="00F01756" w:rsidRPr="006D2012" w:rsidRDefault="00F01756" w:rsidP="006D2012">
      <w:pPr>
        <w:pStyle w:val="Heading1"/>
        <w:spacing w:line="360" w:lineRule="auto"/>
        <w:jc w:val="both"/>
        <w:rPr>
          <w:rFonts w:ascii="Arial" w:hAnsi="Arial" w:cs="Arial"/>
          <w:sz w:val="24"/>
          <w:szCs w:val="24"/>
        </w:rPr>
      </w:pPr>
      <w:bookmarkStart w:id="5" w:name="_Toc191627572"/>
      <w:r w:rsidRPr="006D2012">
        <w:rPr>
          <w:rFonts w:ascii="Arial" w:hAnsi="Arial" w:cs="Arial"/>
          <w:sz w:val="24"/>
          <w:szCs w:val="24"/>
        </w:rPr>
        <w:t>Program and Content Design</w:t>
      </w:r>
      <w:bookmarkEnd w:id="5"/>
    </w:p>
    <w:p w14:paraId="3497A55E" w14:textId="77777777" w:rsidR="00F01756" w:rsidRPr="006D2012" w:rsidRDefault="00F01756" w:rsidP="006D2012">
      <w:pPr>
        <w:spacing w:line="360" w:lineRule="auto"/>
        <w:jc w:val="both"/>
        <w:rPr>
          <w:rFonts w:ascii="Arial" w:hAnsi="Arial" w:cs="Arial"/>
        </w:rPr>
      </w:pPr>
    </w:p>
    <w:p w14:paraId="38AFCB09"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4B0CE179" w14:textId="77777777" w:rsidR="00F01756" w:rsidRPr="006D2012" w:rsidRDefault="00F01756" w:rsidP="006D2012">
      <w:pPr>
        <w:spacing w:line="360" w:lineRule="auto"/>
        <w:jc w:val="both"/>
        <w:rPr>
          <w:rFonts w:ascii="Arial" w:hAnsi="Arial" w:cs="Arial"/>
        </w:rPr>
      </w:pPr>
    </w:p>
    <w:p w14:paraId="4832CA8E" w14:textId="77777777" w:rsidR="00F01756" w:rsidRPr="006D2012" w:rsidRDefault="00F01756" w:rsidP="006D2012">
      <w:pPr>
        <w:spacing w:line="360" w:lineRule="auto"/>
        <w:jc w:val="both"/>
        <w:rPr>
          <w:rFonts w:ascii="Arial" w:hAnsi="Arial" w:cs="Arial"/>
        </w:rPr>
      </w:pPr>
      <w:r w:rsidRPr="006D2012">
        <w:rPr>
          <w:rFonts w:ascii="Arial" w:hAnsi="Arial" w:cs="Arial"/>
        </w:rPr>
        <w:t>The event program will offer a variety of sessions and activities designed to engage attendees with valuable insights and practical takeaways:</w:t>
      </w:r>
    </w:p>
    <w:p w14:paraId="5F917D21" w14:textId="77777777" w:rsidR="00F01756" w:rsidRPr="006D2012" w:rsidRDefault="00F01756" w:rsidP="006D2012">
      <w:pPr>
        <w:spacing w:line="360" w:lineRule="auto"/>
        <w:jc w:val="both"/>
        <w:rPr>
          <w:rFonts w:ascii="Arial" w:hAnsi="Arial" w:cs="Arial"/>
        </w:rPr>
      </w:pPr>
    </w:p>
    <w:p w14:paraId="6B7A4921"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4D5477A4" w14:textId="77777777" w:rsidR="00F01756" w:rsidRPr="006D2012" w:rsidRDefault="00F01756" w:rsidP="006D2012">
      <w:pPr>
        <w:spacing w:line="360" w:lineRule="auto"/>
        <w:jc w:val="both"/>
        <w:rPr>
          <w:rFonts w:ascii="Arial" w:hAnsi="Arial" w:cs="Arial"/>
        </w:rPr>
      </w:pPr>
    </w:p>
    <w:p w14:paraId="3C7EA3C6" w14:textId="77777777" w:rsidR="00F01756" w:rsidRPr="006D2012" w:rsidRDefault="00F01756" w:rsidP="006D2012">
      <w:pPr>
        <w:spacing w:line="360" w:lineRule="auto"/>
        <w:jc w:val="both"/>
        <w:rPr>
          <w:rFonts w:ascii="Arial" w:hAnsi="Arial" w:cs="Arial"/>
        </w:rPr>
      </w:pPr>
      <w:r w:rsidRPr="006D2012">
        <w:rPr>
          <w:rFonts w:ascii="Arial" w:hAnsi="Arial" w:cs="Arial"/>
        </w:rPr>
        <w:t>Keynote Speeches: Industry leaders like Kate Nicholls, CEO of UKHospitality, will discuss strategies for advancing EDI within the hospitality sector (Nicholls, 2022). These sessions will give attendees high-level perspectives on addressing diversity and inclusion in their organisations.</w:t>
      </w:r>
    </w:p>
    <w:p w14:paraId="615DAA8F" w14:textId="77777777" w:rsidR="00F01756" w:rsidRPr="006D2012" w:rsidRDefault="00F01756" w:rsidP="006D2012">
      <w:pPr>
        <w:spacing w:line="360" w:lineRule="auto"/>
        <w:jc w:val="both"/>
        <w:rPr>
          <w:rFonts w:ascii="Arial" w:hAnsi="Arial" w:cs="Arial"/>
        </w:rPr>
      </w:pPr>
    </w:p>
    <w:p w14:paraId="616522AA"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7FEFB11D" w14:textId="77777777" w:rsidR="00F01756" w:rsidRPr="006D2012" w:rsidRDefault="00F01756" w:rsidP="006D2012">
      <w:pPr>
        <w:spacing w:line="360" w:lineRule="auto"/>
        <w:jc w:val="both"/>
        <w:rPr>
          <w:rFonts w:ascii="Arial" w:hAnsi="Arial" w:cs="Arial"/>
        </w:rPr>
      </w:pPr>
    </w:p>
    <w:p w14:paraId="296AB22D" w14:textId="77777777" w:rsidR="00F01756" w:rsidRPr="006D2012" w:rsidRDefault="00F01756" w:rsidP="006D2012">
      <w:pPr>
        <w:spacing w:line="360" w:lineRule="auto"/>
        <w:jc w:val="both"/>
        <w:rPr>
          <w:rFonts w:ascii="Arial" w:hAnsi="Arial" w:cs="Arial"/>
        </w:rPr>
      </w:pPr>
      <w:r w:rsidRPr="006D2012">
        <w:rPr>
          <w:rFonts w:ascii="Arial" w:hAnsi="Arial" w:cs="Arial"/>
        </w:rPr>
        <w:t>Panel Discussions: Topics such as “Breaking Barriers: Women in Leadership” will focus on gender equality in hospitality leadership. Industry experts will share their experiences and strategies for overcoming women's challenges in achieving leadership positions (Jones &amp; Taylor, 2022).</w:t>
      </w:r>
    </w:p>
    <w:p w14:paraId="7D423FEF" w14:textId="77777777" w:rsidR="00F01756" w:rsidRPr="006D2012" w:rsidRDefault="00F01756" w:rsidP="006D2012">
      <w:pPr>
        <w:spacing w:line="360" w:lineRule="auto"/>
        <w:jc w:val="both"/>
        <w:rPr>
          <w:rFonts w:ascii="Arial" w:hAnsi="Arial" w:cs="Arial"/>
        </w:rPr>
      </w:pPr>
    </w:p>
    <w:p w14:paraId="719BC0FD"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7F478BD7" w14:textId="77777777" w:rsidR="00F01756" w:rsidRPr="006D2012" w:rsidRDefault="00F01756" w:rsidP="006D2012">
      <w:pPr>
        <w:spacing w:line="360" w:lineRule="auto"/>
        <w:jc w:val="both"/>
        <w:rPr>
          <w:rFonts w:ascii="Arial" w:hAnsi="Arial" w:cs="Arial"/>
        </w:rPr>
      </w:pPr>
    </w:p>
    <w:p w14:paraId="76CCA087" w14:textId="77777777" w:rsidR="00F01756" w:rsidRPr="006D2012" w:rsidRDefault="00F01756" w:rsidP="006D2012">
      <w:pPr>
        <w:spacing w:line="360" w:lineRule="auto"/>
        <w:jc w:val="both"/>
        <w:rPr>
          <w:rFonts w:ascii="Arial" w:hAnsi="Arial" w:cs="Arial"/>
        </w:rPr>
      </w:pPr>
      <w:r w:rsidRPr="006D2012">
        <w:rPr>
          <w:rFonts w:ascii="Arial" w:hAnsi="Arial" w:cs="Arial"/>
        </w:rPr>
        <w:t>Workshops: Practical, hands-on sessions like “Inclusive Hiring Practices” will equip attendees with actionable strategies for fostering inclusivity in their organisations. These workshops will be led by industry professionals, providing participants with the tools to implement workplace changes (Williams et al., 2021).</w:t>
      </w:r>
    </w:p>
    <w:p w14:paraId="23374AC3" w14:textId="77777777" w:rsidR="00F01756" w:rsidRPr="006D2012" w:rsidRDefault="00F01756" w:rsidP="006D2012">
      <w:pPr>
        <w:spacing w:line="360" w:lineRule="auto"/>
        <w:jc w:val="both"/>
        <w:rPr>
          <w:rFonts w:ascii="Arial" w:hAnsi="Arial" w:cs="Arial"/>
        </w:rPr>
      </w:pPr>
    </w:p>
    <w:p w14:paraId="1B3BEE16"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65299443" w14:textId="77777777" w:rsidR="00F01756" w:rsidRPr="006D2012" w:rsidRDefault="00F01756" w:rsidP="006D2012">
      <w:pPr>
        <w:spacing w:line="360" w:lineRule="auto"/>
        <w:jc w:val="both"/>
        <w:rPr>
          <w:rFonts w:ascii="Arial" w:hAnsi="Arial" w:cs="Arial"/>
        </w:rPr>
      </w:pPr>
    </w:p>
    <w:p w14:paraId="0729B91E" w14:textId="77777777" w:rsidR="00F01756" w:rsidRPr="006D2012" w:rsidRDefault="00F01756" w:rsidP="006D2012">
      <w:pPr>
        <w:spacing w:line="360" w:lineRule="auto"/>
        <w:jc w:val="both"/>
        <w:rPr>
          <w:rFonts w:ascii="Arial" w:hAnsi="Arial" w:cs="Arial"/>
        </w:rPr>
      </w:pPr>
      <w:r w:rsidRPr="006D2012">
        <w:rPr>
          <w:rFonts w:ascii="Arial" w:hAnsi="Arial" w:cs="Arial"/>
        </w:rPr>
        <w:t>Case Study Presentations: Real-world examples will demonstrate the benefits of inclusivity, such as the “Diversity in Michelin-Star Restaurants” case study, which highlights how fine dining establishments promote diverse hiring practices and inclusive work environments (Brown &amp; White, 2022).</w:t>
      </w:r>
    </w:p>
    <w:p w14:paraId="66AF6127" w14:textId="77777777" w:rsidR="00F01756" w:rsidRPr="006D2012" w:rsidRDefault="00F01756" w:rsidP="006D2012">
      <w:pPr>
        <w:spacing w:line="360" w:lineRule="auto"/>
        <w:jc w:val="both"/>
        <w:rPr>
          <w:rFonts w:ascii="Arial" w:hAnsi="Arial" w:cs="Arial"/>
        </w:rPr>
      </w:pPr>
    </w:p>
    <w:p w14:paraId="712F0A47"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34AA4253" w14:textId="77777777" w:rsidR="00F01756" w:rsidRPr="006D2012" w:rsidRDefault="00F01756" w:rsidP="006D2012">
      <w:pPr>
        <w:spacing w:line="360" w:lineRule="auto"/>
        <w:jc w:val="both"/>
        <w:rPr>
          <w:rFonts w:ascii="Arial" w:hAnsi="Arial" w:cs="Arial"/>
        </w:rPr>
      </w:pPr>
    </w:p>
    <w:p w14:paraId="02BF3FCD" w14:textId="77777777" w:rsidR="00F01756" w:rsidRPr="006D2012" w:rsidRDefault="00F01756" w:rsidP="006D2012">
      <w:pPr>
        <w:spacing w:line="360" w:lineRule="auto"/>
        <w:jc w:val="both"/>
        <w:rPr>
          <w:rFonts w:ascii="Arial" w:hAnsi="Arial" w:cs="Arial"/>
        </w:rPr>
      </w:pPr>
      <w:r w:rsidRPr="006D2012">
        <w:rPr>
          <w:rFonts w:ascii="Arial" w:hAnsi="Arial" w:cs="Arial"/>
        </w:rPr>
        <w:t>By offering a mix of keynote addresses, panel discussions, workshops, and case studies, the event will ensure diverse content that appeals to professionals across the hospitality sector.</w:t>
      </w:r>
    </w:p>
    <w:p w14:paraId="7DFF402F" w14:textId="77777777" w:rsidR="00F01756" w:rsidRPr="006D2012" w:rsidRDefault="00F01756" w:rsidP="006D2012">
      <w:pPr>
        <w:spacing w:line="360" w:lineRule="auto"/>
        <w:jc w:val="both"/>
        <w:rPr>
          <w:rFonts w:ascii="Arial" w:hAnsi="Arial" w:cs="Arial"/>
        </w:rPr>
      </w:pPr>
    </w:p>
    <w:p w14:paraId="444E4B6E"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0AB08B36" w14:textId="77777777" w:rsidR="00F01756" w:rsidRPr="006D2012" w:rsidRDefault="00F01756" w:rsidP="006D2012">
      <w:pPr>
        <w:spacing w:line="360" w:lineRule="auto"/>
        <w:jc w:val="both"/>
        <w:rPr>
          <w:rFonts w:ascii="Arial" w:hAnsi="Arial" w:cs="Arial"/>
        </w:rPr>
      </w:pPr>
    </w:p>
    <w:p w14:paraId="31D95EB3" w14:textId="79D99AC2" w:rsidR="00F01756" w:rsidRPr="006D2012" w:rsidRDefault="00F01756" w:rsidP="006D2012">
      <w:pPr>
        <w:spacing w:line="360" w:lineRule="auto"/>
        <w:jc w:val="both"/>
        <w:rPr>
          <w:rStyle w:val="Heading1Char"/>
          <w:rFonts w:ascii="Arial" w:hAnsi="Arial" w:cs="Arial"/>
          <w:sz w:val="24"/>
          <w:szCs w:val="24"/>
        </w:rPr>
      </w:pPr>
      <w:r w:rsidRPr="006D2012">
        <w:rPr>
          <w:rFonts w:ascii="Arial" w:hAnsi="Arial" w:cs="Arial"/>
        </w:rPr>
        <w:t xml:space="preserve"> </w:t>
      </w:r>
      <w:bookmarkStart w:id="6" w:name="_Toc191627573"/>
      <w:r w:rsidRPr="006D2012">
        <w:rPr>
          <w:rStyle w:val="Heading1Char"/>
          <w:rFonts w:ascii="Arial" w:hAnsi="Arial" w:cs="Arial"/>
          <w:sz w:val="24"/>
          <w:szCs w:val="24"/>
        </w:rPr>
        <w:t>Risk Management and Contingency Planning</w:t>
      </w:r>
      <w:bookmarkEnd w:id="6"/>
    </w:p>
    <w:p w14:paraId="7B12C8D3" w14:textId="77777777" w:rsidR="00F01756" w:rsidRPr="006D2012" w:rsidRDefault="00F01756" w:rsidP="006D2012">
      <w:pPr>
        <w:spacing w:line="360" w:lineRule="auto"/>
        <w:jc w:val="both"/>
        <w:rPr>
          <w:rFonts w:ascii="Arial" w:hAnsi="Arial" w:cs="Arial"/>
        </w:rPr>
      </w:pPr>
    </w:p>
    <w:p w14:paraId="1AAF31A7"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4E1095D4" w14:textId="77777777" w:rsidR="00F01756" w:rsidRPr="006D2012" w:rsidRDefault="00F01756" w:rsidP="006D2012">
      <w:pPr>
        <w:spacing w:line="360" w:lineRule="auto"/>
        <w:jc w:val="both"/>
        <w:rPr>
          <w:rFonts w:ascii="Arial" w:hAnsi="Arial" w:cs="Arial"/>
        </w:rPr>
      </w:pPr>
    </w:p>
    <w:p w14:paraId="6D50CEC3" w14:textId="77777777" w:rsidR="00F01756" w:rsidRPr="006D2012" w:rsidRDefault="00F01756" w:rsidP="006D2012">
      <w:pPr>
        <w:spacing w:line="360" w:lineRule="auto"/>
        <w:jc w:val="both"/>
        <w:rPr>
          <w:rFonts w:ascii="Arial" w:hAnsi="Arial" w:cs="Arial"/>
        </w:rPr>
      </w:pPr>
      <w:r w:rsidRPr="006D2012">
        <w:rPr>
          <w:rFonts w:ascii="Arial" w:hAnsi="Arial" w:cs="Arial"/>
        </w:rPr>
        <w:t>A comprehensive risk management and contingency plan has been developed to ensure the event's success. The following potential risks have been identified, along with strategies to mitigate them:</w:t>
      </w:r>
    </w:p>
    <w:p w14:paraId="50190C7E"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6C012F23" w14:textId="77777777" w:rsidR="00F01756" w:rsidRPr="006D2012" w:rsidRDefault="00F01756" w:rsidP="006D2012">
      <w:pPr>
        <w:spacing w:line="360" w:lineRule="auto"/>
        <w:jc w:val="both"/>
        <w:rPr>
          <w:rFonts w:ascii="Arial" w:hAnsi="Arial" w:cs="Arial"/>
        </w:rPr>
      </w:pPr>
    </w:p>
    <w:p w14:paraId="047A4B1A" w14:textId="77777777" w:rsidR="00F01756" w:rsidRPr="006D2012" w:rsidRDefault="00F01756" w:rsidP="006D2012">
      <w:pPr>
        <w:spacing w:line="360" w:lineRule="auto"/>
        <w:jc w:val="both"/>
        <w:rPr>
          <w:rFonts w:ascii="Arial" w:hAnsi="Arial" w:cs="Arial"/>
        </w:rPr>
      </w:pPr>
      <w:r w:rsidRPr="006D2012">
        <w:rPr>
          <w:rFonts w:ascii="Arial" w:hAnsi="Arial" w:cs="Arial"/>
        </w:rPr>
        <w:t>Risk: Low Attendance</w:t>
      </w:r>
    </w:p>
    <w:p w14:paraId="629FE1CF" w14:textId="77777777" w:rsidR="00F01756" w:rsidRPr="006D2012" w:rsidRDefault="00F01756" w:rsidP="006D2012">
      <w:pPr>
        <w:spacing w:line="360" w:lineRule="auto"/>
        <w:jc w:val="both"/>
        <w:rPr>
          <w:rFonts w:ascii="Arial" w:hAnsi="Arial" w:cs="Arial"/>
        </w:rPr>
      </w:pPr>
    </w:p>
    <w:p w14:paraId="2AA6B956"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5920EABD" w14:textId="77777777" w:rsidR="00F01756" w:rsidRPr="006D2012" w:rsidRDefault="00F01756" w:rsidP="006D2012">
      <w:pPr>
        <w:spacing w:line="360" w:lineRule="auto"/>
        <w:jc w:val="both"/>
        <w:rPr>
          <w:rFonts w:ascii="Arial" w:hAnsi="Arial" w:cs="Arial"/>
        </w:rPr>
      </w:pPr>
    </w:p>
    <w:p w14:paraId="5EDA2DF9" w14:textId="77777777" w:rsidR="00F01756" w:rsidRPr="006D2012" w:rsidRDefault="00F01756" w:rsidP="006D2012">
      <w:pPr>
        <w:spacing w:line="360" w:lineRule="auto"/>
        <w:jc w:val="both"/>
        <w:rPr>
          <w:rFonts w:ascii="Arial" w:hAnsi="Arial" w:cs="Arial"/>
        </w:rPr>
      </w:pPr>
      <w:r w:rsidRPr="006D2012">
        <w:rPr>
          <w:rFonts w:ascii="Arial" w:hAnsi="Arial" w:cs="Arial"/>
        </w:rPr>
        <w:t>Mitigation Strategy: Early marketing campaigns, offering group discounts, and forming strategic partnerships with industry associations will maximise outreach. Additionally, leveraging influencer networks will help spread awareness and attract a diverse audience (Smith &amp; Andrews, 2023).</w:t>
      </w:r>
    </w:p>
    <w:p w14:paraId="73229713" w14:textId="77777777" w:rsidR="00F01756" w:rsidRPr="006D2012" w:rsidRDefault="00F01756" w:rsidP="006D2012">
      <w:pPr>
        <w:spacing w:line="360" w:lineRule="auto"/>
        <w:jc w:val="both"/>
        <w:rPr>
          <w:rFonts w:ascii="Arial" w:hAnsi="Arial" w:cs="Arial"/>
        </w:rPr>
      </w:pPr>
    </w:p>
    <w:p w14:paraId="110AAA24" w14:textId="77777777" w:rsidR="00F01756" w:rsidRPr="006D2012" w:rsidRDefault="00F01756" w:rsidP="006D2012">
      <w:pPr>
        <w:spacing w:line="360" w:lineRule="auto"/>
        <w:jc w:val="both"/>
        <w:rPr>
          <w:rFonts w:ascii="Arial" w:hAnsi="Arial" w:cs="Arial"/>
        </w:rPr>
      </w:pPr>
      <w:r w:rsidRPr="006D2012">
        <w:rPr>
          <w:rFonts w:ascii="Arial" w:hAnsi="Arial" w:cs="Arial"/>
        </w:rPr>
        <w:t>Risk: Speaker Cancellations</w:t>
      </w:r>
    </w:p>
    <w:p w14:paraId="612DF2D4" w14:textId="77777777" w:rsidR="00F01756" w:rsidRPr="006D2012" w:rsidRDefault="00F01756" w:rsidP="006D2012">
      <w:pPr>
        <w:spacing w:line="360" w:lineRule="auto"/>
        <w:jc w:val="both"/>
        <w:rPr>
          <w:rFonts w:ascii="Arial" w:hAnsi="Arial" w:cs="Arial"/>
        </w:rPr>
      </w:pPr>
    </w:p>
    <w:p w14:paraId="3AC9A15B"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644000F0" w14:textId="77777777" w:rsidR="00F01756" w:rsidRPr="006D2012" w:rsidRDefault="00F01756" w:rsidP="006D2012">
      <w:pPr>
        <w:spacing w:line="360" w:lineRule="auto"/>
        <w:jc w:val="both"/>
        <w:rPr>
          <w:rFonts w:ascii="Arial" w:hAnsi="Arial" w:cs="Arial"/>
        </w:rPr>
      </w:pPr>
    </w:p>
    <w:p w14:paraId="0670F213" w14:textId="77777777" w:rsidR="00F01756" w:rsidRPr="006D2012" w:rsidRDefault="00F01756" w:rsidP="006D2012">
      <w:pPr>
        <w:spacing w:line="360" w:lineRule="auto"/>
        <w:jc w:val="both"/>
        <w:rPr>
          <w:rFonts w:ascii="Arial" w:hAnsi="Arial" w:cs="Arial"/>
        </w:rPr>
      </w:pPr>
      <w:r w:rsidRPr="006D2012">
        <w:rPr>
          <w:rFonts w:ascii="Arial" w:hAnsi="Arial" w:cs="Arial"/>
        </w:rPr>
        <w:t>Mitigation Strategy: To ensure content continuity, backup speakers will be lined up in advance. Additionally, all confirmed speakers will offer virtual participation options for flexibility in case of last-minute cancellations (Jones, 2022).</w:t>
      </w:r>
    </w:p>
    <w:p w14:paraId="3603722F" w14:textId="77777777" w:rsidR="00F01756" w:rsidRPr="006D2012" w:rsidRDefault="00F01756" w:rsidP="006D2012">
      <w:pPr>
        <w:spacing w:line="360" w:lineRule="auto"/>
        <w:jc w:val="both"/>
        <w:rPr>
          <w:rFonts w:ascii="Arial" w:hAnsi="Arial" w:cs="Arial"/>
        </w:rPr>
      </w:pPr>
      <w:r w:rsidRPr="006D2012">
        <w:rPr>
          <w:rFonts w:ascii="Arial" w:hAnsi="Arial" w:cs="Arial"/>
        </w:rPr>
        <w:t>Risk: Technical Failures</w:t>
      </w:r>
    </w:p>
    <w:p w14:paraId="3D404027" w14:textId="77777777" w:rsidR="00F01756" w:rsidRPr="006D2012" w:rsidRDefault="00F01756" w:rsidP="006D2012">
      <w:pPr>
        <w:spacing w:line="360" w:lineRule="auto"/>
        <w:jc w:val="both"/>
        <w:rPr>
          <w:rFonts w:ascii="Arial" w:hAnsi="Arial" w:cs="Arial"/>
        </w:rPr>
      </w:pPr>
    </w:p>
    <w:p w14:paraId="64E9F228"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7DFBC823" w14:textId="77777777" w:rsidR="00F01756" w:rsidRPr="006D2012" w:rsidRDefault="00F01756" w:rsidP="006D2012">
      <w:pPr>
        <w:spacing w:line="360" w:lineRule="auto"/>
        <w:jc w:val="both"/>
        <w:rPr>
          <w:rFonts w:ascii="Arial" w:hAnsi="Arial" w:cs="Arial"/>
        </w:rPr>
      </w:pPr>
    </w:p>
    <w:p w14:paraId="3F39DE3A" w14:textId="77777777" w:rsidR="00F01756" w:rsidRPr="006D2012" w:rsidRDefault="00F01756" w:rsidP="006D2012">
      <w:pPr>
        <w:spacing w:line="360" w:lineRule="auto"/>
        <w:jc w:val="both"/>
        <w:rPr>
          <w:rFonts w:ascii="Arial" w:hAnsi="Arial" w:cs="Arial"/>
        </w:rPr>
      </w:pPr>
      <w:r w:rsidRPr="006D2012">
        <w:rPr>
          <w:rFonts w:ascii="Arial" w:hAnsi="Arial" w:cs="Arial"/>
        </w:rPr>
        <w:t>Mitigation Strategy: Pre-event technical rehearsals will be conducted to test the audiovisual equipment and live-streaming infrastructure. On-site IT support will also address technical issues during the event (Smith &amp; Andrews, 2023).</w:t>
      </w:r>
    </w:p>
    <w:p w14:paraId="2A0F261F" w14:textId="77777777" w:rsidR="00F01756" w:rsidRPr="006D2012" w:rsidRDefault="00F01756" w:rsidP="006D2012">
      <w:pPr>
        <w:spacing w:line="360" w:lineRule="auto"/>
        <w:jc w:val="both"/>
        <w:rPr>
          <w:rFonts w:ascii="Arial" w:hAnsi="Arial" w:cs="Arial"/>
        </w:rPr>
      </w:pPr>
    </w:p>
    <w:p w14:paraId="22363EF1" w14:textId="77777777" w:rsidR="00F01756" w:rsidRPr="006D2012" w:rsidRDefault="00F01756" w:rsidP="006D2012">
      <w:pPr>
        <w:spacing w:line="360" w:lineRule="auto"/>
        <w:jc w:val="both"/>
        <w:rPr>
          <w:rFonts w:ascii="Arial" w:hAnsi="Arial" w:cs="Arial"/>
        </w:rPr>
      </w:pPr>
      <w:r w:rsidRPr="006D2012">
        <w:rPr>
          <w:rFonts w:ascii="Arial" w:hAnsi="Arial" w:cs="Arial"/>
        </w:rPr>
        <w:t>Risk: COVID-19 Disruptions</w:t>
      </w:r>
    </w:p>
    <w:p w14:paraId="16196890" w14:textId="77777777" w:rsidR="00F01756" w:rsidRPr="006D2012" w:rsidRDefault="00F01756" w:rsidP="006D2012">
      <w:pPr>
        <w:spacing w:line="360" w:lineRule="auto"/>
        <w:jc w:val="both"/>
        <w:rPr>
          <w:rFonts w:ascii="Arial" w:hAnsi="Arial" w:cs="Arial"/>
        </w:rPr>
      </w:pPr>
    </w:p>
    <w:p w14:paraId="67CD1AF3"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428FD6C9" w14:textId="77777777" w:rsidR="00F01756" w:rsidRPr="006D2012" w:rsidRDefault="00F01756" w:rsidP="006D2012">
      <w:pPr>
        <w:spacing w:line="360" w:lineRule="auto"/>
        <w:jc w:val="both"/>
        <w:rPr>
          <w:rFonts w:ascii="Arial" w:hAnsi="Arial" w:cs="Arial"/>
        </w:rPr>
      </w:pPr>
    </w:p>
    <w:p w14:paraId="232FB630" w14:textId="77777777" w:rsidR="00F01756" w:rsidRPr="006D2012" w:rsidRDefault="00F01756" w:rsidP="006D2012">
      <w:pPr>
        <w:spacing w:line="360" w:lineRule="auto"/>
        <w:jc w:val="both"/>
        <w:rPr>
          <w:rFonts w:ascii="Arial" w:hAnsi="Arial" w:cs="Arial"/>
        </w:rPr>
      </w:pPr>
      <w:r w:rsidRPr="006D2012">
        <w:rPr>
          <w:rFonts w:ascii="Arial" w:hAnsi="Arial" w:cs="Arial"/>
        </w:rPr>
        <w:t>Mitigation Strategy: The event will operate under a hybrid model to ensure in-person and virtual attendees can participate, mitigating disruptions caused by travel restrictions or safety concerns. Additionally, flexible refund policies will be in place to accommodate any cancellations due to unforeseen circumstances (Williams et al., 2021).</w:t>
      </w:r>
    </w:p>
    <w:p w14:paraId="786D08C1" w14:textId="77777777" w:rsidR="00F01756" w:rsidRPr="006D2012" w:rsidRDefault="00F01756" w:rsidP="006D2012">
      <w:pPr>
        <w:spacing w:line="360" w:lineRule="auto"/>
        <w:jc w:val="both"/>
        <w:rPr>
          <w:rFonts w:ascii="Arial" w:hAnsi="Arial" w:cs="Arial"/>
        </w:rPr>
      </w:pPr>
    </w:p>
    <w:p w14:paraId="09F5D299" w14:textId="77777777" w:rsidR="00F01756" w:rsidRPr="006D2012" w:rsidRDefault="00F01756" w:rsidP="006D2012">
      <w:pPr>
        <w:spacing w:line="360" w:lineRule="auto"/>
        <w:jc w:val="both"/>
        <w:rPr>
          <w:rFonts w:ascii="Arial" w:hAnsi="Arial" w:cs="Arial"/>
        </w:rPr>
      </w:pPr>
      <w:r w:rsidRPr="006D2012">
        <w:rPr>
          <w:rFonts w:ascii="Arial" w:hAnsi="Arial" w:cs="Arial"/>
        </w:rPr>
        <w:t>Risk: Negative Publicity</w:t>
      </w:r>
    </w:p>
    <w:p w14:paraId="369CDC13" w14:textId="77777777" w:rsidR="00F01756" w:rsidRPr="006D2012" w:rsidRDefault="00F01756" w:rsidP="006D2012">
      <w:pPr>
        <w:spacing w:line="360" w:lineRule="auto"/>
        <w:jc w:val="both"/>
        <w:rPr>
          <w:rFonts w:ascii="Arial" w:hAnsi="Arial" w:cs="Arial"/>
        </w:rPr>
      </w:pPr>
    </w:p>
    <w:p w14:paraId="3AB389FD"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14C17486" w14:textId="77777777" w:rsidR="00F01756" w:rsidRPr="006D2012" w:rsidRDefault="00F01756" w:rsidP="006D2012">
      <w:pPr>
        <w:spacing w:line="360" w:lineRule="auto"/>
        <w:jc w:val="both"/>
        <w:rPr>
          <w:rFonts w:ascii="Arial" w:hAnsi="Arial" w:cs="Arial"/>
        </w:rPr>
      </w:pPr>
    </w:p>
    <w:p w14:paraId="5C9FE257" w14:textId="77777777" w:rsidR="00F01756" w:rsidRPr="006D2012" w:rsidRDefault="00F01756" w:rsidP="006D2012">
      <w:pPr>
        <w:spacing w:line="360" w:lineRule="auto"/>
        <w:jc w:val="both"/>
        <w:rPr>
          <w:rFonts w:ascii="Arial" w:hAnsi="Arial" w:cs="Arial"/>
        </w:rPr>
      </w:pPr>
      <w:r w:rsidRPr="006D2012">
        <w:rPr>
          <w:rFonts w:ascii="Arial" w:hAnsi="Arial" w:cs="Arial"/>
        </w:rPr>
        <w:t>Mitigation Strategy: Crisis communication protocols will be established, with a dedicated team ready to address any issues. Social media monitoring will also be conducted to respond quickly to negative feedback or concerns, ensuring proactive management of the event’s reputation (Taylor &amp; Brown, 2021).</w:t>
      </w:r>
    </w:p>
    <w:p w14:paraId="7CBAFD24" w14:textId="77777777" w:rsidR="00F01756" w:rsidRPr="006D2012" w:rsidRDefault="00F01756" w:rsidP="006D2012">
      <w:pPr>
        <w:spacing w:line="360" w:lineRule="auto"/>
        <w:jc w:val="both"/>
        <w:rPr>
          <w:rFonts w:ascii="Arial" w:hAnsi="Arial" w:cs="Arial"/>
        </w:rPr>
      </w:pPr>
    </w:p>
    <w:p w14:paraId="2C8E509B" w14:textId="77777777" w:rsidR="00F01756" w:rsidRPr="006D2012" w:rsidRDefault="00F01756" w:rsidP="006D2012">
      <w:pPr>
        <w:spacing w:line="360" w:lineRule="auto"/>
        <w:jc w:val="both"/>
        <w:rPr>
          <w:rFonts w:ascii="Arial" w:hAnsi="Arial" w:cs="Arial"/>
        </w:rPr>
      </w:pPr>
      <w:r w:rsidRPr="006D2012">
        <w:rPr>
          <w:rFonts w:ascii="Arial" w:hAnsi="Arial" w:cs="Arial"/>
        </w:rPr>
        <w:t>By anticipating potential risks and having a proactive contingency plan, the event organisers can ensure a smooth and successful conference experience for all participants.</w:t>
      </w:r>
    </w:p>
    <w:p w14:paraId="6AB70DF7" w14:textId="77777777" w:rsidR="00F01756" w:rsidRPr="006D2012" w:rsidRDefault="00F01756" w:rsidP="006D2012">
      <w:pPr>
        <w:spacing w:line="360" w:lineRule="auto"/>
        <w:jc w:val="both"/>
        <w:rPr>
          <w:rFonts w:ascii="Arial" w:hAnsi="Arial" w:cs="Arial"/>
        </w:rPr>
      </w:pPr>
    </w:p>
    <w:p w14:paraId="0B9FBDC3" w14:textId="77777777" w:rsidR="00F01756" w:rsidRPr="006D2012" w:rsidRDefault="00F01756" w:rsidP="006D2012">
      <w:pPr>
        <w:pStyle w:val="Heading1"/>
        <w:spacing w:line="360" w:lineRule="auto"/>
        <w:jc w:val="both"/>
        <w:rPr>
          <w:rFonts w:ascii="Arial" w:hAnsi="Arial" w:cs="Arial"/>
          <w:sz w:val="24"/>
          <w:szCs w:val="24"/>
        </w:rPr>
      </w:pPr>
      <w:r w:rsidRPr="006D2012">
        <w:rPr>
          <w:rFonts w:ascii="Arial" w:hAnsi="Arial" w:cs="Arial"/>
          <w:sz w:val="24"/>
          <w:szCs w:val="24"/>
        </w:rPr>
        <w:t xml:space="preserve"> </w:t>
      </w:r>
    </w:p>
    <w:p w14:paraId="0A3F8D14" w14:textId="77777777" w:rsidR="00F01756" w:rsidRPr="006D2012" w:rsidRDefault="00F01756" w:rsidP="006D2012">
      <w:pPr>
        <w:pStyle w:val="Heading1"/>
        <w:spacing w:line="360" w:lineRule="auto"/>
        <w:jc w:val="both"/>
        <w:rPr>
          <w:rFonts w:ascii="Arial" w:hAnsi="Arial" w:cs="Arial"/>
          <w:sz w:val="24"/>
          <w:szCs w:val="24"/>
        </w:rPr>
      </w:pPr>
    </w:p>
    <w:p w14:paraId="4313E453" w14:textId="77777777" w:rsidR="00F01756" w:rsidRPr="006D2012" w:rsidRDefault="00F01756" w:rsidP="006D2012">
      <w:pPr>
        <w:pStyle w:val="Heading1"/>
        <w:spacing w:line="360" w:lineRule="auto"/>
        <w:jc w:val="both"/>
        <w:rPr>
          <w:rFonts w:ascii="Arial" w:hAnsi="Arial" w:cs="Arial"/>
          <w:sz w:val="24"/>
          <w:szCs w:val="24"/>
        </w:rPr>
      </w:pPr>
      <w:bookmarkStart w:id="7" w:name="_Toc191627574"/>
      <w:r w:rsidRPr="006D2012">
        <w:rPr>
          <w:rFonts w:ascii="Arial" w:hAnsi="Arial" w:cs="Arial"/>
          <w:sz w:val="24"/>
          <w:szCs w:val="24"/>
        </w:rPr>
        <w:t>Conclusion and Recommendations</w:t>
      </w:r>
      <w:bookmarkEnd w:id="7"/>
    </w:p>
    <w:p w14:paraId="6D2B167F" w14:textId="77777777" w:rsidR="00F01756" w:rsidRPr="006D2012" w:rsidRDefault="00F01756" w:rsidP="006D2012">
      <w:pPr>
        <w:spacing w:line="360" w:lineRule="auto"/>
        <w:jc w:val="both"/>
        <w:rPr>
          <w:rFonts w:ascii="Arial" w:hAnsi="Arial" w:cs="Arial"/>
        </w:rPr>
      </w:pPr>
    </w:p>
    <w:p w14:paraId="290AF7E1"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24D44264" w14:textId="77777777" w:rsidR="00F01756" w:rsidRPr="006D2012" w:rsidRDefault="00F01756" w:rsidP="006D2012">
      <w:pPr>
        <w:spacing w:line="360" w:lineRule="auto"/>
        <w:jc w:val="both"/>
        <w:rPr>
          <w:rFonts w:ascii="Arial" w:hAnsi="Arial" w:cs="Arial"/>
        </w:rPr>
      </w:pPr>
    </w:p>
    <w:p w14:paraId="7E03AD06" w14:textId="77777777" w:rsidR="00F01756" w:rsidRPr="006D2012" w:rsidRDefault="00F01756" w:rsidP="006D2012">
      <w:pPr>
        <w:spacing w:line="360" w:lineRule="auto"/>
        <w:jc w:val="both"/>
        <w:rPr>
          <w:rFonts w:ascii="Arial" w:hAnsi="Arial" w:cs="Arial"/>
        </w:rPr>
      </w:pPr>
      <w:r w:rsidRPr="006D2012">
        <w:rPr>
          <w:rFonts w:ascii="Arial" w:hAnsi="Arial" w:cs="Arial"/>
        </w:rPr>
        <w:t>The successful execution of the “Equality, Diversity, and Inclusion (EDI) within the Hospitality Industry” event hinges on a well-coordinated and strategic partnership approach involving collaboration with key industry leaders, organisations dedicated to diversity, and stakeholders committed to fostering inclusivity. Building such partnerships is crucial for gaining support and credibility, ensuring the event’s message reaches a broad and relevant audience. Establishing these relationships will also foster an environment of trust, allowing stakeholders to feel invested in the event’s long-term success and its potential to create industry-wide change.</w:t>
      </w:r>
    </w:p>
    <w:p w14:paraId="6E11AFF2" w14:textId="77777777" w:rsidR="00F01756" w:rsidRPr="006D2012" w:rsidRDefault="00F01756" w:rsidP="006D2012">
      <w:pPr>
        <w:spacing w:line="360" w:lineRule="auto"/>
        <w:jc w:val="both"/>
        <w:rPr>
          <w:rFonts w:ascii="Arial" w:hAnsi="Arial" w:cs="Arial"/>
        </w:rPr>
      </w:pPr>
    </w:p>
    <w:p w14:paraId="3797BEFE"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5386D54A" w14:textId="77777777" w:rsidR="00F01756" w:rsidRPr="006D2012" w:rsidRDefault="00F01756" w:rsidP="006D2012">
      <w:pPr>
        <w:spacing w:line="360" w:lineRule="auto"/>
        <w:jc w:val="both"/>
        <w:rPr>
          <w:rFonts w:ascii="Arial" w:hAnsi="Arial" w:cs="Arial"/>
        </w:rPr>
      </w:pPr>
    </w:p>
    <w:p w14:paraId="76B14881" w14:textId="77777777" w:rsidR="00F01756" w:rsidRPr="006D2012" w:rsidRDefault="00F01756" w:rsidP="006D2012">
      <w:pPr>
        <w:spacing w:line="360" w:lineRule="auto"/>
        <w:jc w:val="both"/>
        <w:rPr>
          <w:rFonts w:ascii="Arial" w:hAnsi="Arial" w:cs="Arial"/>
        </w:rPr>
      </w:pPr>
      <w:r w:rsidRPr="006D2012">
        <w:rPr>
          <w:rFonts w:ascii="Arial" w:hAnsi="Arial" w:cs="Arial"/>
        </w:rPr>
        <w:lastRenderedPageBreak/>
        <w:t>The adaptive marketing strategy will be critical to the event’s success. The event can raise awareness effectively and drive significant attendance by leveraging a multi-channel approach, including social media campaigns, targeted email marketing, press releases, and influencer collaborations. The tailored approach will engage diverse audiences, including professionals within the hospitality industry, academic institutions, EDI advocates, and policymakers. Continuous engagement through these channels will ensure the event’s visibility and relevance within the sector, positioning it as a key player in promoting inclusivity in hospitality.</w:t>
      </w:r>
    </w:p>
    <w:p w14:paraId="0A3767CA"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0A956BA8" w14:textId="77777777" w:rsidR="00F01756" w:rsidRPr="006D2012" w:rsidRDefault="00F01756" w:rsidP="006D2012">
      <w:pPr>
        <w:spacing w:line="360" w:lineRule="auto"/>
        <w:jc w:val="both"/>
        <w:rPr>
          <w:rFonts w:ascii="Arial" w:hAnsi="Arial" w:cs="Arial"/>
        </w:rPr>
      </w:pPr>
    </w:p>
    <w:p w14:paraId="214FB325" w14:textId="77777777" w:rsidR="00F01756" w:rsidRPr="006D2012" w:rsidRDefault="00F01756" w:rsidP="006D2012">
      <w:pPr>
        <w:spacing w:line="360" w:lineRule="auto"/>
        <w:jc w:val="both"/>
        <w:rPr>
          <w:rFonts w:ascii="Arial" w:hAnsi="Arial" w:cs="Arial"/>
        </w:rPr>
      </w:pPr>
      <w:r w:rsidRPr="006D2012">
        <w:rPr>
          <w:rFonts w:ascii="Arial" w:hAnsi="Arial" w:cs="Arial"/>
        </w:rPr>
        <w:t>Risk management is another fundamental aspect of ensuring the smooth execution of the event. By identifying potential risks—such as low attendance, speaker cancellations, technical issues, or unforeseen disruptions like COVID-19—organisers can proactively put measures in place to mitigate them. A comprehensive contingency plan, including backup speakers, on-site IT support, and hybrid event options, will enable the event to remain resilient despite challenges, ensuring it delivers on its goals regardless of external factors.</w:t>
      </w:r>
    </w:p>
    <w:p w14:paraId="0998653E" w14:textId="77777777" w:rsidR="00F01756" w:rsidRPr="006D2012" w:rsidRDefault="00F01756" w:rsidP="006D2012">
      <w:pPr>
        <w:spacing w:line="360" w:lineRule="auto"/>
        <w:jc w:val="both"/>
        <w:rPr>
          <w:rFonts w:ascii="Arial" w:hAnsi="Arial" w:cs="Arial"/>
        </w:rPr>
      </w:pPr>
    </w:p>
    <w:p w14:paraId="3670A3FC"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1A4FD7AF" w14:textId="77777777" w:rsidR="00F01756" w:rsidRPr="006D2012" w:rsidRDefault="00F01756" w:rsidP="006D2012">
      <w:pPr>
        <w:spacing w:line="360" w:lineRule="auto"/>
        <w:jc w:val="both"/>
        <w:rPr>
          <w:rFonts w:ascii="Arial" w:hAnsi="Arial" w:cs="Arial"/>
        </w:rPr>
      </w:pPr>
    </w:p>
    <w:p w14:paraId="041225F3" w14:textId="77777777" w:rsidR="00F01756" w:rsidRPr="006D2012" w:rsidRDefault="00F01756" w:rsidP="006D2012">
      <w:pPr>
        <w:spacing w:line="360" w:lineRule="auto"/>
        <w:jc w:val="both"/>
        <w:rPr>
          <w:rFonts w:ascii="Arial" w:hAnsi="Arial" w:cs="Arial"/>
        </w:rPr>
      </w:pPr>
      <w:r w:rsidRPr="006D2012">
        <w:rPr>
          <w:rFonts w:ascii="Arial" w:hAnsi="Arial" w:cs="Arial"/>
        </w:rPr>
        <w:t>Moreover, sustainability and eco-friendly practices should be integrated into every aspect of the event’s planning and execution. The growing importance of environmental responsibility makes it essential to prioritise sustainable solutions, from waste reduction and responsible sourcing of materials to using digital alternatives to minimise paper waste. Adopting such practices supports global sustainability efforts and resonates with attendees, many of whom will value the event's commitment to ethical and responsible practices.</w:t>
      </w:r>
    </w:p>
    <w:p w14:paraId="474698CB"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 </w:t>
      </w:r>
    </w:p>
    <w:p w14:paraId="7A608274" w14:textId="77777777" w:rsidR="00F01756" w:rsidRPr="006D2012" w:rsidRDefault="00F01756" w:rsidP="006D2012">
      <w:pPr>
        <w:spacing w:line="360" w:lineRule="auto"/>
        <w:jc w:val="both"/>
        <w:rPr>
          <w:rFonts w:ascii="Arial" w:hAnsi="Arial" w:cs="Arial"/>
        </w:rPr>
      </w:pPr>
    </w:p>
    <w:p w14:paraId="7105750D" w14:textId="63798CC2" w:rsidR="00F01756" w:rsidRPr="006D2012" w:rsidRDefault="00F01756" w:rsidP="006D2012">
      <w:pPr>
        <w:spacing w:line="360" w:lineRule="auto"/>
        <w:jc w:val="both"/>
        <w:rPr>
          <w:rFonts w:ascii="Arial" w:hAnsi="Arial" w:cs="Arial"/>
        </w:rPr>
      </w:pPr>
      <w:r w:rsidRPr="006D2012">
        <w:rPr>
          <w:rFonts w:ascii="Arial" w:hAnsi="Arial" w:cs="Arial"/>
        </w:rPr>
        <w:lastRenderedPageBreak/>
        <w:t>In the long term, the event has the potential to become an influential, recurring annual gathering that drives change within the hospitality industry. By aligning the event’s objectives with industry standards and diverse stakeholders' evolving expectations, it can serve as a powerful platform for advancing EDI initiatives. The recommendations will help ensure that the event succeeds in its immediate goals and creates a lasting impact, ultimately fostering a more inclusive and diverse hospitality sector.</w:t>
      </w:r>
    </w:p>
    <w:p w14:paraId="3023F4EF" w14:textId="77777777" w:rsidR="000B6CF7" w:rsidRPr="006D2012" w:rsidRDefault="000B6CF7" w:rsidP="006D2012">
      <w:pPr>
        <w:spacing w:line="360" w:lineRule="auto"/>
        <w:jc w:val="both"/>
        <w:rPr>
          <w:rFonts w:ascii="Arial" w:hAnsi="Arial" w:cs="Arial"/>
        </w:rPr>
      </w:pPr>
    </w:p>
    <w:p w14:paraId="13F3B509" w14:textId="77777777" w:rsidR="000B6CF7" w:rsidRPr="006D2012" w:rsidRDefault="000B6CF7" w:rsidP="006D2012">
      <w:pPr>
        <w:spacing w:line="360" w:lineRule="auto"/>
        <w:jc w:val="both"/>
        <w:rPr>
          <w:rFonts w:ascii="Arial" w:hAnsi="Arial" w:cs="Arial"/>
        </w:rPr>
      </w:pPr>
    </w:p>
    <w:p w14:paraId="262B73E4" w14:textId="77777777" w:rsidR="000B6CF7" w:rsidRPr="006D2012" w:rsidRDefault="000B6CF7" w:rsidP="006D2012">
      <w:pPr>
        <w:spacing w:line="360" w:lineRule="auto"/>
        <w:jc w:val="both"/>
        <w:rPr>
          <w:rFonts w:ascii="Arial" w:hAnsi="Arial" w:cs="Arial"/>
        </w:rPr>
      </w:pPr>
    </w:p>
    <w:p w14:paraId="49F7A8EC" w14:textId="77777777" w:rsidR="000B6CF7" w:rsidRPr="006D2012" w:rsidRDefault="000B6CF7" w:rsidP="006D2012">
      <w:pPr>
        <w:spacing w:line="360" w:lineRule="auto"/>
        <w:jc w:val="both"/>
        <w:rPr>
          <w:rFonts w:ascii="Arial" w:hAnsi="Arial" w:cs="Arial"/>
        </w:rPr>
      </w:pPr>
    </w:p>
    <w:p w14:paraId="18EC18EA" w14:textId="50E1E323" w:rsidR="000B6CF7" w:rsidRPr="006D2012" w:rsidRDefault="000B6CF7" w:rsidP="006D2012">
      <w:pPr>
        <w:pStyle w:val="Heading1"/>
        <w:spacing w:line="360" w:lineRule="auto"/>
        <w:jc w:val="both"/>
        <w:rPr>
          <w:rFonts w:ascii="Arial" w:hAnsi="Arial" w:cs="Arial"/>
          <w:sz w:val="24"/>
          <w:szCs w:val="24"/>
        </w:rPr>
      </w:pPr>
      <w:bookmarkStart w:id="8" w:name="_Toc191627575"/>
      <w:r w:rsidRPr="006D2012">
        <w:rPr>
          <w:rFonts w:ascii="Arial" w:hAnsi="Arial" w:cs="Arial"/>
          <w:sz w:val="24"/>
          <w:szCs w:val="24"/>
        </w:rPr>
        <w:t>References:</w:t>
      </w:r>
      <w:bookmarkEnd w:id="8"/>
    </w:p>
    <w:p w14:paraId="03094D88" w14:textId="2FDBA8EB" w:rsidR="00F01756" w:rsidRPr="006D2012" w:rsidRDefault="00F01756" w:rsidP="006D2012">
      <w:pPr>
        <w:spacing w:line="360" w:lineRule="auto"/>
        <w:jc w:val="both"/>
        <w:rPr>
          <w:rFonts w:ascii="Arial" w:hAnsi="Arial" w:cs="Arial"/>
        </w:rPr>
      </w:pPr>
      <w:r w:rsidRPr="006D2012">
        <w:rPr>
          <w:rFonts w:ascii="Arial" w:hAnsi="Arial" w:cs="Arial"/>
        </w:rPr>
        <w:t>Accor, 2022. Diversity &amp; Inclusion Program. [online] Available at: https://group.accor.com/en/diversity-inclusion [Accessed 19 February 2025].</w:t>
      </w:r>
    </w:p>
    <w:p w14:paraId="16EFF981" w14:textId="77777777" w:rsidR="00F01756" w:rsidRPr="006D2012" w:rsidRDefault="00F01756" w:rsidP="006D2012">
      <w:pPr>
        <w:spacing w:line="360" w:lineRule="auto"/>
        <w:jc w:val="both"/>
        <w:rPr>
          <w:rFonts w:ascii="Arial" w:hAnsi="Arial" w:cs="Arial"/>
        </w:rPr>
      </w:pPr>
    </w:p>
    <w:p w14:paraId="0F438BF5" w14:textId="77777777" w:rsidR="00F01756" w:rsidRPr="006D2012" w:rsidRDefault="00F01756" w:rsidP="006D2012">
      <w:pPr>
        <w:spacing w:line="360" w:lineRule="auto"/>
        <w:jc w:val="both"/>
        <w:rPr>
          <w:rFonts w:ascii="Arial" w:hAnsi="Arial" w:cs="Arial"/>
        </w:rPr>
      </w:pPr>
      <w:r w:rsidRPr="006D2012">
        <w:rPr>
          <w:rFonts w:ascii="Arial" w:hAnsi="Arial" w:cs="Arial"/>
        </w:rPr>
        <w:t>Baum, T., Kralj, A. and Robinson, R., 2020. Tourism Workforce Challenges: Understanding the Global Labour Market. London: Routledge.</w:t>
      </w:r>
    </w:p>
    <w:p w14:paraId="2D5CE210" w14:textId="77777777" w:rsidR="00F01756" w:rsidRPr="006D2012" w:rsidRDefault="00F01756" w:rsidP="006D2012">
      <w:pPr>
        <w:spacing w:line="360" w:lineRule="auto"/>
        <w:jc w:val="both"/>
        <w:rPr>
          <w:rFonts w:ascii="Arial" w:hAnsi="Arial" w:cs="Arial"/>
        </w:rPr>
      </w:pPr>
    </w:p>
    <w:p w14:paraId="5F595228" w14:textId="77777777" w:rsidR="00F01756" w:rsidRPr="006D2012" w:rsidRDefault="00F01756" w:rsidP="006D2012">
      <w:pPr>
        <w:spacing w:line="360" w:lineRule="auto"/>
        <w:jc w:val="both"/>
        <w:rPr>
          <w:rFonts w:ascii="Arial" w:hAnsi="Arial" w:cs="Arial"/>
        </w:rPr>
      </w:pPr>
      <w:r w:rsidRPr="006D2012">
        <w:rPr>
          <w:rFonts w:ascii="Arial" w:hAnsi="Arial" w:cs="Arial"/>
        </w:rPr>
        <w:t>Brown, L. and White, K., 2022. Effective Event Marketing Strategies. 1st ed. London: Routledge.</w:t>
      </w:r>
    </w:p>
    <w:p w14:paraId="00B1BA47" w14:textId="77777777" w:rsidR="00F01756" w:rsidRPr="006D2012" w:rsidRDefault="00F01756" w:rsidP="006D2012">
      <w:pPr>
        <w:spacing w:line="360" w:lineRule="auto"/>
        <w:jc w:val="both"/>
        <w:rPr>
          <w:rFonts w:ascii="Arial" w:hAnsi="Arial" w:cs="Arial"/>
        </w:rPr>
      </w:pPr>
    </w:p>
    <w:p w14:paraId="3D43DEEE" w14:textId="77777777" w:rsidR="00F01756" w:rsidRPr="006D2012" w:rsidRDefault="00F01756" w:rsidP="006D2012">
      <w:pPr>
        <w:spacing w:line="360" w:lineRule="auto"/>
        <w:jc w:val="both"/>
        <w:rPr>
          <w:rFonts w:ascii="Arial" w:hAnsi="Arial" w:cs="Arial"/>
        </w:rPr>
      </w:pPr>
      <w:r w:rsidRPr="006D2012">
        <w:rPr>
          <w:rFonts w:ascii="Arial" w:hAnsi="Arial" w:cs="Arial"/>
        </w:rPr>
        <w:t>Carter, P. and Brown, D., 2021. Event Budgeting: Strategies for Sustainable Financial Planning. 2nd ed. London: Routledge.</w:t>
      </w:r>
    </w:p>
    <w:p w14:paraId="6FCC1F95" w14:textId="77777777" w:rsidR="00F01756" w:rsidRPr="006D2012" w:rsidRDefault="00F01756" w:rsidP="006D2012">
      <w:pPr>
        <w:spacing w:line="360" w:lineRule="auto"/>
        <w:jc w:val="both"/>
        <w:rPr>
          <w:rFonts w:ascii="Arial" w:hAnsi="Arial" w:cs="Arial"/>
        </w:rPr>
      </w:pPr>
    </w:p>
    <w:p w14:paraId="04E49B9B" w14:textId="77777777" w:rsidR="00F01756" w:rsidRPr="006D2012" w:rsidRDefault="00F01756" w:rsidP="006D2012">
      <w:pPr>
        <w:spacing w:line="360" w:lineRule="auto"/>
        <w:jc w:val="both"/>
        <w:rPr>
          <w:rFonts w:ascii="Arial" w:hAnsi="Arial" w:cs="Arial"/>
        </w:rPr>
      </w:pPr>
      <w:r w:rsidRPr="006D2012">
        <w:rPr>
          <w:rFonts w:ascii="Arial" w:hAnsi="Arial" w:cs="Arial"/>
        </w:rPr>
        <w:t>Davidson, M., McPhail, R. and Barry, S., 2021. 'Workplace Well-being and Employee Retention in the Hospitality Industry', International Journal of Hospitality Management, 98, pp. 102-118.</w:t>
      </w:r>
    </w:p>
    <w:p w14:paraId="5132422E" w14:textId="77777777" w:rsidR="00F01756" w:rsidRPr="006D2012" w:rsidRDefault="00F01756" w:rsidP="006D2012">
      <w:pPr>
        <w:spacing w:line="360" w:lineRule="auto"/>
        <w:jc w:val="both"/>
        <w:rPr>
          <w:rFonts w:ascii="Arial" w:hAnsi="Arial" w:cs="Arial"/>
        </w:rPr>
      </w:pPr>
    </w:p>
    <w:p w14:paraId="1021B362" w14:textId="77777777" w:rsidR="00F01756" w:rsidRPr="006D2012" w:rsidRDefault="00F01756" w:rsidP="006D2012">
      <w:pPr>
        <w:spacing w:line="360" w:lineRule="auto"/>
        <w:jc w:val="both"/>
        <w:rPr>
          <w:rFonts w:ascii="Arial" w:hAnsi="Arial" w:cs="Arial"/>
        </w:rPr>
      </w:pPr>
      <w:r w:rsidRPr="006D2012">
        <w:rPr>
          <w:rFonts w:ascii="Arial" w:hAnsi="Arial" w:cs="Arial"/>
        </w:rPr>
        <w:lastRenderedPageBreak/>
        <w:t>Dipietro, R.B., Cao, Y. and Partlow, C.G., 2013. The impact of corporate social responsibility on customer satisfaction and behavioral responses in the hospitality industry. Journal of Hospitality and Tourism Research, 37(4), pp.481-501.</w:t>
      </w:r>
    </w:p>
    <w:p w14:paraId="77EB73D1" w14:textId="77777777" w:rsidR="00F01756" w:rsidRPr="006D2012" w:rsidRDefault="00F01756" w:rsidP="006D2012">
      <w:pPr>
        <w:spacing w:line="360" w:lineRule="auto"/>
        <w:jc w:val="both"/>
        <w:rPr>
          <w:rFonts w:ascii="Arial" w:hAnsi="Arial" w:cs="Arial"/>
        </w:rPr>
      </w:pPr>
    </w:p>
    <w:p w14:paraId="1EC70221" w14:textId="77777777" w:rsidR="00F01756" w:rsidRPr="006D2012" w:rsidRDefault="00F01756" w:rsidP="006D2012">
      <w:pPr>
        <w:spacing w:line="360" w:lineRule="auto"/>
        <w:jc w:val="both"/>
        <w:rPr>
          <w:rFonts w:ascii="Arial" w:hAnsi="Arial" w:cs="Arial"/>
        </w:rPr>
      </w:pPr>
      <w:r w:rsidRPr="006D2012">
        <w:rPr>
          <w:rFonts w:ascii="Arial" w:hAnsi="Arial" w:cs="Arial"/>
        </w:rPr>
        <w:t>Equality and Human Rights Commission, 2010. Equality Act 2010: Guidance on Accessibility. [online] Available at: https://www.equalityhumanrights.com/en/equality-act-2010 [Accessed 19 February 2025].</w:t>
      </w:r>
    </w:p>
    <w:p w14:paraId="53A9605D" w14:textId="77777777" w:rsidR="00F01756" w:rsidRPr="006D2012" w:rsidRDefault="00F01756" w:rsidP="006D2012">
      <w:pPr>
        <w:spacing w:line="360" w:lineRule="auto"/>
        <w:jc w:val="both"/>
        <w:rPr>
          <w:rFonts w:ascii="Arial" w:hAnsi="Arial" w:cs="Arial"/>
        </w:rPr>
      </w:pPr>
    </w:p>
    <w:p w14:paraId="23E2A85A" w14:textId="77777777" w:rsidR="00F01756" w:rsidRPr="006D2012" w:rsidRDefault="00F01756" w:rsidP="006D2012">
      <w:pPr>
        <w:spacing w:line="360" w:lineRule="auto"/>
        <w:jc w:val="both"/>
        <w:rPr>
          <w:rFonts w:ascii="Arial" w:hAnsi="Arial" w:cs="Arial"/>
        </w:rPr>
      </w:pPr>
      <w:r w:rsidRPr="006D2012">
        <w:rPr>
          <w:rFonts w:ascii="Arial" w:hAnsi="Arial" w:cs="Arial"/>
        </w:rPr>
        <w:t>Freeman, R.E., 1984. Strategic Management: A Stakeholder Approach. Boston: Pitman.</w:t>
      </w:r>
    </w:p>
    <w:p w14:paraId="496152FF" w14:textId="77777777" w:rsidR="00F01756" w:rsidRPr="006D2012" w:rsidRDefault="00F01756" w:rsidP="006D2012">
      <w:pPr>
        <w:spacing w:line="360" w:lineRule="auto"/>
        <w:jc w:val="both"/>
        <w:rPr>
          <w:rFonts w:ascii="Arial" w:hAnsi="Arial" w:cs="Arial"/>
        </w:rPr>
      </w:pPr>
    </w:p>
    <w:p w14:paraId="35B9D35C" w14:textId="77777777" w:rsidR="00F01756" w:rsidRPr="006D2012" w:rsidRDefault="00F01756" w:rsidP="006D2012">
      <w:pPr>
        <w:spacing w:line="360" w:lineRule="auto"/>
        <w:jc w:val="both"/>
        <w:rPr>
          <w:rFonts w:ascii="Arial" w:hAnsi="Arial" w:cs="Arial"/>
        </w:rPr>
      </w:pPr>
      <w:r w:rsidRPr="006D2012">
        <w:rPr>
          <w:rFonts w:ascii="Arial" w:hAnsi="Arial" w:cs="Arial"/>
        </w:rPr>
        <w:t>Green Events Initiative, 2023. Sustainable Event Management. [online] Available at: https://www.green-events.org [Accessed 19 February 2025].</w:t>
      </w:r>
    </w:p>
    <w:p w14:paraId="34EE3847" w14:textId="77777777" w:rsidR="00F01756" w:rsidRPr="006D2012" w:rsidRDefault="00F01756" w:rsidP="006D2012">
      <w:pPr>
        <w:spacing w:line="360" w:lineRule="auto"/>
        <w:jc w:val="both"/>
        <w:rPr>
          <w:rFonts w:ascii="Arial" w:hAnsi="Arial" w:cs="Arial"/>
        </w:rPr>
      </w:pPr>
    </w:p>
    <w:p w14:paraId="31F1DD0D" w14:textId="77777777" w:rsidR="00F01756" w:rsidRPr="006D2012" w:rsidRDefault="00F01756" w:rsidP="006D2012">
      <w:pPr>
        <w:spacing w:line="360" w:lineRule="auto"/>
        <w:jc w:val="both"/>
        <w:rPr>
          <w:rFonts w:ascii="Arial" w:hAnsi="Arial" w:cs="Arial"/>
        </w:rPr>
      </w:pPr>
      <w:r w:rsidRPr="006D2012">
        <w:rPr>
          <w:rFonts w:ascii="Arial" w:hAnsi="Arial" w:cs="Arial"/>
        </w:rPr>
        <w:t>Hilton, 2023. Thrive at Hilton: Mentorship and Career Support for Minority Employees. [online] Available at: https://www.hilton.com/en/diversity-and-inclusion [Accessed 19 February 2025].</w:t>
      </w:r>
    </w:p>
    <w:p w14:paraId="26BA0CB9" w14:textId="77777777" w:rsidR="00F01756" w:rsidRPr="006D2012" w:rsidRDefault="00F01756" w:rsidP="006D2012">
      <w:pPr>
        <w:spacing w:line="360" w:lineRule="auto"/>
        <w:jc w:val="both"/>
        <w:rPr>
          <w:rFonts w:ascii="Arial" w:hAnsi="Arial" w:cs="Arial"/>
        </w:rPr>
      </w:pPr>
    </w:p>
    <w:p w14:paraId="4A86D63F"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Jones, L. and Taylor, K., 2022. 'The Role of Stakeholders in Hospitality Events', </w:t>
      </w:r>
      <w:r w:rsidRPr="006D2012">
        <w:rPr>
          <w:rFonts w:ascii="Arial" w:hAnsi="Arial" w:cs="Arial"/>
          <w:i/>
          <w:iCs/>
        </w:rPr>
        <w:t>Hospitality Journa</w:t>
      </w:r>
      <w:r w:rsidRPr="006D2012">
        <w:rPr>
          <w:rFonts w:ascii="Arial" w:hAnsi="Arial" w:cs="Arial"/>
        </w:rPr>
        <w:t>l, 34(2), pp. 44-57.</w:t>
      </w:r>
    </w:p>
    <w:p w14:paraId="31D5FBD7" w14:textId="77777777" w:rsidR="00F01756" w:rsidRPr="006D2012" w:rsidRDefault="00F01756" w:rsidP="006D2012">
      <w:pPr>
        <w:spacing w:line="360" w:lineRule="auto"/>
        <w:jc w:val="both"/>
        <w:rPr>
          <w:rFonts w:ascii="Arial" w:hAnsi="Arial" w:cs="Arial"/>
        </w:rPr>
      </w:pPr>
    </w:p>
    <w:p w14:paraId="792B2F7C" w14:textId="77777777" w:rsidR="00F01756" w:rsidRPr="006D2012" w:rsidRDefault="00F01756" w:rsidP="006D2012">
      <w:pPr>
        <w:spacing w:line="360" w:lineRule="auto"/>
        <w:jc w:val="both"/>
        <w:rPr>
          <w:rFonts w:ascii="Arial" w:hAnsi="Arial" w:cs="Arial"/>
        </w:rPr>
      </w:pPr>
      <w:r w:rsidRPr="006D2012">
        <w:rPr>
          <w:rFonts w:ascii="Arial" w:hAnsi="Arial" w:cs="Arial"/>
        </w:rPr>
        <w:t>Jones, R., 2022. Event Logistics and Planning for Success. 3rd ed. Oxford: Oxford University Press.</w:t>
      </w:r>
    </w:p>
    <w:p w14:paraId="08C993B9" w14:textId="77777777" w:rsidR="00F01756" w:rsidRPr="006D2012" w:rsidRDefault="00F01756" w:rsidP="006D2012">
      <w:pPr>
        <w:spacing w:line="360" w:lineRule="auto"/>
        <w:jc w:val="both"/>
        <w:rPr>
          <w:rFonts w:ascii="Arial" w:hAnsi="Arial" w:cs="Arial"/>
        </w:rPr>
      </w:pPr>
    </w:p>
    <w:p w14:paraId="3834D46F"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Jones, T. and Taylor, K., 2022. Diversity in Leadership: Best Practices in Hospitality, </w:t>
      </w:r>
      <w:r w:rsidRPr="006D2012">
        <w:rPr>
          <w:rFonts w:ascii="Arial" w:hAnsi="Arial" w:cs="Arial"/>
          <w:i/>
          <w:iCs/>
        </w:rPr>
        <w:t>Journal of Hospitality Management</w:t>
      </w:r>
      <w:r w:rsidRPr="006D2012">
        <w:rPr>
          <w:rFonts w:ascii="Arial" w:hAnsi="Arial" w:cs="Arial"/>
        </w:rPr>
        <w:t>, 14(2), pp. 45-60.</w:t>
      </w:r>
    </w:p>
    <w:p w14:paraId="5DC670F4" w14:textId="77777777" w:rsidR="00F01756" w:rsidRPr="006D2012" w:rsidRDefault="00F01756" w:rsidP="006D2012">
      <w:pPr>
        <w:spacing w:line="360" w:lineRule="auto"/>
        <w:jc w:val="both"/>
        <w:rPr>
          <w:rFonts w:ascii="Arial" w:hAnsi="Arial" w:cs="Arial"/>
        </w:rPr>
      </w:pPr>
    </w:p>
    <w:p w14:paraId="20E8172F" w14:textId="77777777" w:rsidR="00F01756" w:rsidRPr="006D2012" w:rsidRDefault="00F01756" w:rsidP="006D2012">
      <w:pPr>
        <w:spacing w:line="360" w:lineRule="auto"/>
        <w:jc w:val="both"/>
        <w:rPr>
          <w:rFonts w:ascii="Arial" w:hAnsi="Arial" w:cs="Arial"/>
        </w:rPr>
      </w:pPr>
      <w:r w:rsidRPr="006D2012">
        <w:rPr>
          <w:rFonts w:ascii="Arial" w:hAnsi="Arial" w:cs="Arial"/>
        </w:rPr>
        <w:lastRenderedPageBreak/>
        <w:t xml:space="preserve">Klein, R. and Smith, J., 2020. The Impact of Social Media on Event Marketing. </w:t>
      </w:r>
      <w:r w:rsidRPr="006D2012">
        <w:rPr>
          <w:rFonts w:ascii="Arial" w:hAnsi="Arial" w:cs="Arial"/>
          <w:i/>
          <w:iCs/>
        </w:rPr>
        <w:t>Journal of Hospitality Marketing</w:t>
      </w:r>
      <w:r w:rsidRPr="006D2012">
        <w:rPr>
          <w:rFonts w:ascii="Arial" w:hAnsi="Arial" w:cs="Arial"/>
        </w:rPr>
        <w:t>, 18(3), pp. 22-35.</w:t>
      </w:r>
    </w:p>
    <w:p w14:paraId="02CE380D" w14:textId="77777777" w:rsidR="00F01756" w:rsidRPr="006D2012" w:rsidRDefault="00F01756" w:rsidP="006D2012">
      <w:pPr>
        <w:spacing w:line="360" w:lineRule="auto"/>
        <w:jc w:val="both"/>
        <w:rPr>
          <w:rFonts w:ascii="Arial" w:hAnsi="Arial" w:cs="Arial"/>
        </w:rPr>
      </w:pPr>
    </w:p>
    <w:p w14:paraId="3C48F342" w14:textId="77777777" w:rsidR="00F01756" w:rsidRPr="006D2012" w:rsidRDefault="00F01756" w:rsidP="006D2012">
      <w:pPr>
        <w:spacing w:line="360" w:lineRule="auto"/>
        <w:jc w:val="both"/>
        <w:rPr>
          <w:rFonts w:ascii="Arial" w:hAnsi="Arial" w:cs="Arial"/>
        </w:rPr>
      </w:pPr>
      <w:r w:rsidRPr="006D2012">
        <w:rPr>
          <w:rFonts w:ascii="Arial" w:hAnsi="Arial" w:cs="Arial"/>
        </w:rPr>
        <w:t>Kotler, P. and Keller, K., 2016. Marketing Management. 15th ed. London: Pearson Education.</w:t>
      </w:r>
    </w:p>
    <w:p w14:paraId="55A90F15" w14:textId="77777777" w:rsidR="00F01756" w:rsidRPr="006D2012" w:rsidRDefault="00F01756" w:rsidP="006D2012">
      <w:pPr>
        <w:spacing w:line="360" w:lineRule="auto"/>
        <w:jc w:val="both"/>
        <w:rPr>
          <w:rFonts w:ascii="Arial" w:hAnsi="Arial" w:cs="Arial"/>
        </w:rPr>
      </w:pPr>
    </w:p>
    <w:p w14:paraId="51B47CE2"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Labadie, C. and Legner, C., 2023. Building data management capabilities to address data protection regulations: Learnings from EU-GDPR. </w:t>
      </w:r>
      <w:r w:rsidRPr="006D2012">
        <w:rPr>
          <w:rFonts w:ascii="Arial" w:hAnsi="Arial" w:cs="Arial"/>
          <w:i/>
          <w:iCs/>
        </w:rPr>
        <w:t>Journal of Information Technology</w:t>
      </w:r>
      <w:r w:rsidRPr="006D2012">
        <w:rPr>
          <w:rFonts w:ascii="Arial" w:hAnsi="Arial" w:cs="Arial"/>
        </w:rPr>
        <w:t>, 38(1), pp.16-44.</w:t>
      </w:r>
    </w:p>
    <w:p w14:paraId="1427C54B" w14:textId="77777777" w:rsidR="00F01756" w:rsidRPr="006D2012" w:rsidRDefault="00F01756" w:rsidP="006D2012">
      <w:pPr>
        <w:spacing w:line="360" w:lineRule="auto"/>
        <w:jc w:val="both"/>
        <w:rPr>
          <w:rFonts w:ascii="Arial" w:hAnsi="Arial" w:cs="Arial"/>
        </w:rPr>
      </w:pPr>
    </w:p>
    <w:p w14:paraId="54C883E5" w14:textId="77777777" w:rsidR="00F01756" w:rsidRPr="006D2012" w:rsidRDefault="00F01756" w:rsidP="006D2012">
      <w:pPr>
        <w:spacing w:line="360" w:lineRule="auto"/>
        <w:jc w:val="both"/>
        <w:rPr>
          <w:rFonts w:ascii="Arial" w:hAnsi="Arial" w:cs="Arial"/>
        </w:rPr>
      </w:pPr>
      <w:r w:rsidRPr="006D2012">
        <w:rPr>
          <w:rFonts w:ascii="Arial" w:hAnsi="Arial" w:cs="Arial"/>
        </w:rPr>
        <w:t>Lloyd, H., 2020. Diversity in Hospitality: A Critical Examination. 1st ed. London: Palgrave Macmillan.</w:t>
      </w:r>
    </w:p>
    <w:p w14:paraId="2B78C421" w14:textId="77777777" w:rsidR="00F01756" w:rsidRPr="006D2012" w:rsidRDefault="00F01756" w:rsidP="006D2012">
      <w:pPr>
        <w:spacing w:line="360" w:lineRule="auto"/>
        <w:jc w:val="both"/>
        <w:rPr>
          <w:rFonts w:ascii="Arial" w:hAnsi="Arial" w:cs="Arial"/>
        </w:rPr>
      </w:pPr>
    </w:p>
    <w:p w14:paraId="5308FAF5"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Maignan, I. and Ferrell, O.C., 2000. Measuring corporate social responsibility. </w:t>
      </w:r>
      <w:r w:rsidRPr="006D2012">
        <w:rPr>
          <w:rFonts w:ascii="Arial" w:hAnsi="Arial" w:cs="Arial"/>
          <w:i/>
          <w:iCs/>
        </w:rPr>
        <w:t>Journal of the Academy of Marketing Science</w:t>
      </w:r>
      <w:r w:rsidRPr="006D2012">
        <w:rPr>
          <w:rFonts w:ascii="Arial" w:hAnsi="Arial" w:cs="Arial"/>
        </w:rPr>
        <w:t>, 28(1), pp.7-20.</w:t>
      </w:r>
    </w:p>
    <w:p w14:paraId="1A906219" w14:textId="77777777" w:rsidR="00F01756" w:rsidRPr="006D2012" w:rsidRDefault="00F01756" w:rsidP="006D2012">
      <w:pPr>
        <w:spacing w:line="360" w:lineRule="auto"/>
        <w:jc w:val="both"/>
        <w:rPr>
          <w:rFonts w:ascii="Arial" w:hAnsi="Arial" w:cs="Arial"/>
        </w:rPr>
      </w:pPr>
    </w:p>
    <w:p w14:paraId="30100B6F" w14:textId="77777777" w:rsidR="00F01756" w:rsidRPr="006D2012" w:rsidRDefault="00F01756" w:rsidP="006D2012">
      <w:pPr>
        <w:spacing w:line="360" w:lineRule="auto"/>
        <w:jc w:val="both"/>
        <w:rPr>
          <w:rFonts w:ascii="Arial" w:hAnsi="Arial" w:cs="Arial"/>
        </w:rPr>
      </w:pPr>
      <w:r w:rsidRPr="006D2012">
        <w:rPr>
          <w:rFonts w:ascii="Arial" w:hAnsi="Arial" w:cs="Arial"/>
        </w:rPr>
        <w:t>Miller, A. and Wells, M., 2021. Strategic Planning for Event Success. 3rd ed. Oxford: Oxford University Press.</w:t>
      </w:r>
    </w:p>
    <w:p w14:paraId="72937D8F" w14:textId="77777777" w:rsidR="00F01756" w:rsidRPr="006D2012" w:rsidRDefault="00F01756" w:rsidP="006D2012">
      <w:pPr>
        <w:spacing w:line="360" w:lineRule="auto"/>
        <w:jc w:val="both"/>
        <w:rPr>
          <w:rFonts w:ascii="Arial" w:hAnsi="Arial" w:cs="Arial"/>
        </w:rPr>
      </w:pPr>
    </w:p>
    <w:p w14:paraId="1F44C7CB"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Miller, J. and Jones, T., 2020. Building Inclusive Workplaces in Hospitality, </w:t>
      </w:r>
      <w:r w:rsidRPr="006D2012">
        <w:rPr>
          <w:rFonts w:ascii="Arial" w:hAnsi="Arial" w:cs="Arial"/>
          <w:i/>
          <w:iCs/>
        </w:rPr>
        <w:t>Journal of Hospitality Research</w:t>
      </w:r>
      <w:r w:rsidRPr="006D2012">
        <w:rPr>
          <w:rFonts w:ascii="Arial" w:hAnsi="Arial" w:cs="Arial"/>
        </w:rPr>
        <w:t>, 12(1), pp. 10-24.</w:t>
      </w:r>
    </w:p>
    <w:p w14:paraId="2B859D88" w14:textId="6F1E4EE6" w:rsidR="004175C2" w:rsidRPr="006D2012" w:rsidRDefault="004175C2" w:rsidP="006D2012">
      <w:pPr>
        <w:spacing w:line="360" w:lineRule="auto"/>
        <w:jc w:val="both"/>
        <w:rPr>
          <w:rFonts w:ascii="Arial" w:hAnsi="Arial" w:cs="Arial"/>
        </w:rPr>
      </w:pPr>
      <w:r w:rsidRPr="006D2012">
        <w:rPr>
          <w:rFonts w:ascii="Arial" w:hAnsi="Arial" w:cs="Arial"/>
        </w:rPr>
        <w:t>Nauruki, T. (2023) ‘Company/business budgeting and financial planning’, LinkedIn Pulse, [online] Available at: https://www.linkedin.com/pulse/companybusiness-budgeting-financial-planning-tobias-nauruki- [Accessed 27 Feb. 2025].</w:t>
      </w:r>
    </w:p>
    <w:p w14:paraId="2CB17F81" w14:textId="77777777" w:rsidR="00F01756" w:rsidRPr="006D2012" w:rsidRDefault="00F01756" w:rsidP="006D2012">
      <w:pPr>
        <w:spacing w:line="360" w:lineRule="auto"/>
        <w:jc w:val="both"/>
        <w:rPr>
          <w:rFonts w:ascii="Arial" w:hAnsi="Arial" w:cs="Arial"/>
        </w:rPr>
      </w:pPr>
    </w:p>
    <w:p w14:paraId="307539A7" w14:textId="77777777" w:rsidR="00F01756" w:rsidRPr="006D2012" w:rsidRDefault="00F01756" w:rsidP="006D2012">
      <w:pPr>
        <w:spacing w:line="360" w:lineRule="auto"/>
        <w:jc w:val="both"/>
        <w:rPr>
          <w:rFonts w:ascii="Arial" w:hAnsi="Arial" w:cs="Arial"/>
        </w:rPr>
      </w:pPr>
      <w:r w:rsidRPr="006D2012">
        <w:rPr>
          <w:rFonts w:ascii="Arial" w:hAnsi="Arial" w:cs="Arial"/>
        </w:rPr>
        <w:t>Nicholls, K., 2022. Leading Diversity in the Hospitality Sector. UKHospitality, [online] Available at: https://www.ukhospitality.org.uk [Accessed 19 February 2025].</w:t>
      </w:r>
    </w:p>
    <w:p w14:paraId="1C318194" w14:textId="77777777" w:rsidR="00F01756" w:rsidRPr="006D2012" w:rsidRDefault="00F01756" w:rsidP="006D2012">
      <w:pPr>
        <w:spacing w:line="360" w:lineRule="auto"/>
        <w:jc w:val="both"/>
        <w:rPr>
          <w:rFonts w:ascii="Arial" w:hAnsi="Arial" w:cs="Arial"/>
        </w:rPr>
      </w:pPr>
    </w:p>
    <w:p w14:paraId="3244D04D" w14:textId="77777777" w:rsidR="00F01756" w:rsidRPr="006D2012" w:rsidRDefault="00F01756" w:rsidP="006D2012">
      <w:pPr>
        <w:spacing w:line="360" w:lineRule="auto"/>
        <w:jc w:val="both"/>
        <w:rPr>
          <w:rFonts w:ascii="Arial" w:hAnsi="Arial" w:cs="Arial"/>
        </w:rPr>
      </w:pPr>
      <w:r w:rsidRPr="006D2012">
        <w:rPr>
          <w:rFonts w:ascii="Arial" w:hAnsi="Arial" w:cs="Arial"/>
        </w:rPr>
        <w:t>OECD, 2018. The impact of artificial intelligence on tourism and hospitality industries. OECD Publishing, Paris.</w:t>
      </w:r>
    </w:p>
    <w:p w14:paraId="14F7E308" w14:textId="77777777" w:rsidR="00F01756" w:rsidRPr="006D2012" w:rsidRDefault="00F01756" w:rsidP="006D2012">
      <w:pPr>
        <w:spacing w:line="360" w:lineRule="auto"/>
        <w:jc w:val="both"/>
        <w:rPr>
          <w:rFonts w:ascii="Arial" w:hAnsi="Arial" w:cs="Arial"/>
        </w:rPr>
      </w:pPr>
    </w:p>
    <w:p w14:paraId="04CD6135" w14:textId="77777777" w:rsidR="00F01756" w:rsidRPr="006D2012" w:rsidRDefault="00F01756" w:rsidP="006D2012">
      <w:pPr>
        <w:spacing w:line="360" w:lineRule="auto"/>
        <w:jc w:val="both"/>
        <w:rPr>
          <w:rFonts w:ascii="Arial" w:hAnsi="Arial" w:cs="Arial"/>
        </w:rPr>
      </w:pPr>
      <w:r w:rsidRPr="006D2012">
        <w:rPr>
          <w:rFonts w:ascii="Arial" w:hAnsi="Arial" w:cs="Arial"/>
        </w:rPr>
        <w:t>Project Management Institute (PMI), 2021. A Guide to the Project Management Body of Knowledge (PMBOK Guide). 7th edn. Newtown Square, PA: PMI.</w:t>
      </w:r>
    </w:p>
    <w:p w14:paraId="5616E3AD" w14:textId="77777777" w:rsidR="00F01756" w:rsidRPr="006D2012" w:rsidRDefault="00F01756" w:rsidP="006D2012">
      <w:pPr>
        <w:spacing w:line="360" w:lineRule="auto"/>
        <w:jc w:val="both"/>
        <w:rPr>
          <w:rFonts w:ascii="Arial" w:hAnsi="Arial" w:cs="Arial"/>
        </w:rPr>
      </w:pPr>
    </w:p>
    <w:p w14:paraId="4729513E" w14:textId="77777777" w:rsidR="00F01756" w:rsidRPr="006D2012" w:rsidRDefault="00F01756" w:rsidP="006D2012">
      <w:pPr>
        <w:spacing w:line="360" w:lineRule="auto"/>
        <w:jc w:val="both"/>
        <w:rPr>
          <w:rFonts w:ascii="Arial" w:hAnsi="Arial" w:cs="Arial"/>
        </w:rPr>
      </w:pPr>
      <w:r w:rsidRPr="006D2012">
        <w:rPr>
          <w:rFonts w:ascii="Arial" w:hAnsi="Arial" w:cs="Arial"/>
        </w:rPr>
        <w:t>Quan-Haase, A., Mendes, K., Ho, D., Lake, O., Nau, C. and Pieber, D., 2021. Mapping #MeToo: A synthesis review of digital feminist research across social media platforms. New Media &amp; Society, 23(6), pp. 1700-1720.</w:t>
      </w:r>
    </w:p>
    <w:p w14:paraId="171E98DC" w14:textId="77777777" w:rsidR="00F01756" w:rsidRPr="006D2012" w:rsidRDefault="00F01756" w:rsidP="006D2012">
      <w:pPr>
        <w:spacing w:line="360" w:lineRule="auto"/>
        <w:jc w:val="both"/>
        <w:rPr>
          <w:rFonts w:ascii="Arial" w:hAnsi="Arial" w:cs="Arial"/>
        </w:rPr>
      </w:pPr>
    </w:p>
    <w:p w14:paraId="0BDAE187" w14:textId="77777777" w:rsidR="00F01756" w:rsidRPr="006D2012" w:rsidRDefault="00F01756" w:rsidP="006D2012">
      <w:pPr>
        <w:spacing w:line="360" w:lineRule="auto"/>
        <w:jc w:val="both"/>
        <w:rPr>
          <w:rFonts w:ascii="Arial" w:hAnsi="Arial" w:cs="Arial"/>
        </w:rPr>
      </w:pPr>
      <w:r w:rsidRPr="006D2012">
        <w:rPr>
          <w:rFonts w:ascii="Arial" w:hAnsi="Arial" w:cs="Arial"/>
        </w:rPr>
        <w:t xml:space="preserve">Ruel, H. and Njoku, E., 2021. AI redefining the hospitality industry. </w:t>
      </w:r>
      <w:r w:rsidRPr="006D2012">
        <w:rPr>
          <w:rFonts w:ascii="Arial" w:hAnsi="Arial" w:cs="Arial"/>
          <w:i/>
          <w:iCs/>
        </w:rPr>
        <w:t>Journal of Tourism Futures</w:t>
      </w:r>
      <w:r w:rsidRPr="006D2012">
        <w:rPr>
          <w:rFonts w:ascii="Arial" w:hAnsi="Arial" w:cs="Arial"/>
        </w:rPr>
        <w:t>, 7(1), pp.53-66.</w:t>
      </w:r>
    </w:p>
    <w:p w14:paraId="670AB4F5" w14:textId="77777777" w:rsidR="00F01756" w:rsidRPr="006D2012" w:rsidRDefault="00F01756" w:rsidP="006D2012">
      <w:pPr>
        <w:spacing w:line="360" w:lineRule="auto"/>
        <w:jc w:val="both"/>
        <w:rPr>
          <w:rFonts w:ascii="Arial" w:hAnsi="Arial" w:cs="Arial"/>
        </w:rPr>
      </w:pPr>
    </w:p>
    <w:p w14:paraId="20CD0EB2" w14:textId="77777777" w:rsidR="00F01756" w:rsidRPr="006D2012" w:rsidRDefault="00F01756" w:rsidP="006D2012">
      <w:pPr>
        <w:spacing w:line="360" w:lineRule="auto"/>
        <w:jc w:val="both"/>
        <w:rPr>
          <w:rFonts w:ascii="Arial" w:hAnsi="Arial" w:cs="Arial"/>
        </w:rPr>
      </w:pPr>
      <w:r w:rsidRPr="006D2012">
        <w:rPr>
          <w:rFonts w:ascii="Arial" w:hAnsi="Arial" w:cs="Arial"/>
        </w:rPr>
        <w:t>Sharma, P. and Singh, S., 2021. 'The Role of Inclusive Leadership in Enhancing Workplace Diversity', Journal of Business Ethics, 173(2), pp. 317-332.</w:t>
      </w:r>
    </w:p>
    <w:p w14:paraId="75B98785" w14:textId="77777777" w:rsidR="00F01756" w:rsidRPr="006D2012" w:rsidRDefault="00F01756" w:rsidP="006D2012">
      <w:pPr>
        <w:spacing w:line="360" w:lineRule="auto"/>
        <w:jc w:val="both"/>
        <w:rPr>
          <w:rFonts w:ascii="Arial" w:hAnsi="Arial" w:cs="Arial"/>
        </w:rPr>
      </w:pPr>
    </w:p>
    <w:p w14:paraId="6990F6BF" w14:textId="77777777" w:rsidR="00F01756" w:rsidRPr="006D2012" w:rsidRDefault="00F01756" w:rsidP="006D2012">
      <w:pPr>
        <w:spacing w:line="360" w:lineRule="auto"/>
        <w:jc w:val="both"/>
        <w:rPr>
          <w:rFonts w:ascii="Arial" w:hAnsi="Arial" w:cs="Arial"/>
        </w:rPr>
      </w:pPr>
      <w:r w:rsidRPr="006D2012">
        <w:rPr>
          <w:rFonts w:ascii="Arial" w:hAnsi="Arial" w:cs="Arial"/>
        </w:rPr>
        <w:t>Smith, B. and Green, D., 2020. Ethical Considerations in Event Management. 2nd ed. Bristol: Policy Press.</w:t>
      </w:r>
    </w:p>
    <w:p w14:paraId="7956D9EC" w14:textId="77777777" w:rsidR="00F01756" w:rsidRPr="006D2012" w:rsidRDefault="00F01756" w:rsidP="006D2012">
      <w:pPr>
        <w:spacing w:line="360" w:lineRule="auto"/>
        <w:jc w:val="both"/>
        <w:rPr>
          <w:rFonts w:ascii="Arial" w:hAnsi="Arial" w:cs="Arial"/>
        </w:rPr>
      </w:pPr>
    </w:p>
    <w:p w14:paraId="13F31917" w14:textId="77777777" w:rsidR="00F01756" w:rsidRPr="006D2012" w:rsidRDefault="00F01756" w:rsidP="006D2012">
      <w:pPr>
        <w:spacing w:line="360" w:lineRule="auto"/>
        <w:jc w:val="both"/>
        <w:rPr>
          <w:rFonts w:ascii="Arial" w:hAnsi="Arial" w:cs="Arial"/>
        </w:rPr>
      </w:pPr>
      <w:r w:rsidRPr="006D2012">
        <w:rPr>
          <w:rFonts w:ascii="Arial" w:hAnsi="Arial" w:cs="Arial"/>
        </w:rPr>
        <w:t>Taylor, J. and Brown, D., 2021. Crisis Communication in Event Planning. 2nd ed. London: Palgrave Macmillan.</w:t>
      </w:r>
    </w:p>
    <w:p w14:paraId="70163FA0" w14:textId="77777777" w:rsidR="00F01756" w:rsidRPr="006D2012" w:rsidRDefault="00F01756" w:rsidP="006D2012">
      <w:pPr>
        <w:spacing w:line="360" w:lineRule="auto"/>
        <w:jc w:val="both"/>
        <w:rPr>
          <w:rFonts w:ascii="Arial" w:hAnsi="Arial" w:cs="Arial"/>
        </w:rPr>
      </w:pPr>
    </w:p>
    <w:p w14:paraId="2093C6C7" w14:textId="77777777" w:rsidR="00F01756" w:rsidRPr="006D2012" w:rsidRDefault="00F01756" w:rsidP="006D2012">
      <w:pPr>
        <w:spacing w:line="360" w:lineRule="auto"/>
        <w:jc w:val="both"/>
        <w:rPr>
          <w:rFonts w:ascii="Arial" w:hAnsi="Arial" w:cs="Arial"/>
        </w:rPr>
      </w:pPr>
      <w:r w:rsidRPr="006D2012">
        <w:rPr>
          <w:rFonts w:ascii="Arial" w:hAnsi="Arial" w:cs="Arial"/>
        </w:rPr>
        <w:t>Tuttle, R., 2022. Engaging Industry Leaders: The Role of Speakers in Conference Success. Business and Professional Events, 8(2), pp. 25-40.</w:t>
      </w:r>
    </w:p>
    <w:p w14:paraId="603D7843" w14:textId="77777777" w:rsidR="00F01756" w:rsidRPr="006D2012" w:rsidRDefault="00F01756" w:rsidP="006D2012">
      <w:pPr>
        <w:spacing w:line="360" w:lineRule="auto"/>
        <w:jc w:val="both"/>
        <w:rPr>
          <w:rFonts w:ascii="Arial" w:hAnsi="Arial" w:cs="Arial"/>
        </w:rPr>
      </w:pPr>
    </w:p>
    <w:p w14:paraId="7FF30000" w14:textId="313B967B" w:rsidR="00F01756" w:rsidRPr="006D2012" w:rsidRDefault="00F01756" w:rsidP="006D2012">
      <w:pPr>
        <w:spacing w:line="360" w:lineRule="auto"/>
        <w:jc w:val="both"/>
        <w:rPr>
          <w:rFonts w:ascii="Arial" w:hAnsi="Arial" w:cs="Arial"/>
        </w:rPr>
      </w:pPr>
      <w:r w:rsidRPr="006D2012">
        <w:rPr>
          <w:rFonts w:ascii="Arial" w:hAnsi="Arial" w:cs="Arial"/>
        </w:rPr>
        <w:lastRenderedPageBreak/>
        <w:t>Williams, K., Martin, P., and Roberts, D., 2023. Event Marketing for the Hospitality Sector. 4th ed. London: Sage.</w:t>
      </w:r>
    </w:p>
    <w:p w14:paraId="39283665" w14:textId="77777777" w:rsidR="0011285A" w:rsidRPr="006D2012" w:rsidRDefault="0011285A" w:rsidP="006D2012">
      <w:pPr>
        <w:spacing w:line="360" w:lineRule="auto"/>
        <w:jc w:val="both"/>
        <w:rPr>
          <w:rFonts w:ascii="Arial" w:hAnsi="Arial" w:cs="Arial"/>
        </w:rPr>
      </w:pPr>
    </w:p>
    <w:p w14:paraId="349FE3E6" w14:textId="77777777" w:rsidR="006D2012" w:rsidRPr="006D2012" w:rsidRDefault="006D2012" w:rsidP="006D2012">
      <w:pPr>
        <w:spacing w:line="360" w:lineRule="auto"/>
        <w:jc w:val="both"/>
        <w:rPr>
          <w:rFonts w:ascii="Arial" w:hAnsi="Arial" w:cs="Arial"/>
        </w:rPr>
      </w:pPr>
    </w:p>
    <w:p w14:paraId="218F7338" w14:textId="34016581" w:rsidR="0011285A" w:rsidRPr="006D2012" w:rsidRDefault="0011285A" w:rsidP="006D2012">
      <w:pPr>
        <w:pStyle w:val="Heading1"/>
        <w:spacing w:line="360" w:lineRule="auto"/>
        <w:jc w:val="both"/>
        <w:rPr>
          <w:rFonts w:ascii="Arial" w:hAnsi="Arial" w:cs="Arial"/>
          <w:sz w:val="24"/>
          <w:szCs w:val="24"/>
        </w:rPr>
      </w:pPr>
      <w:bookmarkStart w:id="9" w:name="_Toc191627576"/>
      <w:r w:rsidRPr="006D2012">
        <w:rPr>
          <w:rFonts w:ascii="Arial" w:hAnsi="Arial" w:cs="Arial"/>
          <w:sz w:val="24"/>
          <w:szCs w:val="24"/>
        </w:rPr>
        <w:t>Appendix</w:t>
      </w:r>
      <w:bookmarkEnd w:id="9"/>
      <w:r w:rsidRPr="006D2012">
        <w:rPr>
          <w:rFonts w:ascii="Arial" w:hAnsi="Arial" w:cs="Arial"/>
          <w:sz w:val="24"/>
          <w:szCs w:val="24"/>
        </w:rPr>
        <w:t xml:space="preserve"> </w:t>
      </w:r>
    </w:p>
    <w:p w14:paraId="5E971171" w14:textId="77777777" w:rsidR="0011285A" w:rsidRPr="006D2012" w:rsidRDefault="0011285A" w:rsidP="006D2012">
      <w:pPr>
        <w:spacing w:line="360" w:lineRule="auto"/>
        <w:jc w:val="both"/>
        <w:rPr>
          <w:rFonts w:ascii="Arial" w:hAnsi="Arial" w:cs="Arial"/>
        </w:rPr>
      </w:pPr>
      <w:r w:rsidRPr="006D2012">
        <w:rPr>
          <w:rFonts w:ascii="Arial" w:hAnsi="Arial" w:cs="Arial"/>
        </w:rPr>
        <w:t>SWOT Analysis</w:t>
      </w:r>
    </w:p>
    <w:p w14:paraId="6485059F" w14:textId="77777777" w:rsidR="0011285A" w:rsidRPr="006D2012" w:rsidRDefault="0011285A" w:rsidP="006D2012">
      <w:pPr>
        <w:spacing w:line="360" w:lineRule="auto"/>
        <w:jc w:val="both"/>
        <w:rPr>
          <w:rFonts w:ascii="Arial" w:hAnsi="Arial" w:cs="Arial"/>
        </w:rPr>
      </w:pPr>
    </w:p>
    <w:p w14:paraId="5E35A257" w14:textId="77777777" w:rsidR="0011285A" w:rsidRPr="006D2012" w:rsidRDefault="0011285A" w:rsidP="006D2012">
      <w:pPr>
        <w:spacing w:line="360" w:lineRule="auto"/>
        <w:jc w:val="both"/>
        <w:rPr>
          <w:rFonts w:ascii="Arial" w:hAnsi="Arial" w:cs="Arial"/>
        </w:rPr>
      </w:pPr>
      <w:r w:rsidRPr="006D2012">
        <w:rPr>
          <w:rFonts w:ascii="Arial" w:hAnsi="Arial" w:cs="Arial"/>
        </w:rPr>
        <w:t>A SWOT analysis allows for a comprehensive evaluation of the external factors affecting the event’s success:</w:t>
      </w:r>
    </w:p>
    <w:p w14:paraId="4AA1CDEE" w14:textId="77777777" w:rsidR="0011285A" w:rsidRPr="006D2012" w:rsidRDefault="0011285A" w:rsidP="006D2012">
      <w:pPr>
        <w:spacing w:line="360" w:lineRule="auto"/>
        <w:jc w:val="both"/>
        <w:rPr>
          <w:rFonts w:ascii="Arial" w:hAnsi="Arial" w:cs="Arial"/>
        </w:rPr>
      </w:pPr>
    </w:p>
    <w:p w14:paraId="3C65F3A2"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2E407554" w14:textId="77777777" w:rsidR="0011285A" w:rsidRPr="006D2012" w:rsidRDefault="0011285A" w:rsidP="006D2012">
      <w:pPr>
        <w:spacing w:line="360" w:lineRule="auto"/>
        <w:jc w:val="both"/>
        <w:rPr>
          <w:rFonts w:ascii="Arial" w:hAnsi="Arial" w:cs="Arial"/>
        </w:rPr>
      </w:pPr>
    </w:p>
    <w:p w14:paraId="79E1EB6F" w14:textId="77777777" w:rsidR="0011285A" w:rsidRPr="006D2012" w:rsidRDefault="0011285A" w:rsidP="006D2012">
      <w:pPr>
        <w:spacing w:line="360" w:lineRule="auto"/>
        <w:jc w:val="both"/>
        <w:rPr>
          <w:rFonts w:ascii="Arial" w:hAnsi="Arial" w:cs="Arial"/>
        </w:rPr>
      </w:pPr>
      <w:r w:rsidRPr="006D2012">
        <w:rPr>
          <w:rFonts w:ascii="Arial" w:hAnsi="Arial" w:cs="Arial"/>
        </w:rPr>
        <w:t>Strengths:</w:t>
      </w:r>
    </w:p>
    <w:p w14:paraId="6B11EBF2" w14:textId="77777777" w:rsidR="0011285A" w:rsidRPr="006D2012" w:rsidRDefault="0011285A" w:rsidP="006D2012">
      <w:pPr>
        <w:spacing w:line="360" w:lineRule="auto"/>
        <w:jc w:val="both"/>
        <w:rPr>
          <w:rFonts w:ascii="Arial" w:hAnsi="Arial" w:cs="Arial"/>
        </w:rPr>
      </w:pPr>
    </w:p>
    <w:p w14:paraId="29958F0A"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699D2A4D" w14:textId="77777777" w:rsidR="0011285A" w:rsidRPr="006D2012" w:rsidRDefault="0011285A" w:rsidP="006D2012">
      <w:pPr>
        <w:spacing w:line="360" w:lineRule="auto"/>
        <w:jc w:val="both"/>
        <w:rPr>
          <w:rFonts w:ascii="Arial" w:hAnsi="Arial" w:cs="Arial"/>
        </w:rPr>
      </w:pPr>
    </w:p>
    <w:p w14:paraId="4D6CCA9A" w14:textId="77777777" w:rsidR="0011285A" w:rsidRPr="006D2012" w:rsidRDefault="0011285A" w:rsidP="006D2012">
      <w:pPr>
        <w:spacing w:line="360" w:lineRule="auto"/>
        <w:jc w:val="both"/>
        <w:rPr>
          <w:rFonts w:ascii="Arial" w:hAnsi="Arial" w:cs="Arial"/>
        </w:rPr>
      </w:pPr>
      <w:r w:rsidRPr="006D2012">
        <w:rPr>
          <w:rFonts w:ascii="Arial" w:hAnsi="Arial" w:cs="Arial"/>
        </w:rPr>
        <w:t>Strong industry momentum towards EDI, with increasing corporate recognition of its importance.</w:t>
      </w:r>
    </w:p>
    <w:p w14:paraId="61A54EBC" w14:textId="77777777" w:rsidR="0011285A" w:rsidRPr="006D2012" w:rsidRDefault="0011285A" w:rsidP="006D2012">
      <w:pPr>
        <w:spacing w:line="360" w:lineRule="auto"/>
        <w:jc w:val="both"/>
        <w:rPr>
          <w:rFonts w:ascii="Arial" w:hAnsi="Arial" w:cs="Arial"/>
        </w:rPr>
      </w:pPr>
    </w:p>
    <w:p w14:paraId="1DCA6581" w14:textId="77777777" w:rsidR="0011285A" w:rsidRPr="006D2012" w:rsidRDefault="0011285A" w:rsidP="006D2012">
      <w:pPr>
        <w:spacing w:line="360" w:lineRule="auto"/>
        <w:jc w:val="both"/>
        <w:rPr>
          <w:rFonts w:ascii="Arial" w:hAnsi="Arial" w:cs="Arial"/>
        </w:rPr>
      </w:pPr>
      <w:r w:rsidRPr="006D2012">
        <w:rPr>
          <w:rFonts w:ascii="Arial" w:hAnsi="Arial" w:cs="Arial"/>
        </w:rPr>
        <w:t>Established networks of stakeholders, including industry leaders, NGOs, and advocacy groups aligned with the event’s objectives (Davidson et al., 2021).</w:t>
      </w:r>
    </w:p>
    <w:p w14:paraId="78A4CC38" w14:textId="77777777" w:rsidR="0011285A" w:rsidRPr="006D2012" w:rsidRDefault="0011285A" w:rsidP="006D2012">
      <w:pPr>
        <w:spacing w:line="360" w:lineRule="auto"/>
        <w:jc w:val="both"/>
        <w:rPr>
          <w:rFonts w:ascii="Arial" w:hAnsi="Arial" w:cs="Arial"/>
        </w:rPr>
      </w:pPr>
    </w:p>
    <w:p w14:paraId="653B6FAF" w14:textId="77777777" w:rsidR="0011285A" w:rsidRPr="006D2012" w:rsidRDefault="0011285A" w:rsidP="006D2012">
      <w:pPr>
        <w:spacing w:line="360" w:lineRule="auto"/>
        <w:jc w:val="both"/>
        <w:rPr>
          <w:rFonts w:ascii="Arial" w:hAnsi="Arial" w:cs="Arial"/>
        </w:rPr>
      </w:pPr>
      <w:r w:rsidRPr="006D2012">
        <w:rPr>
          <w:rFonts w:ascii="Arial" w:hAnsi="Arial" w:cs="Arial"/>
        </w:rPr>
        <w:t>Weaknesses:</w:t>
      </w:r>
    </w:p>
    <w:p w14:paraId="343889C8" w14:textId="77777777" w:rsidR="0011285A" w:rsidRPr="006D2012" w:rsidRDefault="0011285A" w:rsidP="006D2012">
      <w:pPr>
        <w:spacing w:line="360" w:lineRule="auto"/>
        <w:jc w:val="both"/>
        <w:rPr>
          <w:rFonts w:ascii="Arial" w:hAnsi="Arial" w:cs="Arial"/>
        </w:rPr>
      </w:pPr>
    </w:p>
    <w:p w14:paraId="780A8522"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46A2747E" w14:textId="77777777" w:rsidR="0011285A" w:rsidRPr="006D2012" w:rsidRDefault="0011285A" w:rsidP="006D2012">
      <w:pPr>
        <w:spacing w:line="360" w:lineRule="auto"/>
        <w:jc w:val="both"/>
        <w:rPr>
          <w:rFonts w:ascii="Arial" w:hAnsi="Arial" w:cs="Arial"/>
        </w:rPr>
      </w:pPr>
    </w:p>
    <w:p w14:paraId="615BEB73" w14:textId="77777777" w:rsidR="0011285A" w:rsidRPr="006D2012" w:rsidRDefault="0011285A" w:rsidP="006D2012">
      <w:pPr>
        <w:spacing w:line="360" w:lineRule="auto"/>
        <w:jc w:val="both"/>
        <w:rPr>
          <w:rFonts w:ascii="Arial" w:hAnsi="Arial" w:cs="Arial"/>
        </w:rPr>
      </w:pPr>
      <w:r w:rsidRPr="006D2012">
        <w:rPr>
          <w:rFonts w:ascii="Arial" w:hAnsi="Arial" w:cs="Arial"/>
        </w:rPr>
        <w:t>Potential resistance from some traditional stakeholders who may view EDI as a complex or non-essential challenge.</w:t>
      </w:r>
    </w:p>
    <w:p w14:paraId="1E648747" w14:textId="77777777" w:rsidR="0011285A" w:rsidRPr="006D2012" w:rsidRDefault="0011285A" w:rsidP="006D2012">
      <w:pPr>
        <w:spacing w:line="360" w:lineRule="auto"/>
        <w:jc w:val="both"/>
        <w:rPr>
          <w:rFonts w:ascii="Arial" w:hAnsi="Arial" w:cs="Arial"/>
        </w:rPr>
      </w:pPr>
    </w:p>
    <w:p w14:paraId="11A662DF" w14:textId="77777777" w:rsidR="0011285A" w:rsidRPr="006D2012" w:rsidRDefault="0011285A" w:rsidP="006D2012">
      <w:pPr>
        <w:spacing w:line="360" w:lineRule="auto"/>
        <w:jc w:val="both"/>
        <w:rPr>
          <w:rFonts w:ascii="Arial" w:hAnsi="Arial" w:cs="Arial"/>
        </w:rPr>
      </w:pPr>
      <w:r w:rsidRPr="006D2012">
        <w:rPr>
          <w:rFonts w:ascii="Arial" w:hAnsi="Arial" w:cs="Arial"/>
        </w:rPr>
        <w:t>Limited global outreach resources could restrict participation from international attendees (Freeman, 1984).</w:t>
      </w:r>
    </w:p>
    <w:p w14:paraId="372BC1B4" w14:textId="77777777" w:rsidR="0011285A" w:rsidRPr="006D2012" w:rsidRDefault="0011285A" w:rsidP="006D2012">
      <w:pPr>
        <w:spacing w:line="360" w:lineRule="auto"/>
        <w:jc w:val="both"/>
        <w:rPr>
          <w:rFonts w:ascii="Arial" w:hAnsi="Arial" w:cs="Arial"/>
        </w:rPr>
      </w:pPr>
    </w:p>
    <w:p w14:paraId="24B2F52D" w14:textId="77777777" w:rsidR="0011285A" w:rsidRPr="006D2012" w:rsidRDefault="0011285A" w:rsidP="006D2012">
      <w:pPr>
        <w:spacing w:line="360" w:lineRule="auto"/>
        <w:jc w:val="both"/>
        <w:rPr>
          <w:rFonts w:ascii="Arial" w:hAnsi="Arial" w:cs="Arial"/>
        </w:rPr>
      </w:pPr>
      <w:r w:rsidRPr="006D2012">
        <w:rPr>
          <w:rFonts w:ascii="Arial" w:hAnsi="Arial" w:cs="Arial"/>
        </w:rPr>
        <w:t>Opportunities:</w:t>
      </w:r>
    </w:p>
    <w:p w14:paraId="00749093" w14:textId="77777777" w:rsidR="0011285A" w:rsidRPr="006D2012" w:rsidRDefault="0011285A" w:rsidP="006D2012">
      <w:pPr>
        <w:spacing w:line="360" w:lineRule="auto"/>
        <w:jc w:val="both"/>
        <w:rPr>
          <w:rFonts w:ascii="Arial" w:hAnsi="Arial" w:cs="Arial"/>
        </w:rPr>
      </w:pPr>
    </w:p>
    <w:p w14:paraId="12DB06FC"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77A7B222" w14:textId="77777777" w:rsidR="0011285A" w:rsidRPr="006D2012" w:rsidRDefault="0011285A" w:rsidP="006D2012">
      <w:pPr>
        <w:spacing w:line="360" w:lineRule="auto"/>
        <w:jc w:val="both"/>
        <w:rPr>
          <w:rFonts w:ascii="Arial" w:hAnsi="Arial" w:cs="Arial"/>
        </w:rPr>
      </w:pPr>
    </w:p>
    <w:p w14:paraId="7769BDB8" w14:textId="77777777" w:rsidR="0011285A" w:rsidRPr="006D2012" w:rsidRDefault="0011285A" w:rsidP="006D2012">
      <w:pPr>
        <w:spacing w:line="360" w:lineRule="auto"/>
        <w:jc w:val="both"/>
        <w:rPr>
          <w:rFonts w:ascii="Arial" w:hAnsi="Arial" w:cs="Arial"/>
        </w:rPr>
      </w:pPr>
      <w:r w:rsidRPr="006D2012">
        <w:rPr>
          <w:rFonts w:ascii="Arial" w:hAnsi="Arial" w:cs="Arial"/>
        </w:rPr>
        <w:t>New regulatory requirements for diversity reporting, such as the UK's Diversity Reporting Initiative, can drive urgency in implementing EDI strategies (UK Government, 2023).</w:t>
      </w:r>
    </w:p>
    <w:p w14:paraId="2EA02BB7" w14:textId="77777777" w:rsidR="0011285A" w:rsidRPr="006D2012" w:rsidRDefault="0011285A" w:rsidP="006D2012">
      <w:pPr>
        <w:spacing w:line="360" w:lineRule="auto"/>
        <w:jc w:val="both"/>
        <w:rPr>
          <w:rFonts w:ascii="Arial" w:hAnsi="Arial" w:cs="Arial"/>
        </w:rPr>
      </w:pPr>
    </w:p>
    <w:p w14:paraId="51B9C64C" w14:textId="77777777" w:rsidR="0011285A" w:rsidRPr="006D2012" w:rsidRDefault="0011285A" w:rsidP="006D2012">
      <w:pPr>
        <w:spacing w:line="360" w:lineRule="auto"/>
        <w:jc w:val="both"/>
        <w:rPr>
          <w:rFonts w:ascii="Arial" w:hAnsi="Arial" w:cs="Arial"/>
        </w:rPr>
      </w:pPr>
      <w:r w:rsidRPr="006D2012">
        <w:rPr>
          <w:rFonts w:ascii="Arial" w:hAnsi="Arial" w:cs="Arial"/>
        </w:rPr>
        <w:t>Increasing corporate focus on CSR creates investment opportunities in EDI initiatives within hospitality (Davidson et al., 2021).</w:t>
      </w:r>
    </w:p>
    <w:p w14:paraId="5EF94200" w14:textId="77777777" w:rsidR="0011285A" w:rsidRPr="006D2012" w:rsidRDefault="0011285A" w:rsidP="006D2012">
      <w:pPr>
        <w:spacing w:line="360" w:lineRule="auto"/>
        <w:jc w:val="both"/>
        <w:rPr>
          <w:rFonts w:ascii="Arial" w:hAnsi="Arial" w:cs="Arial"/>
        </w:rPr>
      </w:pPr>
    </w:p>
    <w:p w14:paraId="1B65E586" w14:textId="77777777" w:rsidR="0011285A" w:rsidRPr="006D2012" w:rsidRDefault="0011285A" w:rsidP="006D2012">
      <w:pPr>
        <w:spacing w:line="360" w:lineRule="auto"/>
        <w:jc w:val="both"/>
        <w:rPr>
          <w:rFonts w:ascii="Arial" w:hAnsi="Arial" w:cs="Arial"/>
        </w:rPr>
      </w:pPr>
      <w:r w:rsidRPr="006D2012">
        <w:rPr>
          <w:rFonts w:ascii="Arial" w:hAnsi="Arial" w:cs="Arial"/>
        </w:rPr>
        <w:t>Threats:</w:t>
      </w:r>
    </w:p>
    <w:p w14:paraId="2F231242" w14:textId="77777777" w:rsidR="0011285A" w:rsidRPr="006D2012" w:rsidRDefault="0011285A" w:rsidP="006D2012">
      <w:pPr>
        <w:spacing w:line="360" w:lineRule="auto"/>
        <w:jc w:val="both"/>
        <w:rPr>
          <w:rFonts w:ascii="Arial" w:hAnsi="Arial" w:cs="Arial"/>
        </w:rPr>
      </w:pPr>
    </w:p>
    <w:p w14:paraId="6F8039E0"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253946A7" w14:textId="77777777" w:rsidR="0011285A" w:rsidRPr="006D2012" w:rsidRDefault="0011285A" w:rsidP="006D2012">
      <w:pPr>
        <w:spacing w:line="360" w:lineRule="auto"/>
        <w:jc w:val="both"/>
        <w:rPr>
          <w:rFonts w:ascii="Arial" w:hAnsi="Arial" w:cs="Arial"/>
        </w:rPr>
      </w:pPr>
    </w:p>
    <w:p w14:paraId="21584D4F" w14:textId="77777777" w:rsidR="0011285A" w:rsidRPr="006D2012" w:rsidRDefault="0011285A" w:rsidP="006D2012">
      <w:pPr>
        <w:spacing w:line="360" w:lineRule="auto"/>
        <w:jc w:val="both"/>
        <w:rPr>
          <w:rFonts w:ascii="Arial" w:hAnsi="Arial" w:cs="Arial"/>
        </w:rPr>
      </w:pPr>
      <w:r w:rsidRPr="006D2012">
        <w:rPr>
          <w:rFonts w:ascii="Arial" w:hAnsi="Arial" w:cs="Arial"/>
        </w:rPr>
        <w:t>Economic downturns could result in reduced corporate sponsorships and attendance, impacting the event’s financial viability.</w:t>
      </w:r>
    </w:p>
    <w:p w14:paraId="539AA4F7" w14:textId="77777777" w:rsidR="0011285A" w:rsidRPr="006D2012" w:rsidRDefault="0011285A" w:rsidP="006D2012">
      <w:pPr>
        <w:spacing w:line="360" w:lineRule="auto"/>
        <w:jc w:val="both"/>
        <w:rPr>
          <w:rFonts w:ascii="Arial" w:hAnsi="Arial" w:cs="Arial"/>
        </w:rPr>
      </w:pPr>
    </w:p>
    <w:p w14:paraId="6EB78CB1" w14:textId="77777777" w:rsidR="0011285A" w:rsidRPr="006D2012" w:rsidRDefault="0011285A" w:rsidP="006D2012">
      <w:pPr>
        <w:spacing w:line="360" w:lineRule="auto"/>
        <w:jc w:val="both"/>
        <w:rPr>
          <w:rFonts w:ascii="Arial" w:hAnsi="Arial" w:cs="Arial"/>
        </w:rPr>
      </w:pPr>
      <w:r w:rsidRPr="006D2012">
        <w:rPr>
          <w:rFonts w:ascii="Arial" w:hAnsi="Arial" w:cs="Arial"/>
        </w:rPr>
        <w:lastRenderedPageBreak/>
        <w:t>Potential backlash from stakeholders who may feel that EDI efforts conflict with their existing business practices (Jones &amp; Taylor, 2022).</w:t>
      </w:r>
    </w:p>
    <w:p w14:paraId="7DBC1342" w14:textId="77777777" w:rsidR="0011285A" w:rsidRPr="006D2012" w:rsidRDefault="0011285A" w:rsidP="006D2012">
      <w:pPr>
        <w:spacing w:line="360" w:lineRule="auto"/>
        <w:jc w:val="both"/>
        <w:rPr>
          <w:rFonts w:ascii="Arial" w:hAnsi="Arial" w:cs="Arial"/>
        </w:rPr>
      </w:pPr>
      <w:r w:rsidRPr="006D2012">
        <w:rPr>
          <w:rFonts w:ascii="Arial" w:hAnsi="Arial" w:cs="Arial"/>
        </w:rPr>
        <w:t>By recognising these factors, the event can capitalise on its strengths, seize emerging opportunities, and manage risks effectively.</w:t>
      </w:r>
    </w:p>
    <w:p w14:paraId="333BD7D8" w14:textId="77777777" w:rsidR="0011285A" w:rsidRPr="006D2012" w:rsidRDefault="0011285A" w:rsidP="006D2012">
      <w:pPr>
        <w:spacing w:line="360" w:lineRule="auto"/>
        <w:jc w:val="both"/>
        <w:rPr>
          <w:rFonts w:ascii="Arial" w:hAnsi="Arial" w:cs="Arial"/>
        </w:rPr>
      </w:pPr>
    </w:p>
    <w:p w14:paraId="19D43F88"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7E95F182" w14:textId="77777777" w:rsidR="0011285A" w:rsidRPr="006D2012" w:rsidRDefault="0011285A" w:rsidP="006D2012">
      <w:pPr>
        <w:spacing w:line="360" w:lineRule="auto"/>
        <w:jc w:val="both"/>
        <w:rPr>
          <w:rFonts w:ascii="Arial" w:hAnsi="Arial" w:cs="Arial"/>
        </w:rPr>
      </w:pPr>
    </w:p>
    <w:p w14:paraId="595F15C4" w14:textId="77777777" w:rsidR="0011285A" w:rsidRPr="006D2012" w:rsidRDefault="0011285A" w:rsidP="006D2012">
      <w:pPr>
        <w:spacing w:line="360" w:lineRule="auto"/>
        <w:jc w:val="both"/>
        <w:rPr>
          <w:rFonts w:ascii="Arial" w:hAnsi="Arial" w:cs="Arial"/>
        </w:rPr>
      </w:pPr>
      <w:r w:rsidRPr="006D2012">
        <w:rPr>
          <w:rFonts w:ascii="Arial" w:hAnsi="Arial" w:cs="Arial"/>
        </w:rPr>
        <w:t>PESTLE Analysis</w:t>
      </w:r>
    </w:p>
    <w:p w14:paraId="2FD2DEB0" w14:textId="77777777" w:rsidR="0011285A" w:rsidRPr="006D2012" w:rsidRDefault="0011285A" w:rsidP="006D2012">
      <w:pPr>
        <w:spacing w:line="360" w:lineRule="auto"/>
        <w:jc w:val="both"/>
        <w:rPr>
          <w:rFonts w:ascii="Arial" w:hAnsi="Arial" w:cs="Arial"/>
        </w:rPr>
      </w:pPr>
    </w:p>
    <w:p w14:paraId="47B5E1A6" w14:textId="77777777" w:rsidR="0011285A" w:rsidRPr="006D2012" w:rsidRDefault="0011285A" w:rsidP="006D2012">
      <w:pPr>
        <w:spacing w:line="360" w:lineRule="auto"/>
        <w:jc w:val="both"/>
        <w:rPr>
          <w:rFonts w:ascii="Arial" w:hAnsi="Arial" w:cs="Arial"/>
        </w:rPr>
      </w:pPr>
      <w:r w:rsidRPr="006D2012">
        <w:rPr>
          <w:rFonts w:ascii="Arial" w:hAnsi="Arial" w:cs="Arial"/>
        </w:rPr>
        <w:t>The PESTLE analysis offers insight into the external macro-environmental factors that may impact the event:</w:t>
      </w:r>
    </w:p>
    <w:p w14:paraId="279E83BC" w14:textId="77777777" w:rsidR="0011285A" w:rsidRPr="006D2012" w:rsidRDefault="0011285A" w:rsidP="006D2012">
      <w:pPr>
        <w:spacing w:line="360" w:lineRule="auto"/>
        <w:jc w:val="both"/>
        <w:rPr>
          <w:rFonts w:ascii="Arial" w:hAnsi="Arial" w:cs="Arial"/>
        </w:rPr>
      </w:pPr>
    </w:p>
    <w:p w14:paraId="07308264"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6B06E78E" w14:textId="77777777" w:rsidR="0011285A" w:rsidRPr="006D2012" w:rsidRDefault="0011285A" w:rsidP="006D2012">
      <w:pPr>
        <w:spacing w:line="360" w:lineRule="auto"/>
        <w:jc w:val="both"/>
        <w:rPr>
          <w:rFonts w:ascii="Arial" w:hAnsi="Arial" w:cs="Arial"/>
        </w:rPr>
      </w:pPr>
    </w:p>
    <w:p w14:paraId="02EE1964" w14:textId="77777777" w:rsidR="0011285A" w:rsidRPr="006D2012" w:rsidRDefault="0011285A" w:rsidP="006D2012">
      <w:pPr>
        <w:spacing w:line="360" w:lineRule="auto"/>
        <w:jc w:val="both"/>
        <w:rPr>
          <w:rFonts w:ascii="Arial" w:hAnsi="Arial" w:cs="Arial"/>
        </w:rPr>
      </w:pPr>
      <w:r w:rsidRPr="006D2012">
        <w:rPr>
          <w:rFonts w:ascii="Arial" w:hAnsi="Arial" w:cs="Arial"/>
        </w:rPr>
        <w:t>Political:</w:t>
      </w:r>
    </w:p>
    <w:p w14:paraId="0350CCE6" w14:textId="77777777" w:rsidR="0011285A" w:rsidRPr="006D2012" w:rsidRDefault="0011285A" w:rsidP="006D2012">
      <w:pPr>
        <w:spacing w:line="360" w:lineRule="auto"/>
        <w:jc w:val="both"/>
        <w:rPr>
          <w:rFonts w:ascii="Arial" w:hAnsi="Arial" w:cs="Arial"/>
        </w:rPr>
      </w:pPr>
    </w:p>
    <w:p w14:paraId="4DD1568B"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72F1EBCE" w14:textId="77777777" w:rsidR="0011285A" w:rsidRPr="006D2012" w:rsidRDefault="0011285A" w:rsidP="006D2012">
      <w:pPr>
        <w:spacing w:line="360" w:lineRule="auto"/>
        <w:jc w:val="both"/>
        <w:rPr>
          <w:rFonts w:ascii="Arial" w:hAnsi="Arial" w:cs="Arial"/>
        </w:rPr>
      </w:pPr>
    </w:p>
    <w:p w14:paraId="45F023D0" w14:textId="77777777" w:rsidR="0011285A" w:rsidRPr="006D2012" w:rsidRDefault="0011285A" w:rsidP="006D2012">
      <w:pPr>
        <w:spacing w:line="360" w:lineRule="auto"/>
        <w:jc w:val="both"/>
        <w:rPr>
          <w:rFonts w:ascii="Arial" w:hAnsi="Arial" w:cs="Arial"/>
        </w:rPr>
      </w:pPr>
      <w:r w:rsidRPr="006D2012">
        <w:rPr>
          <w:rFonts w:ascii="Arial" w:hAnsi="Arial" w:cs="Arial"/>
        </w:rPr>
        <w:t>Government Regulations: Compliance with diversity and inclusion regulations such as the UK Government’s Diversity Reporting Initiative, which mandates the reporting of diversity data and policies (UK Government, 2023).</w:t>
      </w:r>
    </w:p>
    <w:p w14:paraId="289AC4A5" w14:textId="77777777" w:rsidR="0011285A" w:rsidRPr="006D2012" w:rsidRDefault="0011285A" w:rsidP="006D2012">
      <w:pPr>
        <w:spacing w:line="360" w:lineRule="auto"/>
        <w:jc w:val="both"/>
        <w:rPr>
          <w:rFonts w:ascii="Arial" w:hAnsi="Arial" w:cs="Arial"/>
        </w:rPr>
      </w:pPr>
    </w:p>
    <w:p w14:paraId="5476BEDD" w14:textId="77777777" w:rsidR="0011285A" w:rsidRPr="006D2012" w:rsidRDefault="0011285A" w:rsidP="006D2012">
      <w:pPr>
        <w:spacing w:line="360" w:lineRule="auto"/>
        <w:jc w:val="both"/>
        <w:rPr>
          <w:rFonts w:ascii="Arial" w:hAnsi="Arial" w:cs="Arial"/>
        </w:rPr>
      </w:pPr>
      <w:r w:rsidRPr="006D2012">
        <w:rPr>
          <w:rFonts w:ascii="Arial" w:hAnsi="Arial" w:cs="Arial"/>
        </w:rPr>
        <w:t>Legislative Change: Potential for new local, national, or international policies that may influence diversity practices within the hospitality industry.</w:t>
      </w:r>
    </w:p>
    <w:p w14:paraId="6A8504B7" w14:textId="77777777" w:rsidR="0011285A" w:rsidRPr="006D2012" w:rsidRDefault="0011285A" w:rsidP="006D2012">
      <w:pPr>
        <w:spacing w:line="360" w:lineRule="auto"/>
        <w:jc w:val="both"/>
        <w:rPr>
          <w:rFonts w:ascii="Arial" w:hAnsi="Arial" w:cs="Arial"/>
        </w:rPr>
      </w:pPr>
      <w:r w:rsidRPr="006D2012">
        <w:rPr>
          <w:rFonts w:ascii="Arial" w:hAnsi="Arial" w:cs="Arial"/>
        </w:rPr>
        <w:t>Economic:</w:t>
      </w:r>
    </w:p>
    <w:p w14:paraId="0C12D7EB" w14:textId="77777777" w:rsidR="0011285A" w:rsidRPr="006D2012" w:rsidRDefault="0011285A" w:rsidP="006D2012">
      <w:pPr>
        <w:spacing w:line="360" w:lineRule="auto"/>
        <w:jc w:val="both"/>
        <w:rPr>
          <w:rFonts w:ascii="Arial" w:hAnsi="Arial" w:cs="Arial"/>
        </w:rPr>
      </w:pPr>
    </w:p>
    <w:p w14:paraId="49F21A60" w14:textId="77777777" w:rsidR="0011285A" w:rsidRPr="006D2012" w:rsidRDefault="0011285A" w:rsidP="006D2012">
      <w:pPr>
        <w:spacing w:line="360" w:lineRule="auto"/>
        <w:jc w:val="both"/>
        <w:rPr>
          <w:rFonts w:ascii="Arial" w:hAnsi="Arial" w:cs="Arial"/>
        </w:rPr>
      </w:pPr>
      <w:r w:rsidRPr="006D2012">
        <w:rPr>
          <w:rFonts w:ascii="Arial" w:hAnsi="Arial" w:cs="Arial"/>
        </w:rPr>
        <w:lastRenderedPageBreak/>
        <w:t xml:space="preserve"> </w:t>
      </w:r>
    </w:p>
    <w:p w14:paraId="67EAC411" w14:textId="77777777" w:rsidR="0011285A" w:rsidRPr="006D2012" w:rsidRDefault="0011285A" w:rsidP="006D2012">
      <w:pPr>
        <w:spacing w:line="360" w:lineRule="auto"/>
        <w:jc w:val="both"/>
        <w:rPr>
          <w:rFonts w:ascii="Arial" w:hAnsi="Arial" w:cs="Arial"/>
        </w:rPr>
      </w:pPr>
    </w:p>
    <w:p w14:paraId="3470AF4C" w14:textId="77777777" w:rsidR="0011285A" w:rsidRPr="006D2012" w:rsidRDefault="0011285A" w:rsidP="006D2012">
      <w:pPr>
        <w:spacing w:line="360" w:lineRule="auto"/>
        <w:jc w:val="both"/>
        <w:rPr>
          <w:rFonts w:ascii="Arial" w:hAnsi="Arial" w:cs="Arial"/>
        </w:rPr>
      </w:pPr>
      <w:r w:rsidRPr="006D2012">
        <w:rPr>
          <w:rFonts w:ascii="Arial" w:hAnsi="Arial" w:cs="Arial"/>
        </w:rPr>
        <w:t>Economic Downturn: Potential reduction in corporate sponsorships and attendee participation due to economic slowdowns (e.g., recessions or inflation), which may impact financial viability (Jones &amp; Taylor, 2022).</w:t>
      </w:r>
    </w:p>
    <w:p w14:paraId="6201B865" w14:textId="77777777" w:rsidR="0011285A" w:rsidRPr="006D2012" w:rsidRDefault="0011285A" w:rsidP="006D2012">
      <w:pPr>
        <w:spacing w:line="360" w:lineRule="auto"/>
        <w:jc w:val="both"/>
        <w:rPr>
          <w:rFonts w:ascii="Arial" w:hAnsi="Arial" w:cs="Arial"/>
        </w:rPr>
      </w:pPr>
    </w:p>
    <w:p w14:paraId="770BE6F6" w14:textId="77777777" w:rsidR="0011285A" w:rsidRPr="006D2012" w:rsidRDefault="0011285A" w:rsidP="006D2012">
      <w:pPr>
        <w:spacing w:line="360" w:lineRule="auto"/>
        <w:jc w:val="both"/>
        <w:rPr>
          <w:rFonts w:ascii="Arial" w:hAnsi="Arial" w:cs="Arial"/>
        </w:rPr>
      </w:pPr>
      <w:r w:rsidRPr="006D2012">
        <w:rPr>
          <w:rFonts w:ascii="Arial" w:hAnsi="Arial" w:cs="Arial"/>
        </w:rPr>
        <w:t>Corporate Investment: Increasing corporate focus on CSR (Corporate Social Responsibility) may lead to more investment in EDI initiatives (Davidson et al., 2021), presenting opportunities for sponsorship and partnerships.</w:t>
      </w:r>
    </w:p>
    <w:p w14:paraId="1EA85744" w14:textId="77777777" w:rsidR="0011285A" w:rsidRPr="006D2012" w:rsidRDefault="0011285A" w:rsidP="006D2012">
      <w:pPr>
        <w:spacing w:line="360" w:lineRule="auto"/>
        <w:jc w:val="both"/>
        <w:rPr>
          <w:rFonts w:ascii="Arial" w:hAnsi="Arial" w:cs="Arial"/>
        </w:rPr>
      </w:pPr>
    </w:p>
    <w:p w14:paraId="3B2894C2" w14:textId="77777777" w:rsidR="0011285A" w:rsidRPr="006D2012" w:rsidRDefault="0011285A" w:rsidP="006D2012">
      <w:pPr>
        <w:spacing w:line="360" w:lineRule="auto"/>
        <w:jc w:val="both"/>
        <w:rPr>
          <w:rFonts w:ascii="Arial" w:hAnsi="Arial" w:cs="Arial"/>
        </w:rPr>
      </w:pPr>
      <w:r w:rsidRPr="006D2012">
        <w:rPr>
          <w:rFonts w:ascii="Arial" w:hAnsi="Arial" w:cs="Arial"/>
        </w:rPr>
        <w:t>Social:</w:t>
      </w:r>
    </w:p>
    <w:p w14:paraId="1EDFB424" w14:textId="77777777" w:rsidR="0011285A" w:rsidRPr="006D2012" w:rsidRDefault="0011285A" w:rsidP="006D2012">
      <w:pPr>
        <w:spacing w:line="360" w:lineRule="auto"/>
        <w:jc w:val="both"/>
        <w:rPr>
          <w:rFonts w:ascii="Arial" w:hAnsi="Arial" w:cs="Arial"/>
        </w:rPr>
      </w:pPr>
    </w:p>
    <w:p w14:paraId="070E7E81"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5217E1E5" w14:textId="77777777" w:rsidR="0011285A" w:rsidRPr="006D2012" w:rsidRDefault="0011285A" w:rsidP="006D2012">
      <w:pPr>
        <w:spacing w:line="360" w:lineRule="auto"/>
        <w:jc w:val="both"/>
        <w:rPr>
          <w:rFonts w:ascii="Arial" w:hAnsi="Arial" w:cs="Arial"/>
        </w:rPr>
      </w:pPr>
    </w:p>
    <w:p w14:paraId="7941EF85" w14:textId="77777777" w:rsidR="0011285A" w:rsidRPr="006D2012" w:rsidRDefault="0011285A" w:rsidP="006D2012">
      <w:pPr>
        <w:spacing w:line="360" w:lineRule="auto"/>
        <w:jc w:val="both"/>
        <w:rPr>
          <w:rFonts w:ascii="Arial" w:hAnsi="Arial" w:cs="Arial"/>
        </w:rPr>
      </w:pPr>
      <w:r w:rsidRPr="006D2012">
        <w:rPr>
          <w:rFonts w:ascii="Arial" w:hAnsi="Arial" w:cs="Arial"/>
        </w:rPr>
        <w:t>Shifting Public Sentiment: A growing emphasis on diversity, equity, and inclusion within society can create heightened demand for EDI-focused events. Stakeholders, including consumers and employees, expect organisations to demonstrate social responsibility (Miller &amp; Wells, 2021).</w:t>
      </w:r>
    </w:p>
    <w:p w14:paraId="718EBFA5" w14:textId="77777777" w:rsidR="0011285A" w:rsidRPr="006D2012" w:rsidRDefault="0011285A" w:rsidP="006D2012">
      <w:pPr>
        <w:spacing w:line="360" w:lineRule="auto"/>
        <w:jc w:val="both"/>
        <w:rPr>
          <w:rFonts w:ascii="Arial" w:hAnsi="Arial" w:cs="Arial"/>
        </w:rPr>
      </w:pPr>
    </w:p>
    <w:p w14:paraId="0C5B0060" w14:textId="77777777" w:rsidR="0011285A" w:rsidRPr="006D2012" w:rsidRDefault="0011285A" w:rsidP="006D2012">
      <w:pPr>
        <w:spacing w:line="360" w:lineRule="auto"/>
        <w:jc w:val="both"/>
        <w:rPr>
          <w:rFonts w:ascii="Arial" w:hAnsi="Arial" w:cs="Arial"/>
        </w:rPr>
      </w:pPr>
      <w:r w:rsidRPr="006D2012">
        <w:rPr>
          <w:rFonts w:ascii="Arial" w:hAnsi="Arial" w:cs="Arial"/>
        </w:rPr>
        <w:t>Workplace Culture: There is a growing demand for workplaces to become more inclusive, reflecting societal shifts toward equality and social justice (Sharma &amp; Singh, 2021).</w:t>
      </w:r>
    </w:p>
    <w:p w14:paraId="1A2A17DA" w14:textId="77777777" w:rsidR="0011285A" w:rsidRPr="006D2012" w:rsidRDefault="0011285A" w:rsidP="006D2012">
      <w:pPr>
        <w:spacing w:line="360" w:lineRule="auto"/>
        <w:jc w:val="both"/>
        <w:rPr>
          <w:rFonts w:ascii="Arial" w:hAnsi="Arial" w:cs="Arial"/>
        </w:rPr>
      </w:pPr>
    </w:p>
    <w:p w14:paraId="5BE1C9C7" w14:textId="77777777" w:rsidR="0011285A" w:rsidRPr="006D2012" w:rsidRDefault="0011285A" w:rsidP="006D2012">
      <w:pPr>
        <w:spacing w:line="360" w:lineRule="auto"/>
        <w:jc w:val="both"/>
        <w:rPr>
          <w:rFonts w:ascii="Arial" w:hAnsi="Arial" w:cs="Arial"/>
        </w:rPr>
      </w:pPr>
      <w:r w:rsidRPr="006D2012">
        <w:rPr>
          <w:rFonts w:ascii="Arial" w:hAnsi="Arial" w:cs="Arial"/>
        </w:rPr>
        <w:t>Technological:</w:t>
      </w:r>
    </w:p>
    <w:p w14:paraId="0006D15B" w14:textId="77777777" w:rsidR="0011285A" w:rsidRPr="006D2012" w:rsidRDefault="0011285A" w:rsidP="006D2012">
      <w:pPr>
        <w:spacing w:line="360" w:lineRule="auto"/>
        <w:jc w:val="both"/>
        <w:rPr>
          <w:rFonts w:ascii="Arial" w:hAnsi="Arial" w:cs="Arial"/>
        </w:rPr>
      </w:pPr>
    </w:p>
    <w:p w14:paraId="209A3F6A"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587F978E" w14:textId="77777777" w:rsidR="0011285A" w:rsidRPr="006D2012" w:rsidRDefault="0011285A" w:rsidP="006D2012">
      <w:pPr>
        <w:spacing w:line="360" w:lineRule="auto"/>
        <w:jc w:val="both"/>
        <w:rPr>
          <w:rFonts w:ascii="Arial" w:hAnsi="Arial" w:cs="Arial"/>
        </w:rPr>
      </w:pPr>
    </w:p>
    <w:p w14:paraId="31E60618" w14:textId="77777777" w:rsidR="0011285A" w:rsidRPr="006D2012" w:rsidRDefault="0011285A" w:rsidP="006D2012">
      <w:pPr>
        <w:spacing w:line="360" w:lineRule="auto"/>
        <w:jc w:val="both"/>
        <w:rPr>
          <w:rFonts w:ascii="Arial" w:hAnsi="Arial" w:cs="Arial"/>
        </w:rPr>
      </w:pPr>
      <w:r w:rsidRPr="006D2012">
        <w:rPr>
          <w:rFonts w:ascii="Arial" w:hAnsi="Arial" w:cs="Arial"/>
        </w:rPr>
        <w:lastRenderedPageBreak/>
        <w:t>Digital Platforms for Hybrid Events: Reliance on technology for live streaming and virtual event participation. Technical challenges such as poor internet connectivity, platform malfunctions, or streaming issues must be addressed to ensure smooth delivery (Smith &amp; Andrews, 2023).</w:t>
      </w:r>
    </w:p>
    <w:p w14:paraId="60848296" w14:textId="77777777" w:rsidR="0011285A" w:rsidRPr="006D2012" w:rsidRDefault="0011285A" w:rsidP="006D2012">
      <w:pPr>
        <w:spacing w:line="360" w:lineRule="auto"/>
        <w:jc w:val="both"/>
        <w:rPr>
          <w:rFonts w:ascii="Arial" w:hAnsi="Arial" w:cs="Arial"/>
        </w:rPr>
      </w:pPr>
    </w:p>
    <w:p w14:paraId="5692935A" w14:textId="77777777" w:rsidR="0011285A" w:rsidRPr="006D2012" w:rsidRDefault="0011285A" w:rsidP="006D2012">
      <w:pPr>
        <w:spacing w:line="360" w:lineRule="auto"/>
        <w:jc w:val="both"/>
        <w:rPr>
          <w:rFonts w:ascii="Arial" w:hAnsi="Arial" w:cs="Arial"/>
        </w:rPr>
      </w:pPr>
      <w:r w:rsidRPr="006D2012">
        <w:rPr>
          <w:rFonts w:ascii="Arial" w:hAnsi="Arial" w:cs="Arial"/>
        </w:rPr>
        <w:t>Data Analytics: Data analytics and feedback systems are used to measure event success, gather attendee feedback, and evaluate the impact of organisational diversity policies.</w:t>
      </w:r>
    </w:p>
    <w:p w14:paraId="502BBBE3" w14:textId="77777777" w:rsidR="0011285A" w:rsidRPr="006D2012" w:rsidRDefault="0011285A" w:rsidP="006D2012">
      <w:pPr>
        <w:spacing w:line="360" w:lineRule="auto"/>
        <w:jc w:val="both"/>
        <w:rPr>
          <w:rFonts w:ascii="Arial" w:hAnsi="Arial" w:cs="Arial"/>
        </w:rPr>
      </w:pPr>
      <w:r w:rsidRPr="006D2012">
        <w:rPr>
          <w:rFonts w:ascii="Arial" w:hAnsi="Arial" w:cs="Arial"/>
        </w:rPr>
        <w:t>Legal:</w:t>
      </w:r>
    </w:p>
    <w:p w14:paraId="38D3C54A" w14:textId="77777777" w:rsidR="0011285A" w:rsidRPr="006D2012" w:rsidRDefault="0011285A" w:rsidP="006D2012">
      <w:pPr>
        <w:spacing w:line="360" w:lineRule="auto"/>
        <w:jc w:val="both"/>
        <w:rPr>
          <w:rFonts w:ascii="Arial" w:hAnsi="Arial" w:cs="Arial"/>
        </w:rPr>
      </w:pPr>
    </w:p>
    <w:p w14:paraId="2F4468D9"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6E7712D0" w14:textId="77777777" w:rsidR="0011285A" w:rsidRPr="006D2012" w:rsidRDefault="0011285A" w:rsidP="006D2012">
      <w:pPr>
        <w:spacing w:line="360" w:lineRule="auto"/>
        <w:jc w:val="both"/>
        <w:rPr>
          <w:rFonts w:ascii="Arial" w:hAnsi="Arial" w:cs="Arial"/>
        </w:rPr>
      </w:pPr>
    </w:p>
    <w:p w14:paraId="6919A86D" w14:textId="77777777" w:rsidR="0011285A" w:rsidRPr="006D2012" w:rsidRDefault="0011285A" w:rsidP="006D2012">
      <w:pPr>
        <w:spacing w:line="360" w:lineRule="auto"/>
        <w:jc w:val="both"/>
        <w:rPr>
          <w:rFonts w:ascii="Arial" w:hAnsi="Arial" w:cs="Arial"/>
        </w:rPr>
      </w:pPr>
      <w:r w:rsidRPr="006D2012">
        <w:rPr>
          <w:rFonts w:ascii="Arial" w:hAnsi="Arial" w:cs="Arial"/>
        </w:rPr>
        <w:t>Diversity Legislation: Compliance with the Equality Act 2010 and the General Data Protection Regulation (GDPR) to ensure fair treatment, accessibility, and data protection during the event (Davis, 1973).</w:t>
      </w:r>
    </w:p>
    <w:p w14:paraId="185F48F9" w14:textId="77777777" w:rsidR="0011285A" w:rsidRPr="006D2012" w:rsidRDefault="0011285A" w:rsidP="006D2012">
      <w:pPr>
        <w:spacing w:line="360" w:lineRule="auto"/>
        <w:jc w:val="both"/>
        <w:rPr>
          <w:rFonts w:ascii="Arial" w:hAnsi="Arial" w:cs="Arial"/>
        </w:rPr>
      </w:pPr>
    </w:p>
    <w:p w14:paraId="1A7F371A" w14:textId="77777777" w:rsidR="0011285A" w:rsidRPr="006D2012" w:rsidRDefault="0011285A" w:rsidP="006D2012">
      <w:pPr>
        <w:spacing w:line="360" w:lineRule="auto"/>
        <w:jc w:val="both"/>
        <w:rPr>
          <w:rFonts w:ascii="Arial" w:hAnsi="Arial" w:cs="Arial"/>
        </w:rPr>
      </w:pPr>
      <w:r w:rsidRPr="006D2012">
        <w:rPr>
          <w:rFonts w:ascii="Arial" w:hAnsi="Arial" w:cs="Arial"/>
        </w:rPr>
        <w:t>Accessibility Laws: Ensuring that the event is accessible to all participants, including providing in-person accommodations for attendees with disabilities and offering captioning for virtual sessions.</w:t>
      </w:r>
    </w:p>
    <w:p w14:paraId="1D718E3B" w14:textId="77777777" w:rsidR="0011285A" w:rsidRPr="006D2012" w:rsidRDefault="0011285A" w:rsidP="006D2012">
      <w:pPr>
        <w:spacing w:line="360" w:lineRule="auto"/>
        <w:jc w:val="both"/>
        <w:rPr>
          <w:rFonts w:ascii="Arial" w:hAnsi="Arial" w:cs="Arial"/>
        </w:rPr>
      </w:pPr>
    </w:p>
    <w:p w14:paraId="286A203D" w14:textId="77777777" w:rsidR="0011285A" w:rsidRPr="006D2012" w:rsidRDefault="0011285A" w:rsidP="006D2012">
      <w:pPr>
        <w:spacing w:line="360" w:lineRule="auto"/>
        <w:jc w:val="both"/>
        <w:rPr>
          <w:rFonts w:ascii="Arial" w:hAnsi="Arial" w:cs="Arial"/>
        </w:rPr>
      </w:pPr>
      <w:r w:rsidRPr="006D2012">
        <w:rPr>
          <w:rFonts w:ascii="Arial" w:hAnsi="Arial" w:cs="Arial"/>
        </w:rPr>
        <w:t>Environmental:</w:t>
      </w:r>
    </w:p>
    <w:p w14:paraId="0A637D7C" w14:textId="77777777" w:rsidR="0011285A" w:rsidRPr="006D2012" w:rsidRDefault="0011285A" w:rsidP="006D2012">
      <w:pPr>
        <w:spacing w:line="360" w:lineRule="auto"/>
        <w:jc w:val="both"/>
        <w:rPr>
          <w:rFonts w:ascii="Arial" w:hAnsi="Arial" w:cs="Arial"/>
        </w:rPr>
      </w:pPr>
    </w:p>
    <w:p w14:paraId="25D1AFCD" w14:textId="77777777" w:rsidR="0011285A" w:rsidRPr="006D2012" w:rsidRDefault="0011285A" w:rsidP="006D2012">
      <w:pPr>
        <w:spacing w:line="360" w:lineRule="auto"/>
        <w:jc w:val="both"/>
        <w:rPr>
          <w:rFonts w:ascii="Arial" w:hAnsi="Arial" w:cs="Arial"/>
        </w:rPr>
      </w:pPr>
      <w:r w:rsidRPr="006D2012">
        <w:rPr>
          <w:rFonts w:ascii="Arial" w:hAnsi="Arial" w:cs="Arial"/>
        </w:rPr>
        <w:t xml:space="preserve"> </w:t>
      </w:r>
    </w:p>
    <w:p w14:paraId="78521653" w14:textId="77777777" w:rsidR="0011285A" w:rsidRPr="006D2012" w:rsidRDefault="0011285A" w:rsidP="006D2012">
      <w:pPr>
        <w:spacing w:line="360" w:lineRule="auto"/>
        <w:jc w:val="both"/>
        <w:rPr>
          <w:rFonts w:ascii="Arial" w:hAnsi="Arial" w:cs="Arial"/>
        </w:rPr>
      </w:pPr>
    </w:p>
    <w:p w14:paraId="002F599B" w14:textId="77777777" w:rsidR="0011285A" w:rsidRPr="006D2012" w:rsidRDefault="0011285A" w:rsidP="006D2012">
      <w:pPr>
        <w:spacing w:line="360" w:lineRule="auto"/>
        <w:jc w:val="both"/>
        <w:rPr>
          <w:rFonts w:ascii="Arial" w:hAnsi="Arial" w:cs="Arial"/>
        </w:rPr>
      </w:pPr>
      <w:r w:rsidRPr="006D2012">
        <w:rPr>
          <w:rFonts w:ascii="Arial" w:hAnsi="Arial" w:cs="Arial"/>
        </w:rPr>
        <w:t>Sustainability: Growing emphasis on environmentally sustainable event practices. Incorporating eco-friendly practices such as reducing waste, using sustainable materials for event signage, and offering virtual attendance options to reduce travel-related carbon footprints.</w:t>
      </w:r>
    </w:p>
    <w:p w14:paraId="338D2EB4" w14:textId="77777777" w:rsidR="0011285A" w:rsidRPr="006D2012" w:rsidRDefault="0011285A" w:rsidP="006D2012">
      <w:pPr>
        <w:spacing w:line="360" w:lineRule="auto"/>
        <w:jc w:val="both"/>
        <w:rPr>
          <w:rFonts w:ascii="Arial" w:hAnsi="Arial" w:cs="Arial"/>
        </w:rPr>
      </w:pPr>
    </w:p>
    <w:p w14:paraId="420F2A3C" w14:textId="4A458D5A" w:rsidR="0011285A" w:rsidRPr="006D2012" w:rsidRDefault="0011285A" w:rsidP="006D2012">
      <w:pPr>
        <w:spacing w:line="360" w:lineRule="auto"/>
        <w:jc w:val="both"/>
        <w:rPr>
          <w:rFonts w:ascii="Arial" w:hAnsi="Arial" w:cs="Arial"/>
        </w:rPr>
      </w:pPr>
      <w:r w:rsidRPr="006D2012">
        <w:rPr>
          <w:rFonts w:ascii="Arial" w:hAnsi="Arial" w:cs="Arial"/>
        </w:rPr>
        <w:t>Environmental Impact: There is potential for ecological advocacy to play a role in aligning the event with broader sustainability goals, fostering the event's credibility, and aligning it with stakeholder values.</w:t>
      </w:r>
    </w:p>
    <w:sectPr w:rsidR="0011285A" w:rsidRPr="006D2012" w:rsidSect="0004585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756"/>
    <w:rsid w:val="0004585E"/>
    <w:rsid w:val="000B6CF7"/>
    <w:rsid w:val="0011285A"/>
    <w:rsid w:val="004175C2"/>
    <w:rsid w:val="006D2012"/>
    <w:rsid w:val="007E3063"/>
    <w:rsid w:val="00CA415F"/>
    <w:rsid w:val="00D50EE3"/>
    <w:rsid w:val="00F01756"/>
    <w:rsid w:val="00FF4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D10EA"/>
  <w15:chartTrackingRefBased/>
  <w15:docId w15:val="{5BD175B9-3CB8-4D9F-BB3A-3DCD0D2A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756"/>
    <w:rPr>
      <w:rFonts w:eastAsiaTheme="majorEastAsia" w:cstheme="majorBidi"/>
      <w:color w:val="272727" w:themeColor="text1" w:themeTint="D8"/>
    </w:rPr>
  </w:style>
  <w:style w:type="paragraph" w:styleId="Title">
    <w:name w:val="Title"/>
    <w:basedOn w:val="Normal"/>
    <w:next w:val="Normal"/>
    <w:link w:val="TitleChar"/>
    <w:uiPriority w:val="10"/>
    <w:qFormat/>
    <w:rsid w:val="00F0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756"/>
    <w:pPr>
      <w:spacing w:before="160"/>
      <w:jc w:val="center"/>
    </w:pPr>
    <w:rPr>
      <w:i/>
      <w:iCs/>
      <w:color w:val="404040" w:themeColor="text1" w:themeTint="BF"/>
    </w:rPr>
  </w:style>
  <w:style w:type="character" w:customStyle="1" w:styleId="QuoteChar">
    <w:name w:val="Quote Char"/>
    <w:basedOn w:val="DefaultParagraphFont"/>
    <w:link w:val="Quote"/>
    <w:uiPriority w:val="29"/>
    <w:rsid w:val="00F01756"/>
    <w:rPr>
      <w:i/>
      <w:iCs/>
      <w:color w:val="404040" w:themeColor="text1" w:themeTint="BF"/>
    </w:rPr>
  </w:style>
  <w:style w:type="paragraph" w:styleId="ListParagraph">
    <w:name w:val="List Paragraph"/>
    <w:basedOn w:val="Normal"/>
    <w:uiPriority w:val="34"/>
    <w:qFormat/>
    <w:rsid w:val="00F01756"/>
    <w:pPr>
      <w:ind w:left="720"/>
      <w:contextualSpacing/>
    </w:pPr>
  </w:style>
  <w:style w:type="character" w:styleId="IntenseEmphasis">
    <w:name w:val="Intense Emphasis"/>
    <w:basedOn w:val="DefaultParagraphFont"/>
    <w:uiPriority w:val="21"/>
    <w:qFormat/>
    <w:rsid w:val="00F01756"/>
    <w:rPr>
      <w:i/>
      <w:iCs/>
      <w:color w:val="0F4761" w:themeColor="accent1" w:themeShade="BF"/>
    </w:rPr>
  </w:style>
  <w:style w:type="paragraph" w:styleId="IntenseQuote">
    <w:name w:val="Intense Quote"/>
    <w:basedOn w:val="Normal"/>
    <w:next w:val="Normal"/>
    <w:link w:val="IntenseQuoteChar"/>
    <w:uiPriority w:val="30"/>
    <w:qFormat/>
    <w:rsid w:val="00F0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756"/>
    <w:rPr>
      <w:i/>
      <w:iCs/>
      <w:color w:val="0F4761" w:themeColor="accent1" w:themeShade="BF"/>
    </w:rPr>
  </w:style>
  <w:style w:type="character" w:styleId="IntenseReference">
    <w:name w:val="Intense Reference"/>
    <w:basedOn w:val="DefaultParagraphFont"/>
    <w:uiPriority w:val="32"/>
    <w:qFormat/>
    <w:rsid w:val="00F01756"/>
    <w:rPr>
      <w:b/>
      <w:bCs/>
      <w:smallCaps/>
      <w:color w:val="0F4761" w:themeColor="accent1" w:themeShade="BF"/>
      <w:spacing w:val="5"/>
    </w:rPr>
  </w:style>
  <w:style w:type="paragraph" w:styleId="NoSpacing">
    <w:name w:val="No Spacing"/>
    <w:link w:val="NoSpacingChar"/>
    <w:uiPriority w:val="1"/>
    <w:qFormat/>
    <w:rsid w:val="0004585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4585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B6CF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B6CF7"/>
    <w:pPr>
      <w:spacing w:after="100"/>
    </w:pPr>
  </w:style>
  <w:style w:type="character" w:styleId="Hyperlink">
    <w:name w:val="Hyperlink"/>
    <w:basedOn w:val="DefaultParagraphFont"/>
    <w:uiPriority w:val="99"/>
    <w:unhideWhenUsed/>
    <w:rsid w:val="000B6CF7"/>
    <w:rPr>
      <w:color w:val="467886" w:themeColor="hyperlink"/>
      <w:u w:val="single"/>
    </w:rPr>
  </w:style>
  <w:style w:type="character" w:styleId="UnresolvedMention">
    <w:name w:val="Unresolved Mention"/>
    <w:basedOn w:val="DefaultParagraphFont"/>
    <w:uiPriority w:val="99"/>
    <w:semiHidden/>
    <w:unhideWhenUsed/>
    <w:rsid w:val="00D50E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19E4043F47746ADAEA6DDBE7E30118E"/>
        <w:category>
          <w:name w:val="General"/>
          <w:gallery w:val="placeholder"/>
        </w:category>
        <w:types>
          <w:type w:val="bbPlcHdr"/>
        </w:types>
        <w:behaviors>
          <w:behavior w:val="content"/>
        </w:behaviors>
        <w:guid w:val="{5345EA6E-CF5F-4563-8870-F400DFF68464}"/>
      </w:docPartPr>
      <w:docPartBody>
        <w:p w:rsidR="00F804E3" w:rsidRDefault="004640EC" w:rsidP="004640EC">
          <w:pPr>
            <w:pStyle w:val="819E4043F47746ADAEA6DDBE7E30118E"/>
          </w:pPr>
          <w:r>
            <w:rPr>
              <w:rFonts w:asciiTheme="majorHAnsi" w:eastAsiaTheme="majorEastAsia" w:hAnsiTheme="majorHAnsi" w:cstheme="majorBidi"/>
              <w:caps/>
              <w:color w:val="156082" w:themeColor="accent1"/>
              <w:sz w:val="80"/>
              <w:szCs w:val="80"/>
            </w:rPr>
            <w:t>[Document title]</w:t>
          </w:r>
        </w:p>
      </w:docPartBody>
    </w:docPart>
    <w:docPart>
      <w:docPartPr>
        <w:name w:val="34A7AFC83E54420180C63C1C4D8B6864"/>
        <w:category>
          <w:name w:val="General"/>
          <w:gallery w:val="placeholder"/>
        </w:category>
        <w:types>
          <w:type w:val="bbPlcHdr"/>
        </w:types>
        <w:behaviors>
          <w:behavior w:val="content"/>
        </w:behaviors>
        <w:guid w:val="{1F06F092-847C-4773-858E-D7B2518EB7ED}"/>
      </w:docPartPr>
      <w:docPartBody>
        <w:p w:rsidR="00F804E3" w:rsidRDefault="004640EC" w:rsidP="004640EC">
          <w:pPr>
            <w:pStyle w:val="34A7AFC83E54420180C63C1C4D8B686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0EC"/>
    <w:rsid w:val="00275DBA"/>
    <w:rsid w:val="004640EC"/>
    <w:rsid w:val="00E151D5"/>
    <w:rsid w:val="00F508CD"/>
    <w:rsid w:val="00F804E3"/>
    <w:rsid w:val="00FF4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9E4043F47746ADAEA6DDBE7E30118E">
    <w:name w:val="819E4043F47746ADAEA6DDBE7E30118E"/>
    <w:rsid w:val="004640EC"/>
  </w:style>
  <w:style w:type="paragraph" w:customStyle="1" w:styleId="34A7AFC83E54420180C63C1C4D8B6864">
    <w:name w:val="34A7AFC83E54420180C63C1C4D8B6864"/>
    <w:rsid w:val="004640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6F3F4-C651-4B19-BCF6-1B6A501E7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30</Pages>
  <Words>5077</Words>
  <Characters>28945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“Equality, Diversity and Inclusion within Industry”</vt:lpstr>
    </vt:vector>
  </TitlesOfParts>
  <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“Equality, Diversity and Inclusion within Industry”</dc:title>
  <dc:subject/>
  <dc:creator>Rebeca Baccela</dc:creator>
  <cp:keywords/>
  <dc:description/>
  <cp:lastModifiedBy>Rebeca Baccela</cp:lastModifiedBy>
  <cp:revision>3</cp:revision>
  <dcterms:created xsi:type="dcterms:W3CDTF">2025-02-27T13:30:00Z</dcterms:created>
  <dcterms:modified xsi:type="dcterms:W3CDTF">2025-02-28T09:33:00Z</dcterms:modified>
</cp:coreProperties>
</file>