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7D47E1" w14:textId="77777777" w:rsidR="003877A3" w:rsidRPr="00297471" w:rsidRDefault="003877A3" w:rsidP="003877A3">
      <w:pPr>
        <w:spacing w:line="278" w:lineRule="auto"/>
        <w:jc w:val="center"/>
        <w:rPr>
          <w:rFonts w:ascii="Times New Roman" w:eastAsia="Aptos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297471">
        <w:rPr>
          <w:rFonts w:ascii="Times New Roman" w:eastAsia="Aptos" w:hAnsi="Times New Roman" w:cs="Times New Roman"/>
          <w:b/>
          <w:noProof/>
          <w:kern w:val="2"/>
          <w:sz w:val="24"/>
          <w:szCs w:val="24"/>
          <w14:ligatures w14:val="standardContextual"/>
        </w:rPr>
        <w:drawing>
          <wp:inline distT="0" distB="0" distL="0" distR="0" wp14:anchorId="3FED5919" wp14:editId="0F7FFB43">
            <wp:extent cx="2867025" cy="1590675"/>
            <wp:effectExtent l="0" t="0" r="9525" b="9525"/>
            <wp:docPr id="19" name="Picture 19" descr="A logo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 logo with text on i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7A2DB9" w14:textId="77777777" w:rsidR="003877A3" w:rsidRDefault="003877A3" w:rsidP="003877A3">
      <w:pPr>
        <w:spacing w:line="278" w:lineRule="auto"/>
        <w:jc w:val="center"/>
      </w:pPr>
      <w:r>
        <w:t xml:space="preserve">ACCA7028 </w:t>
      </w:r>
    </w:p>
    <w:p w14:paraId="27AF8A8C" w14:textId="77777777" w:rsidR="003877A3" w:rsidRPr="00297471" w:rsidRDefault="003877A3" w:rsidP="003877A3">
      <w:pPr>
        <w:spacing w:line="278" w:lineRule="auto"/>
        <w:jc w:val="center"/>
        <w:rPr>
          <w:rFonts w:ascii="Calibri" w:eastAsia="Aptos" w:hAnsi="Calibri" w:cs="Calibri"/>
          <w:b/>
          <w:bCs/>
          <w:kern w:val="2"/>
          <w:sz w:val="24"/>
          <w:szCs w:val="24"/>
          <w14:ligatures w14:val="standardContextual"/>
        </w:rPr>
      </w:pPr>
      <w:r>
        <w:t>Data Security, Governance and Compliance</w:t>
      </w:r>
    </w:p>
    <w:p w14:paraId="08CF6E75" w14:textId="77777777" w:rsidR="003877A3" w:rsidRPr="00297471" w:rsidRDefault="003877A3" w:rsidP="003877A3">
      <w:pPr>
        <w:spacing w:line="278" w:lineRule="auto"/>
        <w:jc w:val="center"/>
        <w:rPr>
          <w:rFonts w:ascii="Calibri" w:eastAsia="Aptos" w:hAnsi="Calibri" w:cs="Calibri"/>
          <w:kern w:val="2"/>
          <w:sz w:val="24"/>
          <w:szCs w:val="24"/>
          <w14:ligatures w14:val="standardContextual"/>
        </w:rPr>
      </w:pPr>
      <w:r w:rsidRPr="00297471">
        <w:rPr>
          <w:rFonts w:ascii="Calibri" w:eastAsia="Aptos" w:hAnsi="Calibri" w:cs="Calibri"/>
          <w:kern w:val="2"/>
          <w:sz w:val="24"/>
          <w:szCs w:val="24"/>
          <w14:ligatures w14:val="standardContextual"/>
        </w:rPr>
        <w:t xml:space="preserve">Lecturer: </w:t>
      </w:r>
      <w:proofErr w:type="spellStart"/>
      <w:r>
        <w:t>Dr.</w:t>
      </w:r>
      <w:proofErr w:type="spellEnd"/>
      <w:r>
        <w:t xml:space="preserve"> </w:t>
      </w:r>
      <w:proofErr w:type="spellStart"/>
      <w:r>
        <w:t>Dipo</w:t>
      </w:r>
      <w:proofErr w:type="spellEnd"/>
      <w:r>
        <w:t xml:space="preserve"> </w:t>
      </w:r>
      <w:proofErr w:type="spellStart"/>
      <w:r>
        <w:t>Dunsin</w:t>
      </w:r>
      <w:proofErr w:type="spellEnd"/>
    </w:p>
    <w:p w14:paraId="18CD2F5C" w14:textId="77777777" w:rsidR="003877A3" w:rsidRPr="00297471" w:rsidRDefault="003877A3" w:rsidP="003877A3">
      <w:pPr>
        <w:spacing w:line="278" w:lineRule="auto"/>
        <w:jc w:val="center"/>
        <w:rPr>
          <w:rFonts w:ascii="Calibri" w:eastAsia="Aptos" w:hAnsi="Calibri" w:cs="Calibri"/>
          <w:kern w:val="2"/>
          <w:sz w:val="24"/>
          <w:szCs w:val="24"/>
          <w14:ligatures w14:val="standardContextual"/>
        </w:rPr>
      </w:pPr>
    </w:p>
    <w:p w14:paraId="129EA063" w14:textId="77777777" w:rsidR="003877A3" w:rsidRPr="00297471" w:rsidRDefault="003877A3" w:rsidP="003877A3">
      <w:pPr>
        <w:spacing w:line="278" w:lineRule="auto"/>
        <w:jc w:val="center"/>
        <w:rPr>
          <w:rFonts w:ascii="Calibri" w:eastAsia="Aptos" w:hAnsi="Calibri" w:cs="Calibri"/>
          <w:kern w:val="2"/>
          <w:sz w:val="24"/>
          <w:szCs w:val="24"/>
          <w14:ligatures w14:val="standardContextual"/>
        </w:rPr>
      </w:pPr>
    </w:p>
    <w:p w14:paraId="6A7B9FC6" w14:textId="77777777" w:rsidR="003877A3" w:rsidRPr="00297471" w:rsidRDefault="003877A3" w:rsidP="003877A3">
      <w:pPr>
        <w:spacing w:line="278" w:lineRule="auto"/>
        <w:jc w:val="center"/>
        <w:rPr>
          <w:rFonts w:ascii="Calibri" w:eastAsia="Aptos" w:hAnsi="Calibri" w:cs="Calibri"/>
          <w:b/>
          <w:bCs/>
          <w:kern w:val="2"/>
          <w:sz w:val="24"/>
          <w:szCs w:val="24"/>
          <w14:ligatures w14:val="standardContextual"/>
        </w:rPr>
      </w:pPr>
      <w:r w:rsidRPr="00297471">
        <w:rPr>
          <w:rFonts w:ascii="Calibri" w:eastAsia="Aptos" w:hAnsi="Calibri" w:cs="Calibri"/>
          <w:kern w:val="2"/>
          <w:sz w:val="24"/>
          <w:szCs w:val="24"/>
          <w14:ligatures w14:val="standardContextual"/>
        </w:rPr>
        <w:t xml:space="preserve">Project Name: </w:t>
      </w:r>
      <w:r>
        <w:t>Data Security, Governance and Compliance</w:t>
      </w:r>
    </w:p>
    <w:p w14:paraId="23AD5668" w14:textId="77777777" w:rsidR="003877A3" w:rsidRPr="00297471" w:rsidRDefault="003877A3" w:rsidP="003877A3">
      <w:pPr>
        <w:spacing w:line="278" w:lineRule="auto"/>
        <w:jc w:val="center"/>
        <w:rPr>
          <w:rFonts w:ascii="Calibri" w:eastAsia="Aptos" w:hAnsi="Calibri" w:cs="Calibri"/>
          <w:kern w:val="2"/>
          <w:sz w:val="24"/>
          <w:szCs w:val="24"/>
          <w14:ligatures w14:val="standardContextual"/>
        </w:rPr>
      </w:pPr>
      <w:r w:rsidRPr="00297471">
        <w:rPr>
          <w:rFonts w:ascii="Calibri" w:eastAsia="Aptos" w:hAnsi="Calibri" w:cs="Calibri"/>
          <w:kern w:val="2"/>
          <w:sz w:val="24"/>
          <w:szCs w:val="24"/>
          <w14:ligatures w14:val="standardContextual"/>
        </w:rPr>
        <w:t>Submitted by</w:t>
      </w:r>
      <w:r>
        <w:rPr>
          <w:rFonts w:ascii="Calibri" w:eastAsia="Aptos" w:hAnsi="Calibri" w:cs="Calibri"/>
          <w:kern w:val="2"/>
          <w:sz w:val="24"/>
          <w:szCs w:val="24"/>
          <w14:ligatures w14:val="standardContextual"/>
        </w:rPr>
        <w:t xml:space="preserve"> </w:t>
      </w:r>
      <w:r w:rsidRPr="00297471">
        <w:rPr>
          <w:rFonts w:ascii="Calibri" w:eastAsia="Aptos" w:hAnsi="Calibri" w:cs="Calibri"/>
          <w:kern w:val="2"/>
          <w:sz w:val="24"/>
          <w:szCs w:val="24"/>
          <w14:ligatures w14:val="standardContextual"/>
        </w:rPr>
        <w:t>-</w:t>
      </w:r>
    </w:p>
    <w:p w14:paraId="4BD8A7B3" w14:textId="77777777" w:rsidR="003877A3" w:rsidRPr="00297471" w:rsidRDefault="003877A3" w:rsidP="003877A3">
      <w:pPr>
        <w:spacing w:line="278" w:lineRule="auto"/>
        <w:jc w:val="center"/>
        <w:rPr>
          <w:rFonts w:ascii="Calibri" w:eastAsia="Aptos" w:hAnsi="Calibri" w:cs="Calibri"/>
          <w:kern w:val="2"/>
          <w:sz w:val="24"/>
          <w:szCs w:val="24"/>
          <w14:ligatures w14:val="standardContextual"/>
        </w:rPr>
      </w:pPr>
      <w:r w:rsidRPr="00297471">
        <w:rPr>
          <w:rFonts w:ascii="Calibri" w:eastAsia="Aptos" w:hAnsi="Calibri" w:cs="Calibri"/>
          <w:kern w:val="2"/>
          <w:sz w:val="24"/>
          <w:szCs w:val="24"/>
          <w14:ligatures w14:val="standardContextual"/>
        </w:rPr>
        <w:t>MD. Mahmudul Hassan</w:t>
      </w:r>
    </w:p>
    <w:p w14:paraId="51A668A6" w14:textId="19125B85" w:rsidR="003877A3" w:rsidRDefault="003877A3" w:rsidP="003877A3">
      <w:pPr>
        <w:spacing w:line="278" w:lineRule="auto"/>
        <w:jc w:val="center"/>
        <w:rPr>
          <w:rFonts w:ascii="Calibri" w:eastAsia="Aptos" w:hAnsi="Calibri" w:cs="Calibri"/>
          <w:kern w:val="2"/>
          <w:sz w:val="24"/>
          <w:szCs w:val="24"/>
          <w14:ligatures w14:val="standardContextual"/>
        </w:rPr>
      </w:pPr>
      <w:r w:rsidRPr="00297471">
        <w:rPr>
          <w:rFonts w:ascii="Calibri" w:eastAsia="Aptos" w:hAnsi="Calibri" w:cs="Calibri"/>
          <w:kern w:val="2"/>
          <w:sz w:val="24"/>
          <w:szCs w:val="24"/>
          <w14:ligatures w14:val="standardContextual"/>
        </w:rPr>
        <w:t>ID</w:t>
      </w:r>
      <w:r>
        <w:rPr>
          <w:rFonts w:ascii="Calibri" w:eastAsia="Aptos" w:hAnsi="Calibri" w:cs="Calibri"/>
          <w:kern w:val="2"/>
          <w:sz w:val="24"/>
          <w:szCs w:val="24"/>
          <w14:ligatures w14:val="standardContextual"/>
        </w:rPr>
        <w:t xml:space="preserve"> </w:t>
      </w:r>
      <w:r>
        <w:rPr>
          <w:rFonts w:ascii="Calibri" w:eastAsia="Aptos" w:hAnsi="Calibri" w:cs="Calibri"/>
          <w:kern w:val="2"/>
          <w:sz w:val="24"/>
          <w:szCs w:val="24"/>
          <w14:ligatures w14:val="standardContextual"/>
        </w:rPr>
        <w:t>–</w:t>
      </w:r>
      <w:r>
        <w:rPr>
          <w:rFonts w:ascii="Calibri" w:eastAsia="Aptos" w:hAnsi="Calibri" w:cs="Calibri"/>
          <w:kern w:val="2"/>
          <w:sz w:val="24"/>
          <w:szCs w:val="24"/>
          <w14:ligatures w14:val="standardContextual"/>
        </w:rPr>
        <w:t xml:space="preserve"> </w:t>
      </w:r>
      <w:r w:rsidRPr="00297471">
        <w:rPr>
          <w:rFonts w:ascii="Calibri" w:eastAsia="Aptos" w:hAnsi="Calibri" w:cs="Calibri"/>
          <w:kern w:val="2"/>
          <w:sz w:val="24"/>
          <w:szCs w:val="24"/>
          <w14:ligatures w14:val="standardContextual"/>
        </w:rPr>
        <w:t>2504534</w:t>
      </w:r>
    </w:p>
    <w:p w14:paraId="38A3B4CE" w14:textId="704DC52C" w:rsidR="003877A3" w:rsidRDefault="003877A3" w:rsidP="003877A3">
      <w:pPr>
        <w:spacing w:line="278" w:lineRule="auto"/>
        <w:jc w:val="center"/>
        <w:rPr>
          <w:rFonts w:ascii="Calibri" w:eastAsia="Aptos" w:hAnsi="Calibri" w:cs="Calibri"/>
          <w:kern w:val="2"/>
          <w:sz w:val="24"/>
          <w:szCs w:val="24"/>
          <w14:ligatures w14:val="standardContextual"/>
        </w:rPr>
      </w:pPr>
    </w:p>
    <w:p w14:paraId="72920A3D" w14:textId="679FBDAB" w:rsidR="003877A3" w:rsidRDefault="003877A3" w:rsidP="003877A3">
      <w:pPr>
        <w:spacing w:line="278" w:lineRule="auto"/>
        <w:jc w:val="center"/>
        <w:rPr>
          <w:rFonts w:ascii="Calibri" w:eastAsia="Aptos" w:hAnsi="Calibri" w:cs="Calibri"/>
          <w:kern w:val="2"/>
          <w:sz w:val="24"/>
          <w:szCs w:val="24"/>
          <w14:ligatures w14:val="standardContextual"/>
        </w:rPr>
      </w:pPr>
    </w:p>
    <w:p w14:paraId="763C3E88" w14:textId="0037D974" w:rsidR="003877A3" w:rsidRDefault="003877A3" w:rsidP="003877A3">
      <w:pPr>
        <w:spacing w:line="278" w:lineRule="auto"/>
        <w:jc w:val="center"/>
        <w:rPr>
          <w:rFonts w:ascii="Calibri" w:eastAsia="Aptos" w:hAnsi="Calibri" w:cs="Calibri"/>
          <w:kern w:val="2"/>
          <w:sz w:val="24"/>
          <w:szCs w:val="24"/>
          <w14:ligatures w14:val="standardContextual"/>
        </w:rPr>
      </w:pPr>
    </w:p>
    <w:p w14:paraId="799DD5EF" w14:textId="372524C4" w:rsidR="003877A3" w:rsidRDefault="003877A3" w:rsidP="003877A3">
      <w:pPr>
        <w:spacing w:line="278" w:lineRule="auto"/>
        <w:jc w:val="center"/>
        <w:rPr>
          <w:rFonts w:ascii="Calibri" w:eastAsia="Aptos" w:hAnsi="Calibri" w:cs="Calibri"/>
          <w:kern w:val="2"/>
          <w:sz w:val="24"/>
          <w:szCs w:val="24"/>
          <w14:ligatures w14:val="standardContextual"/>
        </w:rPr>
      </w:pPr>
    </w:p>
    <w:p w14:paraId="27004D7E" w14:textId="51A9AFE4" w:rsidR="003877A3" w:rsidRDefault="003877A3" w:rsidP="003877A3">
      <w:pPr>
        <w:spacing w:line="278" w:lineRule="auto"/>
        <w:jc w:val="center"/>
        <w:rPr>
          <w:rFonts w:ascii="Calibri" w:eastAsia="Aptos" w:hAnsi="Calibri" w:cs="Calibri"/>
          <w:kern w:val="2"/>
          <w:sz w:val="24"/>
          <w:szCs w:val="24"/>
          <w14:ligatures w14:val="standardContextual"/>
        </w:rPr>
      </w:pPr>
    </w:p>
    <w:p w14:paraId="75CDA4DA" w14:textId="6D3A3607" w:rsidR="003877A3" w:rsidRDefault="003877A3" w:rsidP="003877A3">
      <w:pPr>
        <w:spacing w:line="278" w:lineRule="auto"/>
        <w:jc w:val="center"/>
        <w:rPr>
          <w:rFonts w:ascii="Calibri" w:eastAsia="Aptos" w:hAnsi="Calibri" w:cs="Calibri"/>
          <w:kern w:val="2"/>
          <w:sz w:val="24"/>
          <w:szCs w:val="24"/>
          <w14:ligatures w14:val="standardContextual"/>
        </w:rPr>
      </w:pPr>
    </w:p>
    <w:p w14:paraId="6D37AE0A" w14:textId="0C1CAD72" w:rsidR="003877A3" w:rsidRDefault="003877A3" w:rsidP="003877A3">
      <w:pPr>
        <w:spacing w:line="278" w:lineRule="auto"/>
        <w:jc w:val="center"/>
        <w:rPr>
          <w:rFonts w:ascii="Calibri" w:eastAsia="Aptos" w:hAnsi="Calibri" w:cs="Calibri"/>
          <w:kern w:val="2"/>
          <w:sz w:val="24"/>
          <w:szCs w:val="24"/>
          <w14:ligatures w14:val="standardContextual"/>
        </w:rPr>
      </w:pPr>
    </w:p>
    <w:p w14:paraId="4336B2F9" w14:textId="247CDC04" w:rsidR="003877A3" w:rsidRDefault="003877A3" w:rsidP="003877A3">
      <w:pPr>
        <w:spacing w:line="278" w:lineRule="auto"/>
        <w:jc w:val="center"/>
        <w:rPr>
          <w:rFonts w:ascii="Calibri" w:eastAsia="Aptos" w:hAnsi="Calibri" w:cs="Calibri"/>
          <w:kern w:val="2"/>
          <w:sz w:val="24"/>
          <w:szCs w:val="24"/>
          <w14:ligatures w14:val="standardContextual"/>
        </w:rPr>
      </w:pPr>
    </w:p>
    <w:p w14:paraId="65114BF5" w14:textId="639BF348" w:rsidR="003877A3" w:rsidRDefault="003877A3" w:rsidP="003877A3">
      <w:pPr>
        <w:spacing w:line="278" w:lineRule="auto"/>
        <w:jc w:val="center"/>
        <w:rPr>
          <w:rFonts w:ascii="Calibri" w:eastAsia="Aptos" w:hAnsi="Calibri" w:cs="Calibri"/>
          <w:kern w:val="2"/>
          <w:sz w:val="24"/>
          <w:szCs w:val="24"/>
          <w14:ligatures w14:val="standardContextual"/>
        </w:rPr>
      </w:pPr>
    </w:p>
    <w:p w14:paraId="70D105F8" w14:textId="1DDEDBC1" w:rsidR="003877A3" w:rsidRDefault="003877A3" w:rsidP="003877A3">
      <w:pPr>
        <w:spacing w:line="278" w:lineRule="auto"/>
        <w:jc w:val="center"/>
        <w:rPr>
          <w:rFonts w:ascii="Calibri" w:eastAsia="Aptos" w:hAnsi="Calibri" w:cs="Calibri"/>
          <w:kern w:val="2"/>
          <w:sz w:val="24"/>
          <w:szCs w:val="24"/>
          <w14:ligatures w14:val="standardContextual"/>
        </w:rPr>
      </w:pPr>
    </w:p>
    <w:p w14:paraId="09A13AE2" w14:textId="095C9352" w:rsidR="003877A3" w:rsidRDefault="003877A3" w:rsidP="003877A3">
      <w:pPr>
        <w:spacing w:line="278" w:lineRule="auto"/>
        <w:jc w:val="center"/>
        <w:rPr>
          <w:rFonts w:ascii="Calibri" w:eastAsia="Aptos" w:hAnsi="Calibri" w:cs="Calibri"/>
          <w:kern w:val="2"/>
          <w:sz w:val="24"/>
          <w:szCs w:val="24"/>
          <w14:ligatures w14:val="standardContextual"/>
        </w:rPr>
      </w:pPr>
    </w:p>
    <w:p w14:paraId="282C1DBB" w14:textId="77C48F7B" w:rsidR="003877A3" w:rsidRDefault="003877A3" w:rsidP="004D1139">
      <w:pPr>
        <w:pStyle w:val="TOCHeading"/>
        <w:spacing w:before="0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297471">
        <w:rPr>
          <w:rFonts w:ascii="Calibri" w:eastAsia="Aptos" w:hAnsi="Calibri" w:cs="Calibri"/>
          <w:color w:val="auto"/>
          <w:kern w:val="2"/>
          <w:sz w:val="24"/>
          <w:szCs w:val="24"/>
          <w:lang w:val="en-GB"/>
          <w14:ligatures w14:val="standardContextual"/>
        </w:rPr>
        <w:t xml:space="preserve">Submission </w:t>
      </w:r>
      <w:r>
        <w:rPr>
          <w:rFonts w:ascii="Calibri" w:eastAsia="Aptos" w:hAnsi="Calibri" w:cs="Calibri"/>
          <w:color w:val="auto"/>
          <w:kern w:val="2"/>
          <w:sz w:val="24"/>
          <w:szCs w:val="24"/>
          <w:lang w:val="en-GB"/>
          <w14:ligatures w14:val="standardContextual"/>
        </w:rPr>
        <w:t>D</w:t>
      </w:r>
      <w:r w:rsidRPr="00297471">
        <w:rPr>
          <w:rFonts w:ascii="Calibri" w:eastAsia="Aptos" w:hAnsi="Calibri" w:cs="Calibri"/>
          <w:color w:val="auto"/>
          <w:kern w:val="2"/>
          <w:sz w:val="24"/>
          <w:szCs w:val="24"/>
          <w:lang w:val="en-GB"/>
          <w14:ligatures w14:val="standardContextual"/>
        </w:rPr>
        <w:t xml:space="preserve">eadline: </w:t>
      </w:r>
      <w:r>
        <w:rPr>
          <w:rFonts w:ascii="Calibri" w:eastAsia="Aptos" w:hAnsi="Calibri" w:cs="Calibri"/>
          <w:color w:val="auto"/>
          <w:kern w:val="2"/>
          <w:sz w:val="24"/>
          <w:szCs w:val="24"/>
          <w:lang w:val="en-GB"/>
          <w14:ligatures w14:val="standardContextual"/>
        </w:rPr>
        <w:t>Thurs</w:t>
      </w:r>
      <w:r w:rsidRPr="00297471">
        <w:rPr>
          <w:rFonts w:ascii="Calibri" w:eastAsia="Aptos" w:hAnsi="Calibri" w:cs="Calibri"/>
          <w:color w:val="auto"/>
          <w:kern w:val="2"/>
          <w:sz w:val="24"/>
          <w:szCs w:val="24"/>
          <w:lang w:val="en-GB"/>
          <w14:ligatures w14:val="standardContextual"/>
        </w:rPr>
        <w:t>day</w:t>
      </w:r>
      <w:r>
        <w:rPr>
          <w:rFonts w:ascii="Calibri" w:eastAsia="Aptos" w:hAnsi="Calibri" w:cs="Calibri"/>
          <w:color w:val="auto"/>
          <w:kern w:val="2"/>
          <w:sz w:val="24"/>
          <w:szCs w:val="24"/>
          <w:lang w:val="en-GB"/>
          <w14:ligatures w14:val="standardContextual"/>
        </w:rPr>
        <w:t xml:space="preserve">, </w:t>
      </w:r>
      <w:r w:rsidRPr="00297471">
        <w:rPr>
          <w:rFonts w:ascii="Calibri" w:eastAsia="Aptos" w:hAnsi="Calibri" w:cs="Calibri"/>
          <w:color w:val="auto"/>
          <w:kern w:val="2"/>
          <w:sz w:val="24"/>
          <w:szCs w:val="24"/>
          <w:lang w:val="en-GB"/>
          <w14:ligatures w14:val="standardContextual"/>
        </w:rPr>
        <w:t>1</w:t>
      </w:r>
      <w:r w:rsidR="00C55CE8">
        <w:rPr>
          <w:rFonts w:ascii="Calibri" w:eastAsia="Aptos" w:hAnsi="Calibri" w:cs="Calibri"/>
          <w:color w:val="auto"/>
          <w:kern w:val="2"/>
          <w:sz w:val="24"/>
          <w:szCs w:val="24"/>
          <w:lang w:val="en-GB"/>
          <w14:ligatures w14:val="standardContextual"/>
        </w:rPr>
        <w:t>9</w:t>
      </w:r>
      <w:r w:rsidRPr="00297471">
        <w:rPr>
          <w:rFonts w:ascii="Calibri" w:eastAsia="Aptos" w:hAnsi="Calibri" w:cs="Calibri"/>
          <w:color w:val="auto"/>
          <w:kern w:val="2"/>
          <w:sz w:val="24"/>
          <w:szCs w:val="24"/>
          <w:vertAlign w:val="superscript"/>
          <w:lang w:val="en-GB"/>
          <w14:ligatures w14:val="standardContextual"/>
        </w:rPr>
        <w:t>th</w:t>
      </w:r>
      <w:r w:rsidRPr="00297471">
        <w:rPr>
          <w:rFonts w:ascii="Calibri" w:eastAsia="Aptos" w:hAnsi="Calibri" w:cs="Calibri"/>
          <w:color w:val="auto"/>
          <w:kern w:val="2"/>
          <w:sz w:val="24"/>
          <w:szCs w:val="24"/>
          <w:lang w:val="en-GB"/>
          <w14:ligatures w14:val="standardContextual"/>
        </w:rPr>
        <w:t xml:space="preserve"> December 2025</w:t>
      </w:r>
    </w:p>
    <w:p w14:paraId="1AC02724" w14:textId="77777777" w:rsidR="004D1139" w:rsidRPr="004D1139" w:rsidRDefault="004D1139" w:rsidP="004D1139">
      <w:pPr>
        <w:rPr>
          <w:lang w:val="en-US"/>
        </w:rPr>
      </w:pPr>
    </w:p>
    <w:sdt>
      <w:sdtPr>
        <w:id w:val="233354838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1CA361D9" w14:textId="4FDB3925" w:rsidR="002338B3" w:rsidRDefault="002338B3">
          <w:pPr>
            <w:pStyle w:val="TOCHeading"/>
          </w:pPr>
          <w:r>
            <w:t>Contents</w:t>
          </w:r>
        </w:p>
        <w:p w14:paraId="52208A6D" w14:textId="2151F8BD" w:rsidR="002338B3" w:rsidRDefault="002338B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6985306" w:history="1">
            <w:r w:rsidRPr="004B51A7">
              <w:rPr>
                <w:rStyle w:val="Hyperlink"/>
                <w:rFonts w:eastAsia="Times New Roman" w:cstheme="minorHAnsi"/>
                <w:b/>
                <w:bCs/>
                <w:noProof/>
                <w:kern w:val="36"/>
                <w:lang w:eastAsia="en-GB"/>
              </w:rPr>
              <w:t>1. Research Into Security Frameworks and Models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_Toc216985306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6B6092" w14:textId="545A3C54" w:rsidR="002338B3" w:rsidRDefault="002338B3" w:rsidP="002338B3">
          <w:pPr>
            <w:pStyle w:val="TOC2"/>
            <w:rPr>
              <w:rFonts w:eastAsiaTheme="minorEastAsia"/>
              <w:lang w:eastAsia="en-GB"/>
            </w:rPr>
          </w:pPr>
          <w:hyperlink w:anchor="_Toc216985307" w:history="1">
            <w:r w:rsidRPr="004B51A7">
              <w:rPr>
                <w:rStyle w:val="Hyperlink"/>
                <w:rFonts w:eastAsia="Times New Roman" w:cstheme="minorHAnsi"/>
                <w:lang w:eastAsia="en-GB"/>
              </w:rPr>
              <w:t>1.1 ITIL (Information Technology Infrastructure Library)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_Toc216985307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4364AD3C" w14:textId="3552E934" w:rsidR="002338B3" w:rsidRDefault="002338B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6985308" w:history="1">
            <w:r w:rsidRPr="004B51A7">
              <w:rPr>
                <w:rStyle w:val="Hyperlink"/>
                <w:rFonts w:eastAsia="Times New Roman" w:cstheme="minorHAnsi"/>
                <w:b/>
                <w:bCs/>
                <w:noProof/>
                <w:lang w:eastAsia="en-GB"/>
              </w:rPr>
              <w:t>ITIL Security Components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_Toc216985308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56BBBB" w14:textId="61468F43" w:rsidR="002338B3" w:rsidRDefault="002338B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6985309" w:history="1">
            <w:r w:rsidRPr="004B51A7">
              <w:rPr>
                <w:rStyle w:val="Hyperlink"/>
                <w:rFonts w:eastAsia="Times New Roman" w:cstheme="minorHAnsi"/>
                <w:b/>
                <w:bCs/>
                <w:noProof/>
                <w:lang w:eastAsia="en-GB"/>
              </w:rPr>
              <w:t>Figure 1: ITIL Service Lifecycle (Simplified)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_Toc216985309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6C9BC0" w14:textId="37B84228" w:rsidR="002338B3" w:rsidRDefault="002338B3" w:rsidP="002338B3">
          <w:pPr>
            <w:pStyle w:val="TOC2"/>
            <w:rPr>
              <w:rFonts w:eastAsiaTheme="minorEastAsia"/>
              <w:lang w:eastAsia="en-GB"/>
            </w:rPr>
          </w:pPr>
          <w:hyperlink w:anchor="_Toc216985310" w:history="1">
            <w:r w:rsidRPr="004B51A7">
              <w:rPr>
                <w:rStyle w:val="Hyperlink"/>
                <w:rFonts w:eastAsia="Times New Roman" w:cstheme="minorHAnsi"/>
                <w:lang w:eastAsia="en-GB"/>
              </w:rPr>
              <w:t>1.2 ISO/IEC 27000 Series (Security Model)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_Toc216985310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1B9FCBAD" w14:textId="5AE74F7B" w:rsidR="002338B3" w:rsidRDefault="002338B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6985311" w:history="1">
            <w:r w:rsidRPr="004B51A7">
              <w:rPr>
                <w:rStyle w:val="Hyperlink"/>
                <w:rFonts w:eastAsia="Times New Roman" w:cstheme="minorHAnsi"/>
                <w:b/>
                <w:bCs/>
                <w:noProof/>
                <w:lang w:eastAsia="en-GB"/>
              </w:rPr>
              <w:t>Key Standards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_Toc216985311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5564CB" w14:textId="08E23BE6" w:rsidR="002338B3" w:rsidRDefault="002338B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6985312" w:history="1">
            <w:r w:rsidRPr="004B51A7">
              <w:rPr>
                <w:rStyle w:val="Hyperlink"/>
                <w:rFonts w:eastAsia="Times New Roman" w:cstheme="minorHAnsi"/>
                <w:b/>
                <w:bCs/>
                <w:noProof/>
                <w:lang w:eastAsia="en-GB"/>
              </w:rPr>
              <w:t>ISO 27001 Model – PDCA Cycle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_Toc216985312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08B263" w14:textId="465C06B9" w:rsidR="002338B3" w:rsidRDefault="002338B3" w:rsidP="002338B3">
          <w:pPr>
            <w:pStyle w:val="TOC2"/>
            <w:rPr>
              <w:rFonts w:eastAsiaTheme="minorEastAsia"/>
              <w:lang w:eastAsia="en-GB"/>
            </w:rPr>
          </w:pPr>
          <w:hyperlink w:anchor="_Toc216985313" w:history="1">
            <w:r w:rsidRPr="004B51A7">
              <w:rPr>
                <w:rStyle w:val="Hyperlink"/>
                <w:rFonts w:eastAsia="Times New Roman" w:cstheme="minorHAnsi"/>
                <w:lang w:eastAsia="en-GB"/>
              </w:rPr>
              <w:t>1.3 NIST Cybersecurity Framework (CSF)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_Toc216985313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0FB0565C" w14:textId="6AE87916" w:rsidR="002338B3" w:rsidRDefault="002338B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6985314" w:history="1">
            <w:r w:rsidRPr="004B51A7">
              <w:rPr>
                <w:rStyle w:val="Hyperlink"/>
                <w:rFonts w:eastAsia="Times New Roman" w:cstheme="minorHAnsi"/>
                <w:b/>
                <w:bCs/>
                <w:noProof/>
                <w:lang w:eastAsia="en-GB"/>
              </w:rPr>
              <w:t>Five core functions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_Toc216985314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EDCB74" w14:textId="5EEA4F59" w:rsidR="002338B3" w:rsidRDefault="002338B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6985315" w:history="1">
            <w:r w:rsidRPr="004B51A7">
              <w:rPr>
                <w:rStyle w:val="Hyperlink"/>
                <w:rFonts w:eastAsia="Times New Roman" w:cstheme="minorHAnsi"/>
                <w:b/>
                <w:bCs/>
                <w:noProof/>
                <w:lang w:eastAsia="en-GB"/>
              </w:rPr>
              <w:t>Figure: NIST CSF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_Toc216985315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A31EA6" w14:textId="11D64DBE" w:rsidR="002338B3" w:rsidRDefault="002338B3" w:rsidP="002338B3">
          <w:pPr>
            <w:pStyle w:val="TOC2"/>
            <w:rPr>
              <w:rFonts w:eastAsiaTheme="minorEastAsia"/>
              <w:lang w:eastAsia="en-GB"/>
            </w:rPr>
          </w:pPr>
          <w:hyperlink w:anchor="_Toc216985316" w:history="1">
            <w:r w:rsidRPr="004B51A7">
              <w:rPr>
                <w:rStyle w:val="Hyperlink"/>
                <w:rFonts w:eastAsia="Times New Roman" w:cstheme="minorHAnsi"/>
                <w:lang w:eastAsia="en-GB"/>
              </w:rPr>
              <w:t>1.4 Security Management Models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_Toc216985316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7FDB835E" w14:textId="7AEF5085" w:rsidR="002338B3" w:rsidRDefault="002338B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6985317" w:history="1">
            <w:r w:rsidRPr="004B51A7">
              <w:rPr>
                <w:rStyle w:val="Hyperlink"/>
                <w:rFonts w:eastAsia="Times New Roman" w:cstheme="minorHAnsi"/>
                <w:b/>
                <w:bCs/>
                <w:noProof/>
                <w:lang w:eastAsia="en-GB"/>
              </w:rPr>
              <w:t>Bell-LaPadula (Confidentiality Model)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_Toc216985317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4BAEC7" w14:textId="1C02D1C4" w:rsidR="002338B3" w:rsidRDefault="002338B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6985318" w:history="1">
            <w:r w:rsidRPr="004B51A7">
              <w:rPr>
                <w:rStyle w:val="Hyperlink"/>
                <w:rFonts w:eastAsia="Times New Roman" w:cstheme="minorHAnsi"/>
                <w:b/>
                <w:bCs/>
                <w:noProof/>
                <w:lang w:eastAsia="en-GB"/>
              </w:rPr>
              <w:t>Clark-Wilson (Integrity Model)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_Toc216985318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7CC510" w14:textId="7B0FC8B4" w:rsidR="002338B3" w:rsidRDefault="002338B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6985319" w:history="1">
            <w:r w:rsidRPr="004B51A7">
              <w:rPr>
                <w:rStyle w:val="Hyperlink"/>
                <w:rFonts w:eastAsia="Times New Roman" w:cstheme="minorHAnsi"/>
                <w:b/>
                <w:bCs/>
                <w:noProof/>
                <w:lang w:eastAsia="en-GB"/>
              </w:rPr>
              <w:t>BREACH Model (Availability)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_Toc216985319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A0B634" w14:textId="61BC80D8" w:rsidR="002338B3" w:rsidRDefault="002338B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6985320" w:history="1">
            <w:r w:rsidRPr="004B51A7">
              <w:rPr>
                <w:rStyle w:val="Hyperlink"/>
                <w:rFonts w:eastAsia="Times New Roman" w:cstheme="minorHAnsi"/>
                <w:b/>
                <w:bCs/>
                <w:noProof/>
                <w:kern w:val="36"/>
                <w:lang w:eastAsia="en-GB"/>
              </w:rPr>
              <w:t>2. Designing a Security Approach for Nature Green (NG)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_Toc216985320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7AB5FE" w14:textId="21101B47" w:rsidR="002338B3" w:rsidRDefault="002338B3" w:rsidP="002338B3">
          <w:pPr>
            <w:pStyle w:val="TOC2"/>
            <w:rPr>
              <w:rFonts w:eastAsiaTheme="minorEastAsia"/>
              <w:lang w:eastAsia="en-GB"/>
            </w:rPr>
          </w:pPr>
          <w:hyperlink w:anchor="_Toc216985321" w:history="1">
            <w:r w:rsidRPr="004B51A7">
              <w:rPr>
                <w:rStyle w:val="Hyperlink"/>
                <w:rFonts w:eastAsia="Times New Roman" w:cstheme="minorHAnsi"/>
                <w:lang w:eastAsia="en-GB"/>
              </w:rPr>
              <w:t>2.1 Proposed Security Governance Structure for NG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_Toc216985321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30A4A798" w14:textId="26CB0B31" w:rsidR="002338B3" w:rsidRDefault="002338B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6985322" w:history="1">
            <w:r w:rsidRPr="004B51A7">
              <w:rPr>
                <w:rStyle w:val="Hyperlink"/>
                <w:rFonts w:eastAsia="Times New Roman" w:cstheme="minorHAnsi"/>
                <w:b/>
                <w:bCs/>
                <w:noProof/>
                <w:lang w:eastAsia="en-GB"/>
              </w:rPr>
              <w:t>Diagram: NG Security Governance Model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_Toc216985322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BE2F49" w14:textId="6F496CD1" w:rsidR="002338B3" w:rsidRDefault="002338B3" w:rsidP="002338B3">
          <w:pPr>
            <w:pStyle w:val="TOC2"/>
            <w:rPr>
              <w:rFonts w:eastAsiaTheme="minorEastAsia"/>
              <w:lang w:eastAsia="en-GB"/>
            </w:rPr>
          </w:pPr>
          <w:hyperlink w:anchor="_Toc216985323" w:history="1">
            <w:r w:rsidRPr="004B51A7">
              <w:rPr>
                <w:rStyle w:val="Hyperlink"/>
                <w:rFonts w:eastAsia="Times New Roman" w:cstheme="minorHAnsi"/>
                <w:lang w:eastAsia="en-GB"/>
              </w:rPr>
              <w:t>2.2 Security Controls and Processes for NG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_Toc216985323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1628DEC9" w14:textId="322FBCB5" w:rsidR="002338B3" w:rsidRDefault="002338B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6985324" w:history="1">
            <w:r w:rsidRPr="004B51A7">
              <w:rPr>
                <w:rStyle w:val="Hyperlink"/>
                <w:rFonts w:eastAsia="Times New Roman" w:cstheme="minorHAnsi"/>
                <w:b/>
                <w:bCs/>
                <w:noProof/>
                <w:lang w:eastAsia="en-GB"/>
              </w:rPr>
              <w:t>Table: Proposed Controls and Framework Alignment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_Toc216985324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F781A3" w14:textId="4F483B88" w:rsidR="002338B3" w:rsidRDefault="002338B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6985325" w:history="1">
            <w:r w:rsidRPr="004B51A7">
              <w:rPr>
                <w:rStyle w:val="Hyperlink"/>
                <w:rFonts w:eastAsia="Times New Roman" w:cstheme="minorHAnsi"/>
                <w:b/>
                <w:bCs/>
                <w:noProof/>
                <w:lang w:eastAsia="en-GB"/>
              </w:rPr>
              <w:t>2.3 Protection Mechanisms for 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_Toc216985325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352209" w14:textId="2FA6E301" w:rsidR="002338B3" w:rsidRDefault="002338B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6985326" w:history="1">
            <w:r w:rsidRPr="004B51A7">
              <w:rPr>
                <w:rStyle w:val="Hyperlink"/>
                <w:rFonts w:eastAsia="Times New Roman" w:cstheme="minorHAnsi"/>
                <w:b/>
                <w:bCs/>
                <w:noProof/>
                <w:lang w:eastAsia="en-GB"/>
              </w:rPr>
              <w:t>2.4 Contingency Planning (BCP + DR)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_Toc216985326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676240" w14:textId="7B791D63" w:rsidR="002338B3" w:rsidRDefault="002338B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6985327" w:history="1">
            <w:r w:rsidRPr="004B51A7">
              <w:rPr>
                <w:rStyle w:val="Hyperlink"/>
                <w:rFonts w:eastAsia="Times New Roman" w:cstheme="minorHAnsi"/>
                <w:b/>
                <w:bCs/>
                <w:noProof/>
                <w:lang w:eastAsia="en-GB"/>
              </w:rPr>
              <w:t>2.5 Service Level Agreements (SLAs)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_Toc216985327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3106D2" w14:textId="3EAF8FB3" w:rsidR="002338B3" w:rsidRDefault="002338B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6985328" w:history="1">
            <w:r w:rsidRPr="004B51A7">
              <w:rPr>
                <w:rStyle w:val="Hyperlink"/>
                <w:rFonts w:eastAsia="Times New Roman" w:cstheme="minorHAnsi"/>
                <w:b/>
                <w:bCs/>
                <w:noProof/>
                <w:kern w:val="36"/>
                <w:lang w:eastAsia="en-GB"/>
              </w:rPr>
              <w:t>3. Critique and Analysis: Why Constantly Updating Standards Is Good Practice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_Toc216985328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DF6A67" w14:textId="191CDC27" w:rsidR="002338B3" w:rsidRDefault="002338B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6985329" w:history="1">
            <w:r w:rsidRPr="004B51A7">
              <w:rPr>
                <w:rStyle w:val="Hyperlink"/>
                <w:rFonts w:eastAsia="Times New Roman" w:cstheme="minorHAnsi"/>
                <w:b/>
                <w:bCs/>
                <w:noProof/>
                <w:lang w:eastAsia="en-GB"/>
              </w:rPr>
              <w:t>3.1 Cyber Threat Landscape Evolves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_Toc216985329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01A929" w14:textId="62A28F28" w:rsidR="002338B3" w:rsidRDefault="002338B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6985330" w:history="1">
            <w:r w:rsidRPr="004B51A7">
              <w:rPr>
                <w:rStyle w:val="Hyperlink"/>
                <w:rFonts w:eastAsia="Times New Roman" w:cstheme="minorHAnsi"/>
                <w:b/>
                <w:bCs/>
                <w:noProof/>
                <w:lang w:eastAsia="en-GB"/>
              </w:rPr>
              <w:t>3.2 Regulatory Changes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_Toc216985330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C38F7E" w14:textId="3BD75C79" w:rsidR="002338B3" w:rsidRDefault="002338B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6985331" w:history="1">
            <w:r w:rsidRPr="004B51A7">
              <w:rPr>
                <w:rStyle w:val="Hyperlink"/>
                <w:rFonts w:eastAsia="Times New Roman" w:cstheme="minorHAnsi"/>
                <w:b/>
                <w:bCs/>
                <w:noProof/>
                <w:lang w:eastAsia="en-GB"/>
              </w:rPr>
              <w:t>3.3 Technological Advancements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_Toc216985331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64A985" w14:textId="5D019665" w:rsidR="002338B3" w:rsidRDefault="002338B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6985332" w:history="1">
            <w:r w:rsidRPr="004B51A7">
              <w:rPr>
                <w:rStyle w:val="Hyperlink"/>
                <w:rFonts w:eastAsia="Times New Roman" w:cstheme="minorHAnsi"/>
                <w:b/>
                <w:bCs/>
                <w:noProof/>
                <w:lang w:eastAsia="en-GB"/>
              </w:rPr>
              <w:t>3.4 Business Growth and Complexity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_Toc216985332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C81780" w14:textId="11013CD9" w:rsidR="002338B3" w:rsidRDefault="002338B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6985333" w:history="1">
            <w:r w:rsidRPr="004B51A7">
              <w:rPr>
                <w:rStyle w:val="Hyperlink"/>
                <w:rFonts w:eastAsia="Times New Roman" w:cstheme="minorHAnsi"/>
                <w:b/>
                <w:bCs/>
                <w:noProof/>
                <w:lang w:eastAsia="en-GB"/>
              </w:rPr>
              <w:t>3.5 Industry Best Practice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_Toc216985333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3A6E94" w14:textId="273D6AD9" w:rsidR="002338B3" w:rsidRDefault="002338B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6985334" w:history="1">
            <w:r w:rsidRPr="004B51A7">
              <w:rPr>
                <w:rStyle w:val="Hyperlink"/>
                <w:rFonts w:eastAsia="Times New Roman" w:cstheme="minorHAnsi"/>
                <w:b/>
                <w:bCs/>
                <w:noProof/>
                <w:lang w:eastAsia="en-GB"/>
              </w:rPr>
              <w:t>3.6 Reduces Vulnerabilities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_Toc216985334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B0FEF5" w14:textId="3B3BD1C6" w:rsidR="002338B3" w:rsidRDefault="002338B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6985335" w:history="1">
            <w:r w:rsidRPr="004B51A7">
              <w:rPr>
                <w:rStyle w:val="Hyperlink"/>
                <w:rFonts w:eastAsia="Times New Roman" w:cstheme="minorHAnsi"/>
                <w:b/>
                <w:bCs/>
                <w:noProof/>
                <w:kern w:val="36"/>
                <w:lang w:eastAsia="en-GB"/>
              </w:rPr>
              <w:t>4.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_Toc216985335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31B2A7" w14:textId="0DC349D2" w:rsidR="002338B3" w:rsidRPr="002338B3" w:rsidRDefault="002338B3" w:rsidP="002338B3">
          <w:pPr>
            <w:pStyle w:val="TOC2"/>
            <w:rPr>
              <w:rFonts w:eastAsiaTheme="minorEastAsia"/>
              <w:lang w:eastAsia="en-GB"/>
            </w:rPr>
          </w:pPr>
          <w:hyperlink w:anchor="_Toc216985336" w:history="1">
            <w:r w:rsidRPr="002338B3">
              <w:rPr>
                <w:rStyle w:val="Hyperlink"/>
              </w:rPr>
              <w:t>References</w:t>
            </w:r>
            <w:r w:rsidRPr="002338B3">
              <w:rPr>
                <w:webHidden/>
              </w:rPr>
              <w:tab/>
            </w:r>
            <w:r w:rsidRPr="002338B3">
              <w:rPr>
                <w:webHidden/>
              </w:rPr>
              <w:fldChar w:fldCharType="begin"/>
            </w:r>
            <w:r w:rsidRPr="002338B3">
              <w:rPr>
                <w:webHidden/>
              </w:rPr>
              <w:instrText xml:space="preserve"> PAGEREF _Toc216985336 \h </w:instrText>
            </w:r>
            <w:r w:rsidRPr="002338B3">
              <w:rPr>
                <w:webHidden/>
              </w:rPr>
            </w:r>
            <w:r w:rsidRPr="002338B3">
              <w:rPr>
                <w:webHidden/>
              </w:rPr>
              <w:fldChar w:fldCharType="separate"/>
            </w:r>
            <w:r w:rsidRPr="002338B3">
              <w:rPr>
                <w:webHidden/>
              </w:rPr>
              <w:t>8</w:t>
            </w:r>
            <w:r w:rsidRPr="002338B3">
              <w:rPr>
                <w:webHidden/>
              </w:rPr>
              <w:fldChar w:fldCharType="end"/>
            </w:r>
          </w:hyperlink>
        </w:p>
        <w:p w14:paraId="42ED82A5" w14:textId="299F8C9B" w:rsidR="002338B3" w:rsidRDefault="002338B3">
          <w:r>
            <w:rPr>
              <w:b/>
              <w:bCs/>
              <w:noProof/>
            </w:rPr>
            <w:fldChar w:fldCharType="end"/>
          </w:r>
        </w:p>
      </w:sdtContent>
    </w:sdt>
    <w:p w14:paraId="74735D89" w14:textId="77777777" w:rsidR="002338B3" w:rsidRDefault="002338B3" w:rsidP="0039390B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lang w:eastAsia="en-GB"/>
        </w:rPr>
      </w:pPr>
    </w:p>
    <w:p w14:paraId="6A151B54" w14:textId="77777777" w:rsidR="002338B3" w:rsidRDefault="002338B3" w:rsidP="0039390B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lang w:eastAsia="en-GB"/>
        </w:rPr>
      </w:pPr>
    </w:p>
    <w:p w14:paraId="405F21E0" w14:textId="77777777" w:rsidR="002338B3" w:rsidRDefault="002338B3" w:rsidP="0039390B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lang w:eastAsia="en-GB"/>
        </w:rPr>
      </w:pPr>
    </w:p>
    <w:p w14:paraId="71180FE5" w14:textId="46C64C04" w:rsidR="0039390B" w:rsidRPr="00535F99" w:rsidRDefault="0039390B" w:rsidP="0039390B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lang w:eastAsia="en-GB"/>
        </w:rPr>
      </w:pPr>
      <w:bookmarkStart w:id="0" w:name="_Toc216985306"/>
      <w:r w:rsidRPr="00535F99">
        <w:rPr>
          <w:rFonts w:eastAsia="Times New Roman" w:cstheme="minorHAnsi"/>
          <w:b/>
          <w:bCs/>
          <w:kern w:val="36"/>
          <w:lang w:eastAsia="en-GB"/>
        </w:rPr>
        <w:t xml:space="preserve">1. Research </w:t>
      </w:r>
      <w:proofErr w:type="gramStart"/>
      <w:r w:rsidRPr="00535F99">
        <w:rPr>
          <w:rFonts w:eastAsia="Times New Roman" w:cstheme="minorHAnsi"/>
          <w:b/>
          <w:bCs/>
          <w:kern w:val="36"/>
          <w:lang w:eastAsia="en-GB"/>
        </w:rPr>
        <w:t>Into</w:t>
      </w:r>
      <w:proofErr w:type="gramEnd"/>
      <w:r w:rsidRPr="00535F99">
        <w:rPr>
          <w:rFonts w:eastAsia="Times New Roman" w:cstheme="minorHAnsi"/>
          <w:b/>
          <w:bCs/>
          <w:kern w:val="36"/>
          <w:lang w:eastAsia="en-GB"/>
        </w:rPr>
        <w:t xml:space="preserve"> Security Frameworks and Models</w:t>
      </w:r>
      <w:bookmarkEnd w:id="0"/>
    </w:p>
    <w:p w14:paraId="4326B170" w14:textId="66E0E2A0" w:rsidR="0039390B" w:rsidRPr="00535F99" w:rsidRDefault="0039390B" w:rsidP="0039390B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Organisations like </w:t>
      </w:r>
      <w:r w:rsidRPr="00535F99">
        <w:rPr>
          <w:rFonts w:eastAsia="Times New Roman" w:cstheme="minorHAnsi"/>
          <w:b/>
          <w:bCs/>
          <w:lang w:eastAsia="en-GB"/>
        </w:rPr>
        <w:t>Nature</w:t>
      </w:r>
      <w:r w:rsidR="004B3571" w:rsidRPr="00535F99">
        <w:rPr>
          <w:rFonts w:eastAsia="Times New Roman" w:cstheme="minorHAnsi"/>
          <w:b/>
          <w:bCs/>
          <w:lang w:eastAsia="en-GB"/>
        </w:rPr>
        <w:t xml:space="preserve"> </w:t>
      </w:r>
      <w:r w:rsidRPr="00535F99">
        <w:rPr>
          <w:rFonts w:eastAsia="Times New Roman" w:cstheme="minorHAnsi"/>
          <w:b/>
          <w:bCs/>
          <w:lang w:eastAsia="en-GB"/>
        </w:rPr>
        <w:t>Green (NG)</w:t>
      </w:r>
      <w:r w:rsidRPr="00535F99">
        <w:rPr>
          <w:rFonts w:eastAsia="Times New Roman" w:cstheme="minorHAnsi"/>
          <w:lang w:eastAsia="en-GB"/>
        </w:rPr>
        <w:t xml:space="preserve"> require structured approaches to information security, governance, and compliance. Several established frameworks guide organisations in building strong security programs.</w:t>
      </w:r>
    </w:p>
    <w:p w14:paraId="3E71E93C" w14:textId="5C630351" w:rsidR="0039390B" w:rsidRPr="00535F99" w:rsidRDefault="0039390B" w:rsidP="0039390B">
      <w:pPr>
        <w:spacing w:after="0" w:line="240" w:lineRule="auto"/>
        <w:rPr>
          <w:rFonts w:eastAsia="Times New Roman" w:cstheme="minorHAnsi"/>
          <w:lang w:eastAsia="en-GB"/>
        </w:rPr>
      </w:pPr>
    </w:p>
    <w:p w14:paraId="330D6A94" w14:textId="77777777" w:rsidR="0039390B" w:rsidRPr="00535F99" w:rsidRDefault="0039390B" w:rsidP="0039390B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lang w:eastAsia="en-GB"/>
        </w:rPr>
      </w:pPr>
      <w:bookmarkStart w:id="1" w:name="_Toc216985307"/>
      <w:r w:rsidRPr="00535F99">
        <w:rPr>
          <w:rFonts w:eastAsia="Times New Roman" w:cstheme="minorHAnsi"/>
          <w:b/>
          <w:bCs/>
          <w:lang w:eastAsia="en-GB"/>
        </w:rPr>
        <w:t>1.1 ITIL (Information Technology Infrastructure Library)</w:t>
      </w:r>
      <w:bookmarkEnd w:id="1"/>
    </w:p>
    <w:p w14:paraId="24BE8A0E" w14:textId="77777777" w:rsidR="0039390B" w:rsidRPr="00535F99" w:rsidRDefault="0039390B" w:rsidP="0039390B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ITIL is a </w:t>
      </w:r>
      <w:r w:rsidRPr="00535F99">
        <w:rPr>
          <w:rFonts w:eastAsia="Times New Roman" w:cstheme="minorHAnsi"/>
          <w:b/>
          <w:bCs/>
          <w:lang w:eastAsia="en-GB"/>
        </w:rPr>
        <w:t>service management framework</w:t>
      </w:r>
      <w:r w:rsidRPr="00535F99">
        <w:rPr>
          <w:rFonts w:eastAsia="Times New Roman" w:cstheme="minorHAnsi"/>
          <w:lang w:eastAsia="en-GB"/>
        </w:rPr>
        <w:t xml:space="preserve"> that helps organisations deliver reliable IT services aligned with business needs.</w:t>
      </w:r>
      <w:r w:rsidRPr="00535F99">
        <w:rPr>
          <w:rFonts w:eastAsia="Times New Roman" w:cstheme="minorHAnsi"/>
          <w:lang w:eastAsia="en-GB"/>
        </w:rPr>
        <w:br/>
        <w:t xml:space="preserve">Security in ITIL falls under </w:t>
      </w:r>
      <w:r w:rsidRPr="00535F99">
        <w:rPr>
          <w:rFonts w:eastAsia="Times New Roman" w:cstheme="minorHAnsi"/>
          <w:b/>
          <w:bCs/>
          <w:lang w:eastAsia="en-GB"/>
        </w:rPr>
        <w:t>Service Design</w:t>
      </w:r>
      <w:r w:rsidRPr="00535F99">
        <w:rPr>
          <w:rFonts w:eastAsia="Times New Roman" w:cstheme="minorHAnsi"/>
          <w:lang w:eastAsia="en-GB"/>
        </w:rPr>
        <w:t xml:space="preserve"> and </w:t>
      </w:r>
      <w:r w:rsidRPr="00535F99">
        <w:rPr>
          <w:rFonts w:eastAsia="Times New Roman" w:cstheme="minorHAnsi"/>
          <w:b/>
          <w:bCs/>
          <w:lang w:eastAsia="en-GB"/>
        </w:rPr>
        <w:t>Service Operation</w:t>
      </w:r>
      <w:r w:rsidRPr="00535F99">
        <w:rPr>
          <w:rFonts w:eastAsia="Times New Roman" w:cstheme="minorHAnsi"/>
          <w:lang w:eastAsia="en-GB"/>
        </w:rPr>
        <w:t>.</w:t>
      </w:r>
    </w:p>
    <w:p w14:paraId="3CC31034" w14:textId="77777777" w:rsidR="0039390B" w:rsidRPr="00535F99" w:rsidRDefault="0039390B" w:rsidP="0039390B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lang w:eastAsia="en-GB"/>
        </w:rPr>
      </w:pPr>
      <w:bookmarkStart w:id="2" w:name="_Toc216985308"/>
      <w:r w:rsidRPr="00535F99">
        <w:rPr>
          <w:rFonts w:eastAsia="Times New Roman" w:cstheme="minorHAnsi"/>
          <w:b/>
          <w:bCs/>
          <w:lang w:eastAsia="en-GB"/>
        </w:rPr>
        <w:t>ITIL Security Components</w:t>
      </w:r>
      <w:bookmarkEnd w:id="2"/>
    </w:p>
    <w:p w14:paraId="225181EB" w14:textId="77777777" w:rsidR="0039390B" w:rsidRPr="00535F99" w:rsidRDefault="0039390B" w:rsidP="0039390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b/>
          <w:bCs/>
          <w:lang w:eastAsia="en-GB"/>
        </w:rPr>
        <w:t>Information Security Management (ISM)</w:t>
      </w:r>
      <w:r w:rsidRPr="00535F99">
        <w:rPr>
          <w:rFonts w:eastAsia="Times New Roman" w:cstheme="minorHAnsi"/>
          <w:lang w:eastAsia="en-GB"/>
        </w:rPr>
        <w:br/>
        <w:t>Ensures IT security aligns with business security requirements.</w:t>
      </w:r>
    </w:p>
    <w:p w14:paraId="2BF1E4D8" w14:textId="77777777" w:rsidR="0039390B" w:rsidRPr="00535F99" w:rsidRDefault="0039390B" w:rsidP="0039390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b/>
          <w:bCs/>
          <w:lang w:eastAsia="en-GB"/>
        </w:rPr>
        <w:t>Service Level Management (SLM)</w:t>
      </w:r>
      <w:r w:rsidRPr="00535F99">
        <w:rPr>
          <w:rFonts w:eastAsia="Times New Roman" w:cstheme="minorHAnsi"/>
          <w:lang w:eastAsia="en-GB"/>
        </w:rPr>
        <w:br/>
        <w:t>Ensures clear agreements between IT and business.</w:t>
      </w:r>
    </w:p>
    <w:p w14:paraId="79E50F74" w14:textId="77777777" w:rsidR="0039390B" w:rsidRPr="00535F99" w:rsidRDefault="0039390B" w:rsidP="0039390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b/>
          <w:bCs/>
          <w:lang w:eastAsia="en-GB"/>
        </w:rPr>
        <w:t>Change Management</w:t>
      </w:r>
      <w:r w:rsidRPr="00535F99">
        <w:rPr>
          <w:rFonts w:eastAsia="Times New Roman" w:cstheme="minorHAnsi"/>
          <w:lang w:eastAsia="en-GB"/>
        </w:rPr>
        <w:br/>
        <w:t>Controls and verifies any changes to the environment.</w:t>
      </w:r>
    </w:p>
    <w:p w14:paraId="638EBEF0" w14:textId="77777777" w:rsidR="0039390B" w:rsidRPr="00535F99" w:rsidRDefault="0039390B" w:rsidP="0039390B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lang w:eastAsia="en-GB"/>
        </w:rPr>
      </w:pPr>
      <w:bookmarkStart w:id="3" w:name="_Toc216985309"/>
      <w:r w:rsidRPr="00535F99">
        <w:rPr>
          <w:rFonts w:eastAsia="Times New Roman" w:cstheme="minorHAnsi"/>
          <w:b/>
          <w:bCs/>
          <w:lang w:eastAsia="en-GB"/>
        </w:rPr>
        <w:t>Figure 1: ITIL Service Lifecycle (Simplified)</w:t>
      </w:r>
      <w:bookmarkEnd w:id="3"/>
    </w:p>
    <w:p w14:paraId="763FE94E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+---------------------------+</w:t>
      </w:r>
    </w:p>
    <w:p w14:paraId="0CE659AA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|     Service Strategy      |</w:t>
      </w:r>
    </w:p>
    <w:p w14:paraId="7C0A79D7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+------------+--------------+</w:t>
      </w:r>
    </w:p>
    <w:p w14:paraId="38F117F4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             |</w:t>
      </w:r>
    </w:p>
    <w:p w14:paraId="1430C662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             v</w:t>
      </w:r>
    </w:p>
    <w:p w14:paraId="2E374FCE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+---------------------------+</w:t>
      </w:r>
    </w:p>
    <w:p w14:paraId="1AFD6023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|      Service Design       |</w:t>
      </w:r>
    </w:p>
    <w:p w14:paraId="055DF171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+------------+--------------+</w:t>
      </w:r>
    </w:p>
    <w:p w14:paraId="00041D8C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             |</w:t>
      </w:r>
    </w:p>
    <w:p w14:paraId="38EE3EC1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             v</w:t>
      </w:r>
    </w:p>
    <w:p w14:paraId="26EA431D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+---------------------------+</w:t>
      </w:r>
    </w:p>
    <w:p w14:paraId="041D7E70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|     Service Transition    |</w:t>
      </w:r>
    </w:p>
    <w:p w14:paraId="7A884C6D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+------------+--------------+</w:t>
      </w:r>
    </w:p>
    <w:p w14:paraId="59E8E536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             |</w:t>
      </w:r>
    </w:p>
    <w:p w14:paraId="56AE2CF2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             v</w:t>
      </w:r>
    </w:p>
    <w:p w14:paraId="72FF2211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+---------------------------+</w:t>
      </w:r>
    </w:p>
    <w:p w14:paraId="40CAE46E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|     Service Operation     |</w:t>
      </w:r>
    </w:p>
    <w:p w14:paraId="42AA2C59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+------------+--------------+</w:t>
      </w:r>
    </w:p>
    <w:p w14:paraId="15742AC0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             |</w:t>
      </w:r>
    </w:p>
    <w:p w14:paraId="2498C81E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             v</w:t>
      </w:r>
    </w:p>
    <w:p w14:paraId="1441DB80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+---------------------------+</w:t>
      </w:r>
    </w:p>
    <w:p w14:paraId="3D8E849C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|     Continual Service     |</w:t>
      </w:r>
    </w:p>
    <w:p w14:paraId="1F82169C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|        Improvement        |</w:t>
      </w:r>
    </w:p>
    <w:p w14:paraId="5CAA3284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+---------------------------+</w:t>
      </w:r>
    </w:p>
    <w:p w14:paraId="0860D59D" w14:textId="77777777" w:rsidR="0039390B" w:rsidRPr="00535F99" w:rsidRDefault="0039390B" w:rsidP="0039390B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lastRenderedPageBreak/>
        <w:t xml:space="preserve">ITIL ensures </w:t>
      </w:r>
      <w:r w:rsidRPr="00535F99">
        <w:rPr>
          <w:rFonts w:eastAsia="Times New Roman" w:cstheme="minorHAnsi"/>
          <w:b/>
          <w:bCs/>
          <w:lang w:eastAsia="en-GB"/>
        </w:rPr>
        <w:t>security controls remain consistent and measurable</w:t>
      </w:r>
      <w:r w:rsidRPr="00535F99">
        <w:rPr>
          <w:rFonts w:eastAsia="Times New Roman" w:cstheme="minorHAnsi"/>
          <w:lang w:eastAsia="en-GB"/>
        </w:rPr>
        <w:t>.</w:t>
      </w:r>
    </w:p>
    <w:p w14:paraId="05EF8B7B" w14:textId="7E341243" w:rsidR="0039390B" w:rsidRPr="00535F99" w:rsidRDefault="0039390B" w:rsidP="0039390B">
      <w:pPr>
        <w:spacing w:after="0" w:line="240" w:lineRule="auto"/>
        <w:rPr>
          <w:rFonts w:eastAsia="Times New Roman" w:cstheme="minorHAnsi"/>
          <w:lang w:eastAsia="en-GB"/>
        </w:rPr>
      </w:pPr>
    </w:p>
    <w:p w14:paraId="51C69DF0" w14:textId="77777777" w:rsidR="0039390B" w:rsidRPr="00535F99" w:rsidRDefault="0039390B" w:rsidP="0039390B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lang w:eastAsia="en-GB"/>
        </w:rPr>
      </w:pPr>
      <w:bookmarkStart w:id="4" w:name="_Toc216985310"/>
      <w:r w:rsidRPr="00535F99">
        <w:rPr>
          <w:rFonts w:eastAsia="Times New Roman" w:cstheme="minorHAnsi"/>
          <w:b/>
          <w:bCs/>
          <w:lang w:eastAsia="en-GB"/>
        </w:rPr>
        <w:t>1.2 ISO/IEC 27000 Series (Security Model)</w:t>
      </w:r>
      <w:bookmarkEnd w:id="4"/>
    </w:p>
    <w:p w14:paraId="4BA5D921" w14:textId="77777777" w:rsidR="0039390B" w:rsidRPr="00535F99" w:rsidRDefault="0039390B" w:rsidP="0039390B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>The ISO 27000 family is one of the most widely used frameworks.</w:t>
      </w:r>
    </w:p>
    <w:p w14:paraId="348791C5" w14:textId="77777777" w:rsidR="0039390B" w:rsidRPr="00535F99" w:rsidRDefault="0039390B" w:rsidP="0039390B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lang w:eastAsia="en-GB"/>
        </w:rPr>
      </w:pPr>
      <w:bookmarkStart w:id="5" w:name="_Toc216985311"/>
      <w:r w:rsidRPr="00535F99">
        <w:rPr>
          <w:rFonts w:eastAsia="Times New Roman" w:cstheme="minorHAnsi"/>
          <w:b/>
          <w:bCs/>
          <w:lang w:eastAsia="en-GB"/>
        </w:rPr>
        <w:t>Key Standards</w:t>
      </w:r>
      <w:bookmarkEnd w:id="5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5"/>
        <w:gridCol w:w="5710"/>
      </w:tblGrid>
      <w:tr w:rsidR="0039390B" w:rsidRPr="00535F99" w14:paraId="3A4A06FC" w14:textId="77777777" w:rsidTr="0039390B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FEFF0AE" w14:textId="77777777" w:rsidR="0039390B" w:rsidRPr="00535F99" w:rsidRDefault="0039390B" w:rsidP="003939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en-GB"/>
              </w:rPr>
            </w:pPr>
            <w:r w:rsidRPr="00535F99">
              <w:rPr>
                <w:rFonts w:eastAsia="Times New Roman" w:cstheme="minorHAnsi"/>
                <w:b/>
                <w:bCs/>
                <w:lang w:eastAsia="en-GB"/>
              </w:rPr>
              <w:t>Standard</w:t>
            </w:r>
          </w:p>
        </w:tc>
        <w:tc>
          <w:tcPr>
            <w:tcW w:w="0" w:type="auto"/>
            <w:vAlign w:val="center"/>
            <w:hideMark/>
          </w:tcPr>
          <w:p w14:paraId="42F1334E" w14:textId="77777777" w:rsidR="0039390B" w:rsidRPr="00535F99" w:rsidRDefault="0039390B" w:rsidP="003939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en-GB"/>
              </w:rPr>
            </w:pPr>
            <w:r w:rsidRPr="00535F99">
              <w:rPr>
                <w:rFonts w:eastAsia="Times New Roman" w:cstheme="minorHAnsi"/>
                <w:b/>
                <w:bCs/>
                <w:lang w:eastAsia="en-GB"/>
              </w:rPr>
              <w:t>Description</w:t>
            </w:r>
          </w:p>
        </w:tc>
      </w:tr>
      <w:tr w:rsidR="0039390B" w:rsidRPr="00535F99" w14:paraId="5A971DE7" w14:textId="77777777" w:rsidTr="003939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FACE9C" w14:textId="77777777" w:rsidR="0039390B" w:rsidRPr="00535F99" w:rsidRDefault="0039390B" w:rsidP="0039390B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535F99">
              <w:rPr>
                <w:rFonts w:eastAsia="Times New Roman" w:cstheme="minorHAnsi"/>
                <w:lang w:eastAsia="en-GB"/>
              </w:rPr>
              <w:t>ISO 27001</w:t>
            </w:r>
          </w:p>
        </w:tc>
        <w:tc>
          <w:tcPr>
            <w:tcW w:w="0" w:type="auto"/>
            <w:vAlign w:val="center"/>
            <w:hideMark/>
          </w:tcPr>
          <w:p w14:paraId="64D50113" w14:textId="77777777" w:rsidR="0039390B" w:rsidRPr="00535F99" w:rsidRDefault="0039390B" w:rsidP="0039390B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535F99">
              <w:rPr>
                <w:rFonts w:eastAsia="Times New Roman" w:cstheme="minorHAnsi"/>
                <w:lang w:eastAsia="en-GB"/>
              </w:rPr>
              <w:t>Information security management system (ISMS) requirements</w:t>
            </w:r>
          </w:p>
        </w:tc>
      </w:tr>
      <w:tr w:rsidR="0039390B" w:rsidRPr="00535F99" w14:paraId="705E30C8" w14:textId="77777777" w:rsidTr="003939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630540" w14:textId="77777777" w:rsidR="0039390B" w:rsidRPr="00535F99" w:rsidRDefault="0039390B" w:rsidP="0039390B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535F99">
              <w:rPr>
                <w:rFonts w:eastAsia="Times New Roman" w:cstheme="minorHAnsi"/>
                <w:lang w:eastAsia="en-GB"/>
              </w:rPr>
              <w:t>ISO 27002</w:t>
            </w:r>
          </w:p>
        </w:tc>
        <w:tc>
          <w:tcPr>
            <w:tcW w:w="0" w:type="auto"/>
            <w:vAlign w:val="center"/>
            <w:hideMark/>
          </w:tcPr>
          <w:p w14:paraId="5BCD5C63" w14:textId="77777777" w:rsidR="0039390B" w:rsidRPr="00535F99" w:rsidRDefault="0039390B" w:rsidP="0039390B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535F99">
              <w:rPr>
                <w:rFonts w:eastAsia="Times New Roman" w:cstheme="minorHAnsi"/>
                <w:lang w:eastAsia="en-GB"/>
              </w:rPr>
              <w:t>Security controls best practices</w:t>
            </w:r>
          </w:p>
        </w:tc>
      </w:tr>
      <w:tr w:rsidR="0039390B" w:rsidRPr="00535F99" w14:paraId="3C042F24" w14:textId="77777777" w:rsidTr="003939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825B4B" w14:textId="77777777" w:rsidR="0039390B" w:rsidRPr="00535F99" w:rsidRDefault="0039390B" w:rsidP="0039390B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535F99">
              <w:rPr>
                <w:rFonts w:eastAsia="Times New Roman" w:cstheme="minorHAnsi"/>
                <w:lang w:eastAsia="en-GB"/>
              </w:rPr>
              <w:t>ISO 27005</w:t>
            </w:r>
          </w:p>
        </w:tc>
        <w:tc>
          <w:tcPr>
            <w:tcW w:w="0" w:type="auto"/>
            <w:vAlign w:val="center"/>
            <w:hideMark/>
          </w:tcPr>
          <w:p w14:paraId="6BF54926" w14:textId="77777777" w:rsidR="0039390B" w:rsidRPr="00535F99" w:rsidRDefault="0039390B" w:rsidP="0039390B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535F99">
              <w:rPr>
                <w:rFonts w:eastAsia="Times New Roman" w:cstheme="minorHAnsi"/>
                <w:lang w:eastAsia="en-GB"/>
              </w:rPr>
              <w:t>Risk management guidelines</w:t>
            </w:r>
          </w:p>
        </w:tc>
      </w:tr>
      <w:tr w:rsidR="0039390B" w:rsidRPr="00535F99" w14:paraId="3E21CD21" w14:textId="77777777" w:rsidTr="003939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914722" w14:textId="77777777" w:rsidR="0039390B" w:rsidRPr="00535F99" w:rsidRDefault="0039390B" w:rsidP="0039390B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535F99">
              <w:rPr>
                <w:rFonts w:eastAsia="Times New Roman" w:cstheme="minorHAnsi"/>
                <w:lang w:eastAsia="en-GB"/>
              </w:rPr>
              <w:t>ISO 27017</w:t>
            </w:r>
          </w:p>
        </w:tc>
        <w:tc>
          <w:tcPr>
            <w:tcW w:w="0" w:type="auto"/>
            <w:vAlign w:val="center"/>
            <w:hideMark/>
          </w:tcPr>
          <w:p w14:paraId="6B6288AA" w14:textId="77777777" w:rsidR="0039390B" w:rsidRPr="00535F99" w:rsidRDefault="0039390B" w:rsidP="0039390B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535F99">
              <w:rPr>
                <w:rFonts w:eastAsia="Times New Roman" w:cstheme="minorHAnsi"/>
                <w:lang w:eastAsia="en-GB"/>
              </w:rPr>
              <w:t>Cloud service security</w:t>
            </w:r>
          </w:p>
        </w:tc>
      </w:tr>
    </w:tbl>
    <w:p w14:paraId="31C75011" w14:textId="77777777" w:rsidR="0039390B" w:rsidRPr="00535F99" w:rsidRDefault="0039390B" w:rsidP="0039390B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lang w:eastAsia="en-GB"/>
        </w:rPr>
      </w:pPr>
      <w:bookmarkStart w:id="6" w:name="_Toc216985312"/>
      <w:r w:rsidRPr="00535F99">
        <w:rPr>
          <w:rFonts w:eastAsia="Times New Roman" w:cstheme="minorHAnsi"/>
          <w:b/>
          <w:bCs/>
          <w:lang w:eastAsia="en-GB"/>
        </w:rPr>
        <w:t>ISO 27001 Model – PDCA Cycle</w:t>
      </w:r>
      <w:bookmarkEnd w:id="6"/>
    </w:p>
    <w:p w14:paraId="4657774A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        +-----------+</w:t>
      </w:r>
    </w:p>
    <w:p w14:paraId="248826EE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        |   PLAN    |</w:t>
      </w:r>
    </w:p>
    <w:p w14:paraId="164A3229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        | Define ISMS|</w:t>
      </w:r>
    </w:p>
    <w:p w14:paraId="3772FD20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        +-----+-----+</w:t>
      </w:r>
    </w:p>
    <w:p w14:paraId="5165913C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              |</w:t>
      </w:r>
    </w:p>
    <w:p w14:paraId="4081981E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              v</w:t>
      </w:r>
    </w:p>
    <w:p w14:paraId="46B59143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        +-----+-----+</w:t>
      </w:r>
    </w:p>
    <w:p w14:paraId="3E92936D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        |   DO      |</w:t>
      </w:r>
    </w:p>
    <w:p w14:paraId="182E9F81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        | Implement |</w:t>
      </w:r>
    </w:p>
    <w:p w14:paraId="4FA9E8B6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        +-----+-----+</w:t>
      </w:r>
    </w:p>
    <w:p w14:paraId="44516795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              |</w:t>
      </w:r>
    </w:p>
    <w:p w14:paraId="01FF9454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              v</w:t>
      </w:r>
    </w:p>
    <w:p w14:paraId="44E9FBC9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        +-----+-----+</w:t>
      </w:r>
    </w:p>
    <w:p w14:paraId="5F6D1A5F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        |   CHECK   |</w:t>
      </w:r>
    </w:p>
    <w:p w14:paraId="7799A2DF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        |Audit/Review|</w:t>
      </w:r>
    </w:p>
    <w:p w14:paraId="5C0A4896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        +-----+-----+</w:t>
      </w:r>
    </w:p>
    <w:p w14:paraId="118F7AD6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              |</w:t>
      </w:r>
    </w:p>
    <w:p w14:paraId="48681D23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              v</w:t>
      </w:r>
    </w:p>
    <w:p w14:paraId="5D32A6CC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        +-----+-----+</w:t>
      </w:r>
    </w:p>
    <w:p w14:paraId="7B35CD34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        |   ACT     |</w:t>
      </w:r>
    </w:p>
    <w:p w14:paraId="5A0E2FB6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        |Corrective |</w:t>
      </w:r>
    </w:p>
    <w:p w14:paraId="6D4941A4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        +-----------+</w:t>
      </w:r>
    </w:p>
    <w:p w14:paraId="2E681954" w14:textId="77777777" w:rsidR="0039390B" w:rsidRPr="00535F99" w:rsidRDefault="0039390B" w:rsidP="0039390B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>This model ensures continuous improvement of the security program.</w:t>
      </w:r>
    </w:p>
    <w:p w14:paraId="6AA082F4" w14:textId="1265755C" w:rsidR="0039390B" w:rsidRPr="00535F99" w:rsidRDefault="0039390B" w:rsidP="0039390B">
      <w:pPr>
        <w:spacing w:after="0" w:line="240" w:lineRule="auto"/>
        <w:rPr>
          <w:rFonts w:eastAsia="Times New Roman" w:cstheme="minorHAnsi"/>
          <w:lang w:eastAsia="en-GB"/>
        </w:rPr>
      </w:pPr>
    </w:p>
    <w:p w14:paraId="64BCF4D1" w14:textId="77777777" w:rsidR="002338B3" w:rsidRDefault="002338B3" w:rsidP="0039390B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lang w:eastAsia="en-GB"/>
        </w:rPr>
      </w:pPr>
      <w:bookmarkStart w:id="7" w:name="_Toc216985313"/>
    </w:p>
    <w:p w14:paraId="2ACCC9DF" w14:textId="58AFA0E9" w:rsidR="0039390B" w:rsidRPr="00535F99" w:rsidRDefault="0039390B" w:rsidP="0039390B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lang w:eastAsia="en-GB"/>
        </w:rPr>
      </w:pPr>
      <w:r w:rsidRPr="00535F99">
        <w:rPr>
          <w:rFonts w:eastAsia="Times New Roman" w:cstheme="minorHAnsi"/>
          <w:b/>
          <w:bCs/>
          <w:lang w:eastAsia="en-GB"/>
        </w:rPr>
        <w:t>1.3 NIST Cybersecurity Framework (CSF)</w:t>
      </w:r>
      <w:bookmarkEnd w:id="7"/>
    </w:p>
    <w:p w14:paraId="0D6933D3" w14:textId="77777777" w:rsidR="0039390B" w:rsidRPr="00535F99" w:rsidRDefault="0039390B" w:rsidP="0039390B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>Widely used in US and Europe; helpful for operational security.</w:t>
      </w:r>
    </w:p>
    <w:p w14:paraId="17F5E7E4" w14:textId="77777777" w:rsidR="0039390B" w:rsidRPr="00535F99" w:rsidRDefault="0039390B" w:rsidP="0039390B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lang w:eastAsia="en-GB"/>
        </w:rPr>
      </w:pPr>
      <w:bookmarkStart w:id="8" w:name="_Toc216985314"/>
      <w:r w:rsidRPr="00535F99">
        <w:rPr>
          <w:rFonts w:eastAsia="Times New Roman" w:cstheme="minorHAnsi"/>
          <w:b/>
          <w:bCs/>
          <w:lang w:eastAsia="en-GB"/>
        </w:rPr>
        <w:lastRenderedPageBreak/>
        <w:t>Five core functions</w:t>
      </w:r>
      <w:bookmarkEnd w:id="8"/>
    </w:p>
    <w:p w14:paraId="4FCDDF2F" w14:textId="77777777" w:rsidR="0039390B" w:rsidRPr="00535F99" w:rsidRDefault="0039390B" w:rsidP="0039390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b/>
          <w:bCs/>
          <w:lang w:eastAsia="en-GB"/>
        </w:rPr>
        <w:t>Identify</w:t>
      </w:r>
      <w:r w:rsidRPr="00535F99">
        <w:rPr>
          <w:rFonts w:eastAsia="Times New Roman" w:cstheme="minorHAnsi"/>
          <w:lang w:eastAsia="en-GB"/>
        </w:rPr>
        <w:t xml:space="preserve"> – Assets, risks, regulations</w:t>
      </w:r>
    </w:p>
    <w:p w14:paraId="27F7E13F" w14:textId="77777777" w:rsidR="0039390B" w:rsidRPr="00535F99" w:rsidRDefault="0039390B" w:rsidP="0039390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b/>
          <w:bCs/>
          <w:lang w:eastAsia="en-GB"/>
        </w:rPr>
        <w:t>Protect</w:t>
      </w:r>
      <w:r w:rsidRPr="00535F99">
        <w:rPr>
          <w:rFonts w:eastAsia="Times New Roman" w:cstheme="minorHAnsi"/>
          <w:lang w:eastAsia="en-GB"/>
        </w:rPr>
        <w:t xml:space="preserve"> – Controls, encryption, IAM</w:t>
      </w:r>
    </w:p>
    <w:p w14:paraId="6B88F930" w14:textId="77777777" w:rsidR="0039390B" w:rsidRPr="00535F99" w:rsidRDefault="0039390B" w:rsidP="0039390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b/>
          <w:bCs/>
          <w:lang w:eastAsia="en-GB"/>
        </w:rPr>
        <w:t>Detect</w:t>
      </w:r>
      <w:r w:rsidRPr="00535F99">
        <w:rPr>
          <w:rFonts w:eastAsia="Times New Roman" w:cstheme="minorHAnsi"/>
          <w:lang w:eastAsia="en-GB"/>
        </w:rPr>
        <w:t xml:space="preserve"> – Monitoring, logs</w:t>
      </w:r>
    </w:p>
    <w:p w14:paraId="00CC9556" w14:textId="77777777" w:rsidR="0039390B" w:rsidRPr="00535F99" w:rsidRDefault="0039390B" w:rsidP="0039390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b/>
          <w:bCs/>
          <w:lang w:eastAsia="en-GB"/>
        </w:rPr>
        <w:t>Respond</w:t>
      </w:r>
      <w:r w:rsidRPr="00535F99">
        <w:rPr>
          <w:rFonts w:eastAsia="Times New Roman" w:cstheme="minorHAnsi"/>
          <w:lang w:eastAsia="en-GB"/>
        </w:rPr>
        <w:t xml:space="preserve"> – Incident handling</w:t>
      </w:r>
    </w:p>
    <w:p w14:paraId="4389B120" w14:textId="77777777" w:rsidR="0039390B" w:rsidRPr="00535F99" w:rsidRDefault="0039390B" w:rsidP="0039390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b/>
          <w:bCs/>
          <w:lang w:eastAsia="en-GB"/>
        </w:rPr>
        <w:t>Recover</w:t>
      </w:r>
      <w:r w:rsidRPr="00535F99">
        <w:rPr>
          <w:rFonts w:eastAsia="Times New Roman" w:cstheme="minorHAnsi"/>
          <w:lang w:eastAsia="en-GB"/>
        </w:rPr>
        <w:t xml:space="preserve"> – Business continuity</w:t>
      </w:r>
    </w:p>
    <w:p w14:paraId="145CEAE7" w14:textId="77777777" w:rsidR="0039390B" w:rsidRPr="00535F99" w:rsidRDefault="0039390B" w:rsidP="0039390B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lang w:eastAsia="en-GB"/>
        </w:rPr>
      </w:pPr>
      <w:bookmarkStart w:id="9" w:name="_Toc216985315"/>
      <w:r w:rsidRPr="00535F99">
        <w:rPr>
          <w:rFonts w:eastAsia="Times New Roman" w:cstheme="minorHAnsi"/>
          <w:b/>
          <w:bCs/>
          <w:lang w:eastAsia="en-GB"/>
        </w:rPr>
        <w:t>Figure: NIST CSF</w:t>
      </w:r>
      <w:bookmarkEnd w:id="9"/>
    </w:p>
    <w:p w14:paraId="4BAC496E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>[Identify] → [Protect] → [Detect] → [Respond] → [Recover]</w:t>
      </w:r>
    </w:p>
    <w:p w14:paraId="2B89CC91" w14:textId="6ABDE775" w:rsidR="0039390B" w:rsidRPr="00535F99" w:rsidRDefault="0039390B" w:rsidP="0039390B">
      <w:pPr>
        <w:spacing w:after="0" w:line="240" w:lineRule="auto"/>
        <w:rPr>
          <w:rFonts w:eastAsia="Times New Roman" w:cstheme="minorHAnsi"/>
          <w:lang w:eastAsia="en-GB"/>
        </w:rPr>
      </w:pPr>
    </w:p>
    <w:p w14:paraId="607994B7" w14:textId="77777777" w:rsidR="0039390B" w:rsidRPr="00535F99" w:rsidRDefault="0039390B" w:rsidP="0039390B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lang w:eastAsia="en-GB"/>
        </w:rPr>
      </w:pPr>
      <w:bookmarkStart w:id="10" w:name="_Toc216985316"/>
      <w:r w:rsidRPr="00535F99">
        <w:rPr>
          <w:rFonts w:eastAsia="Times New Roman" w:cstheme="minorHAnsi"/>
          <w:b/>
          <w:bCs/>
          <w:lang w:eastAsia="en-GB"/>
        </w:rPr>
        <w:t>1.4 Security Management Models</w:t>
      </w:r>
      <w:bookmarkEnd w:id="10"/>
    </w:p>
    <w:p w14:paraId="334B199B" w14:textId="72E6B75C" w:rsidR="0039390B" w:rsidRPr="00535F99" w:rsidRDefault="0039390B" w:rsidP="0039390B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lang w:eastAsia="en-GB"/>
        </w:rPr>
      </w:pPr>
      <w:bookmarkStart w:id="11" w:name="_Toc216985317"/>
      <w:r w:rsidRPr="00535F99">
        <w:rPr>
          <w:rFonts w:eastAsia="Times New Roman" w:cstheme="minorHAnsi"/>
          <w:b/>
          <w:bCs/>
          <w:lang w:eastAsia="en-GB"/>
        </w:rPr>
        <w:t>Bell-</w:t>
      </w:r>
      <w:proofErr w:type="spellStart"/>
      <w:r w:rsidRPr="00535F99">
        <w:rPr>
          <w:rFonts w:eastAsia="Times New Roman" w:cstheme="minorHAnsi"/>
          <w:b/>
          <w:bCs/>
          <w:lang w:eastAsia="en-GB"/>
        </w:rPr>
        <w:t>LaPadula</w:t>
      </w:r>
      <w:proofErr w:type="spellEnd"/>
      <w:r w:rsidRPr="00535F99">
        <w:rPr>
          <w:rFonts w:eastAsia="Times New Roman" w:cstheme="minorHAnsi"/>
          <w:b/>
          <w:bCs/>
          <w:lang w:eastAsia="en-GB"/>
        </w:rPr>
        <w:t xml:space="preserve"> (Confidentiality Model)</w:t>
      </w:r>
      <w:bookmarkEnd w:id="11"/>
    </w:p>
    <w:p w14:paraId="63222314" w14:textId="77777777" w:rsidR="0039390B" w:rsidRPr="00535F99" w:rsidRDefault="0039390B" w:rsidP="0039390B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>Focuses on preventing information leaks.</w:t>
      </w:r>
    </w:p>
    <w:p w14:paraId="2FA892F4" w14:textId="77777777" w:rsidR="0039390B" w:rsidRPr="00535F99" w:rsidRDefault="0039390B" w:rsidP="0039390B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>Rules:</w:t>
      </w:r>
    </w:p>
    <w:p w14:paraId="711A6890" w14:textId="77777777" w:rsidR="0039390B" w:rsidRPr="00535F99" w:rsidRDefault="0039390B" w:rsidP="0039390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>“No read up”</w:t>
      </w:r>
    </w:p>
    <w:p w14:paraId="1D2A58EC" w14:textId="77777777" w:rsidR="0039390B" w:rsidRPr="00535F99" w:rsidRDefault="0039390B" w:rsidP="0039390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>“No write down”</w:t>
      </w:r>
    </w:p>
    <w:p w14:paraId="7CA20BE7" w14:textId="77777777" w:rsidR="0039390B" w:rsidRPr="00535F99" w:rsidRDefault="0039390B" w:rsidP="0039390B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lang w:eastAsia="en-GB"/>
        </w:rPr>
      </w:pPr>
      <w:bookmarkStart w:id="12" w:name="_Toc216985318"/>
      <w:r w:rsidRPr="00535F99">
        <w:rPr>
          <w:rFonts w:eastAsia="Times New Roman" w:cstheme="minorHAnsi"/>
          <w:b/>
          <w:bCs/>
          <w:lang w:eastAsia="en-GB"/>
        </w:rPr>
        <w:t>Clark-Wilson (Integrity Model)</w:t>
      </w:r>
      <w:bookmarkEnd w:id="12"/>
    </w:p>
    <w:p w14:paraId="6FAFA9A1" w14:textId="77777777" w:rsidR="0039390B" w:rsidRPr="00535F99" w:rsidRDefault="0039390B" w:rsidP="0039390B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>Ensures data is consistent, authorised, and audited.</w:t>
      </w:r>
    </w:p>
    <w:p w14:paraId="410B8A7C" w14:textId="77777777" w:rsidR="0039390B" w:rsidRPr="00535F99" w:rsidRDefault="0039390B" w:rsidP="0039390B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lang w:eastAsia="en-GB"/>
        </w:rPr>
      </w:pPr>
      <w:bookmarkStart w:id="13" w:name="_Toc216985319"/>
      <w:r w:rsidRPr="00535F99">
        <w:rPr>
          <w:rFonts w:eastAsia="Times New Roman" w:cstheme="minorHAnsi"/>
          <w:b/>
          <w:bCs/>
          <w:lang w:eastAsia="en-GB"/>
        </w:rPr>
        <w:t>BREACH Model (Availability)</w:t>
      </w:r>
      <w:bookmarkEnd w:id="13"/>
    </w:p>
    <w:p w14:paraId="72CCA0C5" w14:textId="77777777" w:rsidR="0039390B" w:rsidRPr="00535F99" w:rsidRDefault="0039390B" w:rsidP="0039390B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>Ensures access to systems even under attacks.</w:t>
      </w:r>
    </w:p>
    <w:p w14:paraId="2F408AB9" w14:textId="7E3FA585" w:rsidR="0039390B" w:rsidRPr="00535F99" w:rsidRDefault="0039390B" w:rsidP="0039390B">
      <w:pPr>
        <w:spacing w:after="0" w:line="240" w:lineRule="auto"/>
        <w:rPr>
          <w:rFonts w:eastAsia="Times New Roman" w:cstheme="minorHAnsi"/>
          <w:lang w:eastAsia="en-GB"/>
        </w:rPr>
      </w:pPr>
    </w:p>
    <w:p w14:paraId="5A169713" w14:textId="65F5F509" w:rsidR="0039390B" w:rsidRPr="00535F99" w:rsidRDefault="0039390B" w:rsidP="0039390B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lang w:eastAsia="en-GB"/>
        </w:rPr>
      </w:pPr>
      <w:bookmarkStart w:id="14" w:name="_Toc216985320"/>
      <w:r w:rsidRPr="00535F99">
        <w:rPr>
          <w:rFonts w:eastAsia="Times New Roman" w:cstheme="minorHAnsi"/>
          <w:b/>
          <w:bCs/>
          <w:kern w:val="36"/>
          <w:lang w:eastAsia="en-GB"/>
        </w:rPr>
        <w:t>2. Designing a Security Approach for Nature</w:t>
      </w:r>
      <w:r w:rsidR="002338B3">
        <w:rPr>
          <w:rFonts w:eastAsia="Times New Roman" w:cstheme="minorHAnsi"/>
          <w:b/>
          <w:bCs/>
          <w:kern w:val="36"/>
          <w:lang w:eastAsia="en-GB"/>
        </w:rPr>
        <w:t xml:space="preserve"> </w:t>
      </w:r>
      <w:r w:rsidRPr="00535F99">
        <w:rPr>
          <w:rFonts w:eastAsia="Times New Roman" w:cstheme="minorHAnsi"/>
          <w:b/>
          <w:bCs/>
          <w:kern w:val="36"/>
          <w:lang w:eastAsia="en-GB"/>
        </w:rPr>
        <w:t>Green (NG)</w:t>
      </w:r>
      <w:bookmarkEnd w:id="14"/>
    </w:p>
    <w:p w14:paraId="2FAE92C3" w14:textId="77777777" w:rsidR="0039390B" w:rsidRPr="00535F99" w:rsidRDefault="0039390B" w:rsidP="0039390B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Using insights from ITIL, ISO 27001, and NIST, here is a </w:t>
      </w:r>
      <w:r w:rsidRPr="00535F99">
        <w:rPr>
          <w:rFonts w:eastAsia="Times New Roman" w:cstheme="minorHAnsi"/>
          <w:b/>
          <w:bCs/>
          <w:lang w:eastAsia="en-GB"/>
        </w:rPr>
        <w:t>custom security approach</w:t>
      </w:r>
      <w:r w:rsidRPr="00535F99">
        <w:rPr>
          <w:rFonts w:eastAsia="Times New Roman" w:cstheme="minorHAnsi"/>
          <w:lang w:eastAsia="en-GB"/>
        </w:rPr>
        <w:t xml:space="preserve"> tailored for NG.</w:t>
      </w:r>
    </w:p>
    <w:p w14:paraId="57411B08" w14:textId="137B5A30" w:rsidR="0039390B" w:rsidRPr="00535F99" w:rsidRDefault="0039390B" w:rsidP="0039390B">
      <w:pPr>
        <w:spacing w:after="0" w:line="240" w:lineRule="auto"/>
        <w:rPr>
          <w:rFonts w:eastAsia="Times New Roman" w:cstheme="minorHAnsi"/>
          <w:lang w:eastAsia="en-GB"/>
        </w:rPr>
      </w:pPr>
    </w:p>
    <w:p w14:paraId="77B6D3BA" w14:textId="77777777" w:rsidR="0039390B" w:rsidRPr="00535F99" w:rsidRDefault="0039390B" w:rsidP="0039390B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lang w:eastAsia="en-GB"/>
        </w:rPr>
      </w:pPr>
      <w:bookmarkStart w:id="15" w:name="_Toc216985321"/>
      <w:r w:rsidRPr="00535F99">
        <w:rPr>
          <w:rFonts w:eastAsia="Times New Roman" w:cstheme="minorHAnsi"/>
          <w:b/>
          <w:bCs/>
          <w:lang w:eastAsia="en-GB"/>
        </w:rPr>
        <w:t>2.1 Proposed Security Governance Structure for NG</w:t>
      </w:r>
      <w:bookmarkEnd w:id="15"/>
    </w:p>
    <w:p w14:paraId="3BE56DE6" w14:textId="77777777" w:rsidR="0039390B" w:rsidRPr="00535F99" w:rsidRDefault="0039390B" w:rsidP="0039390B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lang w:eastAsia="en-GB"/>
        </w:rPr>
      </w:pPr>
      <w:bookmarkStart w:id="16" w:name="_Toc216985322"/>
      <w:r w:rsidRPr="00535F99">
        <w:rPr>
          <w:rFonts w:eastAsia="Times New Roman" w:cstheme="minorHAnsi"/>
          <w:b/>
          <w:bCs/>
          <w:lang w:eastAsia="en-GB"/>
        </w:rPr>
        <w:t>Diagram: NG Security Governance Model</w:t>
      </w:r>
      <w:bookmarkEnd w:id="16"/>
    </w:p>
    <w:p w14:paraId="75DC0F92" w14:textId="77777777" w:rsidR="0018379B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            </w:t>
      </w:r>
    </w:p>
    <w:p w14:paraId="5378FD7F" w14:textId="77777777" w:rsidR="0018379B" w:rsidRDefault="0018379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</w:p>
    <w:p w14:paraId="5386ECE0" w14:textId="77777777" w:rsidR="0018379B" w:rsidRDefault="0018379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</w:p>
    <w:p w14:paraId="6BB5D69C" w14:textId="6654C20F" w:rsidR="0039390B" w:rsidRPr="00535F99" w:rsidRDefault="0018379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 xml:space="preserve">          </w:t>
      </w:r>
      <w:r w:rsidR="0039390B" w:rsidRPr="00535F99">
        <w:rPr>
          <w:rFonts w:eastAsia="Times New Roman" w:cstheme="minorHAnsi"/>
          <w:lang w:eastAsia="en-GB"/>
        </w:rPr>
        <w:t xml:space="preserve">  Board of Directors</w:t>
      </w:r>
    </w:p>
    <w:p w14:paraId="39F71882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                       |</w:t>
      </w:r>
    </w:p>
    <w:p w14:paraId="5773F430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                       v</w:t>
      </w:r>
    </w:p>
    <w:p w14:paraId="166BC1C9" w14:textId="31BBD063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          Security Steering</w:t>
      </w:r>
    </w:p>
    <w:p w14:paraId="3EF60886" w14:textId="4764EC2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lastRenderedPageBreak/>
        <w:t xml:space="preserve">                  Committee</w:t>
      </w:r>
    </w:p>
    <w:p w14:paraId="7FB1C19C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                       |</w:t>
      </w:r>
    </w:p>
    <w:p w14:paraId="615D8212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    +------------------+------------------+</w:t>
      </w:r>
    </w:p>
    <w:p w14:paraId="5B53C4E1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    |                  |                  |</w:t>
      </w:r>
    </w:p>
    <w:p w14:paraId="37B4CB7F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  CISO           IT Governance       Legal &amp; Compliance</w:t>
      </w:r>
    </w:p>
    <w:p w14:paraId="2DEFA639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    |                  |                  |</w:t>
      </w:r>
    </w:p>
    <w:p w14:paraId="5DC89F70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    v                  </w:t>
      </w:r>
      <w:proofErr w:type="spellStart"/>
      <w:r w:rsidRPr="00535F99">
        <w:rPr>
          <w:rFonts w:eastAsia="Times New Roman" w:cstheme="minorHAnsi"/>
          <w:lang w:eastAsia="en-GB"/>
        </w:rPr>
        <w:t>v</w:t>
      </w:r>
      <w:proofErr w:type="spellEnd"/>
      <w:r w:rsidRPr="00535F99">
        <w:rPr>
          <w:rFonts w:eastAsia="Times New Roman" w:cstheme="minorHAnsi"/>
          <w:lang w:eastAsia="en-GB"/>
        </w:rPr>
        <w:t xml:space="preserve">                  </w:t>
      </w:r>
      <w:proofErr w:type="spellStart"/>
      <w:r w:rsidRPr="00535F99">
        <w:rPr>
          <w:rFonts w:eastAsia="Times New Roman" w:cstheme="minorHAnsi"/>
          <w:lang w:eastAsia="en-GB"/>
        </w:rPr>
        <w:t>v</w:t>
      </w:r>
      <w:proofErr w:type="spellEnd"/>
    </w:p>
    <w:p w14:paraId="74997782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Security Teams     IT Operations        Data Protection Officer</w:t>
      </w:r>
    </w:p>
    <w:p w14:paraId="3E8A9EAD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(SOC, IAM, </w:t>
      </w:r>
      <w:proofErr w:type="gramStart"/>
      <w:r w:rsidRPr="00535F99">
        <w:rPr>
          <w:rFonts w:eastAsia="Times New Roman" w:cstheme="minorHAnsi"/>
          <w:lang w:eastAsia="en-GB"/>
        </w:rPr>
        <w:t xml:space="preserve">Risk)   </w:t>
      </w:r>
      <w:proofErr w:type="gramEnd"/>
      <w:r w:rsidRPr="00535F99">
        <w:rPr>
          <w:rFonts w:eastAsia="Times New Roman" w:cstheme="minorHAnsi"/>
          <w:lang w:eastAsia="en-GB"/>
        </w:rPr>
        <w:t>(Networks/Apps)      (GDPR compliance)</w:t>
      </w:r>
    </w:p>
    <w:p w14:paraId="66F634C7" w14:textId="3DB2E802" w:rsidR="0039390B" w:rsidRPr="00535F99" w:rsidRDefault="0039390B" w:rsidP="0039390B">
      <w:pPr>
        <w:spacing w:after="0" w:line="240" w:lineRule="auto"/>
        <w:rPr>
          <w:rFonts w:eastAsia="Times New Roman" w:cstheme="minorHAnsi"/>
          <w:lang w:eastAsia="en-GB"/>
        </w:rPr>
      </w:pPr>
    </w:p>
    <w:p w14:paraId="5001BA07" w14:textId="77777777" w:rsidR="008E70EF" w:rsidRDefault="008E70EF" w:rsidP="0039390B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lang w:eastAsia="en-GB"/>
        </w:rPr>
      </w:pPr>
      <w:bookmarkStart w:id="17" w:name="_Toc216985323"/>
    </w:p>
    <w:p w14:paraId="0E539FA5" w14:textId="47638568" w:rsidR="0039390B" w:rsidRPr="00535F99" w:rsidRDefault="0039390B" w:rsidP="0039390B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lang w:eastAsia="en-GB"/>
        </w:rPr>
      </w:pPr>
      <w:r w:rsidRPr="00535F99">
        <w:rPr>
          <w:rFonts w:eastAsia="Times New Roman" w:cstheme="minorHAnsi"/>
          <w:b/>
          <w:bCs/>
          <w:lang w:eastAsia="en-GB"/>
        </w:rPr>
        <w:t>2.2 Security Controls and Processes for NG</w:t>
      </w:r>
      <w:bookmarkEnd w:id="17"/>
    </w:p>
    <w:p w14:paraId="39203F41" w14:textId="77777777" w:rsidR="0039390B" w:rsidRPr="00535F99" w:rsidRDefault="0039390B" w:rsidP="0039390B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lang w:eastAsia="en-GB"/>
        </w:rPr>
      </w:pPr>
      <w:bookmarkStart w:id="18" w:name="_Toc216985324"/>
      <w:r w:rsidRPr="00535F99">
        <w:rPr>
          <w:rFonts w:eastAsia="Times New Roman" w:cstheme="minorHAnsi"/>
          <w:b/>
          <w:bCs/>
          <w:lang w:eastAsia="en-GB"/>
        </w:rPr>
        <w:t>Table: Proposed Controls and Framework Alignment</w:t>
      </w:r>
      <w:bookmarkEnd w:id="18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48"/>
        <w:gridCol w:w="3882"/>
        <w:gridCol w:w="2117"/>
      </w:tblGrid>
      <w:tr w:rsidR="0039390B" w:rsidRPr="00535F99" w14:paraId="225D7644" w14:textId="77777777" w:rsidTr="0039390B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52770F0" w14:textId="77777777" w:rsidR="0039390B" w:rsidRPr="00535F99" w:rsidRDefault="0039390B" w:rsidP="003939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en-GB"/>
              </w:rPr>
            </w:pPr>
            <w:r w:rsidRPr="00535F99">
              <w:rPr>
                <w:rFonts w:eastAsia="Times New Roman" w:cstheme="minorHAnsi"/>
                <w:b/>
                <w:bCs/>
                <w:lang w:eastAsia="en-GB"/>
              </w:rPr>
              <w:t>Security Area</w:t>
            </w:r>
          </w:p>
        </w:tc>
        <w:tc>
          <w:tcPr>
            <w:tcW w:w="0" w:type="auto"/>
            <w:vAlign w:val="center"/>
            <w:hideMark/>
          </w:tcPr>
          <w:p w14:paraId="7524763C" w14:textId="77777777" w:rsidR="0039390B" w:rsidRPr="00535F99" w:rsidRDefault="0039390B" w:rsidP="003939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en-GB"/>
              </w:rPr>
            </w:pPr>
            <w:r w:rsidRPr="00535F99">
              <w:rPr>
                <w:rFonts w:eastAsia="Times New Roman" w:cstheme="minorHAnsi"/>
                <w:b/>
                <w:bCs/>
                <w:lang w:eastAsia="en-GB"/>
              </w:rPr>
              <w:t>Proposed Approach</w:t>
            </w:r>
          </w:p>
        </w:tc>
        <w:tc>
          <w:tcPr>
            <w:tcW w:w="0" w:type="auto"/>
            <w:vAlign w:val="center"/>
            <w:hideMark/>
          </w:tcPr>
          <w:p w14:paraId="12D8CDD7" w14:textId="77777777" w:rsidR="0039390B" w:rsidRPr="00535F99" w:rsidRDefault="0039390B" w:rsidP="003939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en-GB"/>
              </w:rPr>
            </w:pPr>
            <w:r w:rsidRPr="00535F99">
              <w:rPr>
                <w:rFonts w:eastAsia="Times New Roman" w:cstheme="minorHAnsi"/>
                <w:b/>
                <w:bCs/>
                <w:lang w:eastAsia="en-GB"/>
              </w:rPr>
              <w:t>Framework Alignment</w:t>
            </w:r>
          </w:p>
        </w:tc>
      </w:tr>
      <w:tr w:rsidR="0039390B" w:rsidRPr="00535F99" w14:paraId="3374CA4C" w14:textId="77777777" w:rsidTr="003939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8EDB47" w14:textId="77777777" w:rsidR="0039390B" w:rsidRPr="00535F99" w:rsidRDefault="0039390B" w:rsidP="0039390B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535F99">
              <w:rPr>
                <w:rFonts w:eastAsia="Times New Roman" w:cstheme="minorHAnsi"/>
                <w:lang w:eastAsia="en-GB"/>
              </w:rPr>
              <w:t>Governance &amp; Strategy</w:t>
            </w:r>
          </w:p>
        </w:tc>
        <w:tc>
          <w:tcPr>
            <w:tcW w:w="0" w:type="auto"/>
            <w:vAlign w:val="center"/>
            <w:hideMark/>
          </w:tcPr>
          <w:p w14:paraId="617F250F" w14:textId="77777777" w:rsidR="0039390B" w:rsidRPr="00535F99" w:rsidRDefault="0039390B" w:rsidP="0039390B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535F99">
              <w:rPr>
                <w:rFonts w:eastAsia="Times New Roman" w:cstheme="minorHAnsi"/>
                <w:lang w:eastAsia="en-GB"/>
              </w:rPr>
              <w:t>Security policies, CISO, steering committee</w:t>
            </w:r>
          </w:p>
        </w:tc>
        <w:tc>
          <w:tcPr>
            <w:tcW w:w="0" w:type="auto"/>
            <w:vAlign w:val="center"/>
            <w:hideMark/>
          </w:tcPr>
          <w:p w14:paraId="65BD8A70" w14:textId="77777777" w:rsidR="0039390B" w:rsidRPr="00535F99" w:rsidRDefault="0039390B" w:rsidP="0039390B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535F99">
              <w:rPr>
                <w:rFonts w:eastAsia="Times New Roman" w:cstheme="minorHAnsi"/>
                <w:lang w:eastAsia="en-GB"/>
              </w:rPr>
              <w:t>ISO 27001, ITIL</w:t>
            </w:r>
          </w:p>
        </w:tc>
      </w:tr>
      <w:tr w:rsidR="0039390B" w:rsidRPr="00535F99" w14:paraId="187BD954" w14:textId="77777777" w:rsidTr="003939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8196C2" w14:textId="77777777" w:rsidR="0039390B" w:rsidRPr="00535F99" w:rsidRDefault="0039390B" w:rsidP="0039390B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535F99">
              <w:rPr>
                <w:rFonts w:eastAsia="Times New Roman" w:cstheme="minorHAnsi"/>
                <w:lang w:eastAsia="en-GB"/>
              </w:rPr>
              <w:t>Risk Management</w:t>
            </w:r>
          </w:p>
        </w:tc>
        <w:tc>
          <w:tcPr>
            <w:tcW w:w="0" w:type="auto"/>
            <w:vAlign w:val="center"/>
            <w:hideMark/>
          </w:tcPr>
          <w:p w14:paraId="60815F73" w14:textId="77777777" w:rsidR="0039390B" w:rsidRPr="00535F99" w:rsidRDefault="0039390B" w:rsidP="0039390B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535F99">
              <w:rPr>
                <w:rFonts w:eastAsia="Times New Roman" w:cstheme="minorHAnsi"/>
                <w:lang w:eastAsia="en-GB"/>
              </w:rPr>
              <w:t>Annual risk assessment, risk register</w:t>
            </w:r>
          </w:p>
        </w:tc>
        <w:tc>
          <w:tcPr>
            <w:tcW w:w="0" w:type="auto"/>
            <w:vAlign w:val="center"/>
            <w:hideMark/>
          </w:tcPr>
          <w:p w14:paraId="5E37A9D9" w14:textId="77777777" w:rsidR="0039390B" w:rsidRPr="00535F99" w:rsidRDefault="0039390B" w:rsidP="0039390B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535F99">
              <w:rPr>
                <w:rFonts w:eastAsia="Times New Roman" w:cstheme="minorHAnsi"/>
                <w:lang w:eastAsia="en-GB"/>
              </w:rPr>
              <w:t>ISO 27005, NIST</w:t>
            </w:r>
          </w:p>
        </w:tc>
      </w:tr>
      <w:tr w:rsidR="0039390B" w:rsidRPr="00535F99" w14:paraId="502C63C2" w14:textId="77777777" w:rsidTr="003939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4D29C7" w14:textId="77777777" w:rsidR="0039390B" w:rsidRPr="00535F99" w:rsidRDefault="0039390B" w:rsidP="0039390B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535F99">
              <w:rPr>
                <w:rFonts w:eastAsia="Times New Roman" w:cstheme="minorHAnsi"/>
                <w:lang w:eastAsia="en-GB"/>
              </w:rPr>
              <w:t>Access Control</w:t>
            </w:r>
          </w:p>
        </w:tc>
        <w:tc>
          <w:tcPr>
            <w:tcW w:w="0" w:type="auto"/>
            <w:vAlign w:val="center"/>
            <w:hideMark/>
          </w:tcPr>
          <w:p w14:paraId="4548B553" w14:textId="77777777" w:rsidR="0039390B" w:rsidRPr="00535F99" w:rsidRDefault="0039390B" w:rsidP="0039390B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535F99">
              <w:rPr>
                <w:rFonts w:eastAsia="Times New Roman" w:cstheme="minorHAnsi"/>
                <w:lang w:eastAsia="en-GB"/>
              </w:rPr>
              <w:t>MFA, least privilege, RBAC</w:t>
            </w:r>
          </w:p>
        </w:tc>
        <w:tc>
          <w:tcPr>
            <w:tcW w:w="0" w:type="auto"/>
            <w:vAlign w:val="center"/>
            <w:hideMark/>
          </w:tcPr>
          <w:p w14:paraId="1160F890" w14:textId="77777777" w:rsidR="0039390B" w:rsidRPr="00535F99" w:rsidRDefault="0039390B" w:rsidP="0039390B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535F99">
              <w:rPr>
                <w:rFonts w:eastAsia="Times New Roman" w:cstheme="minorHAnsi"/>
                <w:lang w:eastAsia="en-GB"/>
              </w:rPr>
              <w:t>ISO 27002</w:t>
            </w:r>
          </w:p>
        </w:tc>
      </w:tr>
      <w:tr w:rsidR="0039390B" w:rsidRPr="00535F99" w14:paraId="1CA55F2C" w14:textId="77777777" w:rsidTr="003939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FBF333" w14:textId="77777777" w:rsidR="0039390B" w:rsidRPr="00535F99" w:rsidRDefault="0039390B" w:rsidP="0039390B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535F99">
              <w:rPr>
                <w:rFonts w:eastAsia="Times New Roman" w:cstheme="minorHAnsi"/>
                <w:lang w:eastAsia="en-GB"/>
              </w:rPr>
              <w:t>Data Protection</w:t>
            </w:r>
          </w:p>
        </w:tc>
        <w:tc>
          <w:tcPr>
            <w:tcW w:w="0" w:type="auto"/>
            <w:vAlign w:val="center"/>
            <w:hideMark/>
          </w:tcPr>
          <w:p w14:paraId="49ADD0AE" w14:textId="77777777" w:rsidR="0039390B" w:rsidRPr="00535F99" w:rsidRDefault="0039390B" w:rsidP="0039390B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535F99">
              <w:rPr>
                <w:rFonts w:eastAsia="Times New Roman" w:cstheme="minorHAnsi"/>
                <w:lang w:eastAsia="en-GB"/>
              </w:rPr>
              <w:t>Encryption, GDPR compliance</w:t>
            </w:r>
          </w:p>
        </w:tc>
        <w:tc>
          <w:tcPr>
            <w:tcW w:w="0" w:type="auto"/>
            <w:vAlign w:val="center"/>
            <w:hideMark/>
          </w:tcPr>
          <w:p w14:paraId="2C2B854B" w14:textId="77777777" w:rsidR="0039390B" w:rsidRPr="00535F99" w:rsidRDefault="0039390B" w:rsidP="0039390B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535F99">
              <w:rPr>
                <w:rFonts w:eastAsia="Times New Roman" w:cstheme="minorHAnsi"/>
                <w:lang w:eastAsia="en-GB"/>
              </w:rPr>
              <w:t>ISO 27701</w:t>
            </w:r>
          </w:p>
        </w:tc>
      </w:tr>
      <w:tr w:rsidR="0039390B" w:rsidRPr="00535F99" w14:paraId="193B05C0" w14:textId="77777777" w:rsidTr="003939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40D50F" w14:textId="77777777" w:rsidR="0039390B" w:rsidRPr="00535F99" w:rsidRDefault="0039390B" w:rsidP="0039390B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535F99">
              <w:rPr>
                <w:rFonts w:eastAsia="Times New Roman" w:cstheme="minorHAnsi"/>
                <w:lang w:eastAsia="en-GB"/>
              </w:rPr>
              <w:t>Cloud Security</w:t>
            </w:r>
          </w:p>
        </w:tc>
        <w:tc>
          <w:tcPr>
            <w:tcW w:w="0" w:type="auto"/>
            <w:vAlign w:val="center"/>
            <w:hideMark/>
          </w:tcPr>
          <w:p w14:paraId="453A4B29" w14:textId="77777777" w:rsidR="0039390B" w:rsidRPr="00535F99" w:rsidRDefault="0039390B" w:rsidP="0039390B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535F99">
              <w:rPr>
                <w:rFonts w:eastAsia="Times New Roman" w:cstheme="minorHAnsi"/>
                <w:lang w:eastAsia="en-GB"/>
              </w:rPr>
              <w:t>Cloud SLAs, vendor audits</w:t>
            </w:r>
          </w:p>
        </w:tc>
        <w:tc>
          <w:tcPr>
            <w:tcW w:w="0" w:type="auto"/>
            <w:vAlign w:val="center"/>
            <w:hideMark/>
          </w:tcPr>
          <w:p w14:paraId="68622BE6" w14:textId="77777777" w:rsidR="0039390B" w:rsidRPr="00535F99" w:rsidRDefault="0039390B" w:rsidP="0039390B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535F99">
              <w:rPr>
                <w:rFonts w:eastAsia="Times New Roman" w:cstheme="minorHAnsi"/>
                <w:lang w:eastAsia="en-GB"/>
              </w:rPr>
              <w:t>ISO 27017</w:t>
            </w:r>
          </w:p>
        </w:tc>
      </w:tr>
      <w:tr w:rsidR="0039390B" w:rsidRPr="00535F99" w14:paraId="085AF853" w14:textId="77777777" w:rsidTr="003939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585F82" w14:textId="77777777" w:rsidR="0039390B" w:rsidRPr="00535F99" w:rsidRDefault="0039390B" w:rsidP="0039390B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535F99">
              <w:rPr>
                <w:rFonts w:eastAsia="Times New Roman" w:cstheme="minorHAnsi"/>
                <w:lang w:eastAsia="en-GB"/>
              </w:rPr>
              <w:t>Monitoring</w:t>
            </w:r>
          </w:p>
        </w:tc>
        <w:tc>
          <w:tcPr>
            <w:tcW w:w="0" w:type="auto"/>
            <w:vAlign w:val="center"/>
            <w:hideMark/>
          </w:tcPr>
          <w:p w14:paraId="4154C004" w14:textId="77777777" w:rsidR="0039390B" w:rsidRPr="00535F99" w:rsidRDefault="0039390B" w:rsidP="0039390B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535F99">
              <w:rPr>
                <w:rFonts w:eastAsia="Times New Roman" w:cstheme="minorHAnsi"/>
                <w:lang w:eastAsia="en-GB"/>
              </w:rPr>
              <w:t>SIEM, log analysis, threat detection</w:t>
            </w:r>
          </w:p>
        </w:tc>
        <w:tc>
          <w:tcPr>
            <w:tcW w:w="0" w:type="auto"/>
            <w:vAlign w:val="center"/>
            <w:hideMark/>
          </w:tcPr>
          <w:p w14:paraId="6B571F5C" w14:textId="77777777" w:rsidR="0039390B" w:rsidRPr="00535F99" w:rsidRDefault="0039390B" w:rsidP="0039390B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535F99">
              <w:rPr>
                <w:rFonts w:eastAsia="Times New Roman" w:cstheme="minorHAnsi"/>
                <w:lang w:eastAsia="en-GB"/>
              </w:rPr>
              <w:t>NIST “Detect”</w:t>
            </w:r>
          </w:p>
        </w:tc>
      </w:tr>
      <w:tr w:rsidR="0039390B" w:rsidRPr="00535F99" w14:paraId="747A0066" w14:textId="77777777" w:rsidTr="003939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F52AD9" w14:textId="77777777" w:rsidR="0039390B" w:rsidRPr="00535F99" w:rsidRDefault="0039390B" w:rsidP="0039390B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535F99">
              <w:rPr>
                <w:rFonts w:eastAsia="Times New Roman" w:cstheme="minorHAnsi"/>
                <w:lang w:eastAsia="en-GB"/>
              </w:rPr>
              <w:t>Incident Response</w:t>
            </w:r>
          </w:p>
        </w:tc>
        <w:tc>
          <w:tcPr>
            <w:tcW w:w="0" w:type="auto"/>
            <w:vAlign w:val="center"/>
            <w:hideMark/>
          </w:tcPr>
          <w:p w14:paraId="6C797E20" w14:textId="77777777" w:rsidR="0039390B" w:rsidRPr="00535F99" w:rsidRDefault="0039390B" w:rsidP="0039390B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535F99">
              <w:rPr>
                <w:rFonts w:eastAsia="Times New Roman" w:cstheme="minorHAnsi"/>
                <w:lang w:eastAsia="en-GB"/>
              </w:rPr>
              <w:t>Incident Response Plan (IRP), drills</w:t>
            </w:r>
          </w:p>
        </w:tc>
        <w:tc>
          <w:tcPr>
            <w:tcW w:w="0" w:type="auto"/>
            <w:vAlign w:val="center"/>
            <w:hideMark/>
          </w:tcPr>
          <w:p w14:paraId="0BE893C7" w14:textId="77777777" w:rsidR="0039390B" w:rsidRPr="00535F99" w:rsidRDefault="0039390B" w:rsidP="0039390B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535F99">
              <w:rPr>
                <w:rFonts w:eastAsia="Times New Roman" w:cstheme="minorHAnsi"/>
                <w:lang w:eastAsia="en-GB"/>
              </w:rPr>
              <w:t>NIST “Respond”</w:t>
            </w:r>
          </w:p>
        </w:tc>
      </w:tr>
      <w:tr w:rsidR="0039390B" w:rsidRPr="00535F99" w14:paraId="01DE4936" w14:textId="77777777" w:rsidTr="003939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6E315C" w14:textId="77777777" w:rsidR="0039390B" w:rsidRPr="00535F99" w:rsidRDefault="0039390B" w:rsidP="0039390B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535F99">
              <w:rPr>
                <w:rFonts w:eastAsia="Times New Roman" w:cstheme="minorHAnsi"/>
                <w:lang w:eastAsia="en-GB"/>
              </w:rPr>
              <w:t>Business Continuity</w:t>
            </w:r>
          </w:p>
        </w:tc>
        <w:tc>
          <w:tcPr>
            <w:tcW w:w="0" w:type="auto"/>
            <w:vAlign w:val="center"/>
            <w:hideMark/>
          </w:tcPr>
          <w:p w14:paraId="296843E8" w14:textId="77777777" w:rsidR="0039390B" w:rsidRPr="00535F99" w:rsidRDefault="0039390B" w:rsidP="0039390B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535F99">
              <w:rPr>
                <w:rFonts w:eastAsia="Times New Roman" w:cstheme="minorHAnsi"/>
                <w:lang w:eastAsia="en-GB"/>
              </w:rPr>
              <w:t>Backups, disaster recovery tests</w:t>
            </w:r>
          </w:p>
        </w:tc>
        <w:tc>
          <w:tcPr>
            <w:tcW w:w="0" w:type="auto"/>
            <w:vAlign w:val="center"/>
            <w:hideMark/>
          </w:tcPr>
          <w:p w14:paraId="2001D893" w14:textId="77777777" w:rsidR="0039390B" w:rsidRPr="00535F99" w:rsidRDefault="0039390B" w:rsidP="0039390B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535F99">
              <w:rPr>
                <w:rFonts w:eastAsia="Times New Roman" w:cstheme="minorHAnsi"/>
                <w:lang w:eastAsia="en-GB"/>
              </w:rPr>
              <w:t>ISO 22301</w:t>
            </w:r>
          </w:p>
        </w:tc>
      </w:tr>
      <w:tr w:rsidR="0039390B" w:rsidRPr="00535F99" w14:paraId="2C818BA6" w14:textId="77777777" w:rsidTr="003939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AB4CDF" w14:textId="77777777" w:rsidR="0039390B" w:rsidRPr="00535F99" w:rsidRDefault="0039390B" w:rsidP="0039390B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535F99">
              <w:rPr>
                <w:rFonts w:eastAsia="Times New Roman" w:cstheme="minorHAnsi"/>
                <w:lang w:eastAsia="en-GB"/>
              </w:rPr>
              <w:t>Compliance</w:t>
            </w:r>
          </w:p>
        </w:tc>
        <w:tc>
          <w:tcPr>
            <w:tcW w:w="0" w:type="auto"/>
            <w:vAlign w:val="center"/>
            <w:hideMark/>
          </w:tcPr>
          <w:p w14:paraId="11B0DFF5" w14:textId="77777777" w:rsidR="0039390B" w:rsidRPr="00535F99" w:rsidRDefault="0039390B" w:rsidP="0039390B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535F99">
              <w:rPr>
                <w:rFonts w:eastAsia="Times New Roman" w:cstheme="minorHAnsi"/>
                <w:lang w:eastAsia="en-GB"/>
              </w:rPr>
              <w:t>Regular audits, policy updates</w:t>
            </w:r>
          </w:p>
        </w:tc>
        <w:tc>
          <w:tcPr>
            <w:tcW w:w="0" w:type="auto"/>
            <w:vAlign w:val="center"/>
            <w:hideMark/>
          </w:tcPr>
          <w:p w14:paraId="498C756C" w14:textId="77777777" w:rsidR="0039390B" w:rsidRPr="00535F99" w:rsidRDefault="0039390B" w:rsidP="0039390B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535F99">
              <w:rPr>
                <w:rFonts w:eastAsia="Times New Roman" w:cstheme="minorHAnsi"/>
                <w:lang w:eastAsia="en-GB"/>
              </w:rPr>
              <w:t>ITIL, ISO</w:t>
            </w:r>
          </w:p>
        </w:tc>
      </w:tr>
    </w:tbl>
    <w:p w14:paraId="00D729DD" w14:textId="043D45FF" w:rsidR="0039390B" w:rsidRPr="00535F99" w:rsidRDefault="0039390B" w:rsidP="0039390B">
      <w:pPr>
        <w:spacing w:after="0" w:line="240" w:lineRule="auto"/>
        <w:rPr>
          <w:rFonts w:eastAsia="Times New Roman" w:cstheme="minorHAnsi"/>
          <w:lang w:eastAsia="en-GB"/>
        </w:rPr>
      </w:pPr>
    </w:p>
    <w:p w14:paraId="5BD6C655" w14:textId="77777777" w:rsidR="008E70EF" w:rsidRDefault="008E70EF" w:rsidP="0039390B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lang w:eastAsia="en-GB"/>
        </w:rPr>
      </w:pPr>
      <w:bookmarkStart w:id="19" w:name="_Toc216985325"/>
    </w:p>
    <w:p w14:paraId="596DAC7F" w14:textId="6D4A70D0" w:rsidR="0039390B" w:rsidRPr="00535F99" w:rsidRDefault="0039390B" w:rsidP="0039390B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lang w:eastAsia="en-GB"/>
        </w:rPr>
      </w:pPr>
      <w:r w:rsidRPr="00535F99">
        <w:rPr>
          <w:rFonts w:eastAsia="Times New Roman" w:cstheme="minorHAnsi"/>
          <w:b/>
          <w:bCs/>
          <w:lang w:eastAsia="en-GB"/>
        </w:rPr>
        <w:t>2.3 Protection Mechanisms for NG</w:t>
      </w:r>
      <w:bookmarkEnd w:id="19"/>
    </w:p>
    <w:p w14:paraId="5F7F5A3B" w14:textId="77777777" w:rsidR="0039390B" w:rsidRPr="00535F99" w:rsidRDefault="0039390B" w:rsidP="0039390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b/>
          <w:bCs/>
          <w:lang w:eastAsia="en-GB"/>
        </w:rPr>
        <w:t>Technical controls:</w:t>
      </w:r>
      <w:r w:rsidRPr="00535F99">
        <w:rPr>
          <w:rFonts w:eastAsia="Times New Roman" w:cstheme="minorHAnsi"/>
          <w:lang w:eastAsia="en-GB"/>
        </w:rPr>
        <w:t xml:space="preserve"> firewalls, IDS/IPS, encryption, MFA</w:t>
      </w:r>
    </w:p>
    <w:p w14:paraId="33B5636C" w14:textId="77777777" w:rsidR="0039390B" w:rsidRPr="00535F99" w:rsidRDefault="0039390B" w:rsidP="0039390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b/>
          <w:bCs/>
          <w:lang w:eastAsia="en-GB"/>
        </w:rPr>
        <w:t>Administrative controls:</w:t>
      </w:r>
      <w:r w:rsidRPr="00535F99">
        <w:rPr>
          <w:rFonts w:eastAsia="Times New Roman" w:cstheme="minorHAnsi"/>
          <w:lang w:eastAsia="en-GB"/>
        </w:rPr>
        <w:t xml:space="preserve"> policies, HR background checks</w:t>
      </w:r>
    </w:p>
    <w:p w14:paraId="50B405D8" w14:textId="77777777" w:rsidR="0039390B" w:rsidRPr="00535F99" w:rsidRDefault="0039390B" w:rsidP="0039390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b/>
          <w:bCs/>
          <w:lang w:eastAsia="en-GB"/>
        </w:rPr>
        <w:t>Physical controls:</w:t>
      </w:r>
      <w:r w:rsidRPr="00535F99">
        <w:rPr>
          <w:rFonts w:eastAsia="Times New Roman" w:cstheme="minorHAnsi"/>
          <w:lang w:eastAsia="en-GB"/>
        </w:rPr>
        <w:t xml:space="preserve"> CCTV, secure server rooms</w:t>
      </w:r>
    </w:p>
    <w:p w14:paraId="2551009E" w14:textId="77777777" w:rsidR="0039390B" w:rsidRPr="00535F99" w:rsidRDefault="0039390B" w:rsidP="0039390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b/>
          <w:bCs/>
          <w:lang w:eastAsia="en-GB"/>
        </w:rPr>
        <w:t>Operational controls:</w:t>
      </w:r>
      <w:r w:rsidRPr="00535F99">
        <w:rPr>
          <w:rFonts w:eastAsia="Times New Roman" w:cstheme="minorHAnsi"/>
          <w:lang w:eastAsia="en-GB"/>
        </w:rPr>
        <w:t xml:space="preserve"> patch management, change management</w:t>
      </w:r>
    </w:p>
    <w:p w14:paraId="2F917C60" w14:textId="1E10C409" w:rsidR="0039390B" w:rsidRPr="00535F99" w:rsidRDefault="0039390B" w:rsidP="0039390B">
      <w:pPr>
        <w:spacing w:after="0" w:line="240" w:lineRule="auto"/>
        <w:rPr>
          <w:rFonts w:eastAsia="Times New Roman" w:cstheme="minorHAnsi"/>
          <w:lang w:eastAsia="en-GB"/>
        </w:rPr>
      </w:pPr>
    </w:p>
    <w:p w14:paraId="7B5D3395" w14:textId="77777777" w:rsidR="0039390B" w:rsidRPr="00535F99" w:rsidRDefault="0039390B" w:rsidP="0039390B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lang w:eastAsia="en-GB"/>
        </w:rPr>
      </w:pPr>
      <w:bookmarkStart w:id="20" w:name="_Toc216985326"/>
      <w:r w:rsidRPr="00535F99">
        <w:rPr>
          <w:rFonts w:eastAsia="Times New Roman" w:cstheme="minorHAnsi"/>
          <w:b/>
          <w:bCs/>
          <w:lang w:eastAsia="en-GB"/>
        </w:rPr>
        <w:t>2.4 Contingency Planning (BCP + DR)</w:t>
      </w:r>
      <w:bookmarkEnd w:id="20"/>
    </w:p>
    <w:p w14:paraId="4190CA9F" w14:textId="77777777" w:rsidR="0039390B" w:rsidRPr="00535F99" w:rsidRDefault="0039390B" w:rsidP="0039390B">
      <w:pPr>
        <w:spacing w:before="100" w:beforeAutospacing="1" w:after="100" w:afterAutospacing="1" w:line="240" w:lineRule="auto"/>
        <w:outlineLvl w:val="3"/>
        <w:rPr>
          <w:rFonts w:eastAsia="Times New Roman" w:cstheme="minorHAnsi"/>
          <w:b/>
          <w:bCs/>
          <w:lang w:eastAsia="en-GB"/>
        </w:rPr>
      </w:pPr>
      <w:r w:rsidRPr="00535F99">
        <w:rPr>
          <w:rFonts w:eastAsia="Times New Roman" w:cstheme="minorHAnsi"/>
          <w:b/>
          <w:bCs/>
          <w:lang w:eastAsia="en-GB"/>
        </w:rPr>
        <w:t>Diagram: NG Disaster Recovery Workflow</w:t>
      </w:r>
    </w:p>
    <w:p w14:paraId="6ABA1A63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>[Incident Occurs]</w:t>
      </w:r>
    </w:p>
    <w:p w14:paraId="00934600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     |</w:t>
      </w:r>
    </w:p>
    <w:p w14:paraId="2CF10F0B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     v</w:t>
      </w:r>
    </w:p>
    <w:p w14:paraId="36DAF6CF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>[Activate IR Team] → [Contain Threat]</w:t>
      </w:r>
    </w:p>
    <w:p w14:paraId="093B3211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     |</w:t>
      </w:r>
    </w:p>
    <w:p w14:paraId="3EFC5D4A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     v</w:t>
      </w:r>
    </w:p>
    <w:p w14:paraId="7293B2AD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>[Activate DR Plan]</w:t>
      </w:r>
    </w:p>
    <w:p w14:paraId="273A8C0A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     |</w:t>
      </w:r>
    </w:p>
    <w:p w14:paraId="0C1B1269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     v</w:t>
      </w:r>
    </w:p>
    <w:p w14:paraId="059DF128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>[Restore Systems from Backup]</w:t>
      </w:r>
    </w:p>
    <w:p w14:paraId="1739490D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     |</w:t>
      </w:r>
    </w:p>
    <w:p w14:paraId="0BB43012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        v</w:t>
      </w:r>
    </w:p>
    <w:p w14:paraId="1AA4ECCC" w14:textId="77777777" w:rsidR="0039390B" w:rsidRPr="00535F99" w:rsidRDefault="0039390B" w:rsidP="003939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>[Resume Normal Business]</w:t>
      </w:r>
    </w:p>
    <w:p w14:paraId="441D01CF" w14:textId="77777777" w:rsidR="0039390B" w:rsidRPr="00535F99" w:rsidRDefault="00A61893" w:rsidP="0039390B">
      <w:pPr>
        <w:spacing w:after="0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pict w14:anchorId="65A4BC73">
          <v:rect id="_x0000_i1098" style="width:0;height:1.5pt" o:hralign="center" o:hrstd="t" o:hr="t" fillcolor="#a0a0a0" stroked="f"/>
        </w:pict>
      </w:r>
    </w:p>
    <w:p w14:paraId="27DB48C7" w14:textId="55FC00E9" w:rsidR="0039390B" w:rsidRPr="00535F99" w:rsidRDefault="0039390B" w:rsidP="0039390B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lang w:eastAsia="en-GB"/>
        </w:rPr>
      </w:pPr>
      <w:bookmarkStart w:id="21" w:name="_Toc216985327"/>
      <w:r w:rsidRPr="00535F99">
        <w:rPr>
          <w:rFonts w:eastAsia="Times New Roman" w:cstheme="minorHAnsi"/>
          <w:b/>
          <w:bCs/>
          <w:lang w:eastAsia="en-GB"/>
        </w:rPr>
        <w:t>2.5 Service Level Agreements (SLAs)</w:t>
      </w:r>
      <w:bookmarkEnd w:id="21"/>
    </w:p>
    <w:p w14:paraId="2283C752" w14:textId="77777777" w:rsidR="0039390B" w:rsidRPr="00535F99" w:rsidRDefault="0039390B" w:rsidP="0039390B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>NG must define SLAs with cloud vendors:</w:t>
      </w:r>
    </w:p>
    <w:p w14:paraId="34826424" w14:textId="77777777" w:rsidR="0039390B" w:rsidRPr="00535F99" w:rsidRDefault="0039390B" w:rsidP="0039390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lastRenderedPageBreak/>
        <w:t xml:space="preserve">Uptime: </w:t>
      </w:r>
      <w:r w:rsidRPr="00535F99">
        <w:rPr>
          <w:rFonts w:eastAsia="Times New Roman" w:cstheme="minorHAnsi"/>
          <w:b/>
          <w:bCs/>
          <w:lang w:eastAsia="en-GB"/>
        </w:rPr>
        <w:t>99.9%</w:t>
      </w:r>
    </w:p>
    <w:p w14:paraId="09487A45" w14:textId="77777777" w:rsidR="0039390B" w:rsidRPr="00535F99" w:rsidRDefault="0039390B" w:rsidP="0039390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Response time for critical incidents: </w:t>
      </w:r>
      <w:r w:rsidRPr="00535F99">
        <w:rPr>
          <w:rFonts w:eastAsia="Times New Roman" w:cstheme="minorHAnsi"/>
          <w:b/>
          <w:bCs/>
          <w:lang w:eastAsia="en-GB"/>
        </w:rPr>
        <w:t>&lt;2 hours</w:t>
      </w:r>
    </w:p>
    <w:p w14:paraId="3C875D97" w14:textId="77777777" w:rsidR="0039390B" w:rsidRPr="00535F99" w:rsidRDefault="0039390B" w:rsidP="0039390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Backup recovery point objective (RPO): </w:t>
      </w:r>
      <w:r w:rsidRPr="00535F99">
        <w:rPr>
          <w:rFonts w:eastAsia="Times New Roman" w:cstheme="minorHAnsi"/>
          <w:b/>
          <w:bCs/>
          <w:lang w:eastAsia="en-GB"/>
        </w:rPr>
        <w:t>&lt;24 hours</w:t>
      </w:r>
    </w:p>
    <w:p w14:paraId="301E505C" w14:textId="77777777" w:rsidR="0039390B" w:rsidRPr="00535F99" w:rsidRDefault="0039390B" w:rsidP="0039390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>GDPR-compliant data handling</w:t>
      </w:r>
    </w:p>
    <w:p w14:paraId="15FD9F7C" w14:textId="5983A4F0" w:rsidR="0039390B" w:rsidRPr="00535F99" w:rsidRDefault="0039390B" w:rsidP="0039390B">
      <w:pPr>
        <w:spacing w:after="0" w:line="240" w:lineRule="auto"/>
        <w:rPr>
          <w:rFonts w:eastAsia="Times New Roman" w:cstheme="minorHAnsi"/>
          <w:lang w:eastAsia="en-GB"/>
        </w:rPr>
      </w:pPr>
    </w:p>
    <w:p w14:paraId="3DDC0527" w14:textId="77777777" w:rsidR="0039390B" w:rsidRPr="00535F99" w:rsidRDefault="0039390B" w:rsidP="0039390B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lang w:eastAsia="en-GB"/>
        </w:rPr>
      </w:pPr>
      <w:bookmarkStart w:id="22" w:name="_Toc216985328"/>
      <w:r w:rsidRPr="00535F99">
        <w:rPr>
          <w:rFonts w:eastAsia="Times New Roman" w:cstheme="minorHAnsi"/>
          <w:b/>
          <w:bCs/>
          <w:kern w:val="36"/>
          <w:lang w:eastAsia="en-GB"/>
        </w:rPr>
        <w:t>3. Critique and Analysis: Why Constantly Updating Standards Is Good Practice</w:t>
      </w:r>
      <w:bookmarkEnd w:id="22"/>
    </w:p>
    <w:p w14:paraId="3CBE9058" w14:textId="77777777" w:rsidR="0039390B" w:rsidRPr="00535F99" w:rsidRDefault="0039390B" w:rsidP="0039390B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lang w:eastAsia="en-GB"/>
        </w:rPr>
      </w:pPr>
      <w:bookmarkStart w:id="23" w:name="_Toc216985329"/>
      <w:r w:rsidRPr="00535F99">
        <w:rPr>
          <w:rFonts w:eastAsia="Times New Roman" w:cstheme="minorHAnsi"/>
          <w:b/>
          <w:bCs/>
          <w:lang w:eastAsia="en-GB"/>
        </w:rPr>
        <w:t>3.1 Cyber Threat Landscape Evolves</w:t>
      </w:r>
      <w:bookmarkEnd w:id="23"/>
    </w:p>
    <w:p w14:paraId="75B45E60" w14:textId="10FD557C" w:rsidR="0039390B" w:rsidRPr="00535F99" w:rsidRDefault="0039390B" w:rsidP="004262CA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>New threats (ransomware,</w:t>
      </w:r>
      <w:r w:rsidR="004262CA">
        <w:rPr>
          <w:rFonts w:eastAsia="Times New Roman" w:cstheme="minorHAnsi"/>
          <w:lang w:eastAsia="en-GB"/>
        </w:rPr>
        <w:t xml:space="preserve"> </w:t>
      </w:r>
      <w:r w:rsidRPr="00535F99">
        <w:rPr>
          <w:rFonts w:eastAsia="Times New Roman" w:cstheme="minorHAnsi"/>
          <w:lang w:eastAsia="en-GB"/>
        </w:rPr>
        <w:t>AI-powered attacks) appear regularly. Old standards become outdated.</w:t>
      </w:r>
    </w:p>
    <w:p w14:paraId="239583FC" w14:textId="77777777" w:rsidR="0039390B" w:rsidRPr="00535F99" w:rsidRDefault="0039390B" w:rsidP="0039390B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lang w:eastAsia="en-GB"/>
        </w:rPr>
      </w:pPr>
      <w:bookmarkStart w:id="24" w:name="_Toc216985330"/>
      <w:r w:rsidRPr="00535F99">
        <w:rPr>
          <w:rFonts w:eastAsia="Times New Roman" w:cstheme="minorHAnsi"/>
          <w:b/>
          <w:bCs/>
          <w:lang w:eastAsia="en-GB"/>
        </w:rPr>
        <w:t>3.2 Regulatory Changes</w:t>
      </w:r>
      <w:bookmarkEnd w:id="24"/>
    </w:p>
    <w:p w14:paraId="39F51ECF" w14:textId="77777777" w:rsidR="0039390B" w:rsidRPr="00535F99" w:rsidRDefault="0039390B" w:rsidP="0039390B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Laws like </w:t>
      </w:r>
      <w:r w:rsidRPr="00535F99">
        <w:rPr>
          <w:rFonts w:eastAsia="Times New Roman" w:cstheme="minorHAnsi"/>
          <w:b/>
          <w:bCs/>
          <w:lang w:eastAsia="en-GB"/>
        </w:rPr>
        <w:t>GDPR, UK Data Protection Act, PCI-DSS</w:t>
      </w:r>
      <w:r w:rsidRPr="00535F99">
        <w:rPr>
          <w:rFonts w:eastAsia="Times New Roman" w:cstheme="minorHAnsi"/>
          <w:lang w:eastAsia="en-GB"/>
        </w:rPr>
        <w:t xml:space="preserve"> frequently update. Organisations must adapt to avoid legal penalties.</w:t>
      </w:r>
    </w:p>
    <w:p w14:paraId="0BABB0E3" w14:textId="77777777" w:rsidR="0039390B" w:rsidRPr="00535F99" w:rsidRDefault="0039390B" w:rsidP="0039390B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lang w:eastAsia="en-GB"/>
        </w:rPr>
      </w:pPr>
      <w:bookmarkStart w:id="25" w:name="_Toc216985331"/>
      <w:r w:rsidRPr="00535F99">
        <w:rPr>
          <w:rFonts w:eastAsia="Times New Roman" w:cstheme="minorHAnsi"/>
          <w:b/>
          <w:bCs/>
          <w:lang w:eastAsia="en-GB"/>
        </w:rPr>
        <w:t>3.3 Technological Advancements</w:t>
      </w:r>
      <w:bookmarkEnd w:id="25"/>
    </w:p>
    <w:p w14:paraId="54ADA518" w14:textId="77777777" w:rsidR="0039390B" w:rsidRPr="00535F99" w:rsidRDefault="0039390B" w:rsidP="0039390B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>Cloud, IoT, AI, and blockchain introduce new risks. Standards must evolve to protect these technologies.</w:t>
      </w:r>
    </w:p>
    <w:p w14:paraId="24A35F24" w14:textId="77777777" w:rsidR="0039390B" w:rsidRPr="00535F99" w:rsidRDefault="0039390B" w:rsidP="0039390B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lang w:eastAsia="en-GB"/>
        </w:rPr>
      </w:pPr>
      <w:bookmarkStart w:id="26" w:name="_Toc216985332"/>
      <w:r w:rsidRPr="00535F99">
        <w:rPr>
          <w:rFonts w:eastAsia="Times New Roman" w:cstheme="minorHAnsi"/>
          <w:b/>
          <w:bCs/>
          <w:lang w:eastAsia="en-GB"/>
        </w:rPr>
        <w:t>3.4 Business Growth and Complexity</w:t>
      </w:r>
      <w:bookmarkEnd w:id="26"/>
    </w:p>
    <w:p w14:paraId="2A859E41" w14:textId="27C63CF4" w:rsidR="0039390B" w:rsidRPr="00535F99" w:rsidRDefault="0039390B" w:rsidP="0039390B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>As Nature</w:t>
      </w:r>
      <w:r w:rsidR="002338B3">
        <w:rPr>
          <w:rFonts w:eastAsia="Times New Roman" w:cstheme="minorHAnsi"/>
          <w:lang w:eastAsia="en-GB"/>
        </w:rPr>
        <w:t xml:space="preserve"> </w:t>
      </w:r>
      <w:r w:rsidRPr="00535F99">
        <w:rPr>
          <w:rFonts w:eastAsia="Times New Roman" w:cstheme="minorHAnsi"/>
          <w:lang w:eastAsia="en-GB"/>
        </w:rPr>
        <w:t>Green expands, systems become more complex, requiring updated controls.</w:t>
      </w:r>
    </w:p>
    <w:p w14:paraId="6314E39A" w14:textId="77777777" w:rsidR="0039390B" w:rsidRPr="00535F99" w:rsidRDefault="0039390B" w:rsidP="0039390B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lang w:eastAsia="en-GB"/>
        </w:rPr>
      </w:pPr>
      <w:bookmarkStart w:id="27" w:name="_Toc216985333"/>
      <w:r w:rsidRPr="00535F99">
        <w:rPr>
          <w:rFonts w:eastAsia="Times New Roman" w:cstheme="minorHAnsi"/>
          <w:b/>
          <w:bCs/>
          <w:lang w:eastAsia="en-GB"/>
        </w:rPr>
        <w:t>3.5 Industry Best Practice</w:t>
      </w:r>
      <w:bookmarkEnd w:id="27"/>
    </w:p>
    <w:p w14:paraId="336C696E" w14:textId="77777777" w:rsidR="0039390B" w:rsidRPr="00535F99" w:rsidRDefault="0039390B" w:rsidP="0039390B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>Updated standards create:</w:t>
      </w:r>
    </w:p>
    <w:p w14:paraId="61157CAC" w14:textId="77777777" w:rsidR="0039390B" w:rsidRPr="00535F99" w:rsidRDefault="0039390B" w:rsidP="0039390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>Benchmarking</w:t>
      </w:r>
    </w:p>
    <w:p w14:paraId="105CB8EA" w14:textId="77777777" w:rsidR="0039390B" w:rsidRPr="00535F99" w:rsidRDefault="0039390B" w:rsidP="0039390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>Better interoperability</w:t>
      </w:r>
    </w:p>
    <w:p w14:paraId="502EA819" w14:textId="77777777" w:rsidR="0039390B" w:rsidRPr="00535F99" w:rsidRDefault="0039390B" w:rsidP="0039390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>Modernised security controls</w:t>
      </w:r>
    </w:p>
    <w:p w14:paraId="28F39EAD" w14:textId="77777777" w:rsidR="0039390B" w:rsidRPr="00535F99" w:rsidRDefault="0039390B" w:rsidP="0039390B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lang w:eastAsia="en-GB"/>
        </w:rPr>
      </w:pPr>
      <w:bookmarkStart w:id="28" w:name="_Toc216985334"/>
      <w:r w:rsidRPr="00535F99">
        <w:rPr>
          <w:rFonts w:eastAsia="Times New Roman" w:cstheme="minorHAnsi"/>
          <w:b/>
          <w:bCs/>
          <w:lang w:eastAsia="en-GB"/>
        </w:rPr>
        <w:t>3.6 Reduces Vulnerabilities</w:t>
      </w:r>
      <w:bookmarkEnd w:id="28"/>
    </w:p>
    <w:p w14:paraId="251B134A" w14:textId="77777777" w:rsidR="0039390B" w:rsidRPr="00535F99" w:rsidRDefault="0039390B" w:rsidP="0039390B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>Legacy systems and old controls create gaps in protection.</w:t>
      </w:r>
    </w:p>
    <w:p w14:paraId="1ABFB974" w14:textId="2A5B60E8" w:rsidR="0039390B" w:rsidRPr="00535F99" w:rsidRDefault="0039390B" w:rsidP="0039390B">
      <w:pPr>
        <w:spacing w:after="0" w:line="240" w:lineRule="auto"/>
        <w:rPr>
          <w:rFonts w:eastAsia="Times New Roman" w:cstheme="minorHAnsi"/>
          <w:lang w:eastAsia="en-GB"/>
        </w:rPr>
      </w:pPr>
    </w:p>
    <w:p w14:paraId="5DA57B5E" w14:textId="77777777" w:rsidR="002338B3" w:rsidRDefault="002338B3" w:rsidP="0039390B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lang w:eastAsia="en-GB"/>
        </w:rPr>
      </w:pPr>
    </w:p>
    <w:p w14:paraId="6F25F40F" w14:textId="77777777" w:rsidR="002338B3" w:rsidRDefault="002338B3" w:rsidP="0039390B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lang w:eastAsia="en-GB"/>
        </w:rPr>
      </w:pPr>
    </w:p>
    <w:p w14:paraId="483A5A20" w14:textId="307AB95D" w:rsidR="0039390B" w:rsidRPr="00535F99" w:rsidRDefault="0039390B" w:rsidP="0039390B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lang w:eastAsia="en-GB"/>
        </w:rPr>
      </w:pPr>
      <w:bookmarkStart w:id="29" w:name="_Toc216985335"/>
      <w:r w:rsidRPr="00535F99">
        <w:rPr>
          <w:rFonts w:eastAsia="Times New Roman" w:cstheme="minorHAnsi"/>
          <w:b/>
          <w:bCs/>
          <w:kern w:val="36"/>
          <w:lang w:eastAsia="en-GB"/>
        </w:rPr>
        <w:t>4. Conclusion</w:t>
      </w:r>
      <w:bookmarkEnd w:id="29"/>
    </w:p>
    <w:p w14:paraId="01A0664E" w14:textId="7B1D1894" w:rsidR="0039390B" w:rsidRPr="00535F99" w:rsidRDefault="0039390B" w:rsidP="0039390B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535F99">
        <w:rPr>
          <w:rFonts w:eastAsia="Times New Roman" w:cstheme="minorHAnsi"/>
          <w:lang w:eastAsia="en-GB"/>
        </w:rPr>
        <w:t xml:space="preserve">By adopting elements from </w:t>
      </w:r>
      <w:r w:rsidRPr="00535F99">
        <w:rPr>
          <w:rFonts w:eastAsia="Times New Roman" w:cstheme="minorHAnsi"/>
          <w:b/>
          <w:bCs/>
          <w:lang w:eastAsia="en-GB"/>
        </w:rPr>
        <w:t>ITIL, ISO 27001, and NIST CSF</w:t>
      </w:r>
      <w:r w:rsidRPr="00535F99">
        <w:rPr>
          <w:rFonts w:eastAsia="Times New Roman" w:cstheme="minorHAnsi"/>
          <w:lang w:eastAsia="en-GB"/>
        </w:rPr>
        <w:t>, Nature</w:t>
      </w:r>
      <w:r w:rsidR="002338B3">
        <w:rPr>
          <w:rFonts w:eastAsia="Times New Roman" w:cstheme="minorHAnsi"/>
          <w:lang w:eastAsia="en-GB"/>
        </w:rPr>
        <w:t xml:space="preserve"> </w:t>
      </w:r>
      <w:r w:rsidRPr="00535F99">
        <w:rPr>
          <w:rFonts w:eastAsia="Times New Roman" w:cstheme="minorHAnsi"/>
          <w:lang w:eastAsia="en-GB"/>
        </w:rPr>
        <w:t>Green can implement an effective, modern security governance structure.</w:t>
      </w:r>
      <w:r w:rsidRPr="00535F99">
        <w:rPr>
          <w:rFonts w:eastAsia="Times New Roman" w:cstheme="minorHAnsi"/>
          <w:lang w:eastAsia="en-GB"/>
        </w:rPr>
        <w:br/>
        <w:t>Consistently updating standards and regulations ensures organisations remain resilient against evolving threats, remain compliant, and maintain customer trust.</w:t>
      </w:r>
    </w:p>
    <w:p w14:paraId="3972F4CC" w14:textId="2D64E0D6" w:rsidR="000D449F" w:rsidRDefault="000D449F"/>
    <w:p w14:paraId="12123CC0" w14:textId="60B13E68" w:rsidR="00592136" w:rsidRDefault="00592136"/>
    <w:p w14:paraId="0AB3FF84" w14:textId="365E155D" w:rsidR="00592136" w:rsidRDefault="00592136"/>
    <w:p w14:paraId="52666348" w14:textId="3CFB9A79" w:rsidR="00592136" w:rsidRDefault="00592136"/>
    <w:p w14:paraId="1B61DB37" w14:textId="14239CDB" w:rsidR="00592136" w:rsidRDefault="00592136"/>
    <w:p w14:paraId="1C856EA5" w14:textId="77777777" w:rsidR="00592136" w:rsidRPr="00592136" w:rsidRDefault="00592136" w:rsidP="005921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92136">
        <w:rPr>
          <w:rFonts w:ascii="Times New Roman" w:eastAsia="Times New Roman" w:hAnsi="Times New Roman" w:cs="Times New Roman"/>
          <w:sz w:val="24"/>
          <w:szCs w:val="24"/>
          <w:lang w:eastAsia="en-GB"/>
        </w:rPr>
        <w:t>[2] Digital Curation Centre, “ISO/IEC 27000 Series Overview.”</w:t>
      </w:r>
      <w:r w:rsidRPr="00592136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hyperlink r:id="rId9" w:tgtFrame="_new" w:history="1">
        <w:r w:rsidRPr="0059213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>https://www.dcc.ac.uk/guidance/briefing-papers/standards-watch-papers/information-security-manageme</w:t>
        </w:r>
        <w:r w:rsidRPr="0059213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>n</w:t>
        </w:r>
        <w:r w:rsidRPr="0059213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>t-iso-27000-iso-27k-s</w:t>
        </w:r>
      </w:hyperlink>
    </w:p>
    <w:p w14:paraId="45F272ED" w14:textId="77777777" w:rsidR="00592136" w:rsidRPr="00592136" w:rsidRDefault="00592136" w:rsidP="005921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92136">
        <w:rPr>
          <w:rFonts w:ascii="Times New Roman" w:eastAsia="Times New Roman" w:hAnsi="Times New Roman" w:cs="Times New Roman"/>
          <w:sz w:val="24"/>
          <w:szCs w:val="24"/>
          <w:lang w:eastAsia="en-GB"/>
        </w:rPr>
        <w:t>[3] HCI-ITIL, “ITIL Security Management.”</w:t>
      </w:r>
      <w:r w:rsidRPr="00592136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hyperlink r:id="rId10" w:tgtFrame="_new" w:history="1">
        <w:r w:rsidRPr="0059213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>https://www.hci-itil.com</w:t>
        </w:r>
        <w:r w:rsidRPr="0059213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>/</w:t>
        </w:r>
        <w:r w:rsidRPr="0059213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>ITIL_v3/books/2_service_design/service_design_ch4_6.html</w:t>
        </w:r>
      </w:hyperlink>
    </w:p>
    <w:p w14:paraId="012FD6C7" w14:textId="77777777" w:rsidR="00592136" w:rsidRPr="00592136" w:rsidRDefault="00592136" w:rsidP="005921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92136">
        <w:rPr>
          <w:rFonts w:ascii="Times New Roman" w:eastAsia="Times New Roman" w:hAnsi="Times New Roman" w:cs="Times New Roman"/>
          <w:sz w:val="24"/>
          <w:szCs w:val="24"/>
          <w:lang w:eastAsia="en-GB"/>
        </w:rPr>
        <w:t>[4] ISACA, “COBIT Framework Overview.”</w:t>
      </w:r>
      <w:r w:rsidRPr="00592136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hyperlink r:id="rId11" w:tgtFrame="_new" w:history="1">
        <w:r w:rsidRPr="0059213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>https://en.w</w:t>
        </w:r>
        <w:r w:rsidRPr="0059213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>i</w:t>
        </w:r>
        <w:r w:rsidRPr="0059213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>kipedia.org/wiki/COBIT</w:t>
        </w:r>
      </w:hyperlink>
    </w:p>
    <w:p w14:paraId="234F3A41" w14:textId="77777777" w:rsidR="00592136" w:rsidRPr="00592136" w:rsidRDefault="00592136" w:rsidP="005921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92136">
        <w:rPr>
          <w:rFonts w:ascii="Times New Roman" w:eastAsia="Times New Roman" w:hAnsi="Times New Roman" w:cs="Times New Roman"/>
          <w:sz w:val="24"/>
          <w:szCs w:val="24"/>
          <w:lang w:eastAsia="en-GB"/>
        </w:rPr>
        <w:t>[5] HITRUST Alliance, “HITRUST CSF.”</w:t>
      </w:r>
      <w:r w:rsidRPr="00592136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hyperlink r:id="rId12" w:tgtFrame="_new" w:history="1">
        <w:r w:rsidRPr="0059213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>https://en.wi</w:t>
        </w:r>
        <w:r w:rsidRPr="0059213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>k</w:t>
        </w:r>
        <w:r w:rsidRPr="0059213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>ipedia.org/wiki/HITRUST</w:t>
        </w:r>
      </w:hyperlink>
    </w:p>
    <w:p w14:paraId="508F2336" w14:textId="77777777" w:rsidR="004B3571" w:rsidRDefault="004B3571" w:rsidP="005E36B8">
      <w:pPr>
        <w:pStyle w:val="Heading2"/>
      </w:pPr>
    </w:p>
    <w:p w14:paraId="1A6E2303" w14:textId="77777777" w:rsidR="004B3571" w:rsidRDefault="004B3571" w:rsidP="005E36B8">
      <w:pPr>
        <w:pStyle w:val="Heading2"/>
      </w:pPr>
    </w:p>
    <w:p w14:paraId="10706EC1" w14:textId="77777777" w:rsidR="004B3571" w:rsidRDefault="004B3571" w:rsidP="005E36B8">
      <w:pPr>
        <w:pStyle w:val="Heading2"/>
      </w:pPr>
    </w:p>
    <w:p w14:paraId="2546D1C6" w14:textId="77777777" w:rsidR="004B3571" w:rsidRDefault="004B3571" w:rsidP="005E36B8">
      <w:pPr>
        <w:pStyle w:val="Heading2"/>
      </w:pPr>
    </w:p>
    <w:p w14:paraId="44F9E479" w14:textId="18154454" w:rsidR="004B3571" w:rsidRDefault="004B3571" w:rsidP="005E36B8">
      <w:pPr>
        <w:pStyle w:val="Heading2"/>
      </w:pPr>
    </w:p>
    <w:p w14:paraId="02EB0065" w14:textId="0C7AC6CF" w:rsidR="002338B3" w:rsidRDefault="002338B3" w:rsidP="005E36B8">
      <w:pPr>
        <w:pStyle w:val="Heading2"/>
      </w:pPr>
    </w:p>
    <w:p w14:paraId="5D29BBCE" w14:textId="01831969" w:rsidR="002338B3" w:rsidRDefault="002338B3" w:rsidP="005E36B8">
      <w:pPr>
        <w:pStyle w:val="Heading2"/>
      </w:pPr>
    </w:p>
    <w:p w14:paraId="1D727796" w14:textId="67EDC39C" w:rsidR="002338B3" w:rsidRDefault="002338B3" w:rsidP="005E36B8">
      <w:pPr>
        <w:pStyle w:val="Heading2"/>
      </w:pPr>
    </w:p>
    <w:p w14:paraId="27761975" w14:textId="77777777" w:rsidR="002338B3" w:rsidRDefault="002338B3" w:rsidP="005E36B8">
      <w:pPr>
        <w:pStyle w:val="Heading2"/>
      </w:pPr>
    </w:p>
    <w:p w14:paraId="09E04615" w14:textId="28EA70E6" w:rsidR="005E36B8" w:rsidRDefault="005E36B8" w:rsidP="005E36B8">
      <w:pPr>
        <w:pStyle w:val="Heading2"/>
      </w:pPr>
      <w:bookmarkStart w:id="30" w:name="_Toc216985336"/>
      <w:r>
        <w:t>References</w:t>
      </w:r>
      <w:bookmarkEnd w:id="30"/>
    </w:p>
    <w:p w14:paraId="7C2BBD52" w14:textId="77777777" w:rsidR="00425A68" w:rsidRPr="00592136" w:rsidRDefault="00425A68" w:rsidP="00425A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9213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[1] ISO/IEC, </w:t>
      </w:r>
      <w:r w:rsidRPr="00592136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ISO/IEC 27001: Information Security Management Systems – Requirements</w:t>
      </w:r>
      <w:r w:rsidRPr="00592136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Pr="00592136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hyperlink r:id="rId13" w:tgtFrame="_new" w:history="1">
        <w:r w:rsidRPr="0059213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>https://www.itgovernance.co.uk/iso27000-family</w:t>
        </w:r>
      </w:hyperlink>
    </w:p>
    <w:p w14:paraId="57077CEA" w14:textId="77777777" w:rsidR="005E36B8" w:rsidRDefault="005E36B8" w:rsidP="005E36B8">
      <w:pPr>
        <w:pStyle w:val="NormalWeb"/>
      </w:pPr>
      <w:r>
        <w:lastRenderedPageBreak/>
        <w:t xml:space="preserve">[2] ISO/IEC, </w:t>
      </w:r>
      <w:r>
        <w:rPr>
          <w:rStyle w:val="Emphasis"/>
        </w:rPr>
        <w:t>ISO/IEC 27001:2022 – Information Security Management Systems</w:t>
      </w:r>
      <w:r>
        <w:t>, ISO, 2022.</w:t>
      </w:r>
      <w:r>
        <w:br/>
        <w:t xml:space="preserve">Available: </w:t>
      </w:r>
      <w:hyperlink r:id="rId14" w:tgtFrame="_new" w:history="1">
        <w:r>
          <w:rPr>
            <w:rStyle w:val="Hyperlink"/>
          </w:rPr>
          <w:t>https://www.iso.org/standard/82875.html</w:t>
        </w:r>
      </w:hyperlink>
    </w:p>
    <w:p w14:paraId="554FF559" w14:textId="77777777" w:rsidR="005E36B8" w:rsidRDefault="005E36B8" w:rsidP="005E36B8">
      <w:pPr>
        <w:pStyle w:val="NormalWeb"/>
      </w:pPr>
      <w:r>
        <w:t xml:space="preserve">[3] ISO/IEC, </w:t>
      </w:r>
      <w:r>
        <w:rPr>
          <w:rStyle w:val="Emphasis"/>
        </w:rPr>
        <w:t>ISO/IEC 27002:2022 – Information Security Controls</w:t>
      </w:r>
      <w:r>
        <w:t>, ISO, 2022.</w:t>
      </w:r>
      <w:r>
        <w:br/>
        <w:t xml:space="preserve">Available: </w:t>
      </w:r>
      <w:hyperlink r:id="rId15" w:tgtFrame="_new" w:history="1">
        <w:r>
          <w:rPr>
            <w:rStyle w:val="Hyperlink"/>
          </w:rPr>
          <w:t>https://www.iso.org/standard/75652.html</w:t>
        </w:r>
      </w:hyperlink>
    </w:p>
    <w:p w14:paraId="77843716" w14:textId="77777777" w:rsidR="005E36B8" w:rsidRDefault="005E36B8" w:rsidP="005E36B8">
      <w:pPr>
        <w:pStyle w:val="NormalWeb"/>
      </w:pPr>
      <w:r>
        <w:t xml:space="preserve">[4] NIST, </w:t>
      </w:r>
      <w:r>
        <w:rPr>
          <w:rStyle w:val="Emphasis"/>
        </w:rPr>
        <w:t>Framework for Improving Critical Infrastructure Cybersecurity</w:t>
      </w:r>
      <w:r>
        <w:t>, Version 2.0, 2024.</w:t>
      </w:r>
      <w:r>
        <w:br/>
        <w:t xml:space="preserve">Available: </w:t>
      </w:r>
      <w:hyperlink r:id="rId16" w:tgtFrame="_new" w:history="1">
        <w:r>
          <w:rPr>
            <w:rStyle w:val="Hyperlink"/>
          </w:rPr>
          <w:t>https://www.nist.gov/cyberframework</w:t>
        </w:r>
      </w:hyperlink>
    </w:p>
    <w:p w14:paraId="26424C71" w14:textId="77777777" w:rsidR="005E36B8" w:rsidRDefault="005E36B8" w:rsidP="005E36B8">
      <w:pPr>
        <w:pStyle w:val="NormalWeb"/>
      </w:pPr>
      <w:r>
        <w:t xml:space="preserve">[5] D. Bell and L. </w:t>
      </w:r>
      <w:proofErr w:type="spellStart"/>
      <w:r>
        <w:t>LaPadula</w:t>
      </w:r>
      <w:proofErr w:type="spellEnd"/>
      <w:r>
        <w:t>, “Secure Computer Systems: Mathematical Foundations,” MITRE, 1973.</w:t>
      </w:r>
    </w:p>
    <w:p w14:paraId="587B51DB" w14:textId="77777777" w:rsidR="005E36B8" w:rsidRDefault="005E36B8" w:rsidP="005E36B8">
      <w:pPr>
        <w:pStyle w:val="NormalWeb"/>
      </w:pPr>
      <w:r>
        <w:t xml:space="preserve">[6] D. Clark and D. Wilson, “A Comparison of Commercial and Military Computer Security Policies,” </w:t>
      </w:r>
      <w:r>
        <w:rPr>
          <w:rStyle w:val="Emphasis"/>
        </w:rPr>
        <w:t>IEEE Symposium on Security and Privacy</w:t>
      </w:r>
      <w:r>
        <w:t>, 1987.</w:t>
      </w:r>
    </w:p>
    <w:p w14:paraId="0E00315A" w14:textId="77777777" w:rsidR="005E36B8" w:rsidRDefault="005E36B8" w:rsidP="005E36B8">
      <w:pPr>
        <w:pStyle w:val="NormalWeb"/>
      </w:pPr>
      <w:r>
        <w:t xml:space="preserve">[7] ISO, </w:t>
      </w:r>
      <w:r>
        <w:rPr>
          <w:rStyle w:val="Emphasis"/>
        </w:rPr>
        <w:t>ISO 22301:2019 – Business Continuity Management Systems</w:t>
      </w:r>
      <w:r>
        <w:t>, ISO, 2019.</w:t>
      </w:r>
      <w:r>
        <w:br/>
        <w:t xml:space="preserve">Available: </w:t>
      </w:r>
      <w:hyperlink r:id="rId17" w:tgtFrame="_new" w:history="1">
        <w:r>
          <w:rPr>
            <w:rStyle w:val="Hyperlink"/>
          </w:rPr>
          <w:t>https://www.iso.org/standard/75106.html</w:t>
        </w:r>
      </w:hyperlink>
    </w:p>
    <w:p w14:paraId="387207A9" w14:textId="77777777" w:rsidR="005E36B8" w:rsidRDefault="005E36B8" w:rsidP="005E36B8">
      <w:pPr>
        <w:pStyle w:val="NormalWeb"/>
      </w:pPr>
      <w:r>
        <w:t xml:space="preserve">[8] European Union, </w:t>
      </w:r>
      <w:r>
        <w:rPr>
          <w:rStyle w:val="Emphasis"/>
        </w:rPr>
        <w:t>General Data Protection Regulation (GDPR)</w:t>
      </w:r>
      <w:r>
        <w:t>, 2018.</w:t>
      </w:r>
      <w:r>
        <w:br/>
        <w:t xml:space="preserve">Available: </w:t>
      </w:r>
      <w:hyperlink r:id="rId18" w:tgtFrame="_new" w:history="1">
        <w:r>
          <w:rPr>
            <w:rStyle w:val="Hyperlink"/>
          </w:rPr>
          <w:t>https://gdpr.eu</w:t>
        </w:r>
      </w:hyperlink>
    </w:p>
    <w:p w14:paraId="79307B9E" w14:textId="77777777" w:rsidR="005E36B8" w:rsidRDefault="005E36B8"/>
    <w:sectPr w:rsidR="005E36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495D8F" w14:textId="77777777" w:rsidR="00A61893" w:rsidRDefault="00A61893" w:rsidP="003877A3">
      <w:pPr>
        <w:spacing w:after="0" w:line="240" w:lineRule="auto"/>
      </w:pPr>
      <w:r>
        <w:separator/>
      </w:r>
    </w:p>
  </w:endnote>
  <w:endnote w:type="continuationSeparator" w:id="0">
    <w:p w14:paraId="38A5BB7D" w14:textId="77777777" w:rsidR="00A61893" w:rsidRDefault="00A61893" w:rsidP="003877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0BCE80" w14:textId="77777777" w:rsidR="00A61893" w:rsidRDefault="00A61893" w:rsidP="003877A3">
      <w:pPr>
        <w:spacing w:after="0" w:line="240" w:lineRule="auto"/>
      </w:pPr>
      <w:r>
        <w:separator/>
      </w:r>
    </w:p>
  </w:footnote>
  <w:footnote w:type="continuationSeparator" w:id="0">
    <w:p w14:paraId="6A334E54" w14:textId="77777777" w:rsidR="00A61893" w:rsidRDefault="00A61893" w:rsidP="003877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E84871"/>
    <w:multiLevelType w:val="multilevel"/>
    <w:tmpl w:val="A4BE8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A574AC"/>
    <w:multiLevelType w:val="multilevel"/>
    <w:tmpl w:val="71565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A11204"/>
    <w:multiLevelType w:val="multilevel"/>
    <w:tmpl w:val="B906D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7C64810"/>
    <w:multiLevelType w:val="multilevel"/>
    <w:tmpl w:val="C824A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BB45D2"/>
    <w:multiLevelType w:val="multilevel"/>
    <w:tmpl w:val="A0B85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FD14688"/>
    <w:multiLevelType w:val="multilevel"/>
    <w:tmpl w:val="006463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90B"/>
    <w:rsid w:val="000D449F"/>
    <w:rsid w:val="0018379B"/>
    <w:rsid w:val="002338B3"/>
    <w:rsid w:val="002B7252"/>
    <w:rsid w:val="003877A3"/>
    <w:rsid w:val="0039390B"/>
    <w:rsid w:val="00425A68"/>
    <w:rsid w:val="004262CA"/>
    <w:rsid w:val="004B3571"/>
    <w:rsid w:val="004D1139"/>
    <w:rsid w:val="00535F99"/>
    <w:rsid w:val="00592136"/>
    <w:rsid w:val="005E36B8"/>
    <w:rsid w:val="006205BA"/>
    <w:rsid w:val="007D2534"/>
    <w:rsid w:val="008D5418"/>
    <w:rsid w:val="008E70EF"/>
    <w:rsid w:val="009E3C60"/>
    <w:rsid w:val="00A61893"/>
    <w:rsid w:val="00C55CE8"/>
    <w:rsid w:val="00E64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46449"/>
  <w15:chartTrackingRefBased/>
  <w15:docId w15:val="{86959A8E-40BD-4345-A0DE-084966489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9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39390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39390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link w:val="Heading4Char"/>
    <w:uiPriority w:val="9"/>
    <w:qFormat/>
    <w:rsid w:val="0039390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390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39390B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39390B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39390B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9390B"/>
    <w:rPr>
      <w:b/>
      <w:bCs/>
    </w:rPr>
  </w:style>
  <w:style w:type="paragraph" w:styleId="NormalWeb">
    <w:name w:val="Normal (Web)"/>
    <w:basedOn w:val="Normal"/>
    <w:uiPriority w:val="99"/>
    <w:unhideWhenUsed/>
    <w:rsid w:val="003939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939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9390B"/>
    <w:rPr>
      <w:rFonts w:ascii="Courier New" w:eastAsia="Times New Roman" w:hAnsi="Courier New" w:cs="Courier New"/>
      <w:sz w:val="20"/>
      <w:szCs w:val="20"/>
      <w:lang w:eastAsia="en-GB"/>
    </w:rPr>
  </w:style>
  <w:style w:type="character" w:styleId="HTMLCode">
    <w:name w:val="HTML Code"/>
    <w:basedOn w:val="DefaultParagraphFont"/>
    <w:uiPriority w:val="99"/>
    <w:semiHidden/>
    <w:unhideWhenUsed/>
    <w:rsid w:val="0039390B"/>
    <w:rPr>
      <w:rFonts w:ascii="Courier New" w:eastAsia="Times New Roman" w:hAnsi="Courier New" w:cs="Courier New"/>
      <w:sz w:val="20"/>
      <w:szCs w:val="20"/>
    </w:rPr>
  </w:style>
  <w:style w:type="character" w:customStyle="1" w:styleId="hljs-comment">
    <w:name w:val="hljs-comment"/>
    <w:basedOn w:val="DefaultParagraphFont"/>
    <w:rsid w:val="0039390B"/>
  </w:style>
  <w:style w:type="character" w:customStyle="1" w:styleId="hljs-operator">
    <w:name w:val="hljs-operator"/>
    <w:basedOn w:val="DefaultParagraphFont"/>
    <w:rsid w:val="0039390B"/>
  </w:style>
  <w:style w:type="character" w:customStyle="1" w:styleId="hljs-keyword">
    <w:name w:val="hljs-keyword"/>
    <w:basedOn w:val="DefaultParagraphFont"/>
    <w:rsid w:val="0039390B"/>
  </w:style>
  <w:style w:type="character" w:customStyle="1" w:styleId="hljs-selector-attr">
    <w:name w:val="hljs-selector-attr"/>
    <w:basedOn w:val="DefaultParagraphFont"/>
    <w:rsid w:val="0039390B"/>
  </w:style>
  <w:style w:type="character" w:customStyle="1" w:styleId="hljs-string">
    <w:name w:val="hljs-string"/>
    <w:basedOn w:val="DefaultParagraphFont"/>
    <w:rsid w:val="0039390B"/>
  </w:style>
  <w:style w:type="character" w:customStyle="1" w:styleId="hljs-selector-tag">
    <w:name w:val="hljs-selector-tag"/>
    <w:basedOn w:val="DefaultParagraphFont"/>
    <w:rsid w:val="0039390B"/>
  </w:style>
  <w:style w:type="character" w:styleId="Emphasis">
    <w:name w:val="Emphasis"/>
    <w:basedOn w:val="DefaultParagraphFont"/>
    <w:uiPriority w:val="20"/>
    <w:qFormat/>
    <w:rsid w:val="00592136"/>
    <w:rPr>
      <w:i/>
      <w:iCs/>
    </w:rPr>
  </w:style>
  <w:style w:type="character" w:styleId="Hyperlink">
    <w:name w:val="Hyperlink"/>
    <w:basedOn w:val="DefaultParagraphFont"/>
    <w:uiPriority w:val="99"/>
    <w:unhideWhenUsed/>
    <w:rsid w:val="00592136"/>
    <w:rPr>
      <w:color w:val="0000FF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2338B3"/>
    <w:pPr>
      <w:keepNext/>
      <w:keepLines/>
      <w:spacing w:before="240" w:beforeAutospacing="0" w:after="0" w:afterAutospacing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 w:val="32"/>
      <w:szCs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2338B3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338B3"/>
    <w:pPr>
      <w:tabs>
        <w:tab w:val="right" w:leader="dot" w:pos="9016"/>
      </w:tabs>
      <w:spacing w:after="100"/>
      <w:ind w:left="220"/>
    </w:pPr>
    <w:rPr>
      <w:b/>
      <w:bCs/>
      <w:noProof/>
    </w:rPr>
  </w:style>
  <w:style w:type="paragraph" w:styleId="TOC3">
    <w:name w:val="toc 3"/>
    <w:basedOn w:val="Normal"/>
    <w:next w:val="Normal"/>
    <w:autoRedefine/>
    <w:uiPriority w:val="39"/>
    <w:unhideWhenUsed/>
    <w:rsid w:val="002338B3"/>
    <w:pPr>
      <w:spacing w:after="100"/>
      <w:ind w:left="440"/>
    </w:pPr>
  </w:style>
  <w:style w:type="paragraph" w:styleId="Header">
    <w:name w:val="header"/>
    <w:basedOn w:val="Normal"/>
    <w:link w:val="HeaderChar"/>
    <w:uiPriority w:val="99"/>
    <w:unhideWhenUsed/>
    <w:rsid w:val="003877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77A3"/>
  </w:style>
  <w:style w:type="paragraph" w:styleId="Footer">
    <w:name w:val="footer"/>
    <w:basedOn w:val="Normal"/>
    <w:link w:val="FooterChar"/>
    <w:uiPriority w:val="99"/>
    <w:unhideWhenUsed/>
    <w:rsid w:val="003877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77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571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4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13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0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58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53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2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35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2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02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27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7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28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16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15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itgovernance.co.uk/iso27000-family?utm_source=chatgpt.com" TargetMode="External"/><Relationship Id="rId18" Type="http://schemas.openxmlformats.org/officeDocument/2006/relationships/hyperlink" Target="https://gdpr.e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en.wikipedia.org/wiki/HITRUST?utm_source=chatgpt.com" TargetMode="External"/><Relationship Id="rId17" Type="http://schemas.openxmlformats.org/officeDocument/2006/relationships/hyperlink" Target="https://www.iso.org/standard/75106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nist.gov/cyberframework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n.wikipedia.org/wiki/COBIT?utm_source=chatgpt.co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iso.org/standard/75652.html" TargetMode="External"/><Relationship Id="rId10" Type="http://schemas.openxmlformats.org/officeDocument/2006/relationships/hyperlink" Target="https://www.hci-itil.com/ITIL_v3/books/2_service_design/service_design_ch4_6.html?utm_source=chatgpt.com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dcc.ac.uk/guidance/briefing-papers/standards-watch-papers/information-security-management-iso-27000-iso-27k-s?utm_source=chatgpt.com" TargetMode="External"/><Relationship Id="rId14" Type="http://schemas.openxmlformats.org/officeDocument/2006/relationships/hyperlink" Target="https://www.iso.org/standard/82875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07A188-1CDC-4C54-84BD-57534C502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9</Pages>
  <Words>1841</Words>
  <Characters>10494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jahidull hassan</dc:creator>
  <cp:keywords/>
  <dc:description/>
  <cp:lastModifiedBy>jahidull hassan</cp:lastModifiedBy>
  <cp:revision>13</cp:revision>
  <dcterms:created xsi:type="dcterms:W3CDTF">2025-12-10T15:58:00Z</dcterms:created>
  <dcterms:modified xsi:type="dcterms:W3CDTF">2025-12-18T23:08:00Z</dcterms:modified>
</cp:coreProperties>
</file>