
<file path=[Content_Types].xml><?xml version="1.0" encoding="utf-8"?>
<Types xmlns="http://schemas.openxmlformats.org/package/2006/content-types">
  <Default Extension="xml" ContentType="application/xml"/>
  <Default Extension="jpg" ContentType="image/jpeg"/>
  <Default Extension="png" ContentType="image/png"/>
  <Default Extension="rels" ContentType="application/vnd.openxmlformats-package.relationships+xml"/>
  <Default Extension="jpeg" ContentType="image/jpeg"/>
  <Override PartName="/word/document.xml" ContentType="application/vnd.openxmlformats-officedocument.wordprocessingml.document.main+xml"/>
  <Override PartName="/word/settings.xml" ContentType="application/vnd.openxmlformats-officedocument.wordprocessingml.settings+xml"/>
  <Override PartName="/word/webSettings.xml" ContentType="application/vnd.openxmlformats-officedocument.wordprocessingml.webSettings+xml"/>
  <Override PartName="/customXml/itemProps1.xml" ContentType="application/vnd.openxmlformats-officedocument.customXmlProperties+xml"/>
  <Override PartName="/word/styles.xml" ContentType="application/vnd.openxmlformats-officedocument.wordprocessingml.styles+xml"/>
  <Override PartName="/word/endnotes.xml" ContentType="application/vnd.openxmlformats-officedocument.wordprocessingml.endnotes+xml"/>
  <Override PartName="/word/footnotes.xml" ContentType="application/vnd.openxmlformats-officedocument.wordprocessingml.foot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body>
    <w:p w14:paraId="00000005">
      <w:pPr>
        <w:pStyle w:val="Title"/>
        <w:rPr>
          <w:rFonts w:ascii="Times New Roman" w:cs="Times New Roman" w:hAnsi="Times New Roman"/>
        </w:rPr>
      </w:pPr>
      <w:r>
        <w:rPr>
          <w:rFonts w:ascii="Times New Roman" w:cs="Times New Roman" w:hAnsi="Times New Roman"/>
        </w:rPr>
        <w:t>LCBB5001</w:t>
      </w:r>
    </w:p>
    <w:p w14:paraId="00000006">
      <w:pPr>
        <w:pStyle w:val="Title"/>
        <w:rPr>
          <w:rFonts w:ascii="Times New Roman" w:cs="Times New Roman" w:hAnsi="Times New Roman"/>
        </w:rPr>
      </w:pPr>
      <w:r>
        <w:rPr>
          <w:rFonts w:ascii="Times New Roman" w:cs="Times New Roman" w:hAnsi="Times New Roman"/>
        </w:rPr>
        <w:t>Entrepreneurship</w:t>
      </w:r>
    </w:p>
    <w:p w14:paraId="00000007"/>
    <w:p w14:paraId="00000008">
      <w:pPr>
        <w:pStyle w:val="Title"/>
        <w:rPr>
          <w:rFonts w:ascii="Times New Roman" w:cs="Times New Roman" w:hAnsi="Times New Roman"/>
          <w:sz w:val="44"/>
        </w:rPr>
      </w:pPr>
      <w:r>
        <w:rPr>
          <w:rFonts w:ascii="Times New Roman" w:cs="Times New Roman" w:hAnsi="Times New Roman"/>
          <w:sz w:val="44"/>
          <w:shd w:val="clear" w:color="auto" w:fill="ffffff"/>
        </w:rPr>
        <w:t>Component 1-</w:t>
      </w:r>
      <w:r>
        <w:rPr>
          <w:rFonts w:ascii="Times New Roman" w:cs="Times New Roman" w:hAnsi="Times New Roman"/>
          <w:sz w:val="44"/>
        </w:rPr>
        <w:t xml:space="preserve"> Written Report</w:t>
      </w:r>
    </w:p>
    <w:p w14:paraId="00000009"/>
    <w:p w14:paraId="0000000A"/>
    <w:p w14:paraId="0000000B">
      <w:pPr>
        <w:jc w:val="center"/>
        <w:rPr>
          <w:b/>
          <w:sz w:val="32"/>
        </w:rPr>
      </w:pPr>
      <w:r>
        <w:rPr>
          <w:b/>
          <w:sz w:val="32"/>
        </w:rPr>
        <w:t>Green Innovation in Energy: Crafting a Sustainable Future with Eco-Innovate Ltd.</w:t>
      </w:r>
    </w:p>
    <w:p w14:paraId="0000000C"/>
    <w:p w14:paraId="0000000D">
      <w:pPr>
        <w:rPr>
          <w:b/>
          <w:i/>
        </w:rPr>
      </w:pPr>
      <w:r>
        <w:rPr>
          <w:b/>
          <w:i/>
        </w:rPr>
        <w:t>Student Name: Cezar-Daniel Totora</w:t>
      </w:r>
    </w:p>
    <w:p w14:paraId="0000000E">
      <w:pPr>
        <w:rPr>
          <w:b/>
          <w:i/>
        </w:rPr>
      </w:pPr>
      <w:r>
        <w:rPr>
          <w:b/>
          <w:i/>
        </w:rPr>
        <w:t>Student ID: 2028347</w:t>
      </w:r>
    </w:p>
    <w:p w14:paraId="0000000F">
      <w:pPr>
        <w:rPr>
          <w:b/>
          <w:i/>
        </w:rPr>
      </w:pPr>
      <w:r>
        <w:rPr>
          <w:b/>
          <w:i/>
        </w:rPr>
        <w:t>Module: Entrepreneurship</w:t>
      </w:r>
    </w:p>
    <w:p w14:paraId="00000010">
      <w:pPr>
        <w:rPr>
          <w:b/>
          <w:i/>
        </w:rPr>
      </w:pPr>
      <w:r>
        <w:rPr>
          <w:b/>
          <w:i/>
        </w:rPr>
        <w:t>Module code</w:t>
      </w:r>
      <w:r>
        <w:rPr>
          <w:b/>
          <w:i/>
        </w:rPr>
        <w:t>: LCBB 5001, Component 1</w:t>
      </w:r>
    </w:p>
    <w:p w14:paraId="00000011">
      <w:pPr>
        <w:rPr>
          <w:b/>
          <w:i/>
        </w:rPr>
      </w:pPr>
      <w:r>
        <w:rPr>
          <w:b/>
          <w:i/>
        </w:rPr>
        <w:t xml:space="preserve">Lecturer/module leader: </w:t>
      </w:r>
      <w:r>
        <w:rPr>
          <w:b/>
          <w:i/>
        </w:rPr>
        <w:t>Mohammad Rehman</w:t>
      </w:r>
    </w:p>
    <w:p w14:paraId="00000012">
      <w:pPr>
        <w:rPr>
          <w:i/>
        </w:rPr>
      </w:pPr>
    </w:p>
    <w:p w14:paraId="00000013">
      <w:pPr>
        <w:rPr>
          <w:i/>
        </w:rPr>
      </w:pPr>
    </w:p>
    <w:p w14:paraId="00000014">
      <w:pPr>
        <w:rPr>
          <w:i/>
        </w:rPr>
      </w:pPr>
    </w:p>
    <w:p w14:paraId="00000015">
      <w:pPr>
        <w:rPr>
          <w:i/>
        </w:rPr>
      </w:pPr>
    </w:p>
    <w:p w14:paraId="00000016">
      <w:pPr>
        <w:rPr>
          <w:i/>
        </w:rPr>
      </w:pPr>
    </w:p>
    <w:p w14:paraId="00000017">
      <w:pPr>
        <w:rPr>
          <w:i/>
        </w:rPr>
      </w:pPr>
    </w:p>
    <w:p w14:paraId="00000018">
      <w:pPr>
        <w:rPr>
          <w:i/>
        </w:rPr>
      </w:pPr>
    </w:p>
    <w:p w14:paraId="00000019">
      <w:pPr>
        <w:rPr>
          <w:i/>
        </w:rPr>
      </w:pPr>
    </w:p>
    <w:p w14:paraId="0000001A">
      <w:pPr>
        <w:rPr>
          <w:i/>
        </w:rPr>
      </w:pPr>
    </w:p>
    <w:p w14:paraId="0000001B">
      <w:pPr>
        <w:rPr>
          <w:i/>
        </w:rPr>
      </w:pPr>
    </w:p>
    <w:p w14:paraId="0000001C">
      <w:pPr>
        <w:rPr>
          <w:i/>
        </w:rPr>
      </w:pPr>
    </w:p>
    <w:p w14:paraId="0000001D">
      <w:pPr>
        <w:rPr>
          <w:i/>
        </w:rPr>
      </w:pPr>
    </w:p>
    <w:p w14:paraId="0000001E">
      <w:pPr>
        <w:pStyle w:val="TOCHeading"/>
        <w:jc w:val="center"/>
        <w:rPr>
          <w:b/>
          <w:color w:val="auto"/>
          <w:sz w:val="40"/>
        </w:rPr>
      </w:pPr>
      <w:r>
        <w:rPr>
          <w:b/>
          <w:color w:val="auto"/>
          <w:sz w:val="40"/>
        </w:rPr>
        <w:t>Table of Contents</w:t>
      </w:r>
    </w:p>
    <w:p w14:paraId="0000001F">
      <w:pPr>
        <w:pStyle w:val="Toc1"/>
        <w:tabs>
          <w:tab w:val="right" w:leader="dot" w:pos="9350"/>
        </w:tabs>
        <w:rPr>
          <w:rFonts w:asciiTheme="minorHAnsi" w:eastAsiaTheme="minorEastAsia" w:hAnsiTheme="minorHAnsi"/>
          <w:color w:val="auto"/>
          <w:sz w:val="22"/>
          <w:lang w:eastAsia="en-GB"/>
        </w:rPr>
      </w:pPr>
      <w:r>
        <w:fldChar w:fldCharType="begin"/>
      </w:r>
      <w:r>
        <w:instrText xml:space="preserve"> TOC \o "1-3" \h \z \u </w:instrText>
      </w:r>
      <w:r>
        <w:fldChar w:fldCharType="separate"/>
      </w:r>
      <w:r>
        <w:fldChar w:fldCharType="begin"/>
      </w:r>
      <w:r>
        <w:instrText xml:space="preserve">HYPERLINK \l "_Toc151428867" </w:instrText>
      </w:r>
      <w:r>
        <w:fldChar w:fldCharType="separate"/>
      </w:r>
      <w:r>
        <w:rPr>
          <w:rStyle w:val="Hyperlink"/>
        </w:rPr>
        <w:t>Introduction</w:t>
      </w:r>
      <w:r>
        <w:tab/>
      </w:r>
      <w:r>
        <w:fldChar w:fldCharType="begin"/>
      </w:r>
      <w:r>
        <w:instrText xml:space="preserve"> PAGEREF _Toc151428867 \h </w:instrText>
      </w:r>
      <w:r>
        <w:fldChar w:fldCharType="separate"/>
      </w:r>
      <w:r>
        <w:t>1</w:t>
      </w:r>
      <w:r>
        <w:fldChar w:fldCharType="end"/>
      </w:r>
      <w:r>
        <w:fldChar w:fldCharType="end"/>
      </w:r>
    </w:p>
    <w:p w14:paraId="00000020">
      <w:pPr>
        <w:pStyle w:val="Toc1"/>
        <w:tabs>
          <w:tab w:val="right" w:leader="dot" w:pos="9350"/>
        </w:tabs>
        <w:rPr>
          <w:rFonts w:asciiTheme="minorHAnsi" w:eastAsiaTheme="minorEastAsia" w:hAnsiTheme="minorHAnsi"/>
          <w:color w:val="auto"/>
          <w:sz w:val="22"/>
          <w:lang w:eastAsia="en-GB"/>
        </w:rPr>
      </w:pPr>
      <w:r>
        <w:fldChar w:fldCharType="begin"/>
      </w:r>
      <w:r>
        <w:instrText xml:space="preserve">HYPERLINK \l "_Toc151428868" </w:instrText>
      </w:r>
      <w:r>
        <w:fldChar w:fldCharType="separate"/>
      </w:r>
      <w:r>
        <w:rPr>
          <w:rStyle w:val="Hyperlink"/>
        </w:rPr>
        <w:t>Business Description / Market Opportunity</w:t>
      </w:r>
      <w:r>
        <w:tab/>
      </w:r>
      <w:r>
        <w:fldChar w:fldCharType="begin"/>
      </w:r>
      <w:r>
        <w:instrText xml:space="preserve"> PAGEREF _Toc151428868 \h </w:instrText>
      </w:r>
      <w:r>
        <w:fldChar w:fldCharType="separate"/>
      </w:r>
      <w:r>
        <w:t>2</w:t>
      </w:r>
      <w:r>
        <w:fldChar w:fldCharType="end"/>
      </w:r>
      <w:r>
        <w:fldChar w:fldCharType="end"/>
      </w:r>
    </w:p>
    <w:p w14:paraId="00000021">
      <w:pPr>
        <w:pStyle w:val="Toc1"/>
        <w:tabs>
          <w:tab w:val="right" w:leader="dot" w:pos="9350"/>
        </w:tabs>
        <w:rPr>
          <w:rFonts w:asciiTheme="minorHAnsi" w:eastAsiaTheme="minorEastAsia" w:hAnsiTheme="minorHAnsi"/>
          <w:color w:val="auto"/>
          <w:sz w:val="22"/>
          <w:lang w:eastAsia="en-GB"/>
        </w:rPr>
      </w:pPr>
      <w:r>
        <w:fldChar w:fldCharType="begin"/>
      </w:r>
      <w:r>
        <w:instrText xml:space="preserve">HYPERLINK \l "_Toc151428869" </w:instrText>
      </w:r>
      <w:r>
        <w:fldChar w:fldCharType="separate"/>
      </w:r>
      <w:r>
        <w:rPr>
          <w:rStyle w:val="Hyperlink"/>
        </w:rPr>
        <w:t>Industry Analysis</w:t>
      </w:r>
      <w:r>
        <w:tab/>
      </w:r>
      <w:r>
        <w:fldChar w:fldCharType="begin"/>
      </w:r>
      <w:r>
        <w:instrText xml:space="preserve"> PAGEREF _Toc151428869 \h </w:instrText>
      </w:r>
      <w:r>
        <w:fldChar w:fldCharType="separate"/>
      </w:r>
      <w:r>
        <w:t>3</w:t>
      </w:r>
      <w:r>
        <w:fldChar w:fldCharType="end"/>
      </w:r>
      <w:r>
        <w:fldChar w:fldCharType="end"/>
      </w:r>
    </w:p>
    <w:p w14:paraId="00000022">
      <w:pPr>
        <w:pStyle w:val="Toc1"/>
        <w:tabs>
          <w:tab w:val="right" w:leader="dot" w:pos="9350"/>
        </w:tabs>
        <w:rPr>
          <w:rFonts w:asciiTheme="minorHAnsi" w:eastAsiaTheme="minorEastAsia" w:hAnsiTheme="minorHAnsi"/>
          <w:color w:val="auto"/>
          <w:sz w:val="22"/>
          <w:lang w:eastAsia="en-GB"/>
        </w:rPr>
      </w:pPr>
      <w:r>
        <w:fldChar w:fldCharType="begin"/>
      </w:r>
      <w:r>
        <w:instrText xml:space="preserve">HYPERLINK \l "_Toc151428870" </w:instrText>
      </w:r>
      <w:r>
        <w:fldChar w:fldCharType="separate"/>
      </w:r>
      <w:r>
        <w:rPr>
          <w:rStyle w:val="Hyperlink"/>
        </w:rPr>
        <w:t>Operation and Management Team Plan</w:t>
      </w:r>
      <w:r>
        <w:tab/>
      </w:r>
      <w:r>
        <w:fldChar w:fldCharType="begin"/>
      </w:r>
      <w:r>
        <w:instrText xml:space="preserve"> PAGEREF _Toc151428870 \h </w:instrText>
      </w:r>
      <w:r>
        <w:fldChar w:fldCharType="separate"/>
      </w:r>
      <w:r>
        <w:t>5</w:t>
      </w:r>
      <w:r>
        <w:fldChar w:fldCharType="end"/>
      </w:r>
      <w:r>
        <w:fldChar w:fldCharType="end"/>
      </w:r>
    </w:p>
    <w:p w14:paraId="00000023">
      <w:pPr>
        <w:pStyle w:val="Toc1"/>
        <w:tabs>
          <w:tab w:val="right" w:leader="dot" w:pos="9350"/>
        </w:tabs>
        <w:rPr>
          <w:rFonts w:asciiTheme="minorHAnsi" w:eastAsiaTheme="minorEastAsia" w:hAnsiTheme="minorHAnsi"/>
          <w:color w:val="auto"/>
          <w:sz w:val="22"/>
          <w:lang w:eastAsia="en-GB"/>
        </w:rPr>
      </w:pPr>
      <w:r>
        <w:fldChar w:fldCharType="begin"/>
      </w:r>
      <w:r>
        <w:instrText xml:space="preserve">HYPERLINK \l "_Toc151428871" </w:instrText>
      </w:r>
      <w:r>
        <w:fldChar w:fldCharType="separate"/>
      </w:r>
      <w:r>
        <w:rPr>
          <w:rStyle w:val="Hyperlink"/>
        </w:rPr>
        <w:t>Marketing Plan and Strategy</w:t>
      </w:r>
      <w:r>
        <w:tab/>
      </w:r>
      <w:r>
        <w:fldChar w:fldCharType="begin"/>
      </w:r>
      <w:r>
        <w:instrText xml:space="preserve"> PAGEREF _Toc151428871 \h </w:instrText>
      </w:r>
      <w:r>
        <w:fldChar w:fldCharType="separate"/>
      </w:r>
      <w:r>
        <w:t>6</w:t>
      </w:r>
      <w:r>
        <w:fldChar w:fldCharType="end"/>
      </w:r>
      <w:r>
        <w:fldChar w:fldCharType="end"/>
      </w:r>
    </w:p>
    <w:p w14:paraId="00000024">
      <w:pPr>
        <w:pStyle w:val="Toc1"/>
        <w:tabs>
          <w:tab w:val="right" w:leader="dot" w:pos="9350"/>
        </w:tabs>
        <w:rPr>
          <w:rFonts w:asciiTheme="minorHAnsi" w:eastAsiaTheme="minorEastAsia" w:hAnsiTheme="minorHAnsi"/>
          <w:color w:val="auto"/>
          <w:sz w:val="22"/>
          <w:lang w:eastAsia="en-GB"/>
        </w:rPr>
      </w:pPr>
      <w:r>
        <w:fldChar w:fldCharType="begin"/>
      </w:r>
      <w:r>
        <w:instrText xml:space="preserve">HYPERLINK \l "_Toc151428872" </w:instrText>
      </w:r>
      <w:r>
        <w:fldChar w:fldCharType="separate"/>
      </w:r>
      <w:r>
        <w:rPr>
          <w:rStyle w:val="Hyperlink"/>
        </w:rPr>
        <w:t>Financial Plan</w:t>
      </w:r>
      <w:r>
        <w:tab/>
      </w:r>
      <w:r>
        <w:fldChar w:fldCharType="begin"/>
      </w:r>
      <w:r>
        <w:instrText xml:space="preserve"> PAGEREF _Toc151428872 \h </w:instrText>
      </w:r>
      <w:r>
        <w:fldChar w:fldCharType="separate"/>
      </w:r>
      <w:r>
        <w:t>8</w:t>
      </w:r>
      <w:r>
        <w:fldChar w:fldCharType="end"/>
      </w:r>
      <w:r>
        <w:fldChar w:fldCharType="end"/>
      </w:r>
    </w:p>
    <w:p w14:paraId="00000025">
      <w:pPr>
        <w:pStyle w:val="Toc1"/>
        <w:tabs>
          <w:tab w:val="right" w:leader="dot" w:pos="9350"/>
        </w:tabs>
        <w:rPr>
          <w:rFonts w:asciiTheme="minorHAnsi" w:eastAsiaTheme="minorEastAsia" w:hAnsiTheme="minorHAnsi"/>
          <w:color w:val="auto"/>
          <w:sz w:val="22"/>
          <w:lang w:eastAsia="en-GB"/>
        </w:rPr>
      </w:pPr>
      <w:r>
        <w:fldChar w:fldCharType="begin"/>
      </w:r>
      <w:r>
        <w:instrText xml:space="preserve">HYPERLINK \l "_Toc151428873" </w:instrText>
      </w:r>
      <w:r>
        <w:fldChar w:fldCharType="separate"/>
      </w:r>
      <w:r>
        <w:rPr>
          <w:rStyle w:val="Hyperlink"/>
        </w:rPr>
        <w:t>Closing Summary</w:t>
      </w:r>
      <w:r>
        <w:tab/>
      </w:r>
      <w:r>
        <w:fldChar w:fldCharType="begin"/>
      </w:r>
      <w:r>
        <w:instrText xml:space="preserve"> PAGEREF _Toc151428873 \h </w:instrText>
      </w:r>
      <w:r>
        <w:fldChar w:fldCharType="separate"/>
      </w:r>
      <w:r>
        <w:t>10</w:t>
      </w:r>
      <w:r>
        <w:fldChar w:fldCharType="end"/>
      </w:r>
      <w:r>
        <w:fldChar w:fldCharType="end"/>
      </w:r>
    </w:p>
    <w:p w14:paraId="00000026">
      <w:pPr>
        <w:pStyle w:val="Toc1"/>
        <w:tabs>
          <w:tab w:val="right" w:leader="dot" w:pos="9350"/>
        </w:tabs>
        <w:rPr/>
        <w:sectPr>
          <w:footerReference w:type="default" r:id="rId26"/>
          <w:pgSz w:w="12240" w:h="15840"/>
          <w:pgMar w:top="1440" w:right="1440" w:bottom="1440" w:left="1440" w:header="720" w:footer="720" w:gutter="0"/>
          <w:pgNumType w:fmt="lowerRoman"/>
          <w:cols w:space="720"/>
        </w:sectPr>
      </w:pPr>
      <w:r>
        <w:fldChar w:fldCharType="begin"/>
      </w:r>
      <w:r>
        <w:instrText xml:space="preserve">HYPERLINK \l "_Toc151428874" </w:instrText>
      </w:r>
      <w:r>
        <w:fldChar w:fldCharType="separate"/>
      </w:r>
      <w:r>
        <w:rPr>
          <w:rStyle w:val="Hyperlink"/>
        </w:rPr>
        <w:t>References</w:t>
      </w:r>
      <w:r>
        <w:tab/>
      </w:r>
      <w:r>
        <w:fldChar w:fldCharType="begin"/>
      </w:r>
      <w:r>
        <w:instrText xml:space="preserve"> PAGEREF _Toc151428874 \h </w:instrText>
      </w:r>
      <w:r>
        <w:fldChar w:fldCharType="separate"/>
      </w:r>
      <w:r>
        <w:t>11</w:t>
      </w:r>
      <w:r>
        <w:fldChar w:fldCharType="end"/>
      </w:r>
      <w:r>
        <w:fldChar w:fldCharType="end"/>
      </w:r>
      <w:r>
        <w:rPr>
          <w:rFonts w:asciiTheme="minorHAnsi" w:eastAsiaTheme="minorEastAsia" w:hAnsiTheme="minorHAnsi"/>
          <w:color w:val="auto"/>
          <w:sz w:val="22"/>
          <w:lang w:eastAsia="en-GB"/>
        </w:rPr>
        <w:t>
</w:t>
      </w:r>
      <w:r>
        <w:fldChar w:fldCharType="end"/>
      </w:r>
    </w:p>
    <w:p w14:paraId="00000027">
      <w:pPr>
        <w:pStyle w:val="Heading1"/>
        <w:rPr/>
      </w:pPr>
      <w:bookmarkStart w:id="0" w:name="_Toc151428867"/>
      <w:r>
        <w:rPr>
          <w:rStyle w:val="Strong"/>
          <w:b/>
          <w:bCs w:val="off"/>
        </w:rPr>
        <w:t>Introduction</w:t>
      </w:r>
      <w:bookmarkEnd w:id="0"/>
    </w:p>
    <w:p w14:paraId="00000028">
      <w:r>
        <w:t>Entrepreneurship drives economic development and innovation in the UK. The entrepreneurial landscape is active and growing, with over 5.9 million small enterprises at the start of 2020 producing 50% of UK company income (</w:t>
      </w:r>
      <w:r>
        <w:t>Alie</w:t>
      </w:r>
      <w:r>
        <w:t>, 2020). Early-stage entrepreneurship is particularly prevalent among adolescents, with 11% of 18–24-year-olds in the UK (</w:t>
      </w:r>
      <w:r>
        <w:t>Andrew</w:t>
      </w:r>
      <w:r>
        <w:t>, 2019). Thanks</w:t>
      </w:r>
      <w:r>
        <w:t xml:space="preserve"> to graduation</w:t>
      </w:r>
      <w:r>
        <w:t xml:space="preserve"> BA in Business Management's unique combination of ambition, creativity, and practical abilities, I'm ready for this exciting industry. My company idea, formed during my studies, targets the UK's green technology industry, which is expected to reach £16 billion by 2025 (</w:t>
      </w:r>
      <w:r>
        <w:t>Danials</w:t>
      </w:r>
      <w:r>
        <w:t>, 2021). This initiative, which provides sustainable energy solutions for residential premises, addresses environmental concerns and the UK's goal of net-zero carbon emissions by 2050 (UK Government, 2020). To complete this ambitious endeavour, I'm seeking financing and mentorship from the Dragon's Den panel, which has launched numerous pioneering UK-based enterprises (BBC, 2021). The show's history of supporting creative businesses and vast audience reach give me a unique chance to fund and promote my entrepreneurial company.</w:t>
      </w:r>
    </w:p>
    <w:p w14:paraId="00000029"/>
    <w:p w14:paraId="0000002A"/>
    <w:p w14:paraId="0000002B"/>
    <w:p w14:paraId="0000002C"/>
    <w:p w14:paraId="0000002D">
      <w:pPr>
        <w:spacing w:line="259" w:lineRule="auto"/>
        <w:jc w:val="left"/>
        <w:rPr/>
      </w:pPr>
      <w:r>
        <w:rPr/>
        <w:br w:type="page"/>
      </w:r>
    </w:p>
    <w:p w14:paraId="0000002E">
      <w:pPr>
        <w:pStyle w:val="Heading1"/>
        <w:rPr/>
      </w:pPr>
      <w:bookmarkStart w:id="1" w:name="_Toc151428868"/>
      <w:r>
        <w:t>Business Description / Market Opportunity</w:t>
      </w:r>
      <w:bookmarkEnd w:id="1"/>
      <w:r>
        <w:t xml:space="preserve"> </w:t>
      </w:r>
    </w:p>
    <w:p w14:paraId="0000002F">
      <w:r>
        <w:t>Eco-Innovate Ltd., a firm established in the United Kingdom, is prepared to transform the household energy market by using cutting-edge, environmentally friendly technology. Their devotion is encapsulated in the phrase "Empowering households with sustainable energy solutions for a greener future," which serves as their mission statement. The firm's primary emphasis is researching and developing cutting-edge solar panel systems that use advanced intelligent technologies. Combining these two factors makes it possible for homeowners to effectively control their energy use while also contributing to the preservation of the environment. This product places Eco-Innovate at the forefront of the green technology industry in the UK, which is anticipated to sustain 400,000 employees by 2030 (UK Government, 2020). The solution is characterized by its AI-driven analytics for energy optimization. Patenting Eco-</w:t>
      </w:r>
      <w:r>
        <w:t>Innovate's</w:t>
      </w:r>
      <w:r>
        <w:t xml:space="preserve"> original solar panel design and software is part of the company's approach to intellectual property. This helps ensure the company maintains a competitive edge in the market.</w:t>
      </w:r>
    </w:p>
    <w:p w14:paraId="00000030">
      <w:r>
        <w:t>The formation of Eco-Innovate as a private limited company provides the advantages of restricted shareholder responsibility and tax efficiency, a joint and strategic decision for new businesses in the UK (</w:t>
      </w:r>
      <w:bookmarkStart w:id="2" w:name="_Hlk151426788"/>
      <w:r>
        <w:t>Hugs and Jimm</w:t>
      </w:r>
      <w:bookmarkEnd w:id="2"/>
      <w:r>
        <w:t>, 2020). This structure not only lowers the level of financial risk that shareholders are exposed to but also offers greater flexibility in how business shares are managed and distributed. Legal concerns for Eco-Innovate are of the utmost importance, particularly in terms of complying with the environmental rules and data protection laws of the United Kingdom (UK), given that their software incorporates user data (</w:t>
      </w:r>
      <w:bookmarkStart w:id="3" w:name="_Hlk151426842"/>
      <w:r>
        <w:t>Fing</w:t>
      </w:r>
      <w:bookmarkEnd w:id="3"/>
      <w:r>
        <w:t>, 2021</w:t>
      </w:r>
      <w:r>
        <w:t>)</w:t>
      </w:r>
      <w:r>
        <w:t>. Compliance with these standards is essential to guarantee ecologically responsible operations and preserve user data confidentiality. To summarize, Eco-Innovate Ltd. has established itself as an innovative participant in the developing green technology industry of the United Kingdom. The firm is well-positioned to address the growing need for environmentally friendly energy solutions due to its distinctive product portfolio and its purpose, which is anchored in environmental sustainability. In addition, they take a strategic approach to ownership and ensure that they are by the law, which provides a stable platform for further development and success.</w:t>
      </w:r>
    </w:p>
    <w:p w14:paraId="00000031"/>
    <w:p w14:paraId="00000032"/>
    <w:p w14:paraId="00000033">
      <w:pPr>
        <w:pStyle w:val="Heading1"/>
        <w:rPr/>
      </w:pPr>
      <w:bookmarkStart w:id="4" w:name="_Toc151428869"/>
      <w:r>
        <w:t>Industry Analysis</w:t>
      </w:r>
      <w:bookmarkEnd w:id="4"/>
      <w:r>
        <w:t xml:space="preserve"> </w:t>
      </w:r>
    </w:p>
    <w:p w14:paraId="00000034">
      <w:r>
        <w:rPr/>
        <w:drawing xmlns:mc="http://schemas.openxmlformats.org/markup-compatibility/2006">
          <wp:anchor allowOverlap="1" behindDoc="0" distT="0" distB="0" distL="114300" distR="114300" layoutInCell="1" locked="0" relativeHeight="251659264" simplePos="0">
            <wp:simplePos x="0" y="0"/>
            <wp:positionH relativeFrom="margin">
              <wp:posOffset>1778635</wp:posOffset>
            </wp:positionH>
            <wp:positionV relativeFrom="paragraph">
              <wp:posOffset>1524000</wp:posOffset>
            </wp:positionV>
            <wp:extent cx="2874645" cy="1773555"/>
            <wp:effectExtent l="0" t="0" r="0" b="0"/>
            <wp:wrapTopAndBottom/>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pic:nvPicPr>
                  <pic:blipFill>
                    <a:blip r:embed="rId27"/>
                    <a:srcRect/>
                    <a:stretch>
                      <a:fillRect/>
                    </a:stretch>
                  </pic:blipFill>
                  <pic:spPr>
                    <a:xfrm>
                      <a:off x="0" y="0"/>
                      <a:ext cx="2874645" cy="1773555"/>
                    </a:xfrm>
                    <a:prstGeom prst="rect">
                      <a:avLst/>
                    </a:prstGeom>
                  </pic:spPr>
                </pic:pic>
              </a:graphicData>
            </a:graphic>
            <wp14:sizeRelH relativeFrom="margin">
              <wp14:pctWidth>0</wp14:pctWidth>
            </wp14:sizeRelH>
            <wp14:sizeRelV relativeFrom="margin">
              <wp14:pctHeight>0</wp14:pctHeight>
            </wp14:sizeRelV>
          </wp:anchor>
        </w:drawing>
      </w:r>
      <w:r>
        <w:t xml:space="preserve">The market for environmentally friendly technologies, particularly those that provide sustainable domestic energy solutions, is expanding rapidly in the United Kingdom. </w:t>
      </w:r>
      <w:r>
        <w:t>T</w:t>
      </w:r>
      <w:r>
        <w:t>he market is anticipated to grow from an estimated £3.5 billion in 2020 to an estimated £8 billion in 2025, representing a compound annual growth rate of 18%</w:t>
      </w:r>
      <w:r>
        <w:t xml:space="preserve"> </w:t>
      </w:r>
      <w:r>
        <w:t>(Buggs, 2021)</w:t>
      </w:r>
      <w:r>
        <w:t>.</w:t>
      </w:r>
      <w:r>
        <w:t xml:space="preserve"> An examination conducted by VRIO on behalf of Eco-Innovate Ltd. uncovered resources and competencies that are valued, uncommon, unachievable, and supported by the company. </w:t>
      </w:r>
    </w:p>
    <w:p w14:paraId="00000035">
      <w:pPr>
        <w:jc w:val="center"/>
        <w:rPr/>
      </w:pPr>
      <w:r>
        <w:rPr>
          <w:i/>
        </w:rPr>
        <w:t>Figure 1: VRIO Analysis</w:t>
      </w:r>
      <w:r>
        <w:t xml:space="preserve"> (Source: Kim, 2023)</w:t>
      </w:r>
    </w:p>
    <w:p w14:paraId="00000036">
      <w:r>
        <w:t>Their artificial intelligence (AI) integrated solar panels give a unique solution that is not readily reproducible by rivals and is supported by substantial organizational skills in technology and innovation. Using Porter's Five Forces model, we can see that competitive rivalry within this market ranges from moderate to high, with essential firms such as SolarEdge Technologies and SMA Solar Technology. However, Eco-</w:t>
      </w:r>
      <w:r>
        <w:t>Innovate's</w:t>
      </w:r>
      <w:r>
        <w:t xml:space="preserve"> deep AI integration gives it an advantage over its competitors. Due to the high need for cash and the necessary level of technological knowledge, the danger that new entrants pose is only minor. Buyer power is considerable because of consumers' growing interest in environmentally friendly energy solutions. On the other hand, supplier power is modest since it depends on suppliers of technological components. The threat posed by alternatives, such as conventional energy sources, is waning due to the increasing environmental consciousness and the government incentives for adopting environmentally friendly technologies. In examining its competitors, Eco-Innovate distinguishes itself from the competition by its cutting-edge AI technology, which optimizes customers' energy use. This is a characteristic that the present market leaders still need to explore thoroughly. This difference is essential in a market where innovation and technical progress are primary factors that determine a company's level of success.</w:t>
      </w:r>
      <w:r>
        <w:t xml:space="preserve"> </w:t>
      </w:r>
    </w:p>
    <w:p w14:paraId="00000037">
      <w:pPr>
        <w:pStyle w:val="Heading1"/>
        <w:rPr/>
      </w:pPr>
      <w:bookmarkStart w:id="5" w:name="_Toc151428870"/>
      <w:r>
        <w:t>Operation and Management Team Plan</w:t>
      </w:r>
      <w:bookmarkEnd w:id="5"/>
      <w:r>
        <w:t xml:space="preserve"> </w:t>
      </w:r>
    </w:p>
    <w:p w14:paraId="00000038">
      <w:r>
        <w:t>Eco-Innovate Ltd. primarily produces and distributes AI-enabled solar panels for residential use in the UK's sustainable energy market. In order to provide a consistent supply to satisfy the increasing demand, which is expected to rise by 15% yearly, their business strategy incorporates a streamlined supply chain that sources premium photovoltaic cells from top vendors in the UK and Europe (</w:t>
      </w:r>
      <w:r>
        <w:t>Williams</w:t>
      </w:r>
      <w:r>
        <w:t xml:space="preserve">, 2021). Modern manufacturing methods are used in production, which comply with strict quality and environmental regulations. They have a strong distribution network that makes use of both agreements with regional energy solution providers and direct-to-consumer web platforms. Eco-Innovate uses a multifaceted method to generate money. This includes volume discounts to encourage property developers to buy in bulk, premium pricing for their cutting-edge technology, and a subscription model for continuing maintenance and software upgrades. </w:t>
      </w:r>
      <w:r>
        <w:t>Eco-Innovate Ltd. continuously modifies price and manufacturing in response to market developments, enforcing strict financial management as a precaution against revenue losses. A group of seasoned specialists are in charge of their activities. The CEO, a graduate of Cambridge University with over ten years of expertise in the green tech sector and a focus on sustainable technology; is in charge of the group. With an MBA from London Business School, the COO contributes a breadth of operations and supply chain management knowledge and is essential in maximi</w:t>
      </w:r>
      <w:r>
        <w:t>s</w:t>
      </w:r>
      <w:r>
        <w:t>ing productivity and efficiency. The CTO plays a crucial role in maintaining Eco-</w:t>
      </w:r>
      <w:r>
        <w:t>Innovate's</w:t>
      </w:r>
      <w:r>
        <w:t xml:space="preserve"> position as a leader in technical innovation. He is an accomplished software engineer with a talent for AI-based energy management systems. The management team is well-positioned to propel the company's success in the cutthroat green technology industry because they combine experience and knowledge</w:t>
      </w:r>
      <w:r>
        <w:t>.</w:t>
      </w:r>
    </w:p>
    <w:p w14:paraId="00000039"/>
    <w:p w14:paraId="0000003A"/>
    <w:p w14:paraId="0000003B">
      <w:pPr>
        <w:pStyle w:val="Heading1"/>
        <w:rPr/>
      </w:pPr>
      <w:bookmarkStart w:id="6" w:name="_Toc151428871"/>
      <w:r>
        <w:t>Marketing Plan and Strategy</w:t>
      </w:r>
      <w:bookmarkEnd w:id="6"/>
      <w:r>
        <w:t xml:space="preserve"> </w:t>
      </w:r>
    </w:p>
    <w:p w14:paraId="0000003C">
      <w:r>
        <w:t>Pioneering in the UK's sustainable energy market, Eco-Innovate Ltd. has developed a strong marketing plan to establish it as a leader in AI-enabled solar energy solutions. Their ability to provide cutting-edge, environmentally friendly energy solutions that are both technologically superior and efficient sets them apart in the industry. As for the Four P</w:t>
      </w:r>
      <w:r>
        <w:t>’</w:t>
      </w:r>
      <w:r>
        <w:t xml:space="preserve">s, their AI-integrated solar panel product responds to the growing need for sustainable home energy solutions in the UK, where the renewable energy market is anticipated to grow by 9% annually (Smith, 2020). It stands out for its creative design and intelligent energy management system. Eco-Innovate has a value-based pricing strategy in terms of price, which reflects the premium character of its product while guaranteeing affordability through a range of financing alternatives. To increase awareness of sustainable energy, promotion efforts are concentrated on digital marketing, which uses social media and SEO in addition to informative content marketing. They also want to participate in trade exhibitions and expos centred around green technology, as Johnson (2019) advised for high industry engagement. To ensure extensive availability throughout the UK, place or distribution </w:t>
      </w:r>
      <w:r>
        <w:rPr/>
        <w:drawing xmlns:mc="http://schemas.openxmlformats.org/markup-compatibility/2006">
          <wp:anchor allowOverlap="1" behindDoc="0" distT="0" distB="0" distL="114300" distR="114300" layoutInCell="1" locked="0" relativeHeight="251658240" simplePos="0">
            <wp:simplePos x="0" y="0"/>
            <wp:positionH relativeFrom="margin">
              <wp:align>center</wp:align>
            </wp:positionH>
            <wp:positionV relativeFrom="paragraph">
              <wp:posOffset>2415540</wp:posOffset>
            </wp:positionV>
            <wp:extent cx="5035550" cy="1706880"/>
            <wp:effectExtent l="0" t="0" r="0" b="0"/>
            <wp:wrapTopAndBottom/>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pic:cNvPicPr/>
                  </pic:nvPicPr>
                  <pic:blipFill>
                    <a:blip r:embed="rId28"/>
                    <a:srcRect/>
                    <a:stretch>
                      <a:fillRect/>
                    </a:stretch>
                  </pic:blipFill>
                  <pic:spPr>
                    <a:xfrm>
                      <a:off x="0" y="0"/>
                      <a:ext cx="5035550" cy="1706880"/>
                    </a:xfrm>
                    <a:prstGeom prst="rect">
                      <a:avLst/>
                    </a:prstGeom>
                  </pic:spPr>
                </pic:pic>
              </a:graphicData>
            </a:graphic>
            <wp14:sizeRelH relativeFrom="margin">
              <wp14:pctWidth>0</wp14:pctWidth>
            </wp14:sizeRelH>
            <wp14:sizeRelV relativeFrom="margin">
              <wp14:pctHeight>0</wp14:pctHeight>
            </wp14:sizeRelV>
          </wp:anchor>
        </w:drawing>
      </w:r>
      <w:r>
        <w:t>methods include agreements with local energy companies and direct internet sales.</w:t>
      </w:r>
    </w:p>
    <w:p w14:paraId="0000003D">
      <w:pPr>
        <w:jc w:val="center"/>
        <w:rPr/>
      </w:pPr>
      <w:r>
        <w:rPr>
          <w:i/>
        </w:rPr>
        <w:t>Figure 1: 4P’s Marketing Strategy</w:t>
      </w:r>
      <w:r>
        <w:t xml:space="preserve"> (Source: Jonny, 2023)</w:t>
      </w:r>
    </w:p>
    <w:p w14:paraId="0000003E">
      <w:r>
        <w:t>Sales techniques include partnering with property developers for large-scale installations and focusing on ecologically aware homeowners. Incentive packages bolster these efforts to encourage referrals and repeat business. Taylor and Williams' (2021) study on customer relationship management in green technology highlights Eco-</w:t>
      </w:r>
      <w:r>
        <w:t>Innovate's</w:t>
      </w:r>
      <w:r>
        <w:t xml:space="preserve"> intention to leverage CRM systems for tailored marketing, which will boost customer engagement and retention. Eco-Innovate Ltd. has carefully designed its marketing plan and strategy to guarantee a solid market positioning and penetration in the UK's rapidly growing renewable energy industry. Their emphasis on distinction and a thorough application of the Four Ps and creative sales techniques put them in a solid position to gain a sizable market share and devoted clientele.</w:t>
      </w:r>
    </w:p>
    <w:p w14:paraId="0000003F"/>
    <w:p w14:paraId="00000040"/>
    <w:p w14:paraId="00000041">
      <w:pPr>
        <w:spacing w:line="259" w:lineRule="auto"/>
        <w:jc w:val="left"/>
        <w:rPr/>
      </w:pPr>
    </w:p>
    <w:p w14:paraId="00000042">
      <w:pPr>
        <w:pStyle w:val="Heading1"/>
        <w:rPr/>
      </w:pPr>
      <w:bookmarkStart w:id="7" w:name="_Toc151428872"/>
      <w:r>
        <w:t>Financial Plan</w:t>
      </w:r>
      <w:bookmarkEnd w:id="7"/>
      <w:r>
        <w:t xml:space="preserve"> </w:t>
      </w:r>
    </w:p>
    <w:p w14:paraId="00000043">
      <w:r>
        <w:t>The financial strategy of Eco-Innovate Ltd. is designed to maintain the company throughout its first phase and guarantee its long-term viability in the green technology sector in the UK. Estimated at £1.5 million, the launch expenditures include marketing, research &amp; development, production setup, first inventory acquisition, and operations costs. According to the source and use of funds statement, R&amp;D accounts for 40% of the budget, production setup accounts for 30%, marketing accounts for 15%, and operational and administrative costs account for the remaining 15%. Eco-Innovate considers a combination of grant funds, debt, and equity for financing. A typical strategy for companies in the UK's tech sector is to seek investment from angel and venture capitalists to get equity finance (Harrison &amp; Mason, 2018). Bank loans and credit lines are examples of debt financing, while grants for green projects are sought from environmental and governmental organizations.</w:t>
      </w:r>
      <w:r>
        <w:t xml:space="preserve"> </w:t>
      </w:r>
      <w:r>
        <w:t xml:space="preserve">According to the six-month cash budget estimate, income would rise gradually, and </w:t>
      </w:r>
      <w:r>
        <w:t>breakeven</w:t>
      </w:r>
      <w:r>
        <w:t xml:space="preserve"> is anticipated in the fifth month. The first few months are devoted to increasing market presence and inventory, with revenues expected to rise gradually as brand awareness rises. Marketing and operating costs will not change but will grow with revenue growth.</w:t>
      </w:r>
    </w:p>
    <w:tbl>
      <w:tblPr>
        <w:tblStyle w:val="TableGrid"/>
        <w:tblW w:w="9327" w:type="dxa"/>
        <w:tblLook w:val="04A0"/>
      </w:tblPr>
      <w:tblGrid>
        <w:gridCol w:w="1554"/>
        <w:gridCol w:w="1554"/>
        <w:gridCol w:w="1554"/>
        <w:gridCol w:w="1555"/>
        <w:gridCol w:w="1555"/>
        <w:gridCol w:w="1555"/>
      </w:tblGrid>
      <w:tr>
        <w:trPr>
          <w:trHeight w:val="803"/>
        </w:trPr>
        <w:tc>
          <w:tcPr>
            <w:cnfStyle w:val="101000000000"/>
            <w:tcW w:w="0" w:type="auto"/>
            <w:vAlign w:val="center"/>
          </w:tcPr>
          <w:p w14:paraId="00000044">
            <w:pPr>
              <w:jc w:val="center"/>
              <w:rPr>
                <w:b/>
              </w:rPr>
            </w:pPr>
            <w:r>
              <w:rPr>
                <w:b/>
              </w:rPr>
              <w:t>Month</w:t>
            </w:r>
          </w:p>
        </w:tc>
        <w:tc>
          <w:tcPr>
            <w:cnfStyle w:val="100000000000"/>
            <w:tcW w:w="0" w:type="auto"/>
            <w:vAlign w:val="center"/>
          </w:tcPr>
          <w:p w14:paraId="00000045">
            <w:pPr>
              <w:jc w:val="center"/>
              <w:rPr>
                <w:b/>
              </w:rPr>
            </w:pPr>
            <w:r>
              <w:rPr>
                <w:b/>
              </w:rPr>
              <w:t>Revenue (£)</w:t>
            </w:r>
          </w:p>
        </w:tc>
        <w:tc>
          <w:tcPr>
            <w:cnfStyle w:val="100000000000"/>
            <w:tcW w:w="0" w:type="auto"/>
            <w:vAlign w:val="center"/>
          </w:tcPr>
          <w:p w14:paraId="00000046">
            <w:pPr>
              <w:jc w:val="center"/>
              <w:rPr>
                <w:b/>
              </w:rPr>
            </w:pPr>
            <w:r>
              <w:rPr>
                <w:b/>
              </w:rPr>
              <w:t>Cost of Goods Sold (£)</w:t>
            </w:r>
          </w:p>
        </w:tc>
        <w:tc>
          <w:tcPr>
            <w:cnfStyle w:val="100000000000"/>
            <w:tcW w:w="0" w:type="auto"/>
            <w:vAlign w:val="center"/>
          </w:tcPr>
          <w:p w14:paraId="00000047">
            <w:pPr>
              <w:jc w:val="center"/>
              <w:rPr>
                <w:b/>
              </w:rPr>
            </w:pPr>
            <w:r>
              <w:rPr>
                <w:b/>
              </w:rPr>
              <w:t>Gross Profit (£)</w:t>
            </w:r>
          </w:p>
        </w:tc>
        <w:tc>
          <w:tcPr>
            <w:cnfStyle w:val="100000000000"/>
            <w:tcW w:w="0" w:type="auto"/>
            <w:vAlign w:val="center"/>
          </w:tcPr>
          <w:p w14:paraId="00000048">
            <w:pPr>
              <w:jc w:val="center"/>
              <w:rPr>
                <w:b/>
              </w:rPr>
            </w:pPr>
            <w:r>
              <w:rPr>
                <w:b/>
              </w:rPr>
              <w:t>Operating Expenses (£)</w:t>
            </w:r>
          </w:p>
        </w:tc>
        <w:tc>
          <w:tcPr>
            <w:cnfStyle w:val="100000000000"/>
            <w:tcW w:w="0" w:type="auto"/>
            <w:vAlign w:val="center"/>
          </w:tcPr>
          <w:p w14:paraId="00000049">
            <w:pPr>
              <w:jc w:val="center"/>
              <w:rPr>
                <w:b/>
              </w:rPr>
            </w:pPr>
            <w:r>
              <w:rPr>
                <w:b/>
              </w:rPr>
              <w:t>Net Income (£)</w:t>
            </w:r>
          </w:p>
        </w:tc>
      </w:tr>
      <w:tr>
        <w:trPr>
          <w:trHeight w:val="394"/>
        </w:trPr>
        <w:tc>
          <w:tcPr>
            <w:cnfStyle w:val="001000100000"/>
            <w:tcW w:w="0" w:type="auto"/>
            <w:vAlign w:val="center"/>
          </w:tcPr>
          <w:p w14:paraId="0000004A">
            <w:pPr>
              <w:jc w:val="center"/>
              <w:rPr/>
            </w:pPr>
            <w:r>
              <w:t>Month 1</w:t>
            </w:r>
          </w:p>
        </w:tc>
        <w:tc>
          <w:tcPr>
            <w:cnfStyle w:val="000000100000"/>
            <w:tcW w:w="0" w:type="auto"/>
            <w:vAlign w:val="center"/>
          </w:tcPr>
          <w:p w14:paraId="0000004B">
            <w:pPr>
              <w:jc w:val="center"/>
              <w:rPr/>
            </w:pPr>
            <w:r>
              <w:t>50,000</w:t>
            </w:r>
          </w:p>
        </w:tc>
        <w:tc>
          <w:tcPr>
            <w:cnfStyle w:val="000000100000"/>
            <w:tcW w:w="0" w:type="auto"/>
            <w:vAlign w:val="center"/>
          </w:tcPr>
          <w:p w14:paraId="0000004C">
            <w:pPr>
              <w:jc w:val="center"/>
              <w:rPr/>
            </w:pPr>
            <w:r>
              <w:t>20,000</w:t>
            </w:r>
          </w:p>
        </w:tc>
        <w:tc>
          <w:tcPr>
            <w:cnfStyle w:val="000000100000"/>
            <w:tcW w:w="0" w:type="auto"/>
            <w:vAlign w:val="center"/>
          </w:tcPr>
          <w:p w14:paraId="0000004D">
            <w:pPr>
              <w:jc w:val="center"/>
              <w:rPr/>
            </w:pPr>
            <w:r>
              <w:t>30,000</w:t>
            </w:r>
          </w:p>
        </w:tc>
        <w:tc>
          <w:tcPr>
            <w:cnfStyle w:val="000000100000"/>
            <w:tcW w:w="0" w:type="auto"/>
            <w:vAlign w:val="center"/>
          </w:tcPr>
          <w:p w14:paraId="0000004E">
            <w:pPr>
              <w:jc w:val="center"/>
              <w:rPr/>
            </w:pPr>
            <w:r>
              <w:t>30,000</w:t>
            </w:r>
          </w:p>
        </w:tc>
        <w:tc>
          <w:tcPr>
            <w:cnfStyle w:val="000000100000"/>
            <w:tcW w:w="0" w:type="auto"/>
            <w:vAlign w:val="center"/>
          </w:tcPr>
          <w:p w14:paraId="0000004F">
            <w:pPr>
              <w:jc w:val="center"/>
              <w:rPr/>
            </w:pPr>
            <w:r>
              <w:t>0</w:t>
            </w:r>
          </w:p>
        </w:tc>
      </w:tr>
      <w:tr>
        <w:trPr>
          <w:trHeight w:val="394"/>
        </w:trPr>
        <w:tc>
          <w:tcPr>
            <w:cnfStyle w:val="001000010000"/>
            <w:tcW w:w="0" w:type="auto"/>
            <w:vAlign w:val="center"/>
          </w:tcPr>
          <w:p w14:paraId="00000050">
            <w:pPr>
              <w:jc w:val="center"/>
              <w:rPr/>
            </w:pPr>
            <w:r>
              <w:t>Month 2</w:t>
            </w:r>
          </w:p>
        </w:tc>
        <w:tc>
          <w:tcPr>
            <w:cnfStyle w:val="000000010000"/>
            <w:tcW w:w="0" w:type="auto"/>
            <w:vAlign w:val="center"/>
          </w:tcPr>
          <w:p w14:paraId="00000051">
            <w:pPr>
              <w:jc w:val="center"/>
              <w:rPr/>
            </w:pPr>
            <w:r>
              <w:t>70,000</w:t>
            </w:r>
          </w:p>
        </w:tc>
        <w:tc>
          <w:tcPr>
            <w:cnfStyle w:val="000000010000"/>
            <w:tcW w:w="0" w:type="auto"/>
            <w:vAlign w:val="center"/>
          </w:tcPr>
          <w:p w14:paraId="00000052">
            <w:pPr>
              <w:jc w:val="center"/>
              <w:rPr/>
            </w:pPr>
            <w:r>
              <w:t>28,000</w:t>
            </w:r>
          </w:p>
        </w:tc>
        <w:tc>
          <w:tcPr>
            <w:cnfStyle w:val="000000010000"/>
            <w:tcW w:w="0" w:type="auto"/>
            <w:vAlign w:val="center"/>
          </w:tcPr>
          <w:p w14:paraId="00000053">
            <w:pPr>
              <w:jc w:val="center"/>
              <w:rPr/>
            </w:pPr>
            <w:r>
              <w:t>42,000</w:t>
            </w:r>
          </w:p>
        </w:tc>
        <w:tc>
          <w:tcPr>
            <w:cnfStyle w:val="000000010000"/>
            <w:tcW w:w="0" w:type="auto"/>
            <w:vAlign w:val="center"/>
          </w:tcPr>
          <w:p w14:paraId="00000054">
            <w:pPr>
              <w:jc w:val="center"/>
              <w:rPr/>
            </w:pPr>
            <w:r>
              <w:t>30,000</w:t>
            </w:r>
          </w:p>
        </w:tc>
        <w:tc>
          <w:tcPr>
            <w:cnfStyle w:val="000000010000"/>
            <w:tcW w:w="0" w:type="auto"/>
            <w:vAlign w:val="center"/>
          </w:tcPr>
          <w:p w14:paraId="00000055">
            <w:pPr>
              <w:jc w:val="center"/>
              <w:rPr/>
            </w:pPr>
            <w:r>
              <w:t>12,000</w:t>
            </w:r>
          </w:p>
        </w:tc>
      </w:tr>
      <w:tr>
        <w:trPr>
          <w:trHeight w:val="408"/>
        </w:trPr>
        <w:tc>
          <w:tcPr>
            <w:cnfStyle w:val="001000100000"/>
            <w:tcW w:w="0" w:type="auto"/>
            <w:vAlign w:val="center"/>
          </w:tcPr>
          <w:p w14:paraId="00000056">
            <w:pPr>
              <w:jc w:val="center"/>
              <w:rPr/>
            </w:pPr>
            <w:r>
              <w:t>Month 3</w:t>
            </w:r>
          </w:p>
        </w:tc>
        <w:tc>
          <w:tcPr>
            <w:cnfStyle w:val="000000100000"/>
            <w:tcW w:w="0" w:type="auto"/>
            <w:vAlign w:val="center"/>
          </w:tcPr>
          <w:p w14:paraId="00000057">
            <w:pPr>
              <w:jc w:val="center"/>
              <w:rPr/>
            </w:pPr>
            <w:r>
              <w:t>90,000</w:t>
            </w:r>
          </w:p>
        </w:tc>
        <w:tc>
          <w:tcPr>
            <w:cnfStyle w:val="000000100000"/>
            <w:tcW w:w="0" w:type="auto"/>
            <w:vAlign w:val="center"/>
          </w:tcPr>
          <w:p w14:paraId="00000058">
            <w:pPr>
              <w:jc w:val="center"/>
              <w:rPr/>
            </w:pPr>
            <w:r>
              <w:t>36,000</w:t>
            </w:r>
          </w:p>
        </w:tc>
        <w:tc>
          <w:tcPr>
            <w:cnfStyle w:val="000000100000"/>
            <w:tcW w:w="0" w:type="auto"/>
            <w:vAlign w:val="center"/>
          </w:tcPr>
          <w:p w14:paraId="00000059">
            <w:pPr>
              <w:jc w:val="center"/>
              <w:rPr/>
            </w:pPr>
            <w:r>
              <w:t>54,000</w:t>
            </w:r>
          </w:p>
        </w:tc>
        <w:tc>
          <w:tcPr>
            <w:cnfStyle w:val="000000100000"/>
            <w:tcW w:w="0" w:type="auto"/>
            <w:vAlign w:val="center"/>
          </w:tcPr>
          <w:p w14:paraId="0000005A">
            <w:pPr>
              <w:jc w:val="center"/>
              <w:rPr/>
            </w:pPr>
            <w:r>
              <w:t>30,000</w:t>
            </w:r>
          </w:p>
        </w:tc>
        <w:tc>
          <w:tcPr>
            <w:cnfStyle w:val="000000100000"/>
            <w:tcW w:w="0" w:type="auto"/>
            <w:vAlign w:val="center"/>
          </w:tcPr>
          <w:p w14:paraId="0000005B">
            <w:pPr>
              <w:jc w:val="center"/>
              <w:rPr/>
            </w:pPr>
            <w:r>
              <w:t>24,000</w:t>
            </w:r>
          </w:p>
        </w:tc>
      </w:tr>
      <w:tr>
        <w:trPr>
          <w:trHeight w:val="394"/>
        </w:trPr>
        <w:tc>
          <w:tcPr>
            <w:cnfStyle w:val="001000010000"/>
            <w:tcW w:w="0" w:type="auto"/>
            <w:vAlign w:val="center"/>
          </w:tcPr>
          <w:p w14:paraId="0000005C">
            <w:pPr>
              <w:jc w:val="center"/>
              <w:rPr/>
            </w:pPr>
            <w:r>
              <w:t>Month 4</w:t>
            </w:r>
          </w:p>
        </w:tc>
        <w:tc>
          <w:tcPr>
            <w:cnfStyle w:val="000000010000"/>
            <w:tcW w:w="0" w:type="auto"/>
            <w:vAlign w:val="center"/>
          </w:tcPr>
          <w:p w14:paraId="0000005D">
            <w:pPr>
              <w:jc w:val="center"/>
              <w:rPr/>
            </w:pPr>
            <w:r>
              <w:t>120,000</w:t>
            </w:r>
          </w:p>
        </w:tc>
        <w:tc>
          <w:tcPr>
            <w:cnfStyle w:val="000000010000"/>
            <w:tcW w:w="0" w:type="auto"/>
            <w:vAlign w:val="center"/>
          </w:tcPr>
          <w:p w14:paraId="0000005E">
            <w:pPr>
              <w:jc w:val="center"/>
              <w:rPr/>
            </w:pPr>
            <w:r>
              <w:t>48,000</w:t>
            </w:r>
          </w:p>
        </w:tc>
        <w:tc>
          <w:tcPr>
            <w:cnfStyle w:val="000000010000"/>
            <w:tcW w:w="0" w:type="auto"/>
            <w:vAlign w:val="center"/>
          </w:tcPr>
          <w:p w14:paraId="0000005F">
            <w:pPr>
              <w:jc w:val="center"/>
              <w:rPr/>
            </w:pPr>
            <w:r>
              <w:t>72,000</w:t>
            </w:r>
          </w:p>
        </w:tc>
        <w:tc>
          <w:tcPr>
            <w:cnfStyle w:val="000000010000"/>
            <w:tcW w:w="0" w:type="auto"/>
            <w:vAlign w:val="center"/>
          </w:tcPr>
          <w:p w14:paraId="00000060">
            <w:pPr>
              <w:jc w:val="center"/>
              <w:rPr/>
            </w:pPr>
            <w:r>
              <w:t>35,000</w:t>
            </w:r>
          </w:p>
        </w:tc>
        <w:tc>
          <w:tcPr>
            <w:cnfStyle w:val="000000010000"/>
            <w:tcW w:w="0" w:type="auto"/>
            <w:vAlign w:val="center"/>
          </w:tcPr>
          <w:p w14:paraId="00000061">
            <w:pPr>
              <w:jc w:val="center"/>
              <w:rPr/>
            </w:pPr>
            <w:r>
              <w:t>37,000</w:t>
            </w:r>
          </w:p>
        </w:tc>
      </w:tr>
      <w:tr>
        <w:trPr>
          <w:trHeight w:val="394"/>
        </w:trPr>
        <w:tc>
          <w:tcPr>
            <w:cnfStyle w:val="001000100000"/>
            <w:tcW w:w="0" w:type="auto"/>
            <w:vAlign w:val="center"/>
          </w:tcPr>
          <w:p w14:paraId="00000062">
            <w:pPr>
              <w:jc w:val="center"/>
              <w:rPr/>
            </w:pPr>
            <w:r>
              <w:t>Month 5</w:t>
            </w:r>
          </w:p>
        </w:tc>
        <w:tc>
          <w:tcPr>
            <w:cnfStyle w:val="000000100000"/>
            <w:tcW w:w="0" w:type="auto"/>
            <w:vAlign w:val="center"/>
          </w:tcPr>
          <w:p w14:paraId="00000063">
            <w:pPr>
              <w:jc w:val="center"/>
              <w:rPr/>
            </w:pPr>
            <w:r>
              <w:t>150,000</w:t>
            </w:r>
          </w:p>
        </w:tc>
        <w:tc>
          <w:tcPr>
            <w:cnfStyle w:val="000000100000"/>
            <w:tcW w:w="0" w:type="auto"/>
            <w:vAlign w:val="center"/>
          </w:tcPr>
          <w:p w14:paraId="00000064">
            <w:pPr>
              <w:jc w:val="center"/>
              <w:rPr/>
            </w:pPr>
            <w:r>
              <w:t>60,000</w:t>
            </w:r>
          </w:p>
        </w:tc>
        <w:tc>
          <w:tcPr>
            <w:cnfStyle w:val="000000100000"/>
            <w:tcW w:w="0" w:type="auto"/>
            <w:vAlign w:val="center"/>
          </w:tcPr>
          <w:p w14:paraId="00000065">
            <w:pPr>
              <w:jc w:val="center"/>
              <w:rPr/>
            </w:pPr>
            <w:r>
              <w:t>90,000</w:t>
            </w:r>
          </w:p>
        </w:tc>
        <w:tc>
          <w:tcPr>
            <w:cnfStyle w:val="000000100000"/>
            <w:tcW w:w="0" w:type="auto"/>
            <w:vAlign w:val="center"/>
          </w:tcPr>
          <w:p w14:paraId="00000066">
            <w:pPr>
              <w:jc w:val="center"/>
              <w:rPr/>
            </w:pPr>
            <w:r>
              <w:t>35,000</w:t>
            </w:r>
          </w:p>
        </w:tc>
        <w:tc>
          <w:tcPr>
            <w:cnfStyle w:val="000000100000"/>
            <w:tcW w:w="0" w:type="auto"/>
            <w:vAlign w:val="center"/>
          </w:tcPr>
          <w:p w14:paraId="00000067">
            <w:pPr>
              <w:jc w:val="center"/>
              <w:rPr/>
            </w:pPr>
            <w:r>
              <w:t>55,000</w:t>
            </w:r>
          </w:p>
        </w:tc>
      </w:tr>
      <w:tr>
        <w:trPr>
          <w:trHeight w:val="394"/>
        </w:trPr>
        <w:tc>
          <w:tcPr>
            <w:cnfStyle w:val="001000010000"/>
            <w:tcW w:w="0" w:type="auto"/>
            <w:vAlign w:val="center"/>
          </w:tcPr>
          <w:p w14:paraId="00000068">
            <w:pPr>
              <w:jc w:val="center"/>
              <w:rPr/>
            </w:pPr>
            <w:r>
              <w:t>Month 6</w:t>
            </w:r>
          </w:p>
        </w:tc>
        <w:tc>
          <w:tcPr>
            <w:cnfStyle w:val="000000010000"/>
            <w:tcW w:w="0" w:type="auto"/>
            <w:vAlign w:val="center"/>
          </w:tcPr>
          <w:p w14:paraId="00000069">
            <w:pPr>
              <w:jc w:val="center"/>
              <w:rPr/>
            </w:pPr>
            <w:r>
              <w:t>180,000</w:t>
            </w:r>
          </w:p>
        </w:tc>
        <w:tc>
          <w:tcPr>
            <w:cnfStyle w:val="000000010000"/>
            <w:tcW w:w="0" w:type="auto"/>
            <w:vAlign w:val="center"/>
          </w:tcPr>
          <w:p w14:paraId="0000006A">
            <w:pPr>
              <w:jc w:val="center"/>
              <w:rPr/>
            </w:pPr>
            <w:r>
              <w:t>72,000</w:t>
            </w:r>
          </w:p>
        </w:tc>
        <w:tc>
          <w:tcPr>
            <w:cnfStyle w:val="000000010000"/>
            <w:tcW w:w="0" w:type="auto"/>
            <w:vAlign w:val="center"/>
          </w:tcPr>
          <w:p w14:paraId="0000006B">
            <w:pPr>
              <w:jc w:val="center"/>
              <w:rPr/>
            </w:pPr>
            <w:r>
              <w:t>108,000</w:t>
            </w:r>
          </w:p>
        </w:tc>
        <w:tc>
          <w:tcPr>
            <w:cnfStyle w:val="000000010000"/>
            <w:tcW w:w="0" w:type="auto"/>
            <w:vAlign w:val="center"/>
          </w:tcPr>
          <w:p w14:paraId="0000006C">
            <w:pPr>
              <w:jc w:val="center"/>
              <w:rPr/>
            </w:pPr>
            <w:r>
              <w:t>35,000</w:t>
            </w:r>
          </w:p>
        </w:tc>
        <w:tc>
          <w:tcPr>
            <w:cnfStyle w:val="000000010000"/>
            <w:tcW w:w="0" w:type="auto"/>
            <w:vAlign w:val="center"/>
          </w:tcPr>
          <w:p w14:paraId="0000006D">
            <w:pPr>
              <w:jc w:val="center"/>
              <w:rPr/>
            </w:pPr>
            <w:r>
              <w:t>73,000</w:t>
            </w:r>
          </w:p>
        </w:tc>
      </w:tr>
    </w:tbl>
    <w:p w14:paraId="0000006E">
      <w:r>
        <w:t xml:space="preserve">The forecast makes the assumption that revenue will grow steadily over the next six months, with 40% of sales going toward the cost of goods sold. The first few months' operating expenditures remain constant, with a little increase in the following months. With a </w:t>
      </w:r>
      <w:r>
        <w:t>favorable</w:t>
      </w:r>
      <w:r>
        <w:t xml:space="preserve"> trajectory that reflects the anticipated expansion of the firm, the net income begins the first month at break-even.</w:t>
      </w:r>
      <w:r>
        <w:t xml:space="preserve"> </w:t>
      </w:r>
      <w:r>
        <w:t>Eco-Innovate plans to broaden its product line to appeal to a broader spectrum of customers, increase manufacturing efficiency to minimize unit costs, and execute a strong marketing plan to achieve financial sustainability. Essential components of their financial plan also include upholding solid connections with investors and suppliers and persistently looking for chances to secure grants and subsidies in the green technology industry. In a market that is changing quickly, this strategy guarantees long-term development, profitability, and short-term financial stability.</w:t>
      </w:r>
    </w:p>
    <w:p w14:paraId="0000006F">
      <w:r>
        <w:rPr/>
        <w:br w:type="page"/>
      </w:r>
    </w:p>
    <w:p w14:paraId="00000070">
      <w:pPr>
        <w:pStyle w:val="Heading1"/>
        <w:rPr/>
      </w:pPr>
      <w:bookmarkStart w:id="8" w:name="_Toc151428873"/>
      <w:r>
        <w:t>Closing Summary</w:t>
      </w:r>
      <w:bookmarkEnd w:id="8"/>
      <w:r>
        <w:t xml:space="preserve"> </w:t>
      </w:r>
    </w:p>
    <w:p w14:paraId="00000071">
      <w:r>
        <w:t>Leading the UK's rapidly growing green technology market, Eco-Innovate Ltd. offers a strong business plan centred on environmentally friendly home energy solutions. The business plan provides a strong basis by addressing a notable market opportunity in a sector expected to experience significant development, starting with a unique AI-integrated solar panel product offering. Seasoned experts support the strategic operational and management strategies to guarantee successful and productive company implementation. The various sales channels and cutting-edge marketing techniques aim to break into the market and take a sizable portion of it. The six-month cash forecast shows that the firm has a high potential for profitability in terms of finances and a well-organized financial plan with various funding sources. With its potential to have a positive financial and environmental effect, Eco-Innovate is a compelling investment due to its unique technology, well-thought-out operations, and sound financial planning.</w:t>
      </w:r>
    </w:p>
    <w:p w14:paraId="00000072"/>
    <w:p w14:paraId="00000073"/>
    <w:p w14:paraId="00000074"/>
    <w:p w14:paraId="00000075"/>
    <w:p w14:paraId="00000076"/>
    <w:p w14:paraId="00000077"/>
    <w:p w14:paraId="00000078"/>
    <w:p w14:paraId="00000079"/>
    <w:p w14:paraId="0000007A"/>
    <w:p w14:paraId="0000007B"/>
    <w:p w14:paraId="0000007C"/>
    <w:p w14:paraId="0000007D"/>
    <w:p w14:paraId="0000007E">
      <w:r>
        <w:rPr/>
        <w:br w:type="page"/>
      </w:r>
    </w:p>
    <w:p w14:paraId="0000007F">
      <w:pPr>
        <w:pStyle w:val="Heading1"/>
        <w:rPr/>
      </w:pPr>
      <w:bookmarkStart w:id="9" w:name="_Toc151428874"/>
      <w:r>
        <w:t>References</w:t>
      </w:r>
      <w:bookmarkEnd w:id="9"/>
    </w:p>
    <w:p w14:paraId="00000080">
      <w:r>
        <w:t xml:space="preserve">Alie, S. (2020). </w:t>
      </w:r>
      <w:r>
        <w:rPr>
          <w:i/>
        </w:rPr>
        <w:t>Small Business Statistics</w:t>
      </w:r>
      <w:r>
        <w:t xml:space="preserve">. [online] Available at: </w:t>
      </w:r>
      <w:r>
        <w:fldChar w:fldCharType="begin"/>
      </w:r>
      <w:r>
        <w:instrText xml:space="preserve">HYPERLINK "https://www.fsb.org.uk/uk-small-business-statistics.html" </w:instrText>
      </w:r>
      <w:r>
        <w:fldChar w:fldCharType="separate"/>
      </w:r>
      <w:r>
        <w:rPr>
          <w:rStyle w:val="Hyperlink"/>
        </w:rPr>
        <w:t>https://www.fsb.org.uk/uk-small-business-statistics.html</w:t>
      </w:r>
      <w:r>
        <w:fldChar w:fldCharType="end"/>
      </w:r>
      <w:r>
        <w:t xml:space="preserve"> [Accessed 20 Nov. 2023].</w:t>
      </w:r>
    </w:p>
    <w:p w14:paraId="00000081">
      <w:r>
        <w:t xml:space="preserve">Andrew, D. (2019). </w:t>
      </w:r>
      <w:r>
        <w:rPr>
          <w:i/>
        </w:rPr>
        <w:t>Global Report.</w:t>
      </w:r>
      <w:r>
        <w:t xml:space="preserve"> [online] Available at: </w:t>
      </w:r>
      <w:r>
        <w:fldChar w:fldCharType="begin"/>
      </w:r>
      <w:r>
        <w:instrText xml:space="preserve">HYPERLINK "https://www.gemconsortium.org/report/gem-2019-2020-global-report" </w:instrText>
      </w:r>
      <w:r>
        <w:fldChar w:fldCharType="separate"/>
      </w:r>
      <w:r>
        <w:rPr>
          <w:rStyle w:val="Hyperlink"/>
        </w:rPr>
        <w:t>https://www.gemconsortium.org/report/gem-2019-2020-global-report</w:t>
      </w:r>
      <w:r>
        <w:fldChar w:fldCharType="end"/>
      </w:r>
      <w:r>
        <w:t xml:space="preserve"> [Accessed 20 Nov. 2023].</w:t>
      </w:r>
    </w:p>
    <w:p w14:paraId="00000082">
      <w:r>
        <w:t xml:space="preserve">BBC. (2021). Dragon's Den. [online] Available at: </w:t>
      </w:r>
      <w:r>
        <w:fldChar w:fldCharType="begin"/>
      </w:r>
      <w:r>
        <w:instrText xml:space="preserve">HYPERLINK "https://www.bbc.co.uk/programmes/b006vq92" </w:instrText>
      </w:r>
      <w:r>
        <w:fldChar w:fldCharType="separate"/>
      </w:r>
      <w:r>
        <w:rPr>
          <w:rStyle w:val="Hyperlink"/>
        </w:rPr>
        <w:t>https://www.bbc.co.uk/programmes/b006vq92</w:t>
      </w:r>
      <w:r>
        <w:fldChar w:fldCharType="end"/>
      </w:r>
      <w:r>
        <w:t xml:space="preserve"> [Accessed 20 Nov. 2023].</w:t>
      </w:r>
    </w:p>
    <w:p w14:paraId="00000083">
      <w:r>
        <w:t xml:space="preserve">Buggs, G. (2021). </w:t>
      </w:r>
      <w:r>
        <w:rPr>
          <w:i/>
        </w:rPr>
        <w:t>UK Green Technology Market Analysis</w:t>
      </w:r>
      <w:r>
        <w:t xml:space="preserve">. [online] Available at: </w:t>
      </w:r>
      <w:r>
        <w:fldChar w:fldCharType="begin"/>
      </w:r>
      <w:r>
        <w:instrText xml:space="preserve">HYPERLINK "https://www.marketresearchfuture.com/reports/green-technology-and-sustainability-market-10473" </w:instrText>
      </w:r>
      <w:r>
        <w:fldChar w:fldCharType="separate"/>
      </w:r>
      <w:r>
        <w:rPr>
          <w:rStyle w:val="Hyperlink"/>
        </w:rPr>
        <w:t>https://www.marketresearchfuture.com/reports/green-technology-and-sustainability-market-10473</w:t>
      </w:r>
      <w:r>
        <w:fldChar w:fldCharType="end"/>
      </w:r>
      <w:r>
        <w:t xml:space="preserve"> [Accessed 20 Nov. 2023].</w:t>
      </w:r>
    </w:p>
    <w:p w14:paraId="00000084">
      <w:r>
        <w:t xml:space="preserve">Danials, R. (2021). </w:t>
      </w:r>
      <w:r>
        <w:rPr>
          <w:i/>
        </w:rPr>
        <w:t>Green Technology Market Forecast</w:t>
      </w:r>
      <w:r>
        <w:t xml:space="preserve">. [online] Available at: </w:t>
      </w:r>
      <w:r>
        <w:fldChar w:fldCharType="begin"/>
      </w:r>
      <w:r>
        <w:instrText xml:space="preserve">HYPERLINK "https://www.marketsandmarkets.com/Market-Reports/green-technology-and-sustainability-market-224421448.html" </w:instrText>
      </w:r>
      <w:r>
        <w:fldChar w:fldCharType="separate"/>
      </w:r>
      <w:r>
        <w:rPr>
          <w:rStyle w:val="Hyperlink"/>
        </w:rPr>
        <w:t>https://www.marketsandmarkets.com/Market-Reports/green-technology-and-sustainability-market-224421448.html</w:t>
      </w:r>
      <w:r>
        <w:fldChar w:fldCharType="end"/>
      </w:r>
      <w:r>
        <w:t xml:space="preserve"> [Accessed 20 Nov. 2023].</w:t>
      </w:r>
    </w:p>
    <w:p w14:paraId="00000085">
      <w:r>
        <w:t xml:space="preserve">Fing, G. (2021). </w:t>
      </w:r>
      <w:r>
        <w:rPr>
          <w:i/>
        </w:rPr>
        <w:t>Environmental Regulations</w:t>
      </w:r>
      <w:r>
        <w:t xml:space="preserve">. [online] Available at: </w:t>
      </w:r>
      <w:r>
        <w:fldChar w:fldCharType="begin"/>
      </w:r>
      <w:r>
        <w:instrText xml:space="preserve">HYPERLINK "https://www.legislation.vic.gov.au/as-made/statutory-rules/environment-protection-regulations-2021" </w:instrText>
      </w:r>
      <w:r>
        <w:fldChar w:fldCharType="separate"/>
      </w:r>
      <w:r>
        <w:rPr>
          <w:rStyle w:val="Hyperlink"/>
        </w:rPr>
        <w:t>https://www.legislation.vic.gov.au/as-made/statutory-rules/environment-protection-regulations-2021</w:t>
      </w:r>
      <w:r>
        <w:fldChar w:fldCharType="end"/>
      </w:r>
      <w:r>
        <w:t xml:space="preserve"> [Accessed 20 Nov. 2023].</w:t>
      </w:r>
    </w:p>
    <w:p w14:paraId="00000086">
      <w:r>
        <w:t xml:space="preserve">Harrison, R., and Mason, C. (2018). </w:t>
      </w:r>
      <w:r>
        <w:rPr>
          <w:i/>
        </w:rPr>
        <w:t xml:space="preserve">Financing High-Tech </w:t>
      </w:r>
      <w:r>
        <w:rPr>
          <w:i/>
        </w:rPr>
        <w:t>Startups</w:t>
      </w:r>
      <w:r>
        <w:rPr>
          <w:i/>
        </w:rPr>
        <w:t xml:space="preserve">: Using Productive </w:t>
      </w:r>
      <w:r>
        <w:rPr>
          <w:i/>
        </w:rPr>
        <w:t>Signaling</w:t>
      </w:r>
      <w:r>
        <w:rPr>
          <w:i/>
        </w:rPr>
        <w:t xml:space="preserve"> to Efficiently Overcome the Liability of Complexity</w:t>
      </w:r>
      <w:r>
        <w:t>. 3rd ed. London: Saga.</w:t>
      </w:r>
    </w:p>
    <w:p w14:paraId="00000087">
      <w:r>
        <w:t xml:space="preserve">Hugs, A. and Jimm, H. (2020). </w:t>
      </w:r>
      <w:r>
        <w:rPr>
          <w:i/>
        </w:rPr>
        <w:t>Setting up a private limited company</w:t>
      </w:r>
      <w:r>
        <w:t xml:space="preserve">. [online] Available at: </w:t>
      </w:r>
      <w:r>
        <w:fldChar w:fldCharType="begin"/>
      </w:r>
      <w:r>
        <w:instrText xml:space="preserve">HYPERLINK "https://www.legal500.com/developments/thought-leadership/formation-of-a-private-limited-company-process/" </w:instrText>
      </w:r>
      <w:r>
        <w:fldChar w:fldCharType="separate"/>
      </w:r>
      <w:r>
        <w:rPr>
          <w:rStyle w:val="Hyperlink"/>
        </w:rPr>
        <w:t>https://www.legal500.com/developments/thought-leadership/formation-of-a-private-limited-company-process/</w:t>
      </w:r>
      <w:r>
        <w:fldChar w:fldCharType="end"/>
      </w:r>
      <w:r>
        <w:t xml:space="preserve"> </w:t>
      </w:r>
      <w:r>
        <w:t>[Accessed 20 Nov. 2023].</w:t>
      </w:r>
    </w:p>
    <w:p w14:paraId="00000088">
      <w:r>
        <w:t xml:space="preserve">Johnson, L. (2019). Effective Marketing Strategies for Sustainable Energy Companies. </w:t>
      </w:r>
      <w:r>
        <w:rPr>
          <w:i/>
        </w:rPr>
        <w:t>Journal of Green Technology</w:t>
      </w:r>
      <w:r>
        <w:t>, 12(3), pp. 45-60.</w:t>
      </w:r>
    </w:p>
    <w:p w14:paraId="00000089">
      <w:pPr>
        <w:rPr>
          <w:lang w:eastAsia="en-GB"/>
        </w:rPr>
      </w:pPr>
      <w:r>
        <w:rPr>
          <w:lang w:eastAsia="en-GB"/>
        </w:rPr>
        <w:t xml:space="preserve">Jonny, D. (2023). </w:t>
      </w:r>
      <w:r>
        <w:rPr>
          <w:i/>
          <w:iCs/>
          <w:lang w:eastAsia="en-GB"/>
        </w:rPr>
        <w:t>4 Ps Of Marketing Images – Browse 5,367 Stock Photos, Vectors, and Video</w:t>
      </w:r>
      <w:r>
        <w:rPr>
          <w:lang w:eastAsia="en-GB"/>
        </w:rPr>
        <w:t xml:space="preserve">. [online] Adobe Stock. Available at: </w:t>
      </w:r>
      <w:r>
        <w:fldChar w:fldCharType="begin"/>
      </w:r>
      <w:r>
        <w:instrText xml:space="preserve">HYPERLINK "https://stock.adobe.com/search?k=4+ps+of+marketing" </w:instrText>
      </w:r>
      <w:r>
        <w:fldChar w:fldCharType="separate"/>
      </w:r>
      <w:r>
        <w:rPr>
          <w:rStyle w:val="Hyperlink"/>
          <w:lang w:eastAsia="en-GB"/>
        </w:rPr>
        <w:t>https://stock.adobe.com/search?k=4+ps+of+marketing</w:t>
      </w:r>
      <w:r>
        <w:fldChar w:fldCharType="end"/>
      </w:r>
      <w:r>
        <w:rPr>
          <w:lang w:eastAsia="en-GB"/>
        </w:rPr>
        <w:t xml:space="preserve"> </w:t>
      </w:r>
      <w:r>
        <w:rPr>
          <w:lang w:eastAsia="en-GB"/>
        </w:rPr>
        <w:t>[Accessed 21 Nov. 2023].</w:t>
      </w:r>
    </w:p>
    <w:p w14:paraId="0000008A">
      <w:pPr>
        <w:rPr>
          <w:lang w:eastAsia="en-GB"/>
        </w:rPr>
      </w:pPr>
      <w:r>
        <w:rPr>
          <w:lang w:eastAsia="en-GB"/>
        </w:rPr>
        <w:t xml:space="preserve">Kim, J. (2023). </w:t>
      </w:r>
      <w:r>
        <w:rPr>
          <w:i/>
          <w:iCs/>
          <w:lang w:eastAsia="en-GB"/>
        </w:rPr>
        <w:t xml:space="preserve">53 </w:t>
      </w:r>
      <w:r>
        <w:rPr>
          <w:i/>
          <w:iCs/>
          <w:lang w:eastAsia="en-GB"/>
        </w:rPr>
        <w:t>Vrio</w:t>
      </w:r>
      <w:r>
        <w:rPr>
          <w:i/>
          <w:iCs/>
          <w:lang w:eastAsia="en-GB"/>
        </w:rPr>
        <w:t xml:space="preserve"> Images, Stock Photos &amp; Vectors</w:t>
      </w:r>
      <w:r>
        <w:rPr>
          <w:lang w:eastAsia="en-GB"/>
        </w:rPr>
        <w:t xml:space="preserve">. [online] Shutterstock. Available at: </w:t>
      </w:r>
      <w:r>
        <w:fldChar w:fldCharType="begin"/>
      </w:r>
      <w:r>
        <w:instrText xml:space="preserve">HYPERLINK "https://www.shutterstock.com/search/vrio" </w:instrText>
      </w:r>
      <w:r>
        <w:fldChar w:fldCharType="separate"/>
      </w:r>
      <w:r>
        <w:rPr>
          <w:rStyle w:val="Hyperlink"/>
          <w:lang w:eastAsia="en-GB"/>
        </w:rPr>
        <w:t>https://www.shutterstock.com/search/vrio</w:t>
      </w:r>
      <w:r>
        <w:fldChar w:fldCharType="end"/>
      </w:r>
      <w:r>
        <w:rPr>
          <w:lang w:eastAsia="en-GB"/>
        </w:rPr>
        <w:t xml:space="preserve"> </w:t>
      </w:r>
      <w:r>
        <w:rPr>
          <w:lang w:eastAsia="en-GB"/>
        </w:rPr>
        <w:t>[Accessed 21 Nov. 2023].</w:t>
      </w:r>
    </w:p>
    <w:p w14:paraId="0000008B">
      <w:r>
        <w:t xml:space="preserve">Smith, H. (2020). Renewable Energy Trends in the UK. </w:t>
      </w:r>
      <w:r>
        <w:rPr>
          <w:i/>
        </w:rPr>
        <w:t>Energy Market Review</w:t>
      </w:r>
      <w:r>
        <w:t>, 17(4), pp. 112-120.</w:t>
      </w:r>
    </w:p>
    <w:p w14:paraId="0000008C">
      <w:r>
        <w:t xml:space="preserve">Taylor, E., &amp; Williams, D. (2021). CRM in Green Technology Firms: A Strategic Approach. </w:t>
      </w:r>
      <w:r>
        <w:rPr>
          <w:i/>
        </w:rPr>
        <w:t>International Journal of Business Management</w:t>
      </w:r>
      <w:r>
        <w:t>, 15(2), pp. 89-102.</w:t>
      </w:r>
    </w:p>
    <w:p w14:paraId="0000008D">
      <w:r>
        <w:t xml:space="preserve">UK Government. (2020). </w:t>
      </w:r>
      <w:r>
        <w:rPr>
          <w:i/>
        </w:rPr>
        <w:t>Net Zero Strategy: Build Back Greener</w:t>
      </w:r>
      <w:r>
        <w:t xml:space="preserve">. [online] Available at: </w:t>
      </w:r>
      <w:r>
        <w:fldChar w:fldCharType="begin"/>
      </w:r>
      <w:r>
        <w:instrText xml:space="preserve">HYPERLINK "https://commonslibrary.parliament.uk/research-briefings/cdp-2023-0124/" </w:instrText>
      </w:r>
      <w:r>
        <w:fldChar w:fldCharType="separate"/>
      </w:r>
      <w:r>
        <w:rPr>
          <w:rStyle w:val="Hyperlink"/>
        </w:rPr>
        <w:t>https://commonslibrary.parliament.uk/research-briefings/cdp-2023-0124/</w:t>
      </w:r>
      <w:r>
        <w:fldChar w:fldCharType="end"/>
      </w:r>
      <w:r>
        <w:t xml:space="preserve"> </w:t>
      </w:r>
      <w:r>
        <w:t>[Accessed 20 Nov. 2023].</w:t>
      </w:r>
    </w:p>
    <w:p w14:paraId="0000008E">
      <w:r>
        <w:t xml:space="preserve">Williams, J. (2021). </w:t>
      </w:r>
      <w:r>
        <w:rPr>
          <w:i/>
        </w:rPr>
        <w:t>UK Solar Energy Market Report</w:t>
      </w:r>
      <w:r>
        <w:t xml:space="preserve">. [online] Available at: </w:t>
      </w:r>
      <w:r>
        <w:fldChar w:fldCharType="begin"/>
      </w:r>
      <w:r>
        <w:instrText xml:space="preserve">HYPERLINK "https://www.renewableenergyhub.co.uk/blog/uks-solar-market-sees-strong-growth-in-2021" </w:instrText>
      </w:r>
      <w:r>
        <w:fldChar w:fldCharType="separate"/>
      </w:r>
      <w:r>
        <w:rPr>
          <w:rStyle w:val="Hyperlink"/>
        </w:rPr>
        <w:t>https://www.renewableenergyhub.co.uk/blog/uks-solar-market-sees-strong-growth-in-2021</w:t>
      </w:r>
      <w:r>
        <w:fldChar w:fldCharType="end"/>
      </w:r>
      <w:r>
        <w:t xml:space="preserve"> </w:t>
      </w:r>
      <w:r>
        <w:t>[Accessed 20 Nov. 2023].</w:t>
      </w:r>
    </w:p>
    <w:sectPr>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endnote w:type="separator" w:id="0">
    <w:p w14:paraId="00000003">
      <w:pPr>
        <w:spacing w:after="0" w:line="240" w:lineRule="auto"/>
        <w:rPr/>
      </w:pPr>
      <w:r>
        <w:rPr/>
        <w:separator/>
      </w:r>
    </w:p>
  </w:endnote>
  <w:endnote w:type="continuationSeparator" w:id="1">
    <w:p w14:paraId="00000004">
      <w:pPr>
        <w:spacing w:after="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00000000"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00000000" w:usb1="00000000" w:usb2="00000009" w:usb3="00000000" w:csb0="000001ff" w:csb1="00000000"/>
  </w:font>
  <w:font w:name="Calibri Light">
    <w:panose1 w:val="020f0302020204030204"/>
    <w:charset w:val="00"/>
    <w:family w:val="swiss"/>
    <w:pitch w:val="variable"/>
    <w:sig w:usb0="00000000" w:usb1="4000207b" w:usb2="00000000" w:usb3="00000000" w:csb0="0000019f" w:csb1="00000000"/>
  </w:font>
  <w:font w:name="Arial">
    <w:panose1 w:val="020b0604020202020204"/>
    <w:charset w:val="00"/>
    <w:family w:val="swiss"/>
    <w:pitch w:val="variable"/>
    <w:sig w:usb0="20002a87" w:usb1="00000000" w:usb2="00000008" w:usb3="00000000" w:csb0="000001ff" w:csb1="00000000"/>
  </w:font>
  <w:font w:name="Cambria">
    <w:panose1 w:val="02040503050406030204"/>
    <w:charset w:val="00"/>
    <w:family w:val="roman"/>
    <w:pitch w:val="variable"/>
    <w:sig w:usb0="00000000" w:usb1="4000004b" w:usb2="00000000" w:usb3="00000000" w:csb0="0000009f" w:csb1="00000000"/>
  </w:font>
  <w:font w:name="Courier New">
    <w:panose1 w:val="02070309020205020404"/>
    <w:charset w:val="00"/>
    <w:family w:val="modern"/>
    <w:pitch w:val="fixed"/>
    <w:sig w:usb0="00000000" w:usb1="00000000" w:usb2="00000009" w:usb3="00000000" w:csb0="000001f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14:paraId="0000008F">
    <w:pPr>
      <w:pStyle w:val="Footer"/>
      <w:jc w:val="right"/>
      <w:rPr/>
    </w:pPr>
    <w:r>
      <w:fldChar w:fldCharType="begin"/>
    </w:r>
    <w:r>
      <w:instrText xml:space="preserve"> PAGE   \* MERGEFORMAT </w:instrText>
    </w:r>
    <w:r>
      <w:fldChar w:fldCharType="separate"/>
    </w:r>
    <w:r>
      <w:t>2</w:t>
    </w:r>
    <w:r>
      <w:fldChar w:fldCharType="end"/>
    </w:r>
  </w:p>
  <w:p w14:paraId="00000090">
    <w:pPr>
      <w:pStyle w:val="Foote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footnote w:type="separator" w:id="0">
    <w:p w14:paraId="00000001">
      <w:pPr>
        <w:spacing w:after="0" w:line="240" w:lineRule="auto"/>
        <w:rPr/>
      </w:pPr>
      <w:r>
        <w:rPr/>
        <w:separator/>
      </w:r>
    </w:p>
  </w:footnote>
  <w:footnote w:type="continuationSeparator" w:id="1">
    <w:p w14:paraId="00000002">
      <w:pPr>
        <w:spacing w:after="0" w:line="240" w:lineRule="auto"/>
        <w:rPr/>
      </w:pPr>
      <w:r>
        <w:rP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6"/>
  <w:removePersonalInformation/>
  <w:removeDateAndTime/>
  <w:proofState w:spelling="clean" w:grammar="clean"/>
  <w:revisionView w:inkAnnotations="0"/>
  <w:defaultTabStop w:val="720"/>
  <w:characterSpacingControl w:val="doNotCompress"/>
  <w:hdrShapeDefaults>
    <o:shapedefaults v:ext="edit" spidmax="2050"/>
  </w:hdrShapeDefault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NK4FAAwBn5wtAAAA"/>
  </w:docVars>
  <w:rsids>
    <w:rsidRoot w:val="00A60069"/>
    <w:rsid w:val="000377D1"/>
    <w:rsid w:val="0007622C"/>
    <w:rsid w:val="000A246B"/>
    <w:rsid w:val="000D1389"/>
    <w:rsid w:val="000D2BC1"/>
    <w:rsid w:val="000E047C"/>
    <w:rsid w:val="000F02BF"/>
    <w:rsid w:val="000F3A54"/>
    <w:rsid w:val="00110EA1"/>
    <w:rsid w:val="0011330D"/>
    <w:rsid w:val="00116FD8"/>
    <w:rsid w:val="00141AA6"/>
    <w:rsid w:val="001834FC"/>
    <w:rsid w:val="001B7228"/>
    <w:rsid w:val="001C646D"/>
    <w:rsid w:val="001D16F6"/>
    <w:rsid w:val="001F1C31"/>
    <w:rsid w:val="0022399E"/>
    <w:rsid w:val="00232874"/>
    <w:rsid w:val="0023461A"/>
    <w:rsid w:val="00252195"/>
    <w:rsid w:val="00283783"/>
    <w:rsid w:val="002B048A"/>
    <w:rsid w:val="00334A43"/>
    <w:rsid w:val="003637A7"/>
    <w:rsid w:val="00367BC2"/>
    <w:rsid w:val="003B4491"/>
    <w:rsid w:val="00402452"/>
    <w:rsid w:val="00403EA9"/>
    <w:rsid w:val="00410D84"/>
    <w:rsid w:val="004616E3"/>
    <w:rsid w:val="00465E4E"/>
    <w:rsid w:val="004A19E9"/>
    <w:rsid w:val="004D7C87"/>
    <w:rsid w:val="004F75A6"/>
    <w:rsid w:val="005131E3"/>
    <w:rsid w:val="00525EBF"/>
    <w:rsid w:val="005531CC"/>
    <w:rsid w:val="005723DD"/>
    <w:rsid w:val="005C4065"/>
    <w:rsid w:val="00621600"/>
    <w:rsid w:val="006324FF"/>
    <w:rsid w:val="00655800"/>
    <w:rsid w:val="0067277F"/>
    <w:rsid w:val="0069448C"/>
    <w:rsid w:val="006958A9"/>
    <w:rsid w:val="006F3E7B"/>
    <w:rsid w:val="006F5E3E"/>
    <w:rsid w:val="00711276"/>
    <w:rsid w:val="00730846"/>
    <w:rsid w:val="00732A64"/>
    <w:rsid w:val="007568CB"/>
    <w:rsid w:val="007A3BB1"/>
    <w:rsid w:val="007D4309"/>
    <w:rsid w:val="00845523"/>
    <w:rsid w:val="00861116"/>
    <w:rsid w:val="0086454A"/>
    <w:rsid w:val="008A4D8F"/>
    <w:rsid w:val="008D364D"/>
    <w:rsid w:val="008E7651"/>
    <w:rsid w:val="00913C8F"/>
    <w:rsid w:val="009206FE"/>
    <w:rsid w:val="009502CB"/>
    <w:rsid w:val="00963DC6"/>
    <w:rsid w:val="0097016B"/>
    <w:rsid w:val="00975554"/>
    <w:rsid w:val="009F4210"/>
    <w:rsid w:val="00A11F02"/>
    <w:rsid w:val="00A16740"/>
    <w:rsid w:val="00A5061D"/>
    <w:rsid w:val="00A60069"/>
    <w:rsid w:val="00A60970"/>
    <w:rsid w:val="00A65236"/>
    <w:rsid w:val="00A6640A"/>
    <w:rsid w:val="00A7277A"/>
    <w:rsid w:val="00A755DD"/>
    <w:rsid w:val="00A82AEE"/>
    <w:rsid w:val="00AA2754"/>
    <w:rsid w:val="00AB243C"/>
    <w:rsid w:val="00AB5B69"/>
    <w:rsid w:val="00B72F0E"/>
    <w:rsid w:val="00B9143D"/>
    <w:rsid w:val="00BB6D54"/>
    <w:rsid w:val="00C64690"/>
    <w:rsid w:val="00C95704"/>
    <w:rsid w:val="00CA7F82"/>
    <w:rsid w:val="00CD768E"/>
    <w:rsid w:val="00CE63BA"/>
    <w:rsid w:val="00D75FA9"/>
    <w:rsid w:val="00D8026E"/>
    <w:rsid w:val="00DA2321"/>
    <w:rsid w:val="00DE437E"/>
    <w:rsid w:val="00DE695E"/>
    <w:rsid w:val="00DF1E99"/>
    <w:rsid w:val="00E070BD"/>
    <w:rsid w:val="00E2117A"/>
    <w:rsid w:val="00E355CF"/>
    <w:rsid w:val="00E54FA4"/>
    <w:rsid w:val="00E71B27"/>
    <w:rsid w:val="00E851CE"/>
    <w:rsid w:val="00EB7A2D"/>
    <w:rsid w:val="00EC16C3"/>
    <w:rsid w:val="00EC63DE"/>
    <w:rsid w:val="00EE1623"/>
    <w:rsid w:val="00F6121E"/>
    <w:rsid w:val="00FA032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FE81675"/>
  <w15:chartTrackingRefBased/>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2"/>
        <w:szCs w:val="22"/>
        <w:lang w:val="en-US" w:bidi="ar-SA" w:eastAsia="en-US"/>
      </w:rPr>
    </w:rPrDefault>
    <w:pPrDefault>
      <w:pPr>
        <w:spacing w:after="160" w:line="259" w:lineRule="auto"/>
      </w:pPr>
    </w:pPrDefault>
  </w:docDefaults>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default="1" w:styleId="Normal">
    <w:name w:val="Normal"/>
    <w:uiPriority w:val="99"/>
    <w:qFormat w:val="on"/>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val="on"/>
    <w:pPr>
      <w:keepNext w:val="on"/>
      <w:keepLines w:val="on"/>
      <w:spacing w:before="240" w:after="0"/>
    </w:pPr>
    <w:rPr>
      <w:rFonts w:cstheme="majorBidi" w:eastAsiaTheme="majorEastAsia"/>
      <w:b/>
      <w:sz w:val="32"/>
      <w:szCs w:val="32"/>
    </w:rPr>
  </w:style>
  <w:style w:type="paragraph" w:styleId="Heading2">
    <w:name w:val="Heading 2"/>
    <w:basedOn w:val="Normal"/>
    <w:next w:val="Normal"/>
    <w:link w:val="Heading2Char"/>
    <w:uiPriority w:val="9"/>
    <w:unhideWhenUsed w:val="on"/>
    <w:qFormat w:val="on"/>
    <w:pPr>
      <w:keepNext w:val="on"/>
      <w:keepLines w:val="on"/>
      <w:spacing w:before="40" w:after="0"/>
    </w:pPr>
    <w:rPr>
      <w:rFonts w:cstheme="majorBidi" w:eastAsiaTheme="majorEastAsia"/>
      <w:b/>
      <w:sz w:val="28"/>
      <w:szCs w:val="26"/>
      <w:lang w:val="en-US"/>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character" w:customStyle="1" w:styleId="Heading2Char">
    <w:name w:val="Heading 2 Char"/>
    <w:basedOn w:val="DefaultParagraphFont"/>
    <w:link w:val="Heading2"/>
    <w:uiPriority w:val="9"/>
    <w:rPr>
      <w:rFonts w:ascii="Times New Roman" w:cstheme="majorBidi" w:eastAsiaTheme="majorEastAsia" w:hAnsi="Times New Roman"/>
      <w:b/>
      <w:color w:val="000000" w:themeColor="text1"/>
      <w:sz w:val="28"/>
      <w:szCs w:val="26"/>
    </w:rPr>
  </w:style>
  <w:style w:type="character" w:customStyle="1" w:styleId="Heading1Char">
    <w:name w:val="Heading 1 Char"/>
    <w:basedOn w:val="DefaultParagraphFont"/>
    <w:link w:val="Heading1"/>
    <w:uiPriority w:val="9"/>
    <w:rPr>
      <w:rFonts w:ascii="Times New Roman" w:cstheme="majorBidi" w:eastAsiaTheme="majorEastAsia" w:hAnsi="Times New Roman"/>
      <w:b/>
      <w:color w:val="000000" w:themeColor="text1"/>
      <w:sz w:val="32"/>
      <w:szCs w:val="32"/>
      <w:lang w:val="en-GB"/>
    </w:rPr>
  </w:style>
  <w:style w:type="paragraph" w:styleId="Title">
    <w:name w:val="Title"/>
    <w:basedOn w:val="Normal"/>
    <w:next w:val="Normal"/>
    <w:link w:val="TitleChar"/>
    <w:uiPriority w:val="10"/>
    <w:qFormat w:val="on"/>
    <w:pPr>
      <w:spacing w:after="0" w:line="240" w:lineRule="auto"/>
      <w:contextualSpacing w:val="on"/>
      <w:jc w:val="center"/>
    </w:pPr>
    <w:rPr>
      <w:rFonts w:asciiTheme="majorHAnsi" w:cstheme="majorBidi" w:eastAsiaTheme="majorEastAsia" w:hAnsiTheme="majorHAnsi"/>
      <w:color w:val="auto"/>
      <w:spacing w:val="-10"/>
      <w:sz w:val="56"/>
      <w:szCs w:val="56"/>
    </w:rPr>
  </w:style>
  <w:style w:type="character" w:customStyle="1" w:styleId="TitleChar">
    <w:name w:val="Title Char"/>
    <w:basedOn w:val="DefaultParagraphFont"/>
    <w:link w:val="Title"/>
    <w:uiPriority w:val="10"/>
    <w:rPr>
      <w:rFonts w:asciiTheme="majorHAnsi" w:cstheme="majorBidi" w:eastAsiaTheme="majorEastAsia" w:hAnsiTheme="majorHAnsi"/>
      <w:spacing w:val="-10"/>
      <w:sz w:val="56"/>
      <w:szCs w:val="56"/>
      <w:lang w:val="en-GB"/>
    </w:rPr>
  </w:style>
  <w:style w:type="paragraph" w:styleId="Header">
    <w:name w:val="Header"/>
    <w:basedOn w:val="Normal"/>
    <w:link w:val="HeaderChar"/>
    <w:uiPriority w:val="99"/>
    <w:unhideWhenUsed w:val="on"/>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ascii="Times New Roman" w:hAnsi="Times New Roman"/>
      <w:color w:val="000000" w:themeColor="text1"/>
      <w:sz w:val="24"/>
      <w:lang w:val="en-GB"/>
    </w:rPr>
  </w:style>
  <w:style w:type="paragraph" w:styleId="Footer">
    <w:name w:val="Footer"/>
    <w:basedOn w:val="Normal"/>
    <w:link w:val="FooterChar"/>
    <w:uiPriority w:val="99"/>
    <w:unhideWhenUsed w:val="on"/>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Times New Roman" w:hAnsi="Times New Roman"/>
      <w:color w:val="000000" w:themeColor="text1"/>
      <w:sz w:val="24"/>
      <w:lang w:val="en-GB"/>
    </w:rPr>
  </w:style>
  <w:style w:type="paragraph" w:styleId="TOCHeading">
    <w:name w:val="TOC Heading"/>
    <w:basedOn w:val="Heading1"/>
    <w:next w:val="Normal"/>
    <w:uiPriority w:val="39"/>
    <w:unhideWhenUsed w:val="on"/>
    <w:qFormat w:val="on"/>
    <w:pPr>
      <w:spacing w:line="259" w:lineRule="auto"/>
      <w:jc w:val="left"/>
    </w:pPr>
    <w:rPr>
      <w:b w:val="off"/>
      <w:color w:val="2f5395" w:themeColor="accent1" w:themeShade="bf"/>
      <w:lang w:val="en-US"/>
    </w:rPr>
  </w:style>
  <w:style w:type="paragraph" w:styleId="Toc1">
    <w:name w:val="Toc 1"/>
    <w:basedOn w:val="Normal"/>
    <w:next w:val="Normal"/>
    <w:uiPriority w:val="39"/>
    <w:unhideWhenUsed w:val="on"/>
    <w:pPr>
      <w:spacing w:after="100"/>
    </w:pPr>
  </w:style>
  <w:style w:type="character" w:styleId="Hyperlink">
    <w:name w:val="Hyperlink"/>
    <w:basedOn w:val="DefaultParagraphFont"/>
    <w:uiPriority w:val="99"/>
    <w:unhideWhenUsed w:val="on"/>
    <w:rPr>
      <w:color w:val="0563c1" w:themeColor="hyperlink"/>
      <w:u w:val="single"/>
    </w:rPr>
  </w:style>
  <w:style w:type="paragraph" w:styleId="Caption">
    <w:name w:val="Caption"/>
    <w:basedOn w:val="Normal"/>
    <w:next w:val="Normal"/>
    <w:uiPriority w:val="35"/>
    <w:unhideWhenUsed w:val="on"/>
    <w:qFormat w:val="on"/>
    <w:pPr>
      <w:spacing w:after="200"/>
    </w:pPr>
    <w:rPr>
      <w:i/>
      <w:iCs/>
      <w:szCs w:val="18"/>
    </w:rPr>
  </w:style>
  <w:style w:type="character" w:customStyle="1" w:styleId="Markedcontent">
    <w:name w:val="Markedcontent"/>
    <w:basedOn w:val="DefaultParagraphFont"/>
    <w:uiPriority w:val="99"/>
  </w:style>
  <w:style w:type="paragraph" w:styleId="Normal(Web)">
    <w:name w:val="Normal (Web)"/>
    <w:basedOn w:val="Normal"/>
    <w:uiPriority w:val="99"/>
    <w:semiHidden w:val="on"/>
    <w:unhideWhenUsed w:val="on"/>
    <w:pPr>
      <w:spacing w:before="100" w:after="100" w:line="240" w:lineRule="auto"/>
      <w:jc w:val="left"/>
    </w:pPr>
    <w:rPr>
      <w:rFonts w:cs="Times New Roman" w:eastAsia="Times New Roman"/>
      <w:color w:val="auto"/>
      <w:szCs w:val="24"/>
      <w:lang w:eastAsia="en-GB"/>
    </w:rPr>
  </w:style>
  <w:style w:type="character" w:styleId="Strong">
    <w:name w:val="Strong"/>
    <w:basedOn w:val="DefaultParagraphFont"/>
    <w:uiPriority w:val="22"/>
    <w:qFormat w:val="on"/>
    <w:rPr>
      <w:b/>
      <w:bCs/>
    </w:rPr>
  </w:style>
  <w:style w:type="paragraph" w:styleId="Toc2">
    <w:name w:val="Toc 2"/>
    <w:basedOn w:val="Normal"/>
    <w:next w:val="Normal"/>
    <w:uiPriority w:val="39"/>
    <w:unhideWhenUsed w:val="on"/>
    <w:pPr>
      <w:spacing w:after="100"/>
      <w:ind w:left="240"/>
    </w:pPr>
  </w:style>
  <w:style w:type="table" w:styleId="TableGrid">
    <w:name w:val="Table Grid"/>
    <w:basedOn w:val="NormalTable"/>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UnresolvedMention">
    <w:name w:val="Unresolved Mention"/>
    <w:basedOn w:val="DefaultParagraphFont"/>
    <w:uiPriority w:val="99"/>
    <w:semiHidden w:val="on"/>
    <w:unhideWhenUsed w:val="on"/>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592246">
      <w:bodyDiv w:val="1"/>
      <w:marLeft w:val="0"/>
      <w:marRight w:val="0"/>
      <w:marTop w:val="0"/>
      <w:marBottom w:val="0"/>
      <w:divBdr>
        <w:top w:val="none" w:sz="0" w:space="0" w:color="auto"/>
        <w:left w:val="none" w:sz="0" w:space="0" w:color="auto"/>
        <w:bottom w:val="none" w:sz="0" w:space="0" w:color="auto"/>
        <w:right w:val="none" w:sz="0" w:space="0" w:color="auto"/>
      </w:divBdr>
      <w:divsChild>
        <w:div w:id="179584948">
          <w:marLeft w:val="0"/>
          <w:marRight w:val="0"/>
          <w:marTop w:val="0"/>
          <w:marBottom w:val="0"/>
          <w:divBdr>
            <w:top w:val="single" w:sz="2" w:space="0" w:color="D9D9E3"/>
            <w:left w:val="single" w:sz="2" w:space="0" w:color="D9D9E3"/>
            <w:bottom w:val="single" w:sz="2" w:space="0" w:color="D9D9E3"/>
            <w:right w:val="single" w:sz="2" w:space="0" w:color="D9D9E3"/>
          </w:divBdr>
          <w:divsChild>
            <w:div w:id="1784571454">
              <w:marLeft w:val="0"/>
              <w:marRight w:val="0"/>
              <w:marTop w:val="0"/>
              <w:marBottom w:val="0"/>
              <w:divBdr>
                <w:top w:val="single" w:sz="2" w:space="0" w:color="D9D9E3"/>
                <w:left w:val="single" w:sz="2" w:space="0" w:color="D9D9E3"/>
                <w:bottom w:val="single" w:sz="2" w:space="0" w:color="D9D9E3"/>
                <w:right w:val="single" w:sz="2" w:space="0" w:color="D9D9E3"/>
              </w:divBdr>
              <w:divsChild>
                <w:div w:id="1544445851">
                  <w:marLeft w:val="0"/>
                  <w:marRight w:val="0"/>
                  <w:marTop w:val="0"/>
                  <w:marBottom w:val="0"/>
                  <w:divBdr>
                    <w:top w:val="single" w:sz="2" w:space="0" w:color="D9D9E3"/>
                    <w:left w:val="single" w:sz="2" w:space="0" w:color="D9D9E3"/>
                    <w:bottom w:val="single" w:sz="2" w:space="0" w:color="D9D9E3"/>
                    <w:right w:val="single" w:sz="2" w:space="0" w:color="D9D9E3"/>
                  </w:divBdr>
                  <w:divsChild>
                    <w:div w:id="358701778">
                      <w:marLeft w:val="0"/>
                      <w:marRight w:val="0"/>
                      <w:marTop w:val="0"/>
                      <w:marBottom w:val="0"/>
                      <w:divBdr>
                        <w:top w:val="single" w:sz="2" w:space="0" w:color="D9D9E3"/>
                        <w:left w:val="single" w:sz="2" w:space="0" w:color="D9D9E3"/>
                        <w:bottom w:val="single" w:sz="2" w:space="0" w:color="D9D9E3"/>
                        <w:right w:val="single" w:sz="2" w:space="0" w:color="D9D9E3"/>
                      </w:divBdr>
                      <w:divsChild>
                        <w:div w:id="539900739">
                          <w:marLeft w:val="0"/>
                          <w:marRight w:val="0"/>
                          <w:marTop w:val="0"/>
                          <w:marBottom w:val="0"/>
                          <w:divBdr>
                            <w:top w:val="none" w:sz="0" w:space="0" w:color="auto"/>
                            <w:left w:val="none" w:sz="0" w:space="0" w:color="auto"/>
                            <w:bottom w:val="none" w:sz="0" w:space="0" w:color="auto"/>
                            <w:right w:val="none" w:sz="0" w:space="0" w:color="auto"/>
                          </w:divBdr>
                          <w:divsChild>
                            <w:div w:id="633365041">
                              <w:marLeft w:val="0"/>
                              <w:marRight w:val="0"/>
                              <w:marTop w:val="100"/>
                              <w:marBottom w:val="100"/>
                              <w:divBdr>
                                <w:top w:val="single" w:sz="2" w:space="0" w:color="D9D9E3"/>
                                <w:left w:val="single" w:sz="2" w:space="0" w:color="D9D9E3"/>
                                <w:bottom w:val="single" w:sz="2" w:space="0" w:color="D9D9E3"/>
                                <w:right w:val="single" w:sz="2" w:space="0" w:color="D9D9E3"/>
                              </w:divBdr>
                              <w:divsChild>
                                <w:div w:id="330454019">
                                  <w:marLeft w:val="0"/>
                                  <w:marRight w:val="0"/>
                                  <w:marTop w:val="0"/>
                                  <w:marBottom w:val="0"/>
                                  <w:divBdr>
                                    <w:top w:val="single" w:sz="2" w:space="0" w:color="D9D9E3"/>
                                    <w:left w:val="single" w:sz="2" w:space="0" w:color="D9D9E3"/>
                                    <w:bottom w:val="single" w:sz="2" w:space="0" w:color="D9D9E3"/>
                                    <w:right w:val="single" w:sz="2" w:space="0" w:color="D9D9E3"/>
                                  </w:divBdr>
                                  <w:divsChild>
                                    <w:div w:id="349189514">
                                      <w:marLeft w:val="0"/>
                                      <w:marRight w:val="0"/>
                                      <w:marTop w:val="0"/>
                                      <w:marBottom w:val="0"/>
                                      <w:divBdr>
                                        <w:top w:val="single" w:sz="2" w:space="0" w:color="D9D9E3"/>
                                        <w:left w:val="single" w:sz="2" w:space="0" w:color="D9D9E3"/>
                                        <w:bottom w:val="single" w:sz="2" w:space="0" w:color="D9D9E3"/>
                                        <w:right w:val="single" w:sz="2" w:space="0" w:color="D9D9E3"/>
                                      </w:divBdr>
                                      <w:divsChild>
                                        <w:div w:id="1041974391">
                                          <w:marLeft w:val="0"/>
                                          <w:marRight w:val="0"/>
                                          <w:marTop w:val="0"/>
                                          <w:marBottom w:val="0"/>
                                          <w:divBdr>
                                            <w:top w:val="single" w:sz="2" w:space="0" w:color="D9D9E3"/>
                                            <w:left w:val="single" w:sz="2" w:space="0" w:color="D9D9E3"/>
                                            <w:bottom w:val="single" w:sz="2" w:space="0" w:color="D9D9E3"/>
                                            <w:right w:val="single" w:sz="2" w:space="0" w:color="D9D9E3"/>
                                          </w:divBdr>
                                          <w:divsChild>
                                            <w:div w:id="1619484580">
                                              <w:marLeft w:val="0"/>
                                              <w:marRight w:val="0"/>
                                              <w:marTop w:val="0"/>
                                              <w:marBottom w:val="0"/>
                                              <w:divBdr>
                                                <w:top w:val="single" w:sz="2" w:space="0" w:color="D9D9E3"/>
                                                <w:left w:val="single" w:sz="2" w:space="0" w:color="D9D9E3"/>
                                                <w:bottom w:val="single" w:sz="2" w:space="0" w:color="D9D9E3"/>
                                                <w:right w:val="single" w:sz="2" w:space="0" w:color="D9D9E3"/>
                                              </w:divBdr>
                                              <w:divsChild>
                                                <w:div w:id="820780263">
                                                  <w:marLeft w:val="0"/>
                                                  <w:marRight w:val="0"/>
                                                  <w:marTop w:val="0"/>
                                                  <w:marBottom w:val="0"/>
                                                  <w:divBdr>
                                                    <w:top w:val="single" w:sz="2" w:space="0" w:color="D9D9E3"/>
                                                    <w:left w:val="single" w:sz="2" w:space="0" w:color="D9D9E3"/>
                                                    <w:bottom w:val="single" w:sz="2" w:space="0" w:color="D9D9E3"/>
                                                    <w:right w:val="single" w:sz="2" w:space="0" w:color="D9D9E3"/>
                                                  </w:divBdr>
                                                  <w:divsChild>
                                                    <w:div w:id="8383505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02886862">
          <w:marLeft w:val="0"/>
          <w:marRight w:val="0"/>
          <w:marTop w:val="0"/>
          <w:marBottom w:val="0"/>
          <w:divBdr>
            <w:top w:val="none" w:sz="0" w:space="0" w:color="auto"/>
            <w:left w:val="none" w:sz="0" w:space="0" w:color="auto"/>
            <w:bottom w:val="none" w:sz="0" w:space="0" w:color="auto"/>
            <w:right w:val="none" w:sz="0" w:space="0" w:color="auto"/>
          </w:divBdr>
        </w:div>
      </w:divsChild>
    </w:div>
    <w:div w:id="686717000">
      <w:bodyDiv w:val="1"/>
      <w:marLeft w:val="0"/>
      <w:marRight w:val="0"/>
      <w:marTop w:val="0"/>
      <w:marBottom w:val="0"/>
      <w:divBdr>
        <w:top w:val="none" w:sz="0" w:space="0" w:color="auto"/>
        <w:left w:val="none" w:sz="0" w:space="0" w:color="auto"/>
        <w:bottom w:val="none" w:sz="0" w:space="0" w:color="auto"/>
        <w:right w:val="none" w:sz="0" w:space="0" w:color="auto"/>
      </w:divBdr>
      <w:divsChild>
        <w:div w:id="1520924164">
          <w:marLeft w:val="0"/>
          <w:marRight w:val="0"/>
          <w:marTop w:val="0"/>
          <w:marBottom w:val="0"/>
          <w:divBdr>
            <w:top w:val="none" w:sz="0" w:space="0" w:color="auto"/>
            <w:left w:val="none" w:sz="0" w:space="0" w:color="auto"/>
            <w:bottom w:val="none" w:sz="0" w:space="0" w:color="auto"/>
            <w:right w:val="none" w:sz="0" w:space="0" w:color="auto"/>
          </w:divBdr>
        </w:div>
      </w:divsChild>
    </w:div>
    <w:div w:id="733313051">
      <w:bodyDiv w:val="1"/>
      <w:marLeft w:val="0"/>
      <w:marRight w:val="0"/>
      <w:marTop w:val="0"/>
      <w:marBottom w:val="0"/>
      <w:divBdr>
        <w:top w:val="none" w:sz="0" w:space="0" w:color="auto"/>
        <w:left w:val="none" w:sz="0" w:space="0" w:color="auto"/>
        <w:bottom w:val="none" w:sz="0" w:space="0" w:color="auto"/>
        <w:right w:val="none" w:sz="0" w:space="0" w:color="auto"/>
      </w:divBdr>
    </w:div>
    <w:div w:id="812412545">
      <w:bodyDiv w:val="1"/>
      <w:marLeft w:val="0"/>
      <w:marRight w:val="0"/>
      <w:marTop w:val="0"/>
      <w:marBottom w:val="0"/>
      <w:divBdr>
        <w:top w:val="none" w:sz="0" w:space="0" w:color="auto"/>
        <w:left w:val="none" w:sz="0" w:space="0" w:color="auto"/>
        <w:bottom w:val="none" w:sz="0" w:space="0" w:color="auto"/>
        <w:right w:val="none" w:sz="0" w:space="0" w:color="auto"/>
      </w:divBdr>
      <w:divsChild>
        <w:div w:id="789396062">
          <w:marLeft w:val="0"/>
          <w:marRight w:val="0"/>
          <w:marTop w:val="0"/>
          <w:marBottom w:val="0"/>
          <w:divBdr>
            <w:top w:val="none" w:sz="0" w:space="0" w:color="auto"/>
            <w:left w:val="none" w:sz="0" w:space="0" w:color="auto"/>
            <w:bottom w:val="none" w:sz="0" w:space="0" w:color="auto"/>
            <w:right w:val="none" w:sz="0" w:space="0" w:color="auto"/>
          </w:divBdr>
        </w:div>
      </w:divsChild>
    </w:div>
    <w:div w:id="1082024475">
      <w:bodyDiv w:val="1"/>
      <w:marLeft w:val="0"/>
      <w:marRight w:val="0"/>
      <w:marTop w:val="0"/>
      <w:marBottom w:val="0"/>
      <w:divBdr>
        <w:top w:val="none" w:sz="0" w:space="0" w:color="auto"/>
        <w:left w:val="none" w:sz="0" w:space="0" w:color="auto"/>
        <w:bottom w:val="none" w:sz="0" w:space="0" w:color="auto"/>
        <w:right w:val="none" w:sz="0" w:space="0" w:color="auto"/>
      </w:divBdr>
    </w:div>
    <w:div w:id="1770200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 Type="http://schemas.openxmlformats.org/officeDocument/2006/relationships/styles" Target="styles.xml"/><Relationship Id="rId21" Type="http://schemas.openxmlformats.org/officeDocument/2006/relationships/fontTable" Target="fontTable.xml"/><Relationship Id="rId22" Type="http://schemas.openxmlformats.org/officeDocument/2006/relationships/theme" Target="theme/theme1.xml"/><Relationship Id="rId26" Type="http://schemas.openxmlformats.org/officeDocument/2006/relationships/footer" Target="footer1.xml"/><Relationship Id="rId27" Type="http://schemas.openxmlformats.org/officeDocument/2006/relationships/image" Target="media/image1.png"/><Relationship Id="rId28" Type="http://schemas.openxmlformats.org/officeDocument/2006/relationships/image" Target="media/image2.jpeg"/><Relationship Id="rId3" Type="http://schemas.openxmlformats.org/officeDocument/2006/relationships/settings" Target="settings.xml"/><Relationship Id="rId5" Type="http://schemas.openxmlformats.org/officeDocument/2006/relationships/footnotes" Target="footnotes.xml"/><Relationship Id="rId6" Type="http://schemas.openxmlformats.org/officeDocument/2006/relationships/endnotes" Target="endnotes.xml"/><Relationship Id="rId1" Type="http://schemas.openxmlformats.org/officeDocument/2006/relationships/customXml" Target="../customXml/item1.xml"/><Relationship Id="rId4" Type="http://schemas.openxmlformats.org/officeDocument/2006/relationships/webSettings" Target="webSettings.xml"/><Relationship Id="rId10" Type="http://schemas.openxmlformats.org/officeDocument/2006/relationships/hyperlink" Target="https://www.fsb.org.uk/uk-small-business-statistics.html" TargetMode="External"/><Relationship Id="rId11" Type="http://schemas.openxmlformats.org/officeDocument/2006/relationships/hyperlink" Target="https://www.gemconsortium.org/report/gem-2019-2020-global-report" TargetMode="External"/><Relationship Id="rId12" Type="http://schemas.openxmlformats.org/officeDocument/2006/relationships/hyperlink" Target="https://www.bbc.co.uk/programmes/b006vq92" TargetMode="External"/><Relationship Id="rId13" Type="http://schemas.openxmlformats.org/officeDocument/2006/relationships/hyperlink" Target="https://www.marketresearchfuture.com/reports/green-technology-and-sustainability-market-10473" TargetMode="External"/><Relationship Id="rId14" Type="http://schemas.openxmlformats.org/officeDocument/2006/relationships/hyperlink" Target="https://www.marketsandmarkets.com/Market-Reports/green-technology-and-sustainability-market-224421448.html" TargetMode="External"/><Relationship Id="rId15" Type="http://schemas.openxmlformats.org/officeDocument/2006/relationships/hyperlink" Target="https://www.legislation.vic.gov.au/as-made/statutory-rules/environment-protection-regulations-2021" TargetMode="External"/><Relationship Id="rId16" Type="http://schemas.openxmlformats.org/officeDocument/2006/relationships/hyperlink" Target="https://www.legal500.com/developments/thought-leadership/formation-of-a-private-limited-company-process/" TargetMode="External"/><Relationship Id="rId17" Type="http://schemas.openxmlformats.org/officeDocument/2006/relationships/hyperlink" Target="https://stock.adobe.com/search?k=4+ps+of+marketing" TargetMode="External"/><Relationship Id="rId18" Type="http://schemas.openxmlformats.org/officeDocument/2006/relationships/hyperlink" Target="https://www.shutterstock.com/search/vrio" TargetMode="External"/><Relationship Id="rId19" Type="http://schemas.openxmlformats.org/officeDocument/2006/relationships/hyperlink" Target="https://commonslibrary.parliament.uk/research-briefings/cdp-2023-0124/" TargetMode="External"/><Relationship Id="rId20" Type="http://schemas.openxmlformats.org/officeDocument/2006/relationships/hyperlink" Target="https://www.renewableenergyhub.co.uk/blog/uks-solar-market-sees-strong-growth-in-2021" TargetMode="External"/></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等线 Light"/>
        <a:font script="Hant" typeface="新細明體"/>
        <a:font script="Jpan" typeface="游ゴシック Light"/>
      </a:majorFont>
      <a:minorFont>
        <a:latin typeface="Calibri" panose="020F0502020204030204"/>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等线"/>
        <a:font script="Hant" typeface="新細明體"/>
        <a:font script="Jpan" typeface="游明朝"/>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74404D-7E2A-45D5-8233-7153D2C223B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2269</Words>
  <Characters>15751</Characters>
  <Application>Microsoft Office Word</Application>
  <DocSecurity>0</DocSecurity>
  <Lines>131</Lines>
  <Paragraphs>35</Paragraphs>
  <ScaleCrop>false</ScaleCrop>
  <Company/>
  <LinksUpToDate>false</LinksUpToDate>
  <CharactersWithSpaces>17985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Author</cp:lastModifiedB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7907dce65d3b699a9d33406c018d429a2890b4c7014304b765bcf993b7583888</vt:lpwstr>
  </property>
</Properties>
</file>