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AA4F0" w14:textId="64D2B42C" w:rsidR="00B2103B" w:rsidRPr="00D97045" w:rsidRDefault="00B2103B" w:rsidP="00B2103B">
      <w:r w:rsidRPr="00D97045">
        <w:t xml:space="preserve">An inclusive learning environment is </w:t>
      </w:r>
      <w:proofErr w:type="gramStart"/>
      <w:r w:rsidRPr="00D97045">
        <w:t>very important</w:t>
      </w:r>
      <w:proofErr w:type="gramEnd"/>
      <w:r w:rsidRPr="00D97045">
        <w:t xml:space="preserve"> in education and effective and long-term classroom management is essential to achieving this. Behaviour management is </w:t>
      </w:r>
      <w:proofErr w:type="gramStart"/>
      <w:r w:rsidRPr="00D97045">
        <w:t>very important</w:t>
      </w:r>
      <w:proofErr w:type="gramEnd"/>
      <w:r w:rsidRPr="00D97045">
        <w:t xml:space="preserve"> in creating good classroom management techniques. Behaviour management is strategies and techniques used within the class that promotes positive behaviours and tries to reduce unwanted behaviours (Department for Education, 2022). This essay will </w:t>
      </w:r>
      <w:proofErr w:type="gramStart"/>
      <w:r w:rsidRPr="00D97045">
        <w:t xml:space="preserve">be </w:t>
      </w:r>
      <w:r w:rsidR="00FC48DB" w:rsidRPr="00D97045">
        <w:t>analysed</w:t>
      </w:r>
      <w:proofErr w:type="gramEnd"/>
      <w:r w:rsidRPr="00D97045">
        <w:t xml:space="preserve"> if current behaviour management strategies are effective and inclusive for students and which theorists support different behaviour techniques such as Skinner and Maslow. </w:t>
      </w:r>
    </w:p>
    <w:p w14:paraId="11D2C569" w14:textId="448B47FB" w:rsidR="008128A7" w:rsidRPr="00D97045" w:rsidRDefault="00A6558D" w:rsidP="008128A7">
      <w:pPr>
        <w:spacing w:after="0" w:line="240" w:lineRule="auto"/>
        <w:rPr>
          <w:rFonts w:eastAsia="Times New Roman" w:cs="Times New Roman"/>
          <w:kern w:val="0"/>
          <w:lang w:eastAsia="en-GB"/>
          <w14:ligatures w14:val="none"/>
        </w:rPr>
      </w:pPr>
      <w:r w:rsidRPr="00D97045">
        <w:t xml:space="preserve">There are </w:t>
      </w:r>
      <w:proofErr w:type="gramStart"/>
      <w:r w:rsidRPr="00D97045">
        <w:t>many</w:t>
      </w:r>
      <w:proofErr w:type="gramEnd"/>
      <w:r w:rsidRPr="00D97045">
        <w:t xml:space="preserve"> different causes to behaviour such as emotional and behavioural difficulties, if the child is having </w:t>
      </w:r>
      <w:proofErr w:type="gramStart"/>
      <w:r w:rsidRPr="00D97045">
        <w:t>a hard time</w:t>
      </w:r>
      <w:proofErr w:type="gramEnd"/>
      <w:r w:rsidRPr="00D97045">
        <w:t xml:space="preserve"> at home, school or socially. This could also include if the child has an Additional Learning Needs as </w:t>
      </w:r>
      <w:proofErr w:type="gramStart"/>
      <w:r w:rsidRPr="00D97045">
        <w:t>some</w:t>
      </w:r>
      <w:proofErr w:type="gramEnd"/>
      <w:r w:rsidRPr="00D97045">
        <w:t xml:space="preserve"> children with ALNs can display challenging behaviours. As stated, an unstable or unsafe home environment can cause unwanted behaviours as these children often seek attention in any way possible whether it is positive or negative, they also often struggle to form relationships and do not know how to self-regulate their own emotions which leads them to be overstimulated, aggressive and withdrawn. Another cause of behaviour can be because of the student and teachers’ relationship, If a student </w:t>
      </w:r>
      <w:proofErr w:type="gramStart"/>
      <w:r w:rsidRPr="00D97045">
        <w:t>doesn’t</w:t>
      </w:r>
      <w:proofErr w:type="gramEnd"/>
      <w:r w:rsidRPr="00D97045">
        <w:t xml:space="preserve"> feel supported and have a good relationship with their teacher, they may become withdrawn and unmotivated from the class and begin to act out due to boredom or wanting attention from others. Without a good and strong connection, you cannot develop trust, so it makes it less likely to listen to instructions and engage within the class. Another reason that a student may show bad behaviour within the class is because of stress and perception, if a student is too stressed then this can trigger their survival reactions which could be withdrawing from others or becoming aggressive, </w:t>
      </w:r>
      <w:r w:rsidR="00FC48DB" w:rsidRPr="00D97045">
        <w:t>deregulated,</w:t>
      </w:r>
      <w:r w:rsidRPr="00D97045">
        <w:t xml:space="preserve"> or rude to others around them. A lack of multidisciplinary support can also cause students to often show unwanted behaviours in class such as their needs not </w:t>
      </w:r>
      <w:proofErr w:type="gramStart"/>
      <w:r w:rsidRPr="00D97045">
        <w:t>being met</w:t>
      </w:r>
      <w:proofErr w:type="gramEnd"/>
      <w:r w:rsidRPr="00D97045">
        <w:t xml:space="preserve"> which can lead to the misinterpretation of the child displaying bad behaviour which can lead to unjustified punishment. Also, if staff show inconsistent strategies and give mixed reactions to behaviours and information then this can cause the student to become frustrated and display negative behaviours (</w:t>
      </w:r>
      <w:r w:rsidRPr="00D97045">
        <w:rPr>
          <w:rFonts w:eastAsia="Times New Roman" w:cs="Times New Roman"/>
          <w:kern w:val="0"/>
          <w:lang w:eastAsia="en-GB"/>
          <w14:ligatures w14:val="none"/>
        </w:rPr>
        <w:t>Rogers and Visser, (2001).</w:t>
      </w:r>
    </w:p>
    <w:p w14:paraId="41BB471D" w14:textId="77777777" w:rsidR="008128A7" w:rsidRPr="00D97045" w:rsidRDefault="008128A7" w:rsidP="008128A7">
      <w:pPr>
        <w:spacing w:after="0" w:line="240" w:lineRule="auto"/>
        <w:rPr>
          <w:rFonts w:eastAsia="Times New Roman" w:cs="Times New Roman"/>
          <w:kern w:val="0"/>
          <w:lang w:eastAsia="en-GB"/>
          <w14:ligatures w14:val="none"/>
        </w:rPr>
      </w:pPr>
    </w:p>
    <w:p w14:paraId="2F7FFA72" w14:textId="4D3E7684" w:rsidR="002169F2" w:rsidRPr="00D97045" w:rsidRDefault="002169F2" w:rsidP="008128A7">
      <w:pPr>
        <w:spacing w:after="0" w:line="240" w:lineRule="auto"/>
        <w:rPr>
          <w:rFonts w:eastAsia="Times New Roman" w:cs="Times New Roman"/>
          <w:kern w:val="0"/>
          <w:lang w:eastAsia="en-GB"/>
          <w14:ligatures w14:val="none"/>
        </w:rPr>
      </w:pPr>
      <w:r w:rsidRPr="00D97045">
        <w:t xml:space="preserve">There are </w:t>
      </w:r>
      <w:proofErr w:type="gramStart"/>
      <w:r w:rsidRPr="00D97045">
        <w:t>many</w:t>
      </w:r>
      <w:proofErr w:type="gramEnd"/>
      <w:r w:rsidRPr="00D97045">
        <w:t xml:space="preserve"> triggers to bad behaviours such as emotional triggers, this could be sudden emotions such as anxiety, anger, </w:t>
      </w:r>
      <w:r w:rsidR="00FC48DB" w:rsidRPr="00D97045">
        <w:t>sadness,</w:t>
      </w:r>
      <w:r w:rsidRPr="00D97045">
        <w:t xml:space="preserve"> or frustration which can lead to sudden as aggressive behaviours, especially if the student cannot express them properly. This could lead to behaviours such as shouting, </w:t>
      </w:r>
      <w:r w:rsidR="00FC48DB" w:rsidRPr="00D97045">
        <w:t>withdrawing,</w:t>
      </w:r>
      <w:r w:rsidRPr="00D97045">
        <w:t xml:space="preserve"> or refusing to participate. Another trigger is triggering events such as being left out, being told off or missing a turn which can lead to a negative behavioural response, however for students with ALNs the triggering events could be events such as loud noises, bright lights or too many instructions, this could dysregulate the student and they show unwanted behaviours however it is important to remember that each student is an individual and the same event could happen to two different people and it can affect them differently and they could have two different emotional reactions. Any of these events could also lead to their survival responses such as fright, flight or freeze, these responses could lead to behaviours such as being aggressive, refusal to engage, refusal to speak or running away. Another reason for bad behaviour could be displaced anger towards others, if they </w:t>
      </w:r>
      <w:r w:rsidR="00FC48DB" w:rsidRPr="00D97045">
        <w:t>cannot</w:t>
      </w:r>
      <w:r w:rsidRPr="00D97045">
        <w:t xml:space="preserve"> express their anger towards the source such as a guardian, </w:t>
      </w:r>
      <w:r w:rsidR="00FC48DB" w:rsidRPr="00D97045">
        <w:t>peer,</w:t>
      </w:r>
      <w:r w:rsidRPr="00D97045">
        <w:t xml:space="preserve"> or parents then the anger can </w:t>
      </w:r>
      <w:proofErr w:type="gramStart"/>
      <w:r w:rsidRPr="00D97045">
        <w:t>be directed</w:t>
      </w:r>
      <w:proofErr w:type="gramEnd"/>
      <w:r w:rsidRPr="00D97045">
        <w:t xml:space="preserve"> towards the easiest outlet being the teacher or another peer. </w:t>
      </w:r>
      <w:r w:rsidR="00FC48DB" w:rsidRPr="00D97045">
        <w:t>Finally,</w:t>
      </w:r>
      <w:r w:rsidRPr="00D97045">
        <w:t xml:space="preserve"> another reason for unwanted behaviour is social influences, as students often want to fit in so they may copy </w:t>
      </w:r>
      <w:r w:rsidRPr="00D97045">
        <w:lastRenderedPageBreak/>
        <w:t>behaviours they see from other peers, this is often being disruptive behaviour or mocking staff in the class (</w:t>
      </w:r>
      <w:r w:rsidRPr="00D97045">
        <w:rPr>
          <w:rFonts w:eastAsia="Times New Roman" w:cs="Times New Roman"/>
          <w:kern w:val="0"/>
          <w:lang w:eastAsia="en-GB"/>
          <w14:ligatures w14:val="none"/>
        </w:rPr>
        <w:t>Ellis, and Tod, 2015).</w:t>
      </w:r>
    </w:p>
    <w:p w14:paraId="58726412" w14:textId="77777777" w:rsidR="008128A7" w:rsidRPr="00D97045" w:rsidRDefault="008128A7" w:rsidP="008128A7">
      <w:pPr>
        <w:spacing w:after="0" w:line="240" w:lineRule="auto"/>
        <w:rPr>
          <w:rFonts w:eastAsia="Times New Roman" w:cs="Times New Roman"/>
          <w:kern w:val="0"/>
          <w:lang w:eastAsia="en-GB"/>
          <w14:ligatures w14:val="none"/>
        </w:rPr>
      </w:pPr>
    </w:p>
    <w:p w14:paraId="301BE00C" w14:textId="1A764789" w:rsidR="002F1770" w:rsidRPr="00D97045" w:rsidRDefault="002F1770" w:rsidP="002F1770">
      <w:r w:rsidRPr="00D97045">
        <w:t xml:space="preserve">De-escalation is </w:t>
      </w:r>
      <w:proofErr w:type="gramStart"/>
      <w:r w:rsidRPr="00D97045">
        <w:t>very important</w:t>
      </w:r>
      <w:proofErr w:type="gramEnd"/>
      <w:r w:rsidRPr="00D97045">
        <w:t xml:space="preserve"> within classroom management. De-escalation is using communication and other calming techniques to calm and defuse a situation. De-escalation </w:t>
      </w:r>
      <w:proofErr w:type="gramStart"/>
      <w:r w:rsidRPr="00D97045">
        <w:t>is used</w:t>
      </w:r>
      <w:proofErr w:type="gramEnd"/>
      <w:r w:rsidRPr="00D97045">
        <w:t xml:space="preserve"> as a prevention technique </w:t>
      </w:r>
      <w:r w:rsidR="00FC48DB" w:rsidRPr="00D97045">
        <w:t>that</w:t>
      </w:r>
      <w:r w:rsidRPr="00D97045">
        <w:t xml:space="preserve"> intervention (Cybersecurity and Infrastructure Security Agency, no date). When doing de-escalation, it is important to attempt to redirect the students, this can look like asking them to do another task, asking them to go to a different location this can be used as a rest button as it pulls the student away from the initial trigger and away from the situation. It is also important on how the practitioner approaches the student and that they are using non-threatening communication this includes their body language and how they stand or sit with the student, this is often standing to the side and using a relaxed but prepared stance, this is also about their verbal communication using a calm and firm tone of voice with clear and concise instructions, often giving choices also helps in heightened situations as it gives the students power over what they do. While using de-escalation it is also important that the environment is safe and free from triggers, this could a change of scenery or changing a seating plan or removing or object or it could be complete removal from the environment and moving to a calming area</w:t>
      </w:r>
      <w:r w:rsidR="00FC48DB" w:rsidRPr="00D97045">
        <w:t xml:space="preserve">. </w:t>
      </w:r>
      <w:r w:rsidRPr="00D97045">
        <w:t>It is also important to understand the assault cycle trigger → escalation → crisis → recovery → post-crisis. De-escalation should be done before crisis and used a preventative, de-escalation works as it helps the student feel heard and listened to, it can help them feel safe and they have control of the situation, it also helps reduce the likelihood of future behaviours and helps teachers maintain excellent classroom management (Social, Emotional, and Mental Health in Schools, no date).</w:t>
      </w:r>
    </w:p>
    <w:p w14:paraId="49876988" w14:textId="77777777" w:rsidR="002E2520" w:rsidRPr="00D97045" w:rsidRDefault="002E2520" w:rsidP="002E2520">
      <w:r w:rsidRPr="00D97045">
        <w:t xml:space="preserve">Restorative practice is a way to build relationships and a way to reduce unhealthy communication. Restorative practice is about seeing all behaviour as a form of communication (Restorative practice, no date). Restorative practice is all about the person and what communication and relationships, one of the key aims is to focus on what the problem was and how it happened and how can it </w:t>
      </w:r>
      <w:proofErr w:type="gramStart"/>
      <w:r w:rsidRPr="00D97045">
        <w:t>be fixed</w:t>
      </w:r>
      <w:proofErr w:type="gramEnd"/>
      <w:r w:rsidRPr="00D97045">
        <w:t xml:space="preserve">, restorative practice should </w:t>
      </w:r>
      <w:proofErr w:type="gramStart"/>
      <w:r w:rsidRPr="00D97045">
        <w:t>be used</w:t>
      </w:r>
      <w:proofErr w:type="gramEnd"/>
      <w:r w:rsidRPr="00D97045">
        <w:t xml:space="preserve"> as a form of punishment. Another key concept of restorative practice is listening to everyone and how they are feeling and what they problem is, there should be turn taking and other help with solutions and resolution. Restorative practice </w:t>
      </w:r>
      <w:proofErr w:type="gramStart"/>
      <w:r w:rsidRPr="00D97045">
        <w:t>isn’t</w:t>
      </w:r>
      <w:proofErr w:type="gramEnd"/>
      <w:r w:rsidRPr="00D97045">
        <w:t xml:space="preserve"> just for select individuals but for everyone within the school community (Shramko, 2024).</w:t>
      </w:r>
    </w:p>
    <w:p w14:paraId="3919782E" w14:textId="59A6E1D0" w:rsidR="00902389" w:rsidRPr="00D97045" w:rsidRDefault="00902389" w:rsidP="00902389">
      <w:pPr>
        <w:rPr>
          <w:rFonts w:eastAsia="Times New Roman" w:cs="Times New Roman"/>
          <w:kern w:val="0"/>
          <w:lang w:eastAsia="en-GB"/>
          <w14:ligatures w14:val="none"/>
        </w:rPr>
      </w:pPr>
      <w:r w:rsidRPr="00D97045">
        <w:t xml:space="preserve">Another essential example for good classroom management is the need for whole school policies, this gives the students and staff clear guidelines on what the expectation of behaviour is within the class and out of it, it gives the students consistency and stability. It also creates fairness within the system as everyone </w:t>
      </w:r>
      <w:proofErr w:type="gramStart"/>
      <w:r w:rsidRPr="00D97045">
        <w:t>is treated</w:t>
      </w:r>
      <w:proofErr w:type="gramEnd"/>
      <w:r w:rsidRPr="00D97045">
        <w:t xml:space="preserve"> fairly and there are clear rules which reduces favouritism. Another reason whole school policies are important as it gives staff support also as the staff </w:t>
      </w:r>
      <w:proofErr w:type="gramStart"/>
      <w:r w:rsidRPr="00D97045">
        <w:t>aren’t</w:t>
      </w:r>
      <w:proofErr w:type="gramEnd"/>
      <w:r w:rsidRPr="00D97045">
        <w:t xml:space="preserve"> seen as </w:t>
      </w:r>
      <w:proofErr w:type="gramStart"/>
      <w:r w:rsidRPr="00D97045">
        <w:t>being biased</w:t>
      </w:r>
      <w:proofErr w:type="gramEnd"/>
      <w:r w:rsidRPr="00D97045">
        <w:t xml:space="preserve"> and they </w:t>
      </w:r>
      <w:proofErr w:type="gramStart"/>
      <w:r w:rsidRPr="00D97045">
        <w:t>are backed</w:t>
      </w:r>
      <w:proofErr w:type="gramEnd"/>
      <w:r w:rsidRPr="00D97045">
        <w:t xml:space="preserve"> up by a stable and </w:t>
      </w:r>
      <w:proofErr w:type="gramStart"/>
      <w:r w:rsidRPr="00D97045">
        <w:t>strong system</w:t>
      </w:r>
      <w:proofErr w:type="gramEnd"/>
      <w:r w:rsidRPr="00D97045">
        <w:t xml:space="preserve">. Another example for classroom management is post-incident support; this is much like resorptive practice as it helps students learn from their mistakes and help them prevent them in the future. </w:t>
      </w:r>
      <w:r w:rsidR="00FC48DB" w:rsidRPr="00D97045">
        <w:t>Also,</w:t>
      </w:r>
      <w:r w:rsidRPr="00D97045">
        <w:t xml:space="preserve"> like restorative practice it also helps re-build relationships and build connections. Post-incident support can also look like putting new plans into place and giving the student more support and give them access to more services (Chaplain</w:t>
      </w:r>
      <w:r w:rsidRPr="00D97045">
        <w:rPr>
          <w:rFonts w:eastAsia="Times New Roman" w:cs="Times New Roman"/>
          <w:kern w:val="0"/>
          <w:lang w:eastAsia="en-GB"/>
          <w14:ligatures w14:val="none"/>
        </w:rPr>
        <w:t>, 2017).</w:t>
      </w:r>
    </w:p>
    <w:p w14:paraId="5D346764" w14:textId="698A5E0E" w:rsidR="002548F6" w:rsidRPr="00D97045" w:rsidRDefault="002548F6" w:rsidP="009B5F74">
      <w:pPr>
        <w:spacing w:after="0" w:line="240" w:lineRule="auto"/>
        <w:rPr>
          <w:rFonts w:eastAsia="Times New Roman" w:cs="Times New Roman"/>
          <w:kern w:val="0"/>
          <w:lang w:eastAsia="en-GB"/>
          <w14:ligatures w14:val="none"/>
        </w:rPr>
      </w:pPr>
      <w:r w:rsidRPr="00D97045">
        <w:rPr>
          <w:rFonts w:eastAsia="Times New Roman" w:cs="Times New Roman"/>
          <w:kern w:val="0"/>
          <w:lang w:eastAsia="en-GB"/>
          <w14:ligatures w14:val="none"/>
        </w:rPr>
        <w:t xml:space="preserve">There are also many ways in which ICT can help with classroom management, there are programs such as Impero and Netmonitor which teacher’s ca use to check the screens of their students to ensure they are on task and that they are not getting distracted </w:t>
      </w:r>
      <w:r w:rsidR="009B5F74" w:rsidRPr="00D97045">
        <w:rPr>
          <w:rFonts w:eastAsia="Times New Roman" w:cs="Times New Roman"/>
          <w:kern w:val="0"/>
          <w:lang w:eastAsia="en-GB"/>
          <w14:ligatures w14:val="none"/>
        </w:rPr>
        <w:t>by other</w:t>
      </w:r>
      <w:r w:rsidRPr="00D97045">
        <w:rPr>
          <w:rFonts w:eastAsia="Times New Roman" w:cs="Times New Roman"/>
          <w:kern w:val="0"/>
          <w:lang w:eastAsia="en-GB"/>
          <w14:ligatures w14:val="none"/>
        </w:rPr>
        <w:t xml:space="preserve"> things on their computers, it can also be used to block certain websites. This helps with classroom </w:t>
      </w:r>
      <w:r w:rsidRPr="00D97045">
        <w:rPr>
          <w:rFonts w:eastAsia="Times New Roman" w:cs="Times New Roman"/>
          <w:kern w:val="0"/>
          <w:lang w:eastAsia="en-GB"/>
          <w14:ligatures w14:val="none"/>
        </w:rPr>
        <w:lastRenderedPageBreak/>
        <w:t xml:space="preserve">management as the teachers can track what is happening in their lesson and ensure students are on task, it also helps with safeguarding their students away from harmful websites. Another classroom management technique using ICT is Digital seating plans as stated before the classroom environment is essential when managing behaviour so limiting the amount of triggering events, seating plans also help with consistency and routine for the pupils. Another application is also “Do It Now” which </w:t>
      </w:r>
      <w:proofErr w:type="gramStart"/>
      <w:r w:rsidRPr="00D97045">
        <w:rPr>
          <w:rFonts w:eastAsia="Times New Roman" w:cs="Times New Roman"/>
          <w:kern w:val="0"/>
          <w:lang w:eastAsia="en-GB"/>
          <w14:ligatures w14:val="none"/>
        </w:rPr>
        <w:t>is used</w:t>
      </w:r>
      <w:proofErr w:type="gramEnd"/>
      <w:r w:rsidRPr="00D97045">
        <w:rPr>
          <w:rFonts w:eastAsia="Times New Roman" w:cs="Times New Roman"/>
          <w:kern w:val="0"/>
          <w:lang w:eastAsia="en-GB"/>
          <w14:ligatures w14:val="none"/>
        </w:rPr>
        <w:t xml:space="preserve"> for the start of lessons which generates tasks. At the start of lessons students complete these starter tasks which are easy and achievable which instils a sense of accomplishment at the start to lighten the students’ moods. When using technology in the classroom it can be a positive and engaging experience however it is </w:t>
      </w:r>
      <w:proofErr w:type="gramStart"/>
      <w:r w:rsidRPr="00D97045">
        <w:rPr>
          <w:rFonts w:eastAsia="Times New Roman" w:cs="Times New Roman"/>
          <w:kern w:val="0"/>
          <w:lang w:eastAsia="en-GB"/>
          <w14:ligatures w14:val="none"/>
        </w:rPr>
        <w:t>very important</w:t>
      </w:r>
      <w:proofErr w:type="gramEnd"/>
      <w:r w:rsidRPr="00D97045">
        <w:rPr>
          <w:rFonts w:eastAsia="Times New Roman" w:cs="Times New Roman"/>
          <w:kern w:val="0"/>
          <w:lang w:eastAsia="en-GB"/>
          <w14:ligatures w14:val="none"/>
        </w:rPr>
        <w:t xml:space="preserve"> to set the expectations and rules from the start and to reteach the rules through the school year (</w:t>
      </w:r>
      <w:r w:rsidRPr="00D97045">
        <w:t>O’Neill, 2016).</w:t>
      </w:r>
    </w:p>
    <w:p w14:paraId="59318372" w14:textId="77777777" w:rsidR="008128A7" w:rsidRPr="00D97045" w:rsidRDefault="008128A7" w:rsidP="009B5F74"/>
    <w:p w14:paraId="34A7A478" w14:textId="39D6B168" w:rsidR="009B5F74" w:rsidRPr="00D97045" w:rsidRDefault="009B5F74" w:rsidP="009B5F74">
      <w:r w:rsidRPr="00D97045">
        <w:t xml:space="preserve">Skinner’s theory of operant conditioning supports </w:t>
      </w:r>
      <w:proofErr w:type="gramStart"/>
      <w:r w:rsidRPr="00D97045">
        <w:t>many</w:t>
      </w:r>
      <w:proofErr w:type="gramEnd"/>
      <w:r w:rsidRPr="00D97045">
        <w:t xml:space="preserve"> aspects of the approaches and techniques used in education in the United Kingdom. Skinner’s theory focuses on how behaviour is reacted to. It focuses on the regards and punishment affect the student’s behaviour and attitudes. Skinner’s theory is to encourage practitioners encourage positive behaviour through reinforcement. The </w:t>
      </w:r>
      <w:r w:rsidR="00FC48DB" w:rsidRPr="00D97045">
        <w:t>focus</w:t>
      </w:r>
      <w:r w:rsidRPr="00D97045">
        <w:t xml:space="preserve"> of Skinner’s theory is that when behaviour </w:t>
      </w:r>
      <w:proofErr w:type="gramStart"/>
      <w:r w:rsidRPr="00D97045">
        <w:t>is rewarded</w:t>
      </w:r>
      <w:proofErr w:type="gramEnd"/>
      <w:r w:rsidRPr="00D97045">
        <w:t xml:space="preserve"> it will more likely </w:t>
      </w:r>
      <w:proofErr w:type="gramStart"/>
      <w:r w:rsidRPr="00D97045">
        <w:t>be repeated</w:t>
      </w:r>
      <w:proofErr w:type="gramEnd"/>
      <w:r w:rsidRPr="00D97045">
        <w:t xml:space="preserve"> by the student whereas if negative behaviour has consequences which makes is less likely to </w:t>
      </w:r>
      <w:proofErr w:type="gramStart"/>
      <w:r w:rsidRPr="00D97045">
        <w:t>be repeated</w:t>
      </w:r>
      <w:proofErr w:type="gramEnd"/>
      <w:r w:rsidRPr="00D97045">
        <w:t xml:space="preserve">. Skinner’s theory is known as operant conditioning. Skinner identifies of reactions which are positive reinforcement, negative reinforcement, positive </w:t>
      </w:r>
      <w:r w:rsidR="00FC48DB" w:rsidRPr="00D97045">
        <w:t>punishment,</w:t>
      </w:r>
      <w:r w:rsidRPr="00D97045">
        <w:t xml:space="preserve"> and negative punishment. Positive reinforcement can be </w:t>
      </w:r>
      <w:proofErr w:type="gramStart"/>
      <w:r w:rsidRPr="00D97045">
        <w:t>very useful</w:t>
      </w:r>
      <w:proofErr w:type="gramEnd"/>
      <w:r w:rsidRPr="00D97045">
        <w:t xml:space="preserve"> to use in the classroom, this means giving a reward after a desired and positive behaviour, this could look like praise, </w:t>
      </w:r>
      <w:r w:rsidR="00FC48DB" w:rsidRPr="00D97045">
        <w:t>stickers,</w:t>
      </w:r>
      <w:r w:rsidRPr="00D97045">
        <w:t xml:space="preserve"> or choice time. This </w:t>
      </w:r>
      <w:proofErr w:type="gramStart"/>
      <w:r w:rsidRPr="00D97045">
        <w:t>is used</w:t>
      </w:r>
      <w:proofErr w:type="gramEnd"/>
      <w:r w:rsidRPr="00D97045">
        <w:t xml:space="preserve"> to encourage the behaviour shown. This helps build a positive classroom environment where good behaviour </w:t>
      </w:r>
      <w:proofErr w:type="gramStart"/>
      <w:r w:rsidRPr="00D97045">
        <w:t>is valued</w:t>
      </w:r>
      <w:proofErr w:type="gramEnd"/>
      <w:r w:rsidRPr="00D97045">
        <w:t xml:space="preserve"> and other students notice the rewards that others get. On the opposite side of positive reinforcement there is negative reinforcement, this means often means removing an unpleasant stimulus after the desired behaviour </w:t>
      </w:r>
      <w:proofErr w:type="gramStart"/>
      <w:r w:rsidRPr="00D97045">
        <w:t>is displayed</w:t>
      </w:r>
      <w:proofErr w:type="gramEnd"/>
      <w:r w:rsidRPr="00D97045">
        <w:t xml:space="preserve">. This could include practitioners that repeat directions multiple times until the student does it then after they do it the repetitive questions stops; this works by easing the student’s discomfort and when they display the positive and wanted behaviour the negative stimuli stop. (McLeod, 2025). Positive punishment </w:t>
      </w:r>
      <w:proofErr w:type="gramStart"/>
      <w:r w:rsidRPr="00D97045">
        <w:t>is used</w:t>
      </w:r>
      <w:proofErr w:type="gramEnd"/>
      <w:r w:rsidRPr="00D97045">
        <w:t xml:space="preserve"> as </w:t>
      </w:r>
      <w:r w:rsidR="00FC48DB" w:rsidRPr="00D97045">
        <w:t>an</w:t>
      </w:r>
      <w:r w:rsidRPr="00D97045">
        <w:t xml:space="preserve"> unpleasant consequence to minimise unwanted behaviour such as giving more work or giving a warning to the student unlike negative punishment which is taking away something that the student finds enjoyable such as choice time or regards. While Positive and negative punishment can be affective skinner believes that reinforcement is stronger strategy and more effective. Skinner’s theory supports behaviour shaping, where the practitioner makes small steps at first with desired behaviour and reinforces the minimal desired behaviour. This could work with any student, such as completing one question they get a reward then makes their way up from one question to all their questions and they slowly build up the expectations this helps students feel accomplished and builds their confidence and they gain small and big successes. Skinner also gives ideas on tools to use in the classroom such as reward charts, token and reward economies and positive behaviour support plans. The tools skinner gives helps students to stay motivated and supported. It gives them consistency and routine which is </w:t>
      </w:r>
      <w:proofErr w:type="gramStart"/>
      <w:r w:rsidRPr="00D97045">
        <w:t>very effective</w:t>
      </w:r>
      <w:proofErr w:type="gramEnd"/>
      <w:r w:rsidRPr="00D97045">
        <w:t xml:space="preserve"> classroom management</w:t>
      </w:r>
      <w:r w:rsidR="00FC48DB" w:rsidRPr="00D97045">
        <w:t xml:space="preserve">. </w:t>
      </w:r>
      <w:r w:rsidRPr="00D97045">
        <w:t>Skinner’s approach encourages practitioners to focus on the positives and what the students are doing right rather than always focuses on the negative. It helps create a positive and uplifting classroom environment. This theory also helps students with ALN as it helps create positive environment and positive routines. Overall skinners theory about operant conditioning provides clear and manageable framework for education settings (O’Donohue, and Ferguson, 2001).</w:t>
      </w:r>
    </w:p>
    <w:p w14:paraId="316D0863" w14:textId="1C7D2F66" w:rsidR="00FB51FD" w:rsidRPr="00D97045" w:rsidRDefault="00FB51FD" w:rsidP="00FB51FD">
      <w:r w:rsidRPr="00D97045">
        <w:t xml:space="preserve">Vygotsky’s theory was about how students learn through social interaction. His theory is the sociocultural theory; it focuses on how students learn from each other and the adults around them. It also focuses on how language and culture affect the way students think and behaviour. Vygotsky’s theory focuses on the zone of proximal development (ZPD). This is the difference between what the students need support in learning and what they can do independently. Linking this to classroom management means that the practitioners support the students just enough to succeed, but not to be too overbearing with support and give them a sense of independence and to see what they can achieve. The support given to them through this theory </w:t>
      </w:r>
      <w:proofErr w:type="gramStart"/>
      <w:r w:rsidRPr="00D97045">
        <w:t>is called</w:t>
      </w:r>
      <w:proofErr w:type="gramEnd"/>
      <w:r w:rsidRPr="00D97045">
        <w:t xml:space="preserve"> scaffolding (McLeod, 2025). A way to use this theory is if the student struggles to follow a routine, the teacher might give the outside prompts such as a visual timetable, verbal prompts and guidance or model following the routine. Once the student starts to learn how to follow the routine the support given to them will slowly decrease and eventually there will be no more support given to them, this helps the students build confidence, independence and reduce unwanted behaviours in the classroom and can reduce frustration and anxiety. Vygotsky also emphasised the need of language in self-regulation, when students can talk through tasks and activities or receive clear and concise instructions and requests, they can learn to manage their own expectations and behaviours. Teachers can help students with this when using positive and </w:t>
      </w:r>
      <w:proofErr w:type="gramStart"/>
      <w:r w:rsidRPr="00D97045">
        <w:t>clear language</w:t>
      </w:r>
      <w:proofErr w:type="gramEnd"/>
      <w:r w:rsidRPr="00D97045">
        <w:t xml:space="preserve">, </w:t>
      </w:r>
      <w:r w:rsidR="00FC48DB" w:rsidRPr="00D97045">
        <w:t>questions,</w:t>
      </w:r>
      <w:r w:rsidRPr="00D97045">
        <w:t xml:space="preserve"> and guide discussions to help students be independent and make their own positive choices. In a positive classroom environment Vygotsky’s theory supports clear, </w:t>
      </w:r>
      <w:r w:rsidR="00FC48DB" w:rsidRPr="00D97045">
        <w:t>consistent,</w:t>
      </w:r>
      <w:r w:rsidRPr="00D97045">
        <w:t xml:space="preserve"> and structured routines, collaborative learning and group work and peer mentoring, using these techniques help students feel safe, supported and a part of the classroom community, this helps with disruptive and unwanted behaviours and increases the students’ participations. Overall Vygotsky’s theory supports social interaction, scaffolding, the use of self-regulation through language and help build inclusive and positive classroom environments (Vygotskiĭ and Cole, 1978).</w:t>
      </w:r>
    </w:p>
    <w:p w14:paraId="71F5F300" w14:textId="68E19316" w:rsidR="00921367" w:rsidRPr="00D97045" w:rsidRDefault="00921367" w:rsidP="00921367">
      <w:r w:rsidRPr="00D97045">
        <w:t xml:space="preserve">It is </w:t>
      </w:r>
      <w:proofErr w:type="gramStart"/>
      <w:r w:rsidRPr="00D97045">
        <w:t>very important</w:t>
      </w:r>
      <w:proofErr w:type="gramEnd"/>
      <w:r w:rsidRPr="00D97045">
        <w:t xml:space="preserve"> to ensure when using effective classroom management that it is also inclusive to all the students, this involves creating a space where all pupils feel respected and support. The aim of classroom management is that all students succeed, this can </w:t>
      </w:r>
      <w:proofErr w:type="gramStart"/>
      <w:r w:rsidRPr="00D97045">
        <w:t>be achieved</w:t>
      </w:r>
      <w:proofErr w:type="gramEnd"/>
      <w:r w:rsidRPr="00D97045">
        <w:t xml:space="preserve"> by differentiation of management styles. This means adapting teaching styles and expectations. This could include visual aids, creating smaller and easier steps to tasks and sometimes modelling the task. (Florian and Black-Hawkins, 2011). Differentiation ensures that students with and without ALNs or other barriers are still able to succeed. In a positive classroom it is important that there is a good relationship and that the practitioner and student </w:t>
      </w:r>
      <w:r w:rsidR="00FC48DB" w:rsidRPr="00D97045">
        <w:t>can</w:t>
      </w:r>
      <w:r w:rsidRPr="00D97045">
        <w:t xml:space="preserve"> build those relationships. Having good relationships within the classroom helps build trust and engagement. Inclusive classrooms thrive when the students have consistently, and they feel safe which reduces unwanted behaviours. On the other hand, there are still barriers to inclusion in the classroom, these </w:t>
      </w:r>
      <w:proofErr w:type="gramStart"/>
      <w:r w:rsidRPr="00D97045">
        <w:t>many</w:t>
      </w:r>
      <w:proofErr w:type="gramEnd"/>
      <w:r w:rsidRPr="00D97045">
        <w:t xml:space="preserve"> include strict and unadaptable behaviour policies, limited or lack of staff training or bias in practitioners for any reason. There are ways to overcome these barriers which can include additional staff training, reflective practice and flexible policies that </w:t>
      </w:r>
      <w:proofErr w:type="gramStart"/>
      <w:r w:rsidRPr="00D97045">
        <w:t>are revised</w:t>
      </w:r>
      <w:proofErr w:type="gramEnd"/>
      <w:r w:rsidRPr="00D97045">
        <w:t xml:space="preserve"> frequently. Inclusive classroom management is not about controlling behaviour it is about creating a positive environment where every child succeeds no matter the barriers they face (Wearmouth and Open University, 2001).</w:t>
      </w:r>
    </w:p>
    <w:p w14:paraId="588F5231" w14:textId="75317A5A" w:rsidR="004B2BB4" w:rsidRPr="00D97045" w:rsidRDefault="004B2BB4" w:rsidP="00AF3E73">
      <w:r w:rsidRPr="00D97045">
        <w:t xml:space="preserve">When practicing good classroom management, they must follow the guidance given by the government and the legislation and guidance they provide. The guidance and legislation given is essential as it promotes inclusion and good practice. One example is the SEND code of practice which outlines the school’s responsibility to support the students with their individual needs, this includes identify their barriers. Students with ALNs have </w:t>
      </w:r>
      <w:proofErr w:type="gramStart"/>
      <w:r w:rsidRPr="00D97045">
        <w:t>many</w:t>
      </w:r>
      <w:proofErr w:type="gramEnd"/>
      <w:r w:rsidRPr="00D97045">
        <w:t xml:space="preserve"> barriers and the schools have a responsibility to put in reasonable support in place. The SEND code of practice emphasis the need for person-centred care and early intervention (Department of Education and Department of Health, 2015). Another example is The Equality Act 2010 which also supports schools putting in reasonable support in place as this helps minimise and eliminate discrimination of protected characteristics. This means that the school must put in place flexible and manageable policies in place that accommodate any student (Government Equalities Office and Equality and Human Rights Commission, 2015). Finally, The Welsh Government’s ALN code 2021 also supports good classroom management as it promotes inclusion, multi-agency </w:t>
      </w:r>
      <w:r w:rsidR="00FC48DB" w:rsidRPr="00D97045">
        <w:t>support,</w:t>
      </w:r>
      <w:r w:rsidRPr="00D97045">
        <w:t xml:space="preserve"> and pupil voice. These policies together ensures that schools and classrooms promote inclusion, diversity and ensure all students succeed in their environment (Welsh Government, 2021).</w:t>
      </w:r>
    </w:p>
    <w:p w14:paraId="373977C7" w14:textId="77777777" w:rsidR="00AF3E73" w:rsidRPr="00D97045" w:rsidRDefault="00AF3E73" w:rsidP="00AF3E73">
      <w:r w:rsidRPr="00D97045">
        <w:t xml:space="preserve">There are many strategies in which encourage positive classroom management, some shown previously such as restorative practice which is supported by Skinner, as he believes that all students need positive reinforcement and he supports the idea that the need for positive student and teacher relationships is essential in the classroom (McLeod, 2025). Restorative practice </w:t>
      </w:r>
      <w:proofErr w:type="gramStart"/>
      <w:r w:rsidRPr="00D97045">
        <w:t>is also supported</w:t>
      </w:r>
      <w:proofErr w:type="gramEnd"/>
      <w:r w:rsidRPr="00D97045">
        <w:t xml:space="preserve"> by The Welsh Governments ALN code 2021 as it promotes the use of pupil voice and having their needs met (Welsh Government, 2021). Another strategy that has shown positive effects is technology however it also has it disadvantages such as safeguarding issues as it is easy for students to access improper and unsafe websites with inappropriate and unsafe content and images, if this isn’t properly monitored then it can be very easily accessed. Another disadvantage of using technology in the classroom is that it is technology can very easily break so if practitioners and student are over reliant on technology then when it is not working the strategies put in place that rely on it begin to become negative classroom management (Sander, no date).</w:t>
      </w:r>
    </w:p>
    <w:p w14:paraId="5D4280FE" w14:textId="6C7A449C" w:rsidR="00AF3E73" w:rsidRPr="00D97045" w:rsidRDefault="00AF3E73" w:rsidP="00AF3E73">
      <w:r w:rsidRPr="00D97045">
        <w:t xml:space="preserve">Overall, every classroom management technique has advantages and disadvantages, each strategy should </w:t>
      </w:r>
      <w:proofErr w:type="gramStart"/>
      <w:r w:rsidRPr="00D97045">
        <w:t>be tailored</w:t>
      </w:r>
      <w:proofErr w:type="gramEnd"/>
      <w:r w:rsidRPr="00D97045">
        <w:t xml:space="preserve"> and individual to what works best to create a positive and safe classroom environment where all students succeed and feel uplifted and supported in their learning and their well-being. It is up to the school and practitioners’ responsibility to follow appropriate and relevant guidance, </w:t>
      </w:r>
      <w:r w:rsidR="00FC48DB" w:rsidRPr="00D97045">
        <w:t>legislation,</w:t>
      </w:r>
      <w:r w:rsidRPr="00D97045">
        <w:t xml:space="preserve"> and policies. Each school should have its own policies to ensure that behaviour is minimised and that each classroom can be effectively managed. </w:t>
      </w:r>
    </w:p>
    <w:p w14:paraId="038A76A3" w14:textId="77777777" w:rsidR="00921367" w:rsidRPr="00D97045" w:rsidRDefault="00921367" w:rsidP="00FB51FD"/>
    <w:p w14:paraId="7A16CFD0" w14:textId="77777777" w:rsidR="00D97045" w:rsidRPr="00D97045" w:rsidRDefault="00D97045" w:rsidP="00FB51FD"/>
    <w:p w14:paraId="29C114A4" w14:textId="77777777" w:rsidR="00D97045" w:rsidRPr="00D97045" w:rsidRDefault="00D97045" w:rsidP="00FB51FD"/>
    <w:p w14:paraId="45F84AC7" w14:textId="77777777" w:rsidR="00D97045" w:rsidRPr="00D97045" w:rsidRDefault="00D97045" w:rsidP="00FB51FD"/>
    <w:p w14:paraId="41D1557E" w14:textId="77777777" w:rsidR="00D97045" w:rsidRPr="00D97045" w:rsidRDefault="00D97045" w:rsidP="00FB51FD"/>
    <w:p w14:paraId="4E81909B" w14:textId="77777777" w:rsidR="00D97045" w:rsidRPr="00D97045" w:rsidRDefault="00D97045" w:rsidP="00FB51FD"/>
    <w:p w14:paraId="0C722004" w14:textId="77777777" w:rsidR="00D97045" w:rsidRPr="00D97045" w:rsidRDefault="00D97045" w:rsidP="00FB51FD"/>
    <w:p w14:paraId="4FFB32F6" w14:textId="77777777" w:rsidR="00D97045" w:rsidRPr="00D97045" w:rsidRDefault="00D97045" w:rsidP="00FB51FD"/>
    <w:p w14:paraId="69AC545B" w14:textId="77777777" w:rsidR="00D97045" w:rsidRPr="00D97045" w:rsidRDefault="00D97045" w:rsidP="00FB51FD"/>
    <w:p w14:paraId="460E8999" w14:textId="77777777" w:rsidR="00D97045" w:rsidRPr="00D97045" w:rsidRDefault="00D97045" w:rsidP="00FB51FD"/>
    <w:p w14:paraId="3AFE13DB" w14:textId="77777777" w:rsidR="00D97045" w:rsidRPr="00D97045" w:rsidRDefault="00D97045" w:rsidP="00FB51FD"/>
    <w:p w14:paraId="518B47E7" w14:textId="77777777" w:rsidR="00D97045" w:rsidRPr="00D97045" w:rsidRDefault="00D97045" w:rsidP="00FB51FD"/>
    <w:p w14:paraId="09C3AE6F" w14:textId="26528BD4" w:rsidR="00D97045" w:rsidRDefault="00D97045" w:rsidP="00D97045">
      <w:pPr>
        <w:spacing w:after="0" w:line="240" w:lineRule="auto"/>
        <w:rPr>
          <w:rFonts w:eastAsia="Times New Roman" w:cs="Times New Roman"/>
          <w:b/>
          <w:bCs/>
          <w:kern w:val="0"/>
          <w:u w:val="single"/>
          <w:lang w:eastAsia="en-GB"/>
          <w14:ligatures w14:val="none"/>
        </w:rPr>
      </w:pPr>
      <w:r>
        <w:rPr>
          <w:rFonts w:eastAsia="Times New Roman" w:cs="Times New Roman"/>
          <w:b/>
          <w:bCs/>
          <w:kern w:val="0"/>
          <w:u w:val="single"/>
          <w:lang w:eastAsia="en-GB"/>
          <w14:ligatures w14:val="none"/>
        </w:rPr>
        <w:t xml:space="preserve">References </w:t>
      </w:r>
    </w:p>
    <w:p w14:paraId="5592F43F" w14:textId="77777777" w:rsidR="00D97045" w:rsidRPr="00D97045" w:rsidRDefault="00D97045" w:rsidP="00D97045">
      <w:pPr>
        <w:spacing w:after="0" w:line="240" w:lineRule="auto"/>
        <w:rPr>
          <w:rFonts w:eastAsia="Times New Roman" w:cs="Times New Roman"/>
          <w:b/>
          <w:bCs/>
          <w:kern w:val="0"/>
          <w:u w:val="single"/>
          <w:lang w:eastAsia="en-GB"/>
          <w14:ligatures w14:val="none"/>
        </w:rPr>
      </w:pPr>
    </w:p>
    <w:p w14:paraId="59DA0406" w14:textId="3B320A58" w:rsidR="00D97045" w:rsidRPr="00D97045" w:rsidRDefault="00D97045" w:rsidP="00D97045">
      <w:pPr>
        <w:spacing w:after="0" w:line="240" w:lineRule="auto"/>
        <w:rPr>
          <w:rFonts w:eastAsia="Times New Roman" w:cs="Times New Roman"/>
          <w:kern w:val="0"/>
          <w:lang w:eastAsia="en-GB"/>
          <w14:ligatures w14:val="none"/>
        </w:rPr>
      </w:pPr>
      <w:r w:rsidRPr="00D97045">
        <w:rPr>
          <w:rFonts w:eastAsia="Times New Roman" w:cs="Times New Roman"/>
          <w:kern w:val="0"/>
          <w:lang w:eastAsia="en-GB"/>
          <w14:ligatures w14:val="none"/>
        </w:rPr>
        <w:t xml:space="preserve">Chaplain, R. (2017) </w:t>
      </w:r>
      <w:r w:rsidRPr="00D97045">
        <w:rPr>
          <w:rFonts w:eastAsia="Times New Roman" w:cs="Times New Roman"/>
          <w:i/>
          <w:iCs/>
          <w:kern w:val="0"/>
          <w:lang w:eastAsia="en-GB"/>
          <w14:ligatures w14:val="none"/>
        </w:rPr>
        <w:t xml:space="preserve">Teaching without Disruption in the Secondary </w:t>
      </w:r>
      <w:proofErr w:type="gramStart"/>
      <w:r w:rsidRPr="00D97045">
        <w:rPr>
          <w:rFonts w:eastAsia="Times New Roman" w:cs="Times New Roman"/>
          <w:i/>
          <w:iCs/>
          <w:kern w:val="0"/>
          <w:lang w:eastAsia="en-GB"/>
          <w14:ligatures w14:val="none"/>
        </w:rPr>
        <w:t>School</w:t>
      </w:r>
      <w:r w:rsidRPr="00D97045">
        <w:rPr>
          <w:rFonts w:ascii="Arial" w:eastAsia="Times New Roman" w:hAnsi="Arial" w:cs="Arial"/>
          <w:i/>
          <w:iCs/>
          <w:kern w:val="0"/>
          <w:lang w:eastAsia="en-GB"/>
          <w14:ligatures w14:val="none"/>
        </w:rPr>
        <w:t> </w:t>
      </w:r>
      <w:r w:rsidRPr="00D97045">
        <w:rPr>
          <w:rFonts w:eastAsia="Times New Roman" w:cs="Times New Roman"/>
          <w:i/>
          <w:iCs/>
          <w:kern w:val="0"/>
          <w:lang w:eastAsia="en-GB"/>
          <w14:ligatures w14:val="none"/>
        </w:rPr>
        <w:t>:</w:t>
      </w:r>
      <w:proofErr w:type="gramEnd"/>
      <w:r w:rsidRPr="00D97045">
        <w:rPr>
          <w:rFonts w:eastAsia="Times New Roman" w:cs="Times New Roman"/>
          <w:i/>
          <w:iCs/>
          <w:kern w:val="0"/>
          <w:lang w:eastAsia="en-GB"/>
          <w14:ligatures w14:val="none"/>
        </w:rPr>
        <w:t xml:space="preserve"> a Practical Approach to Managing Pupil Behaviour</w:t>
      </w:r>
      <w:r w:rsidRPr="00D97045">
        <w:rPr>
          <w:rFonts w:eastAsia="Times New Roman" w:cs="Times New Roman"/>
          <w:kern w:val="0"/>
          <w:lang w:eastAsia="en-GB"/>
          <w14:ligatures w14:val="none"/>
        </w:rPr>
        <w:t>. Second edition. Taylor and Francis.</w:t>
      </w:r>
    </w:p>
    <w:p w14:paraId="1BD93AFD" w14:textId="77777777" w:rsidR="00D97045" w:rsidRPr="00D97045" w:rsidRDefault="00D97045" w:rsidP="00D97045">
      <w:pPr>
        <w:spacing w:after="0" w:line="240" w:lineRule="auto"/>
        <w:rPr>
          <w:rFonts w:eastAsia="Times New Roman" w:cs="Times New Roman"/>
          <w:kern w:val="0"/>
          <w:lang w:eastAsia="en-GB"/>
          <w14:ligatures w14:val="none"/>
        </w:rPr>
      </w:pPr>
    </w:p>
    <w:p w14:paraId="77B8C975" w14:textId="77777777" w:rsidR="00D97045" w:rsidRPr="00D97045" w:rsidRDefault="00D97045" w:rsidP="00D97045">
      <w:r w:rsidRPr="00D97045">
        <w:t xml:space="preserve">Cybersecurity and Infrastructure Security Agency, (no date) </w:t>
      </w:r>
      <w:r w:rsidRPr="00D97045">
        <w:rPr>
          <w:i/>
          <w:iCs/>
        </w:rPr>
        <w:t xml:space="preserve">De-Escalation. </w:t>
      </w:r>
      <w:r w:rsidRPr="00D97045">
        <w:t xml:space="preserve">Available at: </w:t>
      </w:r>
      <w:hyperlink r:id="rId7" w:history="1">
        <w:r w:rsidRPr="00D97045">
          <w:rPr>
            <w:rStyle w:val="Hyperlink"/>
          </w:rPr>
          <w:t>https://www.cisa.gov/sites/default/files/2022-11/De-Escalation_Final%20508%20%2809.21.21%29.pdf</w:t>
        </w:r>
      </w:hyperlink>
      <w:r w:rsidRPr="00D97045">
        <w:t xml:space="preserve">  (Accessed: 30 October 2025). </w:t>
      </w:r>
    </w:p>
    <w:p w14:paraId="07158DA3" w14:textId="77777777" w:rsidR="00D97045" w:rsidRPr="00D97045" w:rsidRDefault="00D97045" w:rsidP="00D97045">
      <w:r w:rsidRPr="00D97045">
        <w:t xml:space="preserve">Department for Education (2022) </w:t>
      </w:r>
      <w:r w:rsidRPr="00D97045">
        <w:rPr>
          <w:i/>
          <w:iCs/>
        </w:rPr>
        <w:t>Behaviour in Schools: Advice for Headteachers and School Staff</w:t>
      </w:r>
      <w:r w:rsidRPr="00D97045">
        <w:t xml:space="preserve">. Available at: </w:t>
      </w:r>
      <w:hyperlink r:id="rId8" w:history="1">
        <w:r w:rsidRPr="00D97045">
          <w:rPr>
            <w:rStyle w:val="Hyperlink"/>
          </w:rPr>
          <w:t>https://www.gov.uk/government/publications/behaviour-in-schools--2</w:t>
        </w:r>
      </w:hyperlink>
      <w:r w:rsidRPr="00D97045">
        <w:t xml:space="preserve"> (Accessed: 28 October 2025).</w:t>
      </w:r>
    </w:p>
    <w:p w14:paraId="60E74AB4" w14:textId="77777777" w:rsidR="00D97045" w:rsidRPr="00D97045" w:rsidRDefault="00D97045" w:rsidP="00D97045">
      <w:pPr>
        <w:rPr>
          <w:i/>
          <w:iCs/>
        </w:rPr>
      </w:pPr>
      <w:r w:rsidRPr="00D97045">
        <w:t xml:space="preserve">Department of Education and Department of Health, (2015) </w:t>
      </w:r>
      <w:r w:rsidRPr="00D97045">
        <w:rPr>
          <w:i/>
          <w:iCs/>
        </w:rPr>
        <w:t xml:space="preserve">Special Educational Needs and Disability Code of Practice: 0 to 25 Years. </w:t>
      </w:r>
      <w:r w:rsidRPr="00D97045">
        <w:t xml:space="preserve">Available at: </w:t>
      </w:r>
      <w:hyperlink r:id="rId9" w:history="1">
        <w:r w:rsidRPr="00D97045">
          <w:rPr>
            <w:rStyle w:val="Hyperlink"/>
          </w:rPr>
          <w:t>https://assets.publishing.service.gov.uk/government/uploads/system/uploads/attachment_data/file/398815/SEND_Code_of_Practice_January_2015.pdf</w:t>
        </w:r>
      </w:hyperlink>
      <w:r w:rsidRPr="00D97045">
        <w:t xml:space="preserve"> (Accessed: 30 October 2025).</w:t>
      </w:r>
    </w:p>
    <w:p w14:paraId="2429C6D7" w14:textId="77777777" w:rsidR="00D97045" w:rsidRPr="00D97045" w:rsidRDefault="00D97045" w:rsidP="00D97045">
      <w:pPr>
        <w:spacing w:after="0" w:line="240" w:lineRule="auto"/>
        <w:rPr>
          <w:rFonts w:eastAsia="Times New Roman" w:cs="Times New Roman"/>
          <w:kern w:val="0"/>
          <w:lang w:eastAsia="en-GB"/>
          <w14:ligatures w14:val="none"/>
        </w:rPr>
      </w:pPr>
      <w:r w:rsidRPr="00D97045">
        <w:rPr>
          <w:rFonts w:eastAsia="Times New Roman" w:cs="Times New Roman"/>
          <w:kern w:val="0"/>
          <w:lang w:eastAsia="en-GB"/>
          <w14:ligatures w14:val="none"/>
        </w:rPr>
        <w:t xml:space="preserve">Ellis, </w:t>
      </w:r>
      <w:proofErr w:type="gramStart"/>
      <w:r w:rsidRPr="00D97045">
        <w:rPr>
          <w:rFonts w:eastAsia="Times New Roman" w:cs="Times New Roman"/>
          <w:kern w:val="0"/>
          <w:lang w:eastAsia="en-GB"/>
          <w14:ligatures w14:val="none"/>
        </w:rPr>
        <w:t>S.</w:t>
      </w:r>
      <w:proofErr w:type="gramEnd"/>
      <w:r w:rsidRPr="00D97045">
        <w:rPr>
          <w:rFonts w:eastAsia="Times New Roman" w:cs="Times New Roman"/>
          <w:kern w:val="0"/>
          <w:lang w:eastAsia="en-GB"/>
          <w14:ligatures w14:val="none"/>
        </w:rPr>
        <w:t xml:space="preserve"> and Tod, J. (2015) </w:t>
      </w:r>
      <w:r w:rsidRPr="00D97045">
        <w:rPr>
          <w:rFonts w:eastAsia="Times New Roman" w:cs="Times New Roman"/>
          <w:i/>
          <w:iCs/>
          <w:kern w:val="0"/>
          <w:lang w:eastAsia="en-GB"/>
          <w14:ligatures w14:val="none"/>
        </w:rPr>
        <w:t xml:space="preserve">Promoting behaviour for learning in the </w:t>
      </w:r>
      <w:proofErr w:type="gramStart"/>
      <w:r w:rsidRPr="00D97045">
        <w:rPr>
          <w:rFonts w:eastAsia="Times New Roman" w:cs="Times New Roman"/>
          <w:i/>
          <w:iCs/>
          <w:kern w:val="0"/>
          <w:lang w:eastAsia="en-GB"/>
          <w14:ligatures w14:val="none"/>
        </w:rPr>
        <w:t>classroom</w:t>
      </w:r>
      <w:r w:rsidRPr="00D97045">
        <w:rPr>
          <w:rFonts w:ascii="Arial" w:eastAsia="Times New Roman" w:hAnsi="Arial" w:cs="Arial"/>
          <w:i/>
          <w:iCs/>
          <w:kern w:val="0"/>
          <w:lang w:eastAsia="en-GB"/>
          <w14:ligatures w14:val="none"/>
        </w:rPr>
        <w:t> </w:t>
      </w:r>
      <w:r w:rsidRPr="00D97045">
        <w:rPr>
          <w:rFonts w:eastAsia="Times New Roman" w:cs="Times New Roman"/>
          <w:i/>
          <w:iCs/>
          <w:kern w:val="0"/>
          <w:lang w:eastAsia="en-GB"/>
          <w14:ligatures w14:val="none"/>
        </w:rPr>
        <w:t>:</w:t>
      </w:r>
      <w:proofErr w:type="gramEnd"/>
      <w:r w:rsidRPr="00D97045">
        <w:rPr>
          <w:rFonts w:eastAsia="Times New Roman" w:cs="Times New Roman"/>
          <w:i/>
          <w:iCs/>
          <w:kern w:val="0"/>
          <w:lang w:eastAsia="en-GB"/>
          <w14:ligatures w14:val="none"/>
        </w:rPr>
        <w:t xml:space="preserve"> effective strategies, personal </w:t>
      </w:r>
      <w:proofErr w:type="gramStart"/>
      <w:r w:rsidRPr="00D97045">
        <w:rPr>
          <w:rFonts w:eastAsia="Times New Roman" w:cs="Times New Roman"/>
          <w:i/>
          <w:iCs/>
          <w:kern w:val="0"/>
          <w:lang w:eastAsia="en-GB"/>
          <w14:ligatures w14:val="none"/>
        </w:rPr>
        <w:t>style</w:t>
      </w:r>
      <w:proofErr w:type="gramEnd"/>
      <w:r w:rsidRPr="00D97045">
        <w:rPr>
          <w:rFonts w:eastAsia="Times New Roman" w:cs="Times New Roman"/>
          <w:i/>
          <w:iCs/>
          <w:kern w:val="0"/>
          <w:lang w:eastAsia="en-GB"/>
          <w14:ligatures w14:val="none"/>
        </w:rPr>
        <w:t xml:space="preserve"> and professionalism</w:t>
      </w:r>
      <w:r w:rsidRPr="00D97045">
        <w:rPr>
          <w:rFonts w:eastAsia="Times New Roman" w:cs="Times New Roman"/>
          <w:kern w:val="0"/>
          <w:lang w:eastAsia="en-GB"/>
          <w14:ligatures w14:val="none"/>
        </w:rPr>
        <w:t xml:space="preserve">. 1st ed. Routledge. Available at: </w:t>
      </w:r>
      <w:hyperlink r:id="rId10" w:history="1">
        <w:r w:rsidRPr="00D97045">
          <w:rPr>
            <w:rStyle w:val="Hyperlink"/>
            <w:rFonts w:eastAsia="Times New Roman" w:cs="Times New Roman"/>
            <w:kern w:val="0"/>
            <w:lang w:eastAsia="en-GB"/>
            <w14:ligatures w14:val="none"/>
          </w:rPr>
          <w:t>https://doi.org/10.4324/9781315753980</w:t>
        </w:r>
      </w:hyperlink>
      <w:r w:rsidRPr="00D97045">
        <w:rPr>
          <w:rFonts w:eastAsia="Times New Roman" w:cs="Times New Roman"/>
          <w:kern w:val="0"/>
          <w:lang w:eastAsia="en-GB"/>
          <w14:ligatures w14:val="none"/>
        </w:rPr>
        <w:t>.</w:t>
      </w:r>
    </w:p>
    <w:p w14:paraId="71BDEBB6" w14:textId="77777777" w:rsidR="00D97045" w:rsidRPr="00D97045" w:rsidRDefault="00D97045" w:rsidP="00D97045">
      <w:pPr>
        <w:spacing w:after="0" w:line="240" w:lineRule="auto"/>
        <w:rPr>
          <w:rFonts w:eastAsia="Times New Roman" w:cs="Times New Roman"/>
          <w:kern w:val="0"/>
          <w:lang w:eastAsia="en-GB"/>
          <w14:ligatures w14:val="none"/>
        </w:rPr>
      </w:pPr>
    </w:p>
    <w:p w14:paraId="1E089B82" w14:textId="77777777" w:rsidR="00D97045" w:rsidRPr="00D97045" w:rsidRDefault="00D97045" w:rsidP="00D97045">
      <w:r w:rsidRPr="00D97045">
        <w:t xml:space="preserve">Florian, L &amp; Black-Hawkins, K (2011), 'Exploring inclusive pedagogy', </w:t>
      </w:r>
      <w:r w:rsidRPr="00D97045">
        <w:rPr>
          <w:i/>
          <w:iCs/>
        </w:rPr>
        <w:t>British Educational Research Journal</w:t>
      </w:r>
      <w:r w:rsidRPr="00D97045">
        <w:t>, vol. 37, no. 5, pp. 813-828. https://doi.org/10.1080/01411926.2010.501096</w:t>
      </w:r>
    </w:p>
    <w:p w14:paraId="4B427D67" w14:textId="77777777" w:rsidR="00D97045" w:rsidRPr="00D97045" w:rsidRDefault="00D97045" w:rsidP="00D97045">
      <w:r w:rsidRPr="00D97045">
        <w:t xml:space="preserve">Government Equalities Office and Equality and Human Rights Commission, (2015) </w:t>
      </w:r>
      <w:r w:rsidRPr="00D97045">
        <w:rPr>
          <w:i/>
          <w:iCs/>
        </w:rPr>
        <w:t xml:space="preserve">Equality Act 2010. </w:t>
      </w:r>
      <w:r w:rsidRPr="00D97045">
        <w:t xml:space="preserve">Available at: </w:t>
      </w:r>
      <w:hyperlink r:id="rId11" w:history="1">
        <w:r w:rsidRPr="00D97045">
          <w:rPr>
            <w:rStyle w:val="Hyperlink"/>
          </w:rPr>
          <w:t>https://www.gov.uk/guidance/equality-act-2010-guidance</w:t>
        </w:r>
      </w:hyperlink>
      <w:r w:rsidRPr="00D97045">
        <w:t xml:space="preserve"> (Accessed: 30 October 2025).</w:t>
      </w:r>
    </w:p>
    <w:p w14:paraId="50D1B494" w14:textId="77777777" w:rsidR="00D97045" w:rsidRPr="00D97045" w:rsidRDefault="00D97045" w:rsidP="00D97045">
      <w:r w:rsidRPr="00D97045">
        <w:t xml:space="preserve">McLeod, (2025) </w:t>
      </w:r>
      <w:r w:rsidRPr="00D97045">
        <w:rPr>
          <w:i/>
          <w:iCs/>
        </w:rPr>
        <w:t xml:space="preserve">Operant Conditioning: What It Is, How It Works, and Examples. </w:t>
      </w:r>
      <w:r w:rsidRPr="00D97045">
        <w:t xml:space="preserve">Available at: </w:t>
      </w:r>
      <w:hyperlink r:id="rId12" w:history="1">
        <w:r w:rsidRPr="00D97045">
          <w:rPr>
            <w:rStyle w:val="Hyperlink"/>
          </w:rPr>
          <w:t>https://www.simplypsychology.org/operant-conditioning.html</w:t>
        </w:r>
      </w:hyperlink>
      <w:r w:rsidRPr="00D97045">
        <w:t xml:space="preserve"> (Accessed: 30 October 2025).</w:t>
      </w:r>
    </w:p>
    <w:p w14:paraId="18097BA4" w14:textId="77777777" w:rsidR="00D97045" w:rsidRPr="00D97045" w:rsidRDefault="00D97045" w:rsidP="00D97045">
      <w:r w:rsidRPr="00D97045">
        <w:t xml:space="preserve">McLeod, (2025) </w:t>
      </w:r>
      <w:r w:rsidRPr="00D97045">
        <w:rPr>
          <w:i/>
          <w:iCs/>
        </w:rPr>
        <w:t xml:space="preserve">Vygotsky’s Theory Of Cognitive Development. </w:t>
      </w:r>
      <w:r w:rsidRPr="00D97045">
        <w:t xml:space="preserve">Available at: </w:t>
      </w:r>
      <w:hyperlink r:id="rId13" w:history="1">
        <w:r w:rsidRPr="00D97045">
          <w:rPr>
            <w:rStyle w:val="Hyperlink"/>
          </w:rPr>
          <w:t>https://www.simplypsychology.org/vygotsky.html</w:t>
        </w:r>
      </w:hyperlink>
      <w:r w:rsidRPr="00D97045">
        <w:t xml:space="preserve"> (Accessed: 30 October 2025).</w:t>
      </w:r>
    </w:p>
    <w:p w14:paraId="3ED90F4E" w14:textId="77777777" w:rsidR="00D97045" w:rsidRPr="00D97045" w:rsidRDefault="00D97045" w:rsidP="00D97045">
      <w:r w:rsidRPr="00D97045">
        <w:t xml:space="preserve">O’Donohue, W.T. and Ferguson, K.E. (2001) </w:t>
      </w:r>
      <w:r w:rsidRPr="00D97045">
        <w:rPr>
          <w:i/>
          <w:iCs/>
        </w:rPr>
        <w:t>The psychology of B.F. Skinner</w:t>
      </w:r>
      <w:r w:rsidRPr="00D97045">
        <w:t>. 1st ed. Thousand Oaks, Sage Publications.</w:t>
      </w:r>
    </w:p>
    <w:p w14:paraId="282CFD2D" w14:textId="77777777" w:rsidR="00D97045" w:rsidRPr="00D97045" w:rsidRDefault="00D97045" w:rsidP="00D97045">
      <w:r w:rsidRPr="00D97045">
        <w:t xml:space="preserve">O’Neill, S.C. (2016) ‘Preparing Preservice Teachers for Inclusive Classrooms: Does Completing Coursework on Managing Challenging Behaviours Increase Their Classroom Management Sense of Efficacy?’, </w:t>
      </w:r>
      <w:r w:rsidRPr="00D97045">
        <w:rPr>
          <w:i/>
          <w:iCs/>
        </w:rPr>
        <w:t>Australasian journal of special and inclusive education</w:t>
      </w:r>
      <w:r w:rsidRPr="00D97045">
        <w:t xml:space="preserve">, 40(2), pp. 117–140. Available at: </w:t>
      </w:r>
      <w:hyperlink r:id="rId14" w:history="1">
        <w:r w:rsidRPr="00D97045">
          <w:rPr>
            <w:rStyle w:val="Hyperlink"/>
          </w:rPr>
          <w:t>https://doi.org/10.1017/jse.2015.10</w:t>
        </w:r>
      </w:hyperlink>
      <w:r w:rsidRPr="00D97045">
        <w:t>.</w:t>
      </w:r>
    </w:p>
    <w:p w14:paraId="60F97905" w14:textId="77777777" w:rsidR="00D97045" w:rsidRPr="00D97045" w:rsidRDefault="00D97045" w:rsidP="00D97045">
      <w:r w:rsidRPr="00D97045">
        <w:t xml:space="preserve">Restorative Practice, (no date) </w:t>
      </w:r>
      <w:r w:rsidRPr="00D97045">
        <w:rPr>
          <w:i/>
          <w:iCs/>
        </w:rPr>
        <w:t xml:space="preserve">About Restorative Practice Training and Consultancy. </w:t>
      </w:r>
      <w:r w:rsidRPr="00D97045">
        <w:t xml:space="preserve">Available at: </w:t>
      </w:r>
      <w:hyperlink r:id="rId15" w:history="1">
        <w:r w:rsidRPr="00D97045">
          <w:rPr>
            <w:rStyle w:val="Hyperlink"/>
          </w:rPr>
          <w:t>https://restorative-practice.co.uk/</w:t>
        </w:r>
      </w:hyperlink>
      <w:r w:rsidRPr="00D97045">
        <w:t xml:space="preserve"> (Accessed: 30 October 2025).</w:t>
      </w:r>
    </w:p>
    <w:p w14:paraId="5DA48E34" w14:textId="77777777" w:rsidR="00D97045" w:rsidRPr="00D97045" w:rsidRDefault="00D97045" w:rsidP="00D97045">
      <w:pPr>
        <w:spacing w:after="0" w:line="240" w:lineRule="auto"/>
        <w:rPr>
          <w:rFonts w:eastAsia="Times New Roman" w:cs="Times New Roman"/>
          <w:kern w:val="0"/>
          <w:lang w:eastAsia="en-GB"/>
          <w14:ligatures w14:val="none"/>
        </w:rPr>
      </w:pPr>
      <w:r w:rsidRPr="00D97045">
        <w:rPr>
          <w:rFonts w:eastAsia="Times New Roman" w:cs="Times New Roman"/>
          <w:kern w:val="0"/>
          <w:lang w:eastAsia="en-GB"/>
          <w14:ligatures w14:val="none"/>
        </w:rPr>
        <w:t xml:space="preserve">Rogers, W.A. and Visser, J. (2001) ‘Managing behaviour in classrooms’, </w:t>
      </w:r>
      <w:r w:rsidRPr="00D97045">
        <w:rPr>
          <w:rFonts w:eastAsia="Times New Roman" w:cs="Times New Roman"/>
          <w:i/>
          <w:iCs/>
          <w:kern w:val="0"/>
          <w:lang w:eastAsia="en-GB"/>
          <w14:ligatures w14:val="none"/>
        </w:rPr>
        <w:t>British journal of educational psychology</w:t>
      </w:r>
      <w:r w:rsidRPr="00D97045">
        <w:rPr>
          <w:rFonts w:eastAsia="Times New Roman" w:cs="Times New Roman"/>
          <w:kern w:val="0"/>
          <w:lang w:eastAsia="en-GB"/>
          <w14:ligatures w14:val="none"/>
        </w:rPr>
        <w:t>. British Psychological Society, p. 506.</w:t>
      </w:r>
    </w:p>
    <w:p w14:paraId="0CF0557C" w14:textId="77777777" w:rsidR="00D97045" w:rsidRPr="00D97045" w:rsidRDefault="00D97045" w:rsidP="00D97045">
      <w:pPr>
        <w:spacing w:after="0" w:line="240" w:lineRule="auto"/>
        <w:rPr>
          <w:rFonts w:eastAsia="Times New Roman" w:cs="Times New Roman"/>
          <w:kern w:val="0"/>
          <w:lang w:eastAsia="en-GB"/>
          <w14:ligatures w14:val="none"/>
        </w:rPr>
      </w:pPr>
    </w:p>
    <w:p w14:paraId="7B0C1B6F" w14:textId="77777777" w:rsidR="00D97045" w:rsidRPr="00D97045" w:rsidRDefault="00D97045" w:rsidP="00D97045">
      <w:r w:rsidRPr="00D97045">
        <w:t xml:space="preserve">Sander (no date) </w:t>
      </w:r>
      <w:r w:rsidRPr="00D97045">
        <w:rPr>
          <w:i/>
          <w:iCs/>
        </w:rPr>
        <w:t xml:space="preserve">5 Disadvantages Of Technology In Education. </w:t>
      </w:r>
      <w:r w:rsidRPr="00D97045">
        <w:t xml:space="preserve">Available at: </w:t>
      </w:r>
      <w:hyperlink r:id="rId16" w:history="1">
        <w:r w:rsidRPr="00D97045">
          <w:rPr>
            <w:rStyle w:val="Hyperlink"/>
          </w:rPr>
          <w:t>https://managedmethods.com/blog/disadvantages-of-technology-in-education/</w:t>
        </w:r>
      </w:hyperlink>
      <w:r w:rsidRPr="00D97045">
        <w:t xml:space="preserve"> (Accessed: 30 October 2025).</w:t>
      </w:r>
    </w:p>
    <w:p w14:paraId="1A8563AB" w14:textId="77777777" w:rsidR="00D97045" w:rsidRPr="00D97045" w:rsidRDefault="00D97045" w:rsidP="00D97045">
      <w:pPr>
        <w:rPr>
          <w:i/>
          <w:iCs/>
        </w:rPr>
      </w:pPr>
      <w:r w:rsidRPr="00D97045">
        <w:rPr>
          <w:i/>
          <w:iCs/>
        </w:rPr>
        <w:t>Shramko, M. et al. (2024) ‘School Leaders’ Perspectives Implementing Whole School Restorative Practices Across Grade Levels: A Case Study of a School-Based Pilot Project’, School psychology review, 53(6), pp. 675–689. Available at: https://doi.org/10.1080/2372966X.2023.2224054.</w:t>
      </w:r>
    </w:p>
    <w:p w14:paraId="0A4D51CB" w14:textId="77777777" w:rsidR="00D97045" w:rsidRPr="00D97045" w:rsidRDefault="00D97045" w:rsidP="00D97045">
      <w:r w:rsidRPr="00D97045">
        <w:t>Social, Emotional, and Mental Health in Schools, (no date</w:t>
      </w:r>
      <w:r w:rsidRPr="00D97045">
        <w:rPr>
          <w:i/>
          <w:iCs/>
        </w:rPr>
        <w:t xml:space="preserve">) Using De-escalation Techniques for Behaviour Management in SEMH. </w:t>
      </w:r>
      <w:r w:rsidRPr="00D97045">
        <w:t xml:space="preserve">Available at: </w:t>
      </w:r>
      <w:hyperlink r:id="rId17" w:history="1">
        <w:r w:rsidRPr="00D97045">
          <w:rPr>
            <w:rStyle w:val="Hyperlink"/>
          </w:rPr>
          <w:t>https://semhinschools.co.uk/using-de-escalation-techniques-for-behaviour-management-in-semh</w:t>
        </w:r>
      </w:hyperlink>
      <w:r w:rsidRPr="00D97045">
        <w:t xml:space="preserve"> (Accessed: 30 October 2025).</w:t>
      </w:r>
    </w:p>
    <w:p w14:paraId="534794D6" w14:textId="77777777" w:rsidR="00D97045" w:rsidRPr="00D97045" w:rsidRDefault="00D97045" w:rsidP="00D97045">
      <w:proofErr w:type="spellStart"/>
      <w:r w:rsidRPr="00D97045">
        <w:t>Vygotskii</w:t>
      </w:r>
      <w:proofErr w:type="spellEnd"/>
      <w:r w:rsidRPr="00D97045">
        <w:t xml:space="preserve">̆, L.S. and Cole, M. (1978) </w:t>
      </w:r>
      <w:r w:rsidRPr="00D97045">
        <w:rPr>
          <w:i/>
          <w:iCs/>
        </w:rPr>
        <w:t>Mind in society</w:t>
      </w:r>
      <w:r w:rsidRPr="00D97045">
        <w:rPr>
          <w:rFonts w:cs="Arial"/>
          <w:i/>
          <w:iCs/>
        </w:rPr>
        <w:t>:</w:t>
      </w:r>
      <w:r w:rsidRPr="00D97045">
        <w:rPr>
          <w:i/>
          <w:iCs/>
        </w:rPr>
        <w:t xml:space="preserve"> the development of higher psychological processes</w:t>
      </w:r>
      <w:r w:rsidRPr="00D97045">
        <w:t>. Harvard University Press.</w:t>
      </w:r>
    </w:p>
    <w:p w14:paraId="7C25C981" w14:textId="77777777" w:rsidR="00D97045" w:rsidRPr="00D97045" w:rsidRDefault="00D97045" w:rsidP="00D97045">
      <w:r w:rsidRPr="00D97045">
        <w:t xml:space="preserve">Wearmouth, </w:t>
      </w:r>
      <w:proofErr w:type="gramStart"/>
      <w:r w:rsidRPr="00D97045">
        <w:t>J.</w:t>
      </w:r>
      <w:proofErr w:type="gramEnd"/>
      <w:r w:rsidRPr="00D97045">
        <w:t xml:space="preserve"> and Open University. (2001) </w:t>
      </w:r>
      <w:r w:rsidRPr="00D97045">
        <w:rPr>
          <w:i/>
          <w:iCs/>
        </w:rPr>
        <w:t>Special educational provision in the context of inclusion</w:t>
      </w:r>
      <w:r w:rsidRPr="00D97045">
        <w:rPr>
          <w:rFonts w:cs="Arial"/>
          <w:i/>
          <w:iCs/>
        </w:rPr>
        <w:t>:</w:t>
      </w:r>
      <w:r w:rsidRPr="00D97045">
        <w:rPr>
          <w:i/>
          <w:iCs/>
        </w:rPr>
        <w:t xml:space="preserve"> policy and practice in schools</w:t>
      </w:r>
      <w:r w:rsidRPr="00D97045">
        <w:t>. London: David Fulton in association with Open University.</w:t>
      </w:r>
    </w:p>
    <w:p w14:paraId="50B04C0E" w14:textId="77777777" w:rsidR="00D97045" w:rsidRPr="006D518B" w:rsidRDefault="00D97045" w:rsidP="00D97045">
      <w:r w:rsidRPr="00D97045">
        <w:t xml:space="preserve">Welsh Government (2021) </w:t>
      </w:r>
      <w:r w:rsidRPr="00D97045">
        <w:rPr>
          <w:i/>
          <w:iCs/>
        </w:rPr>
        <w:t xml:space="preserve">The Additional Learning Needs Code for Wales 2021. </w:t>
      </w:r>
      <w:r w:rsidRPr="00D97045">
        <w:t xml:space="preserve">Available at: </w:t>
      </w:r>
      <w:hyperlink r:id="rId18" w:history="1">
        <w:r w:rsidRPr="00D97045">
          <w:rPr>
            <w:rStyle w:val="Hyperlink"/>
          </w:rPr>
          <w:t>https://www.gov.wales/sites/default/files/publications/2024-04/220622-the-additional-learning-needs-code-for-wales-2021%20%282%29.pdf</w:t>
        </w:r>
      </w:hyperlink>
      <w:r w:rsidRPr="00D97045">
        <w:t xml:space="preserve"> (Accessed: 30 October 2025).</w:t>
      </w:r>
    </w:p>
    <w:p w14:paraId="5D3403BB" w14:textId="77777777" w:rsidR="002169F2" w:rsidRDefault="002169F2"/>
    <w:sectPr w:rsidR="00216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03B"/>
    <w:rsid w:val="001C642B"/>
    <w:rsid w:val="002169F2"/>
    <w:rsid w:val="002548F6"/>
    <w:rsid w:val="002E2520"/>
    <w:rsid w:val="002F1770"/>
    <w:rsid w:val="003021BF"/>
    <w:rsid w:val="004B2BB4"/>
    <w:rsid w:val="00640AA1"/>
    <w:rsid w:val="00675C95"/>
    <w:rsid w:val="007E2113"/>
    <w:rsid w:val="008063C8"/>
    <w:rsid w:val="008128A7"/>
    <w:rsid w:val="00902389"/>
    <w:rsid w:val="00921367"/>
    <w:rsid w:val="009B5F74"/>
    <w:rsid w:val="009C7550"/>
    <w:rsid w:val="009E5696"/>
    <w:rsid w:val="00A6558D"/>
    <w:rsid w:val="00AF3E73"/>
    <w:rsid w:val="00B2103B"/>
    <w:rsid w:val="00B4101D"/>
    <w:rsid w:val="00D97045"/>
    <w:rsid w:val="00DC7A09"/>
    <w:rsid w:val="00EA1433"/>
    <w:rsid w:val="00FB51FD"/>
    <w:rsid w:val="00FC4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6FA46"/>
  <w15:chartTrackingRefBased/>
  <w15:docId w15:val="{6B961954-A1D1-4CC2-8DCB-1581109F2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03B"/>
  </w:style>
  <w:style w:type="paragraph" w:styleId="Heading1">
    <w:name w:val="heading 1"/>
    <w:basedOn w:val="Normal"/>
    <w:next w:val="Normal"/>
    <w:link w:val="Heading1Char"/>
    <w:uiPriority w:val="9"/>
    <w:qFormat/>
    <w:rsid w:val="00B210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0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0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0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0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0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0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0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0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0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0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0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0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0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0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0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0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03B"/>
    <w:rPr>
      <w:rFonts w:eastAsiaTheme="majorEastAsia" w:cstheme="majorBidi"/>
      <w:color w:val="272727" w:themeColor="text1" w:themeTint="D8"/>
    </w:rPr>
  </w:style>
  <w:style w:type="paragraph" w:styleId="Title">
    <w:name w:val="Title"/>
    <w:basedOn w:val="Normal"/>
    <w:next w:val="Normal"/>
    <w:link w:val="TitleChar"/>
    <w:uiPriority w:val="10"/>
    <w:qFormat/>
    <w:rsid w:val="00B210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0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0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0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03B"/>
    <w:pPr>
      <w:spacing w:before="160"/>
      <w:jc w:val="center"/>
    </w:pPr>
    <w:rPr>
      <w:i/>
      <w:iCs/>
      <w:color w:val="404040" w:themeColor="text1" w:themeTint="BF"/>
    </w:rPr>
  </w:style>
  <w:style w:type="character" w:customStyle="1" w:styleId="QuoteChar">
    <w:name w:val="Quote Char"/>
    <w:basedOn w:val="DefaultParagraphFont"/>
    <w:link w:val="Quote"/>
    <w:uiPriority w:val="29"/>
    <w:rsid w:val="00B2103B"/>
    <w:rPr>
      <w:i/>
      <w:iCs/>
      <w:color w:val="404040" w:themeColor="text1" w:themeTint="BF"/>
    </w:rPr>
  </w:style>
  <w:style w:type="paragraph" w:styleId="ListParagraph">
    <w:name w:val="List Paragraph"/>
    <w:basedOn w:val="Normal"/>
    <w:uiPriority w:val="34"/>
    <w:qFormat/>
    <w:rsid w:val="00B2103B"/>
    <w:pPr>
      <w:ind w:left="720"/>
      <w:contextualSpacing/>
    </w:pPr>
  </w:style>
  <w:style w:type="character" w:styleId="IntenseEmphasis">
    <w:name w:val="Intense Emphasis"/>
    <w:basedOn w:val="DefaultParagraphFont"/>
    <w:uiPriority w:val="21"/>
    <w:qFormat/>
    <w:rsid w:val="00B2103B"/>
    <w:rPr>
      <w:i/>
      <w:iCs/>
      <w:color w:val="0F4761" w:themeColor="accent1" w:themeShade="BF"/>
    </w:rPr>
  </w:style>
  <w:style w:type="paragraph" w:styleId="IntenseQuote">
    <w:name w:val="Intense Quote"/>
    <w:basedOn w:val="Normal"/>
    <w:next w:val="Normal"/>
    <w:link w:val="IntenseQuoteChar"/>
    <w:uiPriority w:val="30"/>
    <w:qFormat/>
    <w:rsid w:val="00B210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03B"/>
    <w:rPr>
      <w:i/>
      <w:iCs/>
      <w:color w:val="0F4761" w:themeColor="accent1" w:themeShade="BF"/>
    </w:rPr>
  </w:style>
  <w:style w:type="character" w:styleId="IntenseReference">
    <w:name w:val="Intense Reference"/>
    <w:basedOn w:val="DefaultParagraphFont"/>
    <w:uiPriority w:val="32"/>
    <w:qFormat/>
    <w:rsid w:val="00B2103B"/>
    <w:rPr>
      <w:b/>
      <w:bCs/>
      <w:smallCaps/>
      <w:color w:val="0F4761" w:themeColor="accent1" w:themeShade="BF"/>
      <w:spacing w:val="5"/>
    </w:rPr>
  </w:style>
  <w:style w:type="character" w:styleId="Hyperlink">
    <w:name w:val="Hyperlink"/>
    <w:basedOn w:val="DefaultParagraphFont"/>
    <w:uiPriority w:val="99"/>
    <w:unhideWhenUsed/>
    <w:rsid w:val="00D9704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behaviour-in-schools--2" TargetMode="External"/><Relationship Id="rId13" Type="http://schemas.openxmlformats.org/officeDocument/2006/relationships/hyperlink" Target="https://www.simplypsychology.org/vygotsky.html" TargetMode="External"/><Relationship Id="rId18" Type="http://schemas.openxmlformats.org/officeDocument/2006/relationships/hyperlink" Target="https://www.gov.wales/sites/default/files/publications/2024-04/220622-the-additional-learning-needs-code-for-wales-2021%20%282%29.pdf" TargetMode="External"/><Relationship Id="rId3" Type="http://schemas.openxmlformats.org/officeDocument/2006/relationships/customXml" Target="../customXml/item3.xml"/><Relationship Id="rId7" Type="http://schemas.openxmlformats.org/officeDocument/2006/relationships/hyperlink" Target="https://www.cisa.gov/sites/default/files/2022-11/De-Escalation_Final%20508%20%2809.21.21%29.pdf" TargetMode="External"/><Relationship Id="rId12" Type="http://schemas.openxmlformats.org/officeDocument/2006/relationships/hyperlink" Target="https://www.simplypsychology.org/operant-conditioning.html" TargetMode="External"/><Relationship Id="rId17" Type="http://schemas.openxmlformats.org/officeDocument/2006/relationships/hyperlink" Target="https://semhinschools.co.uk/using-de-escalation-techniques-for-behaviour-management-in-semh" TargetMode="External"/><Relationship Id="rId2" Type="http://schemas.openxmlformats.org/officeDocument/2006/relationships/customXml" Target="../customXml/item2.xml"/><Relationship Id="rId16" Type="http://schemas.openxmlformats.org/officeDocument/2006/relationships/hyperlink" Target="https://managedmethods.com/blog/disadvantages-of-technology-in-edu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uidance/equality-act-2010-guidance" TargetMode="External"/><Relationship Id="rId5" Type="http://schemas.openxmlformats.org/officeDocument/2006/relationships/settings" Target="settings.xml"/><Relationship Id="rId15" Type="http://schemas.openxmlformats.org/officeDocument/2006/relationships/hyperlink" Target="https://restorative-practice.co.uk/" TargetMode="External"/><Relationship Id="rId10" Type="http://schemas.openxmlformats.org/officeDocument/2006/relationships/hyperlink" Target="https://doi.org/10.4324/978131575398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398815/SEND_Code_of_Practice_January_2015.pdf" TargetMode="External"/><Relationship Id="rId14" Type="http://schemas.openxmlformats.org/officeDocument/2006/relationships/hyperlink" Target="https://doi.org/10.1017/jse.2015.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259543455cf07833cac6d97f5275e005">
  <xsd:schema xmlns:xsd="http://www.w3.org/2001/XMLSchema" xmlns:xs="http://www.w3.org/2001/XMLSchema" xmlns:p="http://schemas.microsoft.com/office/2006/metadata/properties" xmlns:ns3="3ef5847a-e696-4fee-a2c0-6c3f87568321" targetNamespace="http://schemas.microsoft.com/office/2006/metadata/properties" ma:root="true" ma:fieldsID="5729abe82b1f49d1338bcb7c358fe19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4B3F01-713F-4EC1-8C61-58C0A0DB1339}">
  <ds:schemaRefs>
    <ds:schemaRef ds:uri="http://schemas.microsoft.com/office/2006/metadata/properties"/>
    <ds:schemaRef ds:uri="http://purl.org/dc/elements/1.1/"/>
    <ds:schemaRef ds:uri="http://purl.org/dc/terms/"/>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3ef5847a-e696-4fee-a2c0-6c3f87568321"/>
    <ds:schemaRef ds:uri="http://purl.org/dc/dcmitype/"/>
  </ds:schemaRefs>
</ds:datastoreItem>
</file>

<file path=customXml/itemProps2.xml><?xml version="1.0" encoding="utf-8"?>
<ds:datastoreItem xmlns:ds="http://schemas.openxmlformats.org/officeDocument/2006/customXml" ds:itemID="{CC99AC3A-7B3A-49C2-887F-A8FE1C0B10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065404-6080-4137-9C13-94BA53192B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3596</Words>
  <Characters>20500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Paulett (2322036)</dc:creator>
  <cp:keywords/>
  <dc:description/>
  <cp:lastModifiedBy>Faith Paulett (2322036)</cp:lastModifiedBy>
  <cp:revision>2</cp:revision>
  <dcterms:created xsi:type="dcterms:W3CDTF">2025-10-30T21:44:00Z</dcterms:created>
  <dcterms:modified xsi:type="dcterms:W3CDTF">2025-10-30T21:44:00Z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