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B77D3" w14:textId="77777777" w:rsidR="008F1230" w:rsidRDefault="008F1230">
      <w:pPr>
        <w:rPr>
          <w:lang w:val="en-GB"/>
        </w:rPr>
      </w:pPr>
    </w:p>
    <w:p w14:paraId="7E5F0133" w14:textId="069F4725" w:rsidR="00003B74" w:rsidRPr="00003B74" w:rsidRDefault="00003B74">
      <w:pPr>
        <w:rPr>
          <w:lang w:val="nl-NL"/>
        </w:rPr>
      </w:pPr>
      <w:r w:rsidRPr="0059204E">
        <w:rPr>
          <w:b/>
          <w:bCs/>
          <w:lang w:val="nl-NL"/>
        </w:rPr>
        <w:t>Student Name:</w:t>
      </w:r>
      <w:r w:rsidRPr="00003B74">
        <w:rPr>
          <w:lang w:val="nl-NL"/>
        </w:rPr>
        <w:t xml:space="preserve"> Jeneba Echeverria </w:t>
      </w:r>
      <w:proofErr w:type="spellStart"/>
      <w:r w:rsidRPr="00003B74">
        <w:rPr>
          <w:lang w:val="nl-NL"/>
        </w:rPr>
        <w:t>Dominguez</w:t>
      </w:r>
      <w:proofErr w:type="spellEnd"/>
      <w:r w:rsidRPr="00003B74">
        <w:rPr>
          <w:lang w:val="nl-NL"/>
        </w:rPr>
        <w:t xml:space="preserve"> </w:t>
      </w:r>
    </w:p>
    <w:p w14:paraId="620776DA" w14:textId="3180DFBE" w:rsidR="00003B74" w:rsidRPr="0059204E" w:rsidRDefault="00003B74">
      <w:pPr>
        <w:rPr>
          <w:b/>
          <w:bCs/>
          <w:lang w:val="nl-NL"/>
        </w:rPr>
      </w:pPr>
      <w:r w:rsidRPr="0059204E">
        <w:rPr>
          <w:b/>
          <w:bCs/>
          <w:lang w:val="nl-NL"/>
        </w:rPr>
        <w:t xml:space="preserve">Student ID: </w:t>
      </w:r>
      <w:r w:rsidR="00D82183" w:rsidRPr="00D82183">
        <w:rPr>
          <w:lang w:val="nl-NL"/>
        </w:rPr>
        <w:t>2438504</w:t>
      </w:r>
    </w:p>
    <w:p w14:paraId="5D6AD718" w14:textId="0136DD9C" w:rsidR="00003B74" w:rsidRPr="00003B74" w:rsidRDefault="00003B74">
      <w:r w:rsidRPr="0059204E">
        <w:rPr>
          <w:b/>
          <w:bCs/>
        </w:rPr>
        <w:t>Module Name:</w:t>
      </w:r>
      <w:r w:rsidRPr="00003B74">
        <w:t xml:space="preserve"> </w:t>
      </w:r>
      <w:r>
        <w:t xml:space="preserve">Introduction to Health and Social Care </w:t>
      </w:r>
    </w:p>
    <w:p w14:paraId="6B6952ED" w14:textId="1DE605A5" w:rsidR="00003B74" w:rsidRPr="00003B74" w:rsidRDefault="00003B74">
      <w:r w:rsidRPr="0059204E">
        <w:rPr>
          <w:b/>
          <w:bCs/>
        </w:rPr>
        <w:t>Module Code:</w:t>
      </w:r>
      <w:r w:rsidRPr="00003B74">
        <w:t xml:space="preserve"> </w:t>
      </w:r>
      <w:r>
        <w:t>(</w:t>
      </w:r>
      <w:r w:rsidRPr="00003B74">
        <w:t>L</w:t>
      </w:r>
      <w:r>
        <w:t>CH4003_LON)</w:t>
      </w:r>
    </w:p>
    <w:p w14:paraId="5ABB8650" w14:textId="01A95B1E" w:rsidR="00003B74" w:rsidRPr="00003B74" w:rsidRDefault="00003B74">
      <w:r w:rsidRPr="0059204E">
        <w:rPr>
          <w:b/>
          <w:bCs/>
        </w:rPr>
        <w:t>Electra Name:</w:t>
      </w:r>
      <w:r w:rsidRPr="00003B74">
        <w:t xml:space="preserve"> </w:t>
      </w:r>
      <w:r>
        <w:t xml:space="preserve">Dr Cristopher </w:t>
      </w:r>
      <w:proofErr w:type="spellStart"/>
      <w:r>
        <w:t>Mafuva</w:t>
      </w:r>
      <w:proofErr w:type="spellEnd"/>
      <w:r>
        <w:t xml:space="preserve"> </w:t>
      </w:r>
    </w:p>
    <w:p w14:paraId="525F22E1" w14:textId="77777777" w:rsidR="00003B74" w:rsidRDefault="00003B74"/>
    <w:p w14:paraId="366FAE42" w14:textId="77777777" w:rsidR="00003B74" w:rsidRDefault="00003B74"/>
    <w:p w14:paraId="5668C1AC" w14:textId="77777777" w:rsidR="00003B74" w:rsidRDefault="00003B74"/>
    <w:p w14:paraId="64F0C48B" w14:textId="77777777" w:rsidR="00003B74" w:rsidRDefault="00003B74"/>
    <w:p w14:paraId="3501823E" w14:textId="77777777" w:rsidR="00003B74" w:rsidRDefault="00003B74"/>
    <w:p w14:paraId="718D8B26" w14:textId="77777777" w:rsidR="00003B74" w:rsidRDefault="00003B74"/>
    <w:p w14:paraId="11EE4388" w14:textId="77777777" w:rsidR="00003B74" w:rsidRDefault="00003B74"/>
    <w:p w14:paraId="5891E4D0" w14:textId="77777777" w:rsidR="00003B74" w:rsidRDefault="00003B74"/>
    <w:p w14:paraId="62D9E67F" w14:textId="77777777" w:rsidR="00003B74" w:rsidRDefault="00003B74"/>
    <w:p w14:paraId="49B6FCF9" w14:textId="77777777" w:rsidR="00003B74" w:rsidRDefault="00003B74"/>
    <w:p w14:paraId="692EAB55" w14:textId="77777777" w:rsidR="00003B74" w:rsidRDefault="00003B74"/>
    <w:p w14:paraId="642CE55E" w14:textId="77777777" w:rsidR="00003B74" w:rsidRDefault="00003B74"/>
    <w:p w14:paraId="1ED6ECC5" w14:textId="77777777" w:rsidR="00003B74" w:rsidRDefault="00003B74"/>
    <w:p w14:paraId="356BF1F2" w14:textId="77777777" w:rsidR="00003B74" w:rsidRDefault="00003B74"/>
    <w:p w14:paraId="348CE75C" w14:textId="77777777" w:rsidR="00003B74" w:rsidRDefault="00003B74"/>
    <w:p w14:paraId="09537B54" w14:textId="77777777" w:rsidR="00003B74" w:rsidRDefault="00003B74"/>
    <w:p w14:paraId="6BFACC4F" w14:textId="77777777" w:rsidR="00003B74" w:rsidRDefault="00003B74"/>
    <w:p w14:paraId="43240BD8" w14:textId="77777777" w:rsidR="00003B74" w:rsidRDefault="00003B74"/>
    <w:p w14:paraId="38644D54" w14:textId="77777777" w:rsidR="00003B74" w:rsidRDefault="00003B74"/>
    <w:p w14:paraId="020FE889" w14:textId="77777777" w:rsidR="00003B74" w:rsidRDefault="00003B74"/>
    <w:p w14:paraId="57FAED38" w14:textId="77777777" w:rsidR="00003B74" w:rsidRDefault="00003B74"/>
    <w:p w14:paraId="4080DD4F" w14:textId="77777777" w:rsidR="00003B74" w:rsidRDefault="00003B74"/>
    <w:p w14:paraId="464E2ECD" w14:textId="77777777" w:rsidR="00003B74" w:rsidRDefault="00003B74"/>
    <w:p w14:paraId="5315C3E9" w14:textId="204DB55E" w:rsidR="00D1403F" w:rsidRPr="00991EC8" w:rsidRDefault="00D1403F">
      <w:pPr>
        <w:rPr>
          <w:b/>
          <w:bCs/>
          <w:sz w:val="40"/>
          <w:szCs w:val="40"/>
        </w:rPr>
      </w:pPr>
      <w:r w:rsidRPr="00991EC8">
        <w:rPr>
          <w:b/>
          <w:bCs/>
          <w:sz w:val="40"/>
          <w:szCs w:val="40"/>
        </w:rPr>
        <w:t xml:space="preserve">Table of Content </w:t>
      </w:r>
    </w:p>
    <w:p w14:paraId="4588A1C2" w14:textId="6E25140A" w:rsidR="00D1403F" w:rsidRDefault="00DA4916" w:rsidP="0008761E">
      <w:r w:rsidRPr="0008761E">
        <w:t>Introduction</w:t>
      </w:r>
      <w:r>
        <w:rPr>
          <w:sz w:val="40"/>
          <w:szCs w:val="40"/>
        </w:rPr>
        <w:t xml:space="preserve"> </w:t>
      </w:r>
      <w:r w:rsidR="0008761E" w:rsidRPr="0008761E">
        <w:t>----------</w:t>
      </w:r>
      <w:r w:rsidR="0008761E">
        <w:t>-------------------------------------------------------</w:t>
      </w:r>
      <w:r w:rsidR="0008761E" w:rsidRPr="0008761E">
        <w:t>--------------------</w:t>
      </w:r>
      <w:proofErr w:type="spellStart"/>
      <w:r w:rsidR="00EF7899">
        <w:t>pag</w:t>
      </w:r>
      <w:proofErr w:type="spellEnd"/>
      <w:r w:rsidR="00EF7899">
        <w:t>. 1</w:t>
      </w:r>
    </w:p>
    <w:p w14:paraId="1FA3AD38" w14:textId="79A6558F" w:rsidR="00EF7899" w:rsidRDefault="00EF7899" w:rsidP="0008761E">
      <w:r>
        <w:t>Important of effective communication---------------------------------------------------</w:t>
      </w:r>
      <w:r w:rsidR="00991EC8">
        <w:t xml:space="preserve"> </w:t>
      </w:r>
      <w:r>
        <w:t>pag.1</w:t>
      </w:r>
      <w:r w:rsidR="00991EC8">
        <w:t>-2</w:t>
      </w:r>
    </w:p>
    <w:p w14:paraId="23AD17C4" w14:textId="58BC4D7F" w:rsidR="00991EC8" w:rsidRDefault="00991EC8" w:rsidP="0008761E">
      <w:r>
        <w:t>Important of good administrative skills --------------------------------------------------</w:t>
      </w:r>
      <w:proofErr w:type="spellStart"/>
      <w:r>
        <w:t>pag</w:t>
      </w:r>
      <w:proofErr w:type="spellEnd"/>
      <w:r>
        <w:t>. 2-3</w:t>
      </w:r>
    </w:p>
    <w:p w14:paraId="40EAE832" w14:textId="4E35026C" w:rsidR="00991EC8" w:rsidRDefault="00991EC8" w:rsidP="0008761E">
      <w:r>
        <w:t xml:space="preserve">Important of collaboratively-------------------------------------------------------------------pag.3 </w:t>
      </w:r>
    </w:p>
    <w:p w14:paraId="31064851" w14:textId="3765DEE7" w:rsidR="00D46AAB" w:rsidRDefault="00D46AAB" w:rsidP="0008761E">
      <w:r>
        <w:t>Example of important collaboratively-----------------------------------------------------pag.</w:t>
      </w:r>
      <w:r w:rsidR="00F70BC8">
        <w:t>3-4</w:t>
      </w:r>
    </w:p>
    <w:p w14:paraId="4C74DCCA" w14:textId="1F37DA83" w:rsidR="00991EC8" w:rsidRPr="00F70BC8" w:rsidRDefault="00991EC8" w:rsidP="0008761E">
      <w:pPr>
        <w:rPr>
          <w:lang w:val="fr-FR"/>
        </w:rPr>
      </w:pPr>
      <w:r w:rsidRPr="00F70BC8">
        <w:rPr>
          <w:lang w:val="fr-FR"/>
        </w:rPr>
        <w:t>Conclusion-------------------------------------------------------------------------------------pag.</w:t>
      </w:r>
      <w:r w:rsidR="00F70BC8" w:rsidRPr="00F70BC8">
        <w:rPr>
          <w:lang w:val="fr-FR"/>
        </w:rPr>
        <w:t>5-</w:t>
      </w:r>
      <w:r w:rsidR="00F70BC8">
        <w:rPr>
          <w:lang w:val="fr-FR"/>
        </w:rPr>
        <w:t>6</w:t>
      </w:r>
    </w:p>
    <w:p w14:paraId="06403D9C" w14:textId="6E3BA0C3" w:rsidR="00991EC8" w:rsidRPr="00F70BC8" w:rsidRDefault="00991EC8" w:rsidP="0008761E">
      <w:pPr>
        <w:rPr>
          <w:lang w:val="fr-FR"/>
        </w:rPr>
      </w:pPr>
      <w:proofErr w:type="spellStart"/>
      <w:r w:rsidRPr="00F70BC8">
        <w:rPr>
          <w:lang w:val="fr-FR"/>
        </w:rPr>
        <w:t>References</w:t>
      </w:r>
      <w:proofErr w:type="spellEnd"/>
      <w:r w:rsidRPr="00F70BC8">
        <w:rPr>
          <w:lang w:val="fr-FR"/>
        </w:rPr>
        <w:t>-----------------------------------------------------------------------------------pag</w:t>
      </w:r>
      <w:r w:rsidR="0018714A" w:rsidRPr="00F70BC8">
        <w:rPr>
          <w:lang w:val="fr-FR"/>
        </w:rPr>
        <w:t>.</w:t>
      </w:r>
      <w:r w:rsidRPr="00F70BC8">
        <w:rPr>
          <w:lang w:val="fr-FR"/>
        </w:rPr>
        <w:t>6-7</w:t>
      </w:r>
      <w:r w:rsidR="006522B6">
        <w:rPr>
          <w:lang w:val="fr-FR"/>
        </w:rPr>
        <w:t>-8</w:t>
      </w:r>
    </w:p>
    <w:p w14:paraId="340FE526" w14:textId="77777777" w:rsidR="00991EC8" w:rsidRPr="00F70BC8" w:rsidRDefault="00991EC8" w:rsidP="0008761E">
      <w:pPr>
        <w:rPr>
          <w:sz w:val="40"/>
          <w:szCs w:val="40"/>
          <w:lang w:val="fr-FR"/>
        </w:rPr>
      </w:pPr>
    </w:p>
    <w:p w14:paraId="5E5681EE" w14:textId="77777777" w:rsidR="00D1403F" w:rsidRPr="00F70BC8" w:rsidRDefault="00D1403F">
      <w:pPr>
        <w:rPr>
          <w:sz w:val="40"/>
          <w:szCs w:val="40"/>
          <w:lang w:val="fr-FR"/>
        </w:rPr>
      </w:pPr>
    </w:p>
    <w:p w14:paraId="60A6140B" w14:textId="77777777" w:rsidR="00D1403F" w:rsidRPr="00F70BC8" w:rsidRDefault="00D1403F">
      <w:pPr>
        <w:rPr>
          <w:lang w:val="fr-FR"/>
        </w:rPr>
      </w:pPr>
    </w:p>
    <w:p w14:paraId="04D5F37E" w14:textId="77777777" w:rsidR="00D1403F" w:rsidRPr="00F70BC8" w:rsidRDefault="00D1403F">
      <w:pPr>
        <w:rPr>
          <w:lang w:val="fr-FR"/>
        </w:rPr>
      </w:pPr>
    </w:p>
    <w:p w14:paraId="31138BD0" w14:textId="77777777" w:rsidR="00D1403F" w:rsidRPr="00F70BC8" w:rsidRDefault="00D1403F">
      <w:pPr>
        <w:rPr>
          <w:lang w:val="fr-FR"/>
        </w:rPr>
      </w:pPr>
    </w:p>
    <w:p w14:paraId="2DD214F6" w14:textId="77777777" w:rsidR="00D1403F" w:rsidRPr="00F70BC8" w:rsidRDefault="00D1403F">
      <w:pPr>
        <w:rPr>
          <w:lang w:val="fr-FR"/>
        </w:rPr>
      </w:pPr>
    </w:p>
    <w:p w14:paraId="5B5499D0" w14:textId="77777777" w:rsidR="00D1403F" w:rsidRPr="00F70BC8" w:rsidRDefault="00D1403F">
      <w:pPr>
        <w:rPr>
          <w:lang w:val="fr-FR"/>
        </w:rPr>
      </w:pPr>
    </w:p>
    <w:p w14:paraId="57584F23" w14:textId="77777777" w:rsidR="00D1403F" w:rsidRPr="00F70BC8" w:rsidRDefault="00D1403F">
      <w:pPr>
        <w:rPr>
          <w:lang w:val="fr-FR"/>
        </w:rPr>
      </w:pPr>
    </w:p>
    <w:p w14:paraId="58A5CFFB" w14:textId="77777777" w:rsidR="00D1403F" w:rsidRPr="00F70BC8" w:rsidRDefault="00D1403F">
      <w:pPr>
        <w:rPr>
          <w:lang w:val="fr-FR"/>
        </w:rPr>
      </w:pPr>
    </w:p>
    <w:p w14:paraId="6FBBF217" w14:textId="77777777" w:rsidR="00D1403F" w:rsidRPr="00F70BC8" w:rsidRDefault="00D1403F">
      <w:pPr>
        <w:rPr>
          <w:lang w:val="fr-FR"/>
        </w:rPr>
      </w:pPr>
    </w:p>
    <w:p w14:paraId="68A7C9B3" w14:textId="77777777" w:rsidR="00D1403F" w:rsidRPr="00F70BC8" w:rsidRDefault="00D1403F">
      <w:pPr>
        <w:rPr>
          <w:lang w:val="fr-FR"/>
        </w:rPr>
      </w:pPr>
    </w:p>
    <w:p w14:paraId="5EC87D3E" w14:textId="77777777" w:rsidR="00D1403F" w:rsidRPr="00F70BC8" w:rsidRDefault="00D1403F">
      <w:pPr>
        <w:rPr>
          <w:lang w:val="fr-FR"/>
        </w:rPr>
      </w:pPr>
    </w:p>
    <w:p w14:paraId="6DD7DE77" w14:textId="77777777" w:rsidR="00D1403F" w:rsidRPr="00F70BC8" w:rsidRDefault="00D1403F">
      <w:pPr>
        <w:rPr>
          <w:lang w:val="fr-FR"/>
        </w:rPr>
      </w:pPr>
    </w:p>
    <w:p w14:paraId="4466F048" w14:textId="77777777" w:rsidR="00D1403F" w:rsidRPr="00F70BC8" w:rsidRDefault="00D1403F">
      <w:pPr>
        <w:rPr>
          <w:lang w:val="fr-FR"/>
        </w:rPr>
      </w:pPr>
    </w:p>
    <w:p w14:paraId="3814D9C9" w14:textId="77777777" w:rsidR="00D1403F" w:rsidRPr="00F70BC8" w:rsidRDefault="00D1403F">
      <w:pPr>
        <w:rPr>
          <w:lang w:val="fr-FR"/>
        </w:rPr>
      </w:pPr>
    </w:p>
    <w:p w14:paraId="2C643728" w14:textId="77777777" w:rsidR="00D1403F" w:rsidRPr="00F70BC8" w:rsidRDefault="00D1403F">
      <w:pPr>
        <w:rPr>
          <w:lang w:val="fr-FR"/>
        </w:rPr>
      </w:pPr>
    </w:p>
    <w:p w14:paraId="1DB250A9" w14:textId="77777777" w:rsidR="00D1403F" w:rsidRPr="00F70BC8" w:rsidRDefault="00D1403F">
      <w:pPr>
        <w:rPr>
          <w:lang w:val="fr-FR"/>
        </w:rPr>
      </w:pPr>
    </w:p>
    <w:p w14:paraId="44438B8D" w14:textId="77777777" w:rsidR="00D1403F" w:rsidRPr="00F70BC8" w:rsidRDefault="00D1403F">
      <w:pPr>
        <w:rPr>
          <w:lang w:val="fr-FR"/>
        </w:rPr>
      </w:pPr>
    </w:p>
    <w:p w14:paraId="2FBA8DAE" w14:textId="77777777" w:rsidR="00D1403F" w:rsidRPr="00F70BC8" w:rsidRDefault="00D1403F">
      <w:pPr>
        <w:rPr>
          <w:lang w:val="fr-FR"/>
        </w:rPr>
      </w:pPr>
    </w:p>
    <w:p w14:paraId="526EF81E" w14:textId="77777777" w:rsidR="00B42738" w:rsidRPr="00F70BC8" w:rsidRDefault="00B42738">
      <w:pPr>
        <w:rPr>
          <w:lang w:val="fr-FR"/>
        </w:rPr>
      </w:pPr>
    </w:p>
    <w:p w14:paraId="2C86F28A" w14:textId="4DDB09CE" w:rsidR="00003B74" w:rsidRPr="00F70BC8" w:rsidRDefault="00003B74">
      <w:pPr>
        <w:rPr>
          <w:b/>
          <w:bCs/>
          <w:lang w:val="fr-FR"/>
        </w:rPr>
      </w:pPr>
      <w:r w:rsidRPr="00F70BC8">
        <w:rPr>
          <w:b/>
          <w:bCs/>
          <w:lang w:val="fr-FR"/>
        </w:rPr>
        <w:t xml:space="preserve">Introduction </w:t>
      </w:r>
    </w:p>
    <w:p w14:paraId="64BF8EAD" w14:textId="541DCF6A" w:rsidR="00E51A58" w:rsidRDefault="00772BA2">
      <w:r w:rsidRPr="00772BA2">
        <w:t xml:space="preserve">In health and social care, effective cooperation, precise record keeping, and good communication are crucial for ensuring the safety of service users and providing high-quality treatment (CQC, 2014). The subject of this article is Mrs. Mann, a 72-year-old woman who underwent hip replacement surgery and was just released from the hospital. She receives medical treatment from her general practitioner, physiotherapy help, and domiciliary care while living alone. Communication difficulties may arise since Mrs. Mann's first language is Urdu and her proficiency in English is low (Equality Act, 2010). Her daughter frequently acts as an interpreter for her. The dangers of poor communication and administration are highlighted by recent worries about inadequate documentation and a delay in prescription modifications (NMC, 2018). The significance of efficient communication, strong administrative abilities, and teamwork will be covered in this </w:t>
      </w:r>
      <w:r w:rsidR="006C572C" w:rsidRPr="00772BA2">
        <w:t>paper. The</w:t>
      </w:r>
      <w:r w:rsidRPr="00772BA2">
        <w:t xml:space="preserve"> subject of this article is Mrs. Mann, a 72-year-old woman who underwent hip replacement surgery and was just released from the hospital. She receives medical treatment from her general practitioner, physiotherapy help, and domiciliary care while living alone.</w:t>
      </w:r>
    </w:p>
    <w:p w14:paraId="65679B3C" w14:textId="77777777" w:rsidR="00772BA2" w:rsidRDefault="00772BA2"/>
    <w:p w14:paraId="73F66828" w14:textId="16B4FF51" w:rsidR="00772BA2" w:rsidRDefault="0080547E" w:rsidP="008031B7">
      <w:pPr>
        <w:rPr>
          <w:b/>
          <w:bCs/>
        </w:rPr>
      </w:pPr>
      <w:r w:rsidRPr="008031B7">
        <w:rPr>
          <w:b/>
          <w:bCs/>
        </w:rPr>
        <w:t xml:space="preserve">Important of effective </w:t>
      </w:r>
      <w:r w:rsidR="00B42738" w:rsidRPr="008031B7">
        <w:rPr>
          <w:b/>
          <w:bCs/>
        </w:rPr>
        <w:t xml:space="preserve">communication </w:t>
      </w:r>
      <w:r w:rsidR="005672D8">
        <w:rPr>
          <w:b/>
          <w:bCs/>
        </w:rPr>
        <w:t xml:space="preserve">of </w:t>
      </w:r>
      <w:r w:rsidR="006C572C">
        <w:rPr>
          <w:b/>
          <w:bCs/>
        </w:rPr>
        <w:t>Mrs.</w:t>
      </w:r>
      <w:r w:rsidR="005672D8">
        <w:rPr>
          <w:b/>
          <w:bCs/>
        </w:rPr>
        <w:t xml:space="preserve"> Mann’s care </w:t>
      </w:r>
    </w:p>
    <w:p w14:paraId="6E5FB693" w14:textId="6E834B15" w:rsidR="00A44A69" w:rsidRDefault="006C572C" w:rsidP="00A44A69">
      <w:r>
        <w:t>To</w:t>
      </w:r>
      <w:r w:rsidR="00A44A69">
        <w:t xml:space="preserve"> provide safe, person-</w:t>
      </w:r>
      <w:r>
        <w:t>center</w:t>
      </w:r>
      <w:r w:rsidR="00A44A69">
        <w:t xml:space="preserve"> care and lower the risk of errors, effective communication is essential (NMC, 2018). Given Mrs. Mann's low command of English and the involvement of multiple professionals, communication is especially crucial in this situation. As seen by the delayed medication adjustment, poor communication can result in misconceptions, less independence, and dangerous treatment.</w:t>
      </w:r>
    </w:p>
    <w:p w14:paraId="68EC08FB" w14:textId="05D01FB7" w:rsidR="00A44A69" w:rsidRDefault="006C572C" w:rsidP="00A44A69">
      <w:r>
        <w:t>To</w:t>
      </w:r>
      <w:r w:rsidR="00A44A69">
        <w:t xml:space="preserve"> prevent people from being disadvantaged because of their language, age, or cultural background, care providers are required by the Equality Act of 2010 to offer reasonable accommodations. For Mrs. Mann, this entails offering information translation or interpreting services. </w:t>
      </w:r>
      <w:r>
        <w:t>To</w:t>
      </w:r>
      <w:r w:rsidR="00A44A69">
        <w:t xml:space="preserve"> guarantee accuracy, confidentiality, and informed consent, professional interpreters should be used, even when her daughter assists with interpretation (HCPC, 2022).</w:t>
      </w:r>
    </w:p>
    <w:p w14:paraId="42216E75" w14:textId="57487EB0" w:rsidR="00A44A69" w:rsidRDefault="00A44A69" w:rsidP="00A44A69">
      <w:r>
        <w:t xml:space="preserve">Effective nonverbal communication can be facilitated by the SOLER communication paradigm (Egan, 2018). This </w:t>
      </w:r>
      <w:r w:rsidR="00FB21EB">
        <w:t>model</w:t>
      </w:r>
      <w:r w:rsidR="006C572C">
        <w:t xml:space="preserve"> Given</w:t>
      </w:r>
      <w:r>
        <w:t xml:space="preserve"> Mrs. Mann's low command of English and the involvement of multiple professionals, communication is especially crucial in this situation. As seen by the delayed medication adjustment, poor communication can result in misconceptions, less independence, and dangerous treatment.</w:t>
      </w:r>
    </w:p>
    <w:p w14:paraId="17976037" w14:textId="29689B68" w:rsidR="00A44A69" w:rsidRDefault="006C572C" w:rsidP="00A44A69">
      <w:r>
        <w:lastRenderedPageBreak/>
        <w:t>To</w:t>
      </w:r>
      <w:r w:rsidR="00A44A69">
        <w:t xml:space="preserve"> prevent people from being disadvantaged because of their language, age, or cultural background, care providers are required by the Equality Act of 2010 to offer reasonable accommodations. For Mrs. Mann, this entails offering information translation or interpreting services. </w:t>
      </w:r>
      <w:r>
        <w:t>To</w:t>
      </w:r>
      <w:r w:rsidR="00A44A69">
        <w:t xml:space="preserve"> guarantee accuracy, confidentiality, and informed consent, professional interpreters should be used, even when her daughter assists with interpretation (HCPC, 2022).</w:t>
      </w:r>
    </w:p>
    <w:p w14:paraId="2552CC10" w14:textId="115C394F" w:rsidR="00A44A69" w:rsidRDefault="00A44A69" w:rsidP="00A44A69">
      <w:r>
        <w:t xml:space="preserve">Effective nonverbal communication can be facilitated by the SOLER communication paradigm (Egan, 2018). </w:t>
      </w:r>
      <w:r w:rsidR="006C572C">
        <w:t>To</w:t>
      </w:r>
      <w:r>
        <w:t xml:space="preserve"> provide safe, person-</w:t>
      </w:r>
      <w:r w:rsidR="006C572C">
        <w:t>center</w:t>
      </w:r>
      <w:r>
        <w:t xml:space="preserve"> care and lower the risk of errors, effective communication is essential (NMC, 2018). Given Mrs. Mann's low command of English and the involvement of multiple professionals, communication is especially crucial in this situation. As seen by the delayed medication adjustment, poor communication can result in misconceptions, less independence, and dangerous treatment.</w:t>
      </w:r>
    </w:p>
    <w:p w14:paraId="67E96D2F" w14:textId="71BB814D" w:rsidR="002A4EFC" w:rsidRDefault="006C572C" w:rsidP="00762708">
      <w:r>
        <w:t>To</w:t>
      </w:r>
      <w:r w:rsidR="00A44A69">
        <w:t xml:space="preserve"> prevent people from being disadvantaged because of their language, age, or cultural background, care providers are required by the Equality Act of 2010 to offer reasonable accommodations.</w:t>
      </w:r>
    </w:p>
    <w:p w14:paraId="08D8B0A6" w14:textId="77777777" w:rsidR="00762708" w:rsidRDefault="00762708" w:rsidP="00762708"/>
    <w:p w14:paraId="37C1FE97" w14:textId="6B479ECD" w:rsidR="00722001" w:rsidRPr="00762708" w:rsidRDefault="00A44A69" w:rsidP="00722001">
      <w:pPr>
        <w:rPr>
          <w:b/>
          <w:bCs/>
        </w:rPr>
      </w:pPr>
      <w:r w:rsidRPr="00762708">
        <w:rPr>
          <w:b/>
          <w:bCs/>
        </w:rPr>
        <w:t xml:space="preserve">Important of good administrative skills </w:t>
      </w:r>
      <w:r w:rsidR="002A4EFC" w:rsidRPr="00762708">
        <w:rPr>
          <w:b/>
          <w:bCs/>
        </w:rPr>
        <w:t xml:space="preserve">within professional practice within the context of </w:t>
      </w:r>
      <w:r w:rsidR="006C572C" w:rsidRPr="00762708">
        <w:rPr>
          <w:b/>
          <w:bCs/>
        </w:rPr>
        <w:t>Mr</w:t>
      </w:r>
      <w:r w:rsidR="006C572C">
        <w:rPr>
          <w:b/>
          <w:bCs/>
        </w:rPr>
        <w:t xml:space="preserve">s. </w:t>
      </w:r>
      <w:r w:rsidR="002A4EFC" w:rsidRPr="00762708">
        <w:rPr>
          <w:b/>
          <w:bCs/>
        </w:rPr>
        <w:t xml:space="preserve">Mann’s </w:t>
      </w:r>
    </w:p>
    <w:p w14:paraId="26A0729C" w14:textId="77777777" w:rsidR="00722001" w:rsidRDefault="00722001" w:rsidP="00722001">
      <w:r>
        <w:t>In health and social care settings, having strong administrative abilities is crucial to ensuring safe, efficient, and coordinated treatment (CQC, 2014). As demonstrated by Mrs. Mann's delayed medication adjustment, inadequate documentation might result in major dangers. Record keeping is a crucial administrative duty.</w:t>
      </w:r>
    </w:p>
    <w:p w14:paraId="74598304" w14:textId="77777777" w:rsidR="00722001" w:rsidRDefault="00722001" w:rsidP="00722001">
      <w:r>
        <w:t>Records must be accurate, timely, and clear according to professional standards (NMC, 2018). Information on care given, condition changes, medication updates, and correspondence with other professionals should all be included in the records. Accurate documentation in Mrs. Mann's situation helps guarantee continuity between the GP, the physiotherapist, and the domiciliary caretakers.</w:t>
      </w:r>
    </w:p>
    <w:p w14:paraId="29042112" w14:textId="18CFF4CA" w:rsidR="00722001" w:rsidRDefault="00722001" w:rsidP="00722001">
      <w:r>
        <w:t xml:space="preserve">The Data Protection Act of 2018 establishes guidelines for the gathering, storing, and sharing of personal data. Information must be legitimate, pertinent, accurate, and secure, according to this law (Data Protection Act, 2018). </w:t>
      </w:r>
      <w:r w:rsidR="006C572C">
        <w:t>Mrs. As</w:t>
      </w:r>
      <w:r>
        <w:t xml:space="preserve"> demonstrated by Mrs. Mann's delayed medication adjustment, inadequate documentation might result in major dangers. Record keeping is a crucial administrative duty.</w:t>
      </w:r>
    </w:p>
    <w:p w14:paraId="1E7589AE" w14:textId="77777777" w:rsidR="00722001" w:rsidRDefault="00722001" w:rsidP="00722001">
      <w:r>
        <w:t xml:space="preserve">Records must be accurate, timely, and clear according to professional standards (NMC, 2018). Information on care given, condition changes, medication updates, and correspondence with other professionals should all be included in the records. </w:t>
      </w:r>
      <w:r>
        <w:lastRenderedPageBreak/>
        <w:t>Accurate documentation in Mrs. Mann's situation helps guarantee continuity between the GP, the physiotherapist, and the domiciliary caretakers.</w:t>
      </w:r>
    </w:p>
    <w:p w14:paraId="29E0A80B" w14:textId="1E2F9F65" w:rsidR="002A4EFC" w:rsidRDefault="00722001" w:rsidP="00722001">
      <w:r>
        <w:t>The Data Protection Act of 2018 establishes guidelines for the gathering, storing, and sharing of personal data. Information must be legitimate, pertinent, accurate, and secure, according to this law (Data Protection Act, 2018). In health and social care settings, having strong administrative abilities is crucial to ensuring safe, efficient, and coordinated treatment (CQC, 2014).</w:t>
      </w:r>
    </w:p>
    <w:p w14:paraId="72695F71" w14:textId="77777777" w:rsidR="00BB6B3C" w:rsidRDefault="00BB6B3C" w:rsidP="00722001"/>
    <w:p w14:paraId="552A72D7" w14:textId="467EF6FD" w:rsidR="00CE6209" w:rsidRPr="00762708" w:rsidRDefault="00BB6B3C" w:rsidP="00762708">
      <w:pPr>
        <w:rPr>
          <w:b/>
          <w:bCs/>
        </w:rPr>
      </w:pPr>
      <w:r w:rsidRPr="00762708">
        <w:rPr>
          <w:b/>
          <w:bCs/>
        </w:rPr>
        <w:t xml:space="preserve">Important of working collaboratively with other </w:t>
      </w:r>
      <w:r w:rsidR="006C572C" w:rsidRPr="00762708">
        <w:rPr>
          <w:b/>
          <w:bCs/>
        </w:rPr>
        <w:t>professionals</w:t>
      </w:r>
      <w:r w:rsidRPr="00762708">
        <w:rPr>
          <w:b/>
          <w:bCs/>
        </w:rPr>
        <w:t xml:space="preserve"> involved in </w:t>
      </w:r>
      <w:r w:rsidR="006C572C" w:rsidRPr="00762708">
        <w:rPr>
          <w:b/>
          <w:bCs/>
        </w:rPr>
        <w:t>Mrs.</w:t>
      </w:r>
      <w:r w:rsidRPr="00762708">
        <w:rPr>
          <w:b/>
          <w:bCs/>
        </w:rPr>
        <w:t xml:space="preserve"> Mann’s care </w:t>
      </w:r>
      <w:r w:rsidR="0092797C" w:rsidRPr="00762708">
        <w:rPr>
          <w:b/>
          <w:bCs/>
        </w:rPr>
        <w:t xml:space="preserve">such as the physiotherapist, GP, and care workers </w:t>
      </w:r>
    </w:p>
    <w:p w14:paraId="31949BED" w14:textId="77777777" w:rsidR="00CE6209" w:rsidRDefault="00CE6209" w:rsidP="00CE6209">
      <w:r>
        <w:t>When assisting people with complex needs across several agencies, collaboration is crucial (NHS England, 2022). Domiciliary care providers, a physiotherapist, and Mrs. Mann's general practitioner must collaborate to help her recuperation.</w:t>
      </w:r>
    </w:p>
    <w:p w14:paraId="2D2E9A5B" w14:textId="6DC62EE7" w:rsidR="00CE6209" w:rsidRDefault="00CE6209" w:rsidP="00CE6209">
      <w:r>
        <w:t xml:space="preserve">Clear communication, an awareness of professional duties, and common objectives are all necessary for effective collaboration (2016). For instance, </w:t>
      </w:r>
      <w:r w:rsidR="006C572C">
        <w:t>to</w:t>
      </w:r>
      <w:r>
        <w:t xml:space="preserve"> lower the danger of falls, carers helping Mrs. Mann move around must be made fully aware of physiotherapy recommendations.</w:t>
      </w:r>
    </w:p>
    <w:p w14:paraId="6FE464EE" w14:textId="50678959" w:rsidR="00CE6209" w:rsidRDefault="00CE6209" w:rsidP="00CE6209">
      <w:r>
        <w:t>By concentrating on the needs and preferences of the individual, person-</w:t>
      </w:r>
      <w:r w:rsidR="006C572C">
        <w:t>center</w:t>
      </w:r>
      <w:r>
        <w:t xml:space="preserve"> care promotes collaboration (CQC, 2014). Professionals can monitor progress and work consistently with shared care plans.</w:t>
      </w:r>
    </w:p>
    <w:p w14:paraId="2800F06E" w14:textId="2B3B28E0" w:rsidR="00CE6209" w:rsidRDefault="00CE6209" w:rsidP="00CE6209">
      <w:r>
        <w:t xml:space="preserve">Poor communication, ambiguous roles, and disparate record systems are typical problems (NHS England, 2022). Confusion resulted from uneven paperwork in Mrs. Mann's case. Techniques like frequent </w:t>
      </w:r>
      <w:r w:rsidR="006C572C">
        <w:t>updates, Domiciliary</w:t>
      </w:r>
      <w:r>
        <w:t xml:space="preserve"> care providers, a physiotherapist, and Mrs. Mann's general practitioner must collaborate to help her recuperation.</w:t>
      </w:r>
    </w:p>
    <w:p w14:paraId="50483A5B" w14:textId="1EF81CBB" w:rsidR="00E12828" w:rsidRDefault="00CE6209" w:rsidP="00E12828">
      <w:r>
        <w:t>Clear communication, an awareness of professional duties, and common objectives are all necessary for effective collaboration (2016).</w:t>
      </w:r>
    </w:p>
    <w:p w14:paraId="209ECAED" w14:textId="73445184" w:rsidR="005C4585" w:rsidRDefault="005C4585" w:rsidP="005C4585">
      <w:r>
        <w:t xml:space="preserve">The collaboration between physiotherapists and domiciliary care providers is a significant illustration of teamwork. </w:t>
      </w:r>
      <w:r>
        <w:t>To</w:t>
      </w:r>
      <w:r>
        <w:t xml:space="preserve"> lower Mrs. Mann's risk of falls, the physiotherapist may offer </w:t>
      </w:r>
      <w:r>
        <w:t>specialized</w:t>
      </w:r>
      <w:r>
        <w:t xml:space="preserve"> advice on safe mobility, transfer methods, and strengthening exercises after an evaluation. </w:t>
      </w:r>
      <w:r>
        <w:t>To</w:t>
      </w:r>
      <w:r>
        <w:t xml:space="preserve"> properly support Mrs. Mann when helping her stand, walk, or </w:t>
      </w:r>
      <w:r>
        <w:t>utilize</w:t>
      </w:r>
      <w:r>
        <w:t xml:space="preserve"> mobility aids, carers must be fully informed of these instructions. This collaborative approach guarantees uniformity in treatment and aids in harm prevention, highlighting the significance of unambiguous communication and common objectives (2016 NHS England, 2022).</w:t>
      </w:r>
    </w:p>
    <w:p w14:paraId="06DBA411" w14:textId="6924D8CB" w:rsidR="005C4585" w:rsidRDefault="005C4585" w:rsidP="005C4585">
      <w:r>
        <w:lastRenderedPageBreak/>
        <w:t xml:space="preserve">Collaboration between the general practitioner and carers is another example. While carers monitor Mrs. Mann's everyday health and well-being, the general practitioner </w:t>
      </w:r>
      <w:r>
        <w:t>oversees</w:t>
      </w:r>
      <w:r>
        <w:t xml:space="preserve"> managing her medical issues and writing prescriptions. For </w:t>
      </w:r>
      <w:r>
        <w:t>instance, to</w:t>
      </w:r>
      <w:r>
        <w:t xml:space="preserve"> lower Mrs. Mann's risk of falls, the physiotherapist may offer </w:t>
      </w:r>
      <w:r>
        <w:t>specialized</w:t>
      </w:r>
      <w:r>
        <w:t xml:space="preserve"> advice on safe mobility, transfer methods, and strengthening exercises after an evaluation. </w:t>
      </w:r>
      <w:r>
        <w:t>To</w:t>
      </w:r>
      <w:r>
        <w:t xml:space="preserve"> properly support Mrs. Mann when helping her stand, walk, or </w:t>
      </w:r>
      <w:r>
        <w:t>utilize</w:t>
      </w:r>
      <w:r>
        <w:t xml:space="preserve"> mobility aids, carers must be fully informed of these instructions. This collaborative approach guarantees uniformity in treatment and aids in harm prevention, highlighting the significance of unambiguous communication and common objectives (2016</w:t>
      </w:r>
      <w:r>
        <w:t xml:space="preserve"> </w:t>
      </w:r>
      <w:r>
        <w:t>NHS England, 2022).</w:t>
      </w:r>
    </w:p>
    <w:p w14:paraId="3331DBF8" w14:textId="1A91BF24" w:rsidR="005C4585" w:rsidRDefault="005C4585" w:rsidP="005C4585">
      <w:r>
        <w:t xml:space="preserve">Collaboration between the general practitioner and carers is another example. While carers monitor Mrs. Mann's everyday health and well-being, the general practitioner </w:t>
      </w:r>
      <w:r>
        <w:t>oversees</w:t>
      </w:r>
      <w:r>
        <w:t xml:space="preserve"> managing her medical issues and writing prescriptions. The collaboration between physiotherapists and domiciliary care providers is a significant illustration of teamwork. </w:t>
      </w:r>
      <w:r>
        <w:t>To</w:t>
      </w:r>
      <w:r>
        <w:t xml:space="preserve"> lower Mrs. Mann's risk of falls, the physiotherapist may offer </w:t>
      </w:r>
      <w:r>
        <w:t>specialized</w:t>
      </w:r>
      <w:r>
        <w:t xml:space="preserve"> advice on safe mobility, transfer methods, and strengthening exercises after an evaluation. </w:t>
      </w:r>
      <w:r>
        <w:t>To</w:t>
      </w:r>
      <w:r>
        <w:t xml:space="preserve"> properly support Mrs. Mann when helping her stand, walk, or </w:t>
      </w:r>
      <w:r>
        <w:t>utilize</w:t>
      </w:r>
      <w:r>
        <w:t xml:space="preserve"> mobility aids, carers must be fully informed of these instructions. This collaborative approach guarantees uniformity in treatment and aids in harm prevention, highlighting the significance of unambiguous communication and common objectives (2016</w:t>
      </w:r>
      <w:r>
        <w:t xml:space="preserve"> </w:t>
      </w:r>
      <w:r>
        <w:t>NHS England, 2022).</w:t>
      </w:r>
    </w:p>
    <w:p w14:paraId="48446553" w14:textId="6AA1E0F9" w:rsidR="005C4585" w:rsidRDefault="005C4585" w:rsidP="005C4585">
      <w:r>
        <w:t xml:space="preserve">Collaboration between the general practitioner and carers is another example. While carers monitor Mrs. Mann's everyday health and well-being, the general practitioner </w:t>
      </w:r>
      <w:r>
        <w:t>oversees</w:t>
      </w:r>
      <w:r>
        <w:t xml:space="preserve"> managing her medical issues and writing prescriptions. The collaboration between physiotherapists and domiciliary care providers is a significant illustration of teamwork. </w:t>
      </w:r>
      <w:r>
        <w:t>To</w:t>
      </w:r>
      <w:r>
        <w:t xml:space="preserve"> lower Mrs. Mann's risk of falls, the physiotherapist may offer </w:t>
      </w:r>
      <w:r>
        <w:t>specialized</w:t>
      </w:r>
      <w:r>
        <w:t xml:space="preserve"> advice on safe mobility, transfer methods, and strengthening exercises after an evaluation. </w:t>
      </w:r>
      <w:r>
        <w:t>To</w:t>
      </w:r>
      <w:r>
        <w:t xml:space="preserve"> properly support Mrs. Mann when helping her stand, walk, or </w:t>
      </w:r>
      <w:r>
        <w:t>utilize</w:t>
      </w:r>
      <w:r>
        <w:t xml:space="preserve"> mobility aids, carers must be fully informed of these instructions.</w:t>
      </w:r>
    </w:p>
    <w:p w14:paraId="36645E61" w14:textId="77777777" w:rsidR="00E12828" w:rsidRDefault="00E12828" w:rsidP="00E12828"/>
    <w:p w14:paraId="72CC2E3F" w14:textId="77777777" w:rsidR="00E12828" w:rsidRDefault="00E12828" w:rsidP="00E12828"/>
    <w:p w14:paraId="7A51A2F1" w14:textId="77777777" w:rsidR="00E12828" w:rsidRDefault="00E12828" w:rsidP="00E12828"/>
    <w:p w14:paraId="3FE28BCF" w14:textId="77777777" w:rsidR="008E7767" w:rsidRDefault="008E7767" w:rsidP="00E12828"/>
    <w:p w14:paraId="107B5C18" w14:textId="77777777" w:rsidR="00991EC8" w:rsidRDefault="00991EC8" w:rsidP="00E12828"/>
    <w:p w14:paraId="6D957755" w14:textId="77777777" w:rsidR="00FB21EB" w:rsidRDefault="00FB21EB" w:rsidP="00E12828"/>
    <w:p w14:paraId="6FD88461" w14:textId="77777777" w:rsidR="00FB21EB" w:rsidRDefault="00FB21EB" w:rsidP="00E12828"/>
    <w:p w14:paraId="64E796CF" w14:textId="77777777" w:rsidR="005C4585" w:rsidRDefault="005C4585" w:rsidP="00E12828"/>
    <w:p w14:paraId="6F4E6E21" w14:textId="1D657AED" w:rsidR="002255E5" w:rsidRPr="00762708" w:rsidRDefault="0092797C" w:rsidP="002255E5">
      <w:pPr>
        <w:rPr>
          <w:b/>
          <w:bCs/>
        </w:rPr>
      </w:pPr>
      <w:r w:rsidRPr="00762708">
        <w:rPr>
          <w:b/>
          <w:bCs/>
        </w:rPr>
        <w:lastRenderedPageBreak/>
        <w:t xml:space="preserve">Conclusion </w:t>
      </w:r>
    </w:p>
    <w:p w14:paraId="302A8B9B" w14:textId="52D464A4" w:rsidR="00306900" w:rsidRDefault="006C572C" w:rsidP="00306900">
      <w:r>
        <w:t xml:space="preserve"> In conclusion a </w:t>
      </w:r>
      <w:r w:rsidR="00306900">
        <w:t>key component of successful healthcare practice is delivering safe, person-</w:t>
      </w:r>
      <w:r>
        <w:t>center</w:t>
      </w:r>
      <w:r w:rsidR="00306900">
        <w:t xml:space="preserve"> care, which greatly depends on excellent administrative procedures, cooperative teamwork, and clear communication. Due to Mrs. Mann's linguistic challenges, communication is particularly crucial to her treatment since poor communication can result in miscommunication, lower patient participation, and more hazards to patient safety. Professional interpreters, visual aids, and clear verbal and nonverbal communication are examples of acceptable communication techniques that help guarantee Mrs. Mann comprehends her treatment and can take part in decision-making. The Equality Act (2010), which mandates that healthcare professionals make reasonable accommodations to suit individual needs and prevent discrimination, upholds the values of equality and inclusiveness.</w:t>
      </w:r>
    </w:p>
    <w:p w14:paraId="6B3A9791" w14:textId="3EC1DE68" w:rsidR="00306900" w:rsidRDefault="00306900" w:rsidP="00306900">
      <w:r>
        <w:t>Additionally, efficient administrative procedures are crucial.</w:t>
      </w:r>
      <w:r w:rsidR="006C572C">
        <w:t xml:space="preserve"> </w:t>
      </w:r>
      <w:r>
        <w:t>Due to Mrs. Mann's linguistic challenges, communication is particularly crucial to her treatment since poor communication can result in miscommunication, lower patient participation, and more hazards to patient safety. Professional interpreters, visual aids, and clear verbal and nonverbal communication are examples of acceptable communication techniques that help guarantee Mrs. Mann comprehends her treatment and can take part in decision-making. The Equality Act (2010), which mandates that healthcare professionals make reasonable accommodations to suit individual needs and prevent discrimination, upholds the values of equality and inclusiveness.</w:t>
      </w:r>
    </w:p>
    <w:p w14:paraId="41D582D9" w14:textId="352A50C8" w:rsidR="00306900" w:rsidRDefault="00306900" w:rsidP="00306900">
      <w:r>
        <w:t>A key component of successful healthcare practice is delivering safe, person-</w:t>
      </w:r>
      <w:r w:rsidR="006C572C">
        <w:t>center</w:t>
      </w:r>
      <w:r>
        <w:t xml:space="preserve"> care, which greatly depends on excellent administrative procedures, cooperative teamwork, and clear communication. Due to Mrs. Mann's linguistic challenges, communication is particularly crucial to her treatment since poor communication can result in miscommunication, lower patient participation, and more hazards to patient safety. Professional interpreters, visual aids, and clear verbal and nonverbal communication are examples of acceptable communication techniques that help guarantee Mrs. Mann comprehends her treatment and can take part in decision-making. The Equality Act (2010), which mandates that healthcare professionals make reasonable accommodations to suit individual needs and prevent discrimination, upholds the values of equality and inclusiveness.</w:t>
      </w:r>
    </w:p>
    <w:p w14:paraId="37098B56" w14:textId="7DBBCF7B" w:rsidR="00306900" w:rsidRDefault="00306900" w:rsidP="00306900">
      <w:r>
        <w:t>A key component of successful healthcare practice is delivering safe, person-</w:t>
      </w:r>
      <w:r w:rsidR="006C572C">
        <w:t>center</w:t>
      </w:r>
      <w:r>
        <w:t xml:space="preserve"> care, which greatly depends on excellent administrative procedures, cooperative teamwork, and clear communication. Due to Mrs. Mann's linguistic challenges, communication is particularly crucial to her treatment since poor communication can result in miscommunication, lower patient participation, and more hazards to patient safety. Professional interpreters, visual aids, and clear verbal and nonverbal communication are examples of acceptable communication techniques that help </w:t>
      </w:r>
      <w:r>
        <w:lastRenderedPageBreak/>
        <w:t>guarantee Mrs. Mann comprehends her treatment and can take part in decision-making. The Equality Act (2010), which mandates that healthcare professionals make reasonable accommodations to suit individual needs and prevent discrimination, upholds the values of equality and inclusiveness.</w:t>
      </w:r>
    </w:p>
    <w:p w14:paraId="57AE129B" w14:textId="7113D4C3" w:rsidR="00D107B3" w:rsidRDefault="00306900" w:rsidP="00306900">
      <w:r>
        <w:t>A key component of successful healthcare practice is delivering safe, person-</w:t>
      </w:r>
      <w:r w:rsidR="006C572C">
        <w:t>center</w:t>
      </w:r>
      <w:r>
        <w:t xml:space="preserve"> care, which greatly depends on excellent administrative procedures, cooperative teamwork, and clear communication.</w:t>
      </w:r>
    </w:p>
    <w:p w14:paraId="5E6E9173" w14:textId="77777777" w:rsidR="00E12828" w:rsidRDefault="00E12828" w:rsidP="00CE6209"/>
    <w:p w14:paraId="62E463DC" w14:textId="06FEF288" w:rsidR="00E12828" w:rsidRDefault="00E12828" w:rsidP="00CE6209">
      <w:r>
        <w:t xml:space="preserve">References </w:t>
      </w:r>
    </w:p>
    <w:p w14:paraId="41457BB5" w14:textId="77777777" w:rsidR="00A05605" w:rsidRDefault="00A05605" w:rsidP="00A05605">
      <w:r>
        <w:t>Care Quality Commission (CQC) (2014) Fundamental standards. London: Care Quality Commission. Available at:</w:t>
      </w:r>
    </w:p>
    <w:p w14:paraId="21A7A3A6" w14:textId="0362643C" w:rsidR="00A05605" w:rsidRDefault="00D107B3" w:rsidP="00A05605">
      <w:hyperlink r:id="rId5" w:history="1">
        <w:r w:rsidRPr="00BD28EF">
          <w:rPr>
            <w:rStyle w:val="Hyperlink"/>
          </w:rPr>
          <w:t>https://www.cqc.org.uk/what-we-do/how-we-do-our-job/fundamental-standards</w:t>
        </w:r>
      </w:hyperlink>
      <w:r>
        <w:t xml:space="preserve"> </w:t>
      </w:r>
    </w:p>
    <w:p w14:paraId="373DE96D" w14:textId="4895EE4E" w:rsidR="00A05605" w:rsidRDefault="00A05605" w:rsidP="00A05605">
      <w:r>
        <w:t>[Accessed 15 November 202</w:t>
      </w:r>
      <w:r w:rsidR="00D107B3">
        <w:t>5</w:t>
      </w:r>
      <w:r>
        <w:t>].</w:t>
      </w:r>
    </w:p>
    <w:p w14:paraId="5D30D76F" w14:textId="77777777" w:rsidR="00A05605" w:rsidRDefault="00A05605" w:rsidP="00A05605"/>
    <w:p w14:paraId="35C59930" w14:textId="77777777" w:rsidR="00A05605" w:rsidRDefault="00A05605" w:rsidP="00A05605">
      <w:r>
        <w:t>Data Protection Act 2018 (2018). Data Protection Act 2018. London: The Stationery Office. Available at:</w:t>
      </w:r>
    </w:p>
    <w:p w14:paraId="7892946F" w14:textId="56F0593F" w:rsidR="00A05605" w:rsidRDefault="00D107B3" w:rsidP="00A05605">
      <w:hyperlink r:id="rId6" w:history="1">
        <w:r w:rsidRPr="00BD28EF">
          <w:rPr>
            <w:rStyle w:val="Hyperlink"/>
          </w:rPr>
          <w:t>https://www.legislation.gov.uk/ukpga/2018/12/contents</w:t>
        </w:r>
      </w:hyperlink>
      <w:r>
        <w:t xml:space="preserve"> </w:t>
      </w:r>
    </w:p>
    <w:p w14:paraId="2A5569E6" w14:textId="161CF36C" w:rsidR="00A05605" w:rsidRDefault="00A05605" w:rsidP="00A05605">
      <w:r>
        <w:t>[Accessed 18 November 202</w:t>
      </w:r>
      <w:r w:rsidR="00D107B3">
        <w:t>5</w:t>
      </w:r>
      <w:r>
        <w:t>].</w:t>
      </w:r>
    </w:p>
    <w:p w14:paraId="29CC74E6" w14:textId="77777777" w:rsidR="00A05605" w:rsidRDefault="00A05605" w:rsidP="00A05605"/>
    <w:p w14:paraId="23AD54F4" w14:textId="1775A902" w:rsidR="00A05605" w:rsidRDefault="00A05605" w:rsidP="00A05605">
      <w:r>
        <w:t xml:space="preserve">Egan, G. (2018) The skilled helper: A problem-management and opportunity-development approach to helping. 11th </w:t>
      </w:r>
      <w:r w:rsidR="008E7767">
        <w:t>end</w:t>
      </w:r>
      <w:r>
        <w:t>. Boston: Cengage Learning.</w:t>
      </w:r>
      <w:r w:rsidR="00D107B3">
        <w:t xml:space="preserve"> </w:t>
      </w:r>
    </w:p>
    <w:p w14:paraId="4BA0CD5C" w14:textId="77777777" w:rsidR="00A05605" w:rsidRDefault="00A05605" w:rsidP="00A05605"/>
    <w:p w14:paraId="72F32F84" w14:textId="77777777" w:rsidR="00A05605" w:rsidRDefault="00A05605" w:rsidP="00A05605">
      <w:r>
        <w:t>Equality Act 2010 (2010). Equality Act 2010. London: The Stationery Office. Available at:</w:t>
      </w:r>
    </w:p>
    <w:p w14:paraId="7672C6C6" w14:textId="2D022B77" w:rsidR="00A05605" w:rsidRDefault="00D107B3" w:rsidP="00A05605">
      <w:hyperlink r:id="rId7" w:history="1">
        <w:r w:rsidRPr="00BD28EF">
          <w:rPr>
            <w:rStyle w:val="Hyperlink"/>
          </w:rPr>
          <w:t>https://www.legislation.gov.uk/ukpga/2010/15/contents</w:t>
        </w:r>
      </w:hyperlink>
      <w:r>
        <w:t xml:space="preserve"> </w:t>
      </w:r>
    </w:p>
    <w:p w14:paraId="2C408275" w14:textId="0235E0D9" w:rsidR="00A05605" w:rsidRDefault="00A05605" w:rsidP="00A05605">
      <w:r>
        <w:t>[Accessed 18 November 202</w:t>
      </w:r>
      <w:r>
        <w:t>5</w:t>
      </w:r>
      <w:r>
        <w:t>].</w:t>
      </w:r>
    </w:p>
    <w:p w14:paraId="41D984F7" w14:textId="77777777" w:rsidR="00A05605" w:rsidRDefault="00A05605" w:rsidP="00A05605"/>
    <w:p w14:paraId="50CED5FD" w14:textId="77777777" w:rsidR="00A05605" w:rsidRDefault="00A05605" w:rsidP="00A05605">
      <w:r>
        <w:t>Health and Care Professions Council (HCPC) (2022) Standards of conduct, performance and ethics. London: HCPC. Available at:</w:t>
      </w:r>
    </w:p>
    <w:p w14:paraId="29F43815" w14:textId="4BF82187" w:rsidR="00A05605" w:rsidRDefault="00D107B3" w:rsidP="00A05605">
      <w:hyperlink r:id="rId8" w:history="1">
        <w:r w:rsidRPr="00BD28EF">
          <w:rPr>
            <w:rStyle w:val="Hyperlink"/>
          </w:rPr>
          <w:t>https://www.hcpc-uk.org/standards/standards-of-conduct-performance-and-ethics/</w:t>
        </w:r>
      </w:hyperlink>
      <w:r>
        <w:t xml:space="preserve"> </w:t>
      </w:r>
    </w:p>
    <w:p w14:paraId="19184A0F" w14:textId="3B18B2D3" w:rsidR="00A05605" w:rsidRDefault="00A05605" w:rsidP="00A05605">
      <w:r>
        <w:t>[Accessed 20 November 202</w:t>
      </w:r>
      <w:r>
        <w:t>5</w:t>
      </w:r>
      <w:r>
        <w:t>].</w:t>
      </w:r>
    </w:p>
    <w:p w14:paraId="53DDDF6A" w14:textId="77777777" w:rsidR="00A05605" w:rsidRDefault="00A05605" w:rsidP="00A05605"/>
    <w:p w14:paraId="41889CA6" w14:textId="2F3497BB" w:rsidR="00A05605" w:rsidRDefault="00A05605" w:rsidP="00A05605">
      <w:r>
        <w:lastRenderedPageBreak/>
        <w:t xml:space="preserve">Nursing and Midwifery Council (NMC) (2018) The code: Professional standards of practice and </w:t>
      </w:r>
      <w:r w:rsidR="008E7767">
        <w:t>behavior</w:t>
      </w:r>
      <w:r>
        <w:t xml:space="preserve"> for nurses, midwives and nursing associates. London: NMC. Available at:</w:t>
      </w:r>
      <w:r>
        <w:t xml:space="preserve"> </w:t>
      </w:r>
      <w:hyperlink r:id="rId9" w:history="1">
        <w:r w:rsidRPr="00BD28EF">
          <w:rPr>
            <w:rStyle w:val="Hyperlink"/>
          </w:rPr>
          <w:t>https://www.nmc.org.uk/standards/code</w:t>
        </w:r>
        <w:r w:rsidRPr="00BD28EF">
          <w:rPr>
            <w:rStyle w:val="Hyperlink"/>
          </w:rPr>
          <w:t>/</w:t>
        </w:r>
      </w:hyperlink>
      <w:r>
        <w:t xml:space="preserve"> </w:t>
      </w:r>
    </w:p>
    <w:p w14:paraId="30EE689F" w14:textId="6537042C" w:rsidR="00A05605" w:rsidRDefault="00A05605" w:rsidP="00A05605">
      <w:r>
        <w:t>[Accessed 20 November 202</w:t>
      </w:r>
      <w:r>
        <w:t>5</w:t>
      </w:r>
      <w:r>
        <w:t>].</w:t>
      </w:r>
    </w:p>
    <w:p w14:paraId="45305DD9" w14:textId="77777777" w:rsidR="00A05605" w:rsidRDefault="00A05605" w:rsidP="00A05605"/>
    <w:p w14:paraId="6B8D2F9C" w14:textId="77777777" w:rsidR="00A05605" w:rsidRDefault="00A05605" w:rsidP="00A05605">
      <w:r>
        <w:t>NHS England (2022) Integrated care systems: Design framework. London: NHS England. Available at:</w:t>
      </w:r>
    </w:p>
    <w:p w14:paraId="64120AA1" w14:textId="53F55F2B" w:rsidR="00A05605" w:rsidRDefault="00A05605" w:rsidP="00A05605">
      <w:hyperlink r:id="rId10" w:history="1">
        <w:r w:rsidRPr="00BD28EF">
          <w:rPr>
            <w:rStyle w:val="Hyperlink"/>
          </w:rPr>
          <w:t>https://www.england.nhs.uk/integratedcare/integrated-care-systems</w:t>
        </w:r>
        <w:r w:rsidRPr="00BD28EF">
          <w:rPr>
            <w:rStyle w:val="Hyperlink"/>
          </w:rPr>
          <w:t>/</w:t>
        </w:r>
      </w:hyperlink>
      <w:r>
        <w:t xml:space="preserve"> </w:t>
      </w:r>
    </w:p>
    <w:p w14:paraId="1C6E8755" w14:textId="10493E14" w:rsidR="00A05605" w:rsidRDefault="00A05605" w:rsidP="00A05605">
      <w:r>
        <w:t>[Accessed 22 November 202</w:t>
      </w:r>
      <w:r>
        <w:t>5</w:t>
      </w:r>
      <w:r>
        <w:t>].</w:t>
      </w:r>
    </w:p>
    <w:p w14:paraId="574A9774" w14:textId="77777777" w:rsidR="00A05605" w:rsidRDefault="00A05605" w:rsidP="00A05605"/>
    <w:p w14:paraId="63A1133B" w14:textId="796CF8C9" w:rsidR="00A05605" w:rsidRDefault="00A05605" w:rsidP="00A05605">
      <w:r>
        <w:t>World Health Organization (WHO) (2016) Framework on integrated, people-</w:t>
      </w:r>
      <w:r w:rsidR="008E7767">
        <w:t>center</w:t>
      </w:r>
      <w:r>
        <w:t xml:space="preserve"> health services. Geneva: World Health Organization. Available at:</w:t>
      </w:r>
    </w:p>
    <w:p w14:paraId="356BB353" w14:textId="4B73B5DD" w:rsidR="00A05605" w:rsidRDefault="00D107B3" w:rsidP="00A05605">
      <w:hyperlink r:id="rId11" w:history="1">
        <w:r w:rsidRPr="00BD28EF">
          <w:rPr>
            <w:rStyle w:val="Hyperlink"/>
          </w:rPr>
          <w:t>https://www.who.int/publications/i/item/WHO-HIS-SDS-2016.8</w:t>
        </w:r>
      </w:hyperlink>
      <w:r>
        <w:t xml:space="preserve"> </w:t>
      </w:r>
    </w:p>
    <w:p w14:paraId="215D742B" w14:textId="69D1B729" w:rsidR="00E12828" w:rsidRDefault="00A05605" w:rsidP="00A05605">
      <w:r>
        <w:t>[Accessed 25 November 202</w:t>
      </w:r>
      <w:r>
        <w:t>5</w:t>
      </w:r>
      <w:r>
        <w:t>].</w:t>
      </w:r>
    </w:p>
    <w:p w14:paraId="550FFBFA" w14:textId="66DD151B" w:rsidR="000962F3" w:rsidRDefault="000962F3" w:rsidP="001012D1">
      <w:r>
        <w:t xml:space="preserve">Care Quality Commission (CQC). (2021) Collaborating for better care. Available at: </w:t>
      </w:r>
      <w:hyperlink r:id="rId12" w:history="1">
        <w:r w:rsidR="001012D1" w:rsidRPr="00BD28EF">
          <w:rPr>
            <w:rStyle w:val="Hyperlink"/>
          </w:rPr>
          <w:t>https://www.cqc.org.uk/publications/major-reports/collaborating-better-care</w:t>
        </w:r>
      </w:hyperlink>
      <w:r w:rsidR="001012D1">
        <w:t xml:space="preserve"> </w:t>
      </w:r>
      <w:r>
        <w:t>(Accessed: 18 December 2025).</w:t>
      </w:r>
    </w:p>
    <w:p w14:paraId="5BAA98E5" w14:textId="77777777" w:rsidR="00B72177" w:rsidRDefault="00B72177" w:rsidP="001012D1"/>
    <w:p w14:paraId="0CD90C06" w14:textId="268E51A2" w:rsidR="00E725FA" w:rsidRDefault="000962F3" w:rsidP="000962F3">
      <w:r>
        <w:t xml:space="preserve">Care Quality Commission (CQC). (2025) How providers are working together across systems in response to COVID-19. Available at: </w:t>
      </w:r>
      <w:hyperlink r:id="rId13" w:history="1">
        <w:r w:rsidR="00E725FA" w:rsidRPr="00BD28EF">
          <w:rPr>
            <w:rStyle w:val="Hyperlink"/>
          </w:rPr>
          <w:t>https://www.cqc.org.uk/publications/major-reports/how-providers-are-working-together-across-systems-response-covid</w:t>
        </w:r>
        <w:r w:rsidR="00E725FA" w:rsidRPr="00BD28EF">
          <w:rPr>
            <w:rStyle w:val="Hyperlink"/>
          </w:rPr>
          <w:t>-</w:t>
        </w:r>
        <w:r w:rsidR="00E725FA" w:rsidRPr="00BD28EF">
          <w:rPr>
            <w:rStyle w:val="Hyperlink"/>
          </w:rPr>
          <w:t>19</w:t>
        </w:r>
      </w:hyperlink>
      <w:r>
        <w:t xml:space="preserve"> </w:t>
      </w:r>
    </w:p>
    <w:p w14:paraId="61429935" w14:textId="11FF5E80" w:rsidR="000962F3" w:rsidRDefault="000962F3" w:rsidP="000962F3">
      <w:r>
        <w:t>(Accessed: 18 December 2025).</w:t>
      </w:r>
    </w:p>
    <w:p w14:paraId="5B01F516" w14:textId="77777777" w:rsidR="00F279BB" w:rsidRDefault="00F279BB" w:rsidP="000962F3"/>
    <w:p w14:paraId="69F47636" w14:textId="48C74494" w:rsidR="00E725FA" w:rsidRDefault="000962F3" w:rsidP="000962F3">
      <w:r>
        <w:t xml:space="preserve">Care Learning. (2024) What is Partnership Working in Health and Social </w:t>
      </w:r>
      <w:proofErr w:type="gramStart"/>
      <w:r>
        <w:t>Care?.</w:t>
      </w:r>
      <w:proofErr w:type="gramEnd"/>
      <w:r>
        <w:t xml:space="preserve"> Available at: </w:t>
      </w:r>
      <w:hyperlink r:id="rId14" w:history="1">
        <w:r w:rsidR="00E725FA" w:rsidRPr="00BD28EF">
          <w:rPr>
            <w:rStyle w:val="Hyperlink"/>
          </w:rPr>
          <w:t>https://carelearning.org.uk/blog/settings/what-is-partnership-working-in-health-and-social-care/</w:t>
        </w:r>
      </w:hyperlink>
    </w:p>
    <w:p w14:paraId="52FC7BF7" w14:textId="1F85C572" w:rsidR="000962F3" w:rsidRDefault="000962F3" w:rsidP="000962F3">
      <w:r>
        <w:t xml:space="preserve"> (Accessed: 18 December 2025).</w:t>
      </w:r>
    </w:p>
    <w:p w14:paraId="64F58D37" w14:textId="4A0862DF" w:rsidR="00E725FA" w:rsidRDefault="000962F3" w:rsidP="000962F3">
      <w:r>
        <w:t xml:space="preserve">Skills for Care. (2025) Partnerships and communities: integrated care working. Available at: </w:t>
      </w:r>
      <w:hyperlink r:id="rId15" w:history="1">
        <w:r w:rsidR="00E725FA" w:rsidRPr="00BD28EF">
          <w:rPr>
            <w:rStyle w:val="Hyperlink"/>
          </w:rPr>
          <w:t>https://www.skillsforcare.org.uk/Support-for-leaders-and-managers/Good-and-outstanding-care/inspection-toolkit/Topic-examples.aspx?kloe=well-led-2</w:t>
        </w:r>
      </w:hyperlink>
      <w:r>
        <w:t xml:space="preserve"> </w:t>
      </w:r>
    </w:p>
    <w:p w14:paraId="3B2C9A48" w14:textId="2C12B6A4" w:rsidR="000962F3" w:rsidRDefault="000962F3" w:rsidP="000962F3">
      <w:r>
        <w:t>(Accessed: 18 December 2025).</w:t>
      </w:r>
    </w:p>
    <w:p w14:paraId="07F25F8B" w14:textId="77777777" w:rsidR="00F279BB" w:rsidRDefault="00F279BB" w:rsidP="000962F3"/>
    <w:p w14:paraId="5BF9C12E" w14:textId="678FEF9A" w:rsidR="00E725FA" w:rsidRDefault="000962F3" w:rsidP="00E725FA">
      <w:r>
        <w:t xml:space="preserve">Skills for Care. (2025) Care provision, integration and continuity. Available at: </w:t>
      </w:r>
      <w:hyperlink r:id="rId16" w:history="1">
        <w:r w:rsidR="00E725FA" w:rsidRPr="00BD28EF">
          <w:rPr>
            <w:rStyle w:val="Hyperlink"/>
          </w:rPr>
          <w:t>https://www.skillsforcare.org.uk/Support-for-leaders-and-managers/Good-and-outstanding-care/inspection-toolkit/Topic-examples.aspx?kloe=responsive-1</w:t>
        </w:r>
      </w:hyperlink>
      <w:r w:rsidR="00E725FA">
        <w:t xml:space="preserve"> </w:t>
      </w:r>
    </w:p>
    <w:p w14:paraId="27D61CED" w14:textId="60D505A3" w:rsidR="00F261E9" w:rsidRDefault="000962F3" w:rsidP="00E725FA">
      <w:r>
        <w:t>(Accessed: 18 December 2025).</w:t>
      </w:r>
    </w:p>
    <w:p w14:paraId="015227AE" w14:textId="77777777" w:rsidR="00F279BB" w:rsidRDefault="00F279BB" w:rsidP="00E725FA"/>
    <w:p w14:paraId="03A62854" w14:textId="77777777" w:rsidR="00F279BB" w:rsidRDefault="00F279BB" w:rsidP="00F279BB">
      <w:r>
        <w:t>Equality Act 2010. (2010). Equality Act 2010. London: The Stationery Office.</w:t>
      </w:r>
    </w:p>
    <w:p w14:paraId="1865DA9A" w14:textId="09803978" w:rsidR="00F279BB" w:rsidRDefault="00F279BB" w:rsidP="00F279BB">
      <w:r>
        <w:t xml:space="preserve">Available at: </w:t>
      </w:r>
      <w:hyperlink r:id="rId17" w:history="1">
        <w:r w:rsidR="008112A5" w:rsidRPr="00BD28EF">
          <w:rPr>
            <w:rStyle w:val="Hyperlink"/>
          </w:rPr>
          <w:t>https://www.legislation.gov.uk/ukpga/2010/15/contents</w:t>
        </w:r>
      </w:hyperlink>
      <w:r w:rsidR="008112A5">
        <w:t xml:space="preserve"> </w:t>
      </w:r>
    </w:p>
    <w:p w14:paraId="7A0FD60E" w14:textId="77777777" w:rsidR="003E3B88" w:rsidRDefault="003E3B88" w:rsidP="00F279BB"/>
    <w:p w14:paraId="16800418" w14:textId="77777777" w:rsidR="00F279BB" w:rsidRDefault="00F279BB" w:rsidP="00F279BB">
      <w:r>
        <w:t>Data Protection Act 2018. (2018). Data Protection Act 2018. London: The Stationery Office.</w:t>
      </w:r>
    </w:p>
    <w:p w14:paraId="4829B781" w14:textId="260C8539" w:rsidR="00F279BB" w:rsidRDefault="00F279BB" w:rsidP="00F279BB">
      <w:r>
        <w:t xml:space="preserve">Available at: </w:t>
      </w:r>
      <w:hyperlink r:id="rId18" w:history="1">
        <w:r w:rsidR="008112A5" w:rsidRPr="00BD28EF">
          <w:rPr>
            <w:rStyle w:val="Hyperlink"/>
          </w:rPr>
          <w:t>https://www.legislation.gov.uk/ukpga/2018/12/contents</w:t>
        </w:r>
      </w:hyperlink>
      <w:r w:rsidR="008112A5">
        <w:t xml:space="preserve"> </w:t>
      </w:r>
    </w:p>
    <w:p w14:paraId="6054F101" w14:textId="77777777" w:rsidR="003E3B88" w:rsidRDefault="003E3B88" w:rsidP="00F279BB"/>
    <w:p w14:paraId="03719ED7" w14:textId="77777777" w:rsidR="00F279BB" w:rsidRDefault="00F279BB" w:rsidP="00F279BB">
      <w:r>
        <w:t xml:space="preserve">Nursing and Midwifery Council (NMC). (2018). The Code: Professional standards of practice and </w:t>
      </w:r>
      <w:proofErr w:type="spellStart"/>
      <w:r>
        <w:t>behaviour</w:t>
      </w:r>
      <w:proofErr w:type="spellEnd"/>
      <w:r>
        <w:t xml:space="preserve"> for nurses, midwives and nursing associates. London: NMC.</w:t>
      </w:r>
    </w:p>
    <w:p w14:paraId="04FDA6D2" w14:textId="482C343A" w:rsidR="00F279BB" w:rsidRDefault="00F279BB" w:rsidP="00F279BB">
      <w:r>
        <w:t xml:space="preserve">Available at: </w:t>
      </w:r>
      <w:hyperlink r:id="rId19" w:history="1">
        <w:r w:rsidR="008112A5" w:rsidRPr="00BD28EF">
          <w:rPr>
            <w:rStyle w:val="Hyperlink"/>
          </w:rPr>
          <w:t>https://www.nmc.org.uk/standards/code/</w:t>
        </w:r>
      </w:hyperlink>
      <w:r w:rsidR="008112A5">
        <w:t xml:space="preserve"> </w:t>
      </w:r>
    </w:p>
    <w:p w14:paraId="7F3B8DCB" w14:textId="77777777" w:rsidR="0092797C" w:rsidRDefault="0092797C" w:rsidP="00CE6209"/>
    <w:p w14:paraId="79C291DC" w14:textId="77777777" w:rsidR="0092797C" w:rsidRPr="00A44A69" w:rsidRDefault="0092797C" w:rsidP="00CE6209"/>
    <w:p w14:paraId="07870A09" w14:textId="77777777" w:rsidR="00003B74" w:rsidRPr="00003B74" w:rsidRDefault="00003B74"/>
    <w:sectPr w:rsidR="00003B74" w:rsidRPr="00003B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74E5E"/>
    <w:multiLevelType w:val="hybridMultilevel"/>
    <w:tmpl w:val="3DAC4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886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B74"/>
    <w:rsid w:val="00003B74"/>
    <w:rsid w:val="0008761E"/>
    <w:rsid w:val="000962F3"/>
    <w:rsid w:val="001012D1"/>
    <w:rsid w:val="0018714A"/>
    <w:rsid w:val="002255E5"/>
    <w:rsid w:val="002A4EFC"/>
    <w:rsid w:val="00306900"/>
    <w:rsid w:val="003B2279"/>
    <w:rsid w:val="003E3B88"/>
    <w:rsid w:val="004F3904"/>
    <w:rsid w:val="005672D8"/>
    <w:rsid w:val="0059204E"/>
    <w:rsid w:val="005C4585"/>
    <w:rsid w:val="006522B6"/>
    <w:rsid w:val="006C572C"/>
    <w:rsid w:val="00722001"/>
    <w:rsid w:val="00762708"/>
    <w:rsid w:val="00772BA2"/>
    <w:rsid w:val="007A6075"/>
    <w:rsid w:val="008031B7"/>
    <w:rsid w:val="0080547E"/>
    <w:rsid w:val="008112A5"/>
    <w:rsid w:val="00826F12"/>
    <w:rsid w:val="00860B72"/>
    <w:rsid w:val="008E7767"/>
    <w:rsid w:val="008F1230"/>
    <w:rsid w:val="0092797C"/>
    <w:rsid w:val="00991EC8"/>
    <w:rsid w:val="009B7225"/>
    <w:rsid w:val="00A05605"/>
    <w:rsid w:val="00A44A69"/>
    <w:rsid w:val="00B10DD4"/>
    <w:rsid w:val="00B42738"/>
    <w:rsid w:val="00B72177"/>
    <w:rsid w:val="00BB6B3C"/>
    <w:rsid w:val="00CE6209"/>
    <w:rsid w:val="00D107B3"/>
    <w:rsid w:val="00D1403F"/>
    <w:rsid w:val="00D46AAB"/>
    <w:rsid w:val="00D82183"/>
    <w:rsid w:val="00DA4916"/>
    <w:rsid w:val="00E12828"/>
    <w:rsid w:val="00E51A58"/>
    <w:rsid w:val="00E725FA"/>
    <w:rsid w:val="00EF7899"/>
    <w:rsid w:val="00F261E9"/>
    <w:rsid w:val="00F279BB"/>
    <w:rsid w:val="00F70BC8"/>
    <w:rsid w:val="00FB21E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4C8376E"/>
  <w15:chartTrackingRefBased/>
  <w15:docId w15:val="{646A27D2-9F1C-824B-AEA7-360469BE4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B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B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B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B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B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B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B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B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B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B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B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B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B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B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B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B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B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B74"/>
    <w:rPr>
      <w:rFonts w:eastAsiaTheme="majorEastAsia" w:cstheme="majorBidi"/>
      <w:color w:val="272727" w:themeColor="text1" w:themeTint="D8"/>
    </w:rPr>
  </w:style>
  <w:style w:type="paragraph" w:styleId="Title">
    <w:name w:val="Title"/>
    <w:basedOn w:val="Normal"/>
    <w:next w:val="Normal"/>
    <w:link w:val="TitleChar"/>
    <w:uiPriority w:val="10"/>
    <w:qFormat/>
    <w:rsid w:val="00003B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B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B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B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B74"/>
    <w:pPr>
      <w:spacing w:before="160"/>
      <w:jc w:val="center"/>
    </w:pPr>
    <w:rPr>
      <w:i/>
      <w:iCs/>
      <w:color w:val="404040" w:themeColor="text1" w:themeTint="BF"/>
    </w:rPr>
  </w:style>
  <w:style w:type="character" w:customStyle="1" w:styleId="QuoteChar">
    <w:name w:val="Quote Char"/>
    <w:basedOn w:val="DefaultParagraphFont"/>
    <w:link w:val="Quote"/>
    <w:uiPriority w:val="29"/>
    <w:rsid w:val="00003B74"/>
    <w:rPr>
      <w:i/>
      <w:iCs/>
      <w:color w:val="404040" w:themeColor="text1" w:themeTint="BF"/>
    </w:rPr>
  </w:style>
  <w:style w:type="paragraph" w:styleId="ListParagraph">
    <w:name w:val="List Paragraph"/>
    <w:basedOn w:val="Normal"/>
    <w:uiPriority w:val="34"/>
    <w:qFormat/>
    <w:rsid w:val="00003B74"/>
    <w:pPr>
      <w:ind w:left="720"/>
      <w:contextualSpacing/>
    </w:pPr>
  </w:style>
  <w:style w:type="character" w:styleId="IntenseEmphasis">
    <w:name w:val="Intense Emphasis"/>
    <w:basedOn w:val="DefaultParagraphFont"/>
    <w:uiPriority w:val="21"/>
    <w:qFormat/>
    <w:rsid w:val="00003B74"/>
    <w:rPr>
      <w:i/>
      <w:iCs/>
      <w:color w:val="0F4761" w:themeColor="accent1" w:themeShade="BF"/>
    </w:rPr>
  </w:style>
  <w:style w:type="paragraph" w:styleId="IntenseQuote">
    <w:name w:val="Intense Quote"/>
    <w:basedOn w:val="Normal"/>
    <w:next w:val="Normal"/>
    <w:link w:val="IntenseQuoteChar"/>
    <w:uiPriority w:val="30"/>
    <w:qFormat/>
    <w:rsid w:val="00003B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B74"/>
    <w:rPr>
      <w:i/>
      <w:iCs/>
      <w:color w:val="0F4761" w:themeColor="accent1" w:themeShade="BF"/>
    </w:rPr>
  </w:style>
  <w:style w:type="character" w:styleId="IntenseReference">
    <w:name w:val="Intense Reference"/>
    <w:basedOn w:val="DefaultParagraphFont"/>
    <w:uiPriority w:val="32"/>
    <w:qFormat/>
    <w:rsid w:val="00003B74"/>
    <w:rPr>
      <w:b/>
      <w:bCs/>
      <w:smallCaps/>
      <w:color w:val="0F4761" w:themeColor="accent1" w:themeShade="BF"/>
      <w:spacing w:val="5"/>
    </w:rPr>
  </w:style>
  <w:style w:type="character" w:styleId="Hyperlink">
    <w:name w:val="Hyperlink"/>
    <w:basedOn w:val="DefaultParagraphFont"/>
    <w:uiPriority w:val="99"/>
    <w:unhideWhenUsed/>
    <w:rsid w:val="00A05605"/>
    <w:rPr>
      <w:color w:val="467886" w:themeColor="hyperlink"/>
      <w:u w:val="single"/>
    </w:rPr>
  </w:style>
  <w:style w:type="character" w:styleId="UnresolvedMention">
    <w:name w:val="Unresolved Mention"/>
    <w:basedOn w:val="DefaultParagraphFont"/>
    <w:uiPriority w:val="99"/>
    <w:semiHidden/>
    <w:unhideWhenUsed/>
    <w:rsid w:val="00A05605"/>
    <w:rPr>
      <w:color w:val="605E5C"/>
      <w:shd w:val="clear" w:color="auto" w:fill="E1DFDD"/>
    </w:rPr>
  </w:style>
  <w:style w:type="character" w:styleId="FollowedHyperlink">
    <w:name w:val="FollowedHyperlink"/>
    <w:basedOn w:val="DefaultParagraphFont"/>
    <w:uiPriority w:val="99"/>
    <w:semiHidden/>
    <w:unhideWhenUsed/>
    <w:rsid w:val="00B721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hyperlink" Target="https://www.cqc.org.uk/publications/major-reports/how-providers-are-working-together-across-systems-response-covid-19" TargetMode="External"/><Relationship Id="rId18" Type="http://schemas.openxmlformats.org/officeDocument/2006/relationships/hyperlink" Target="https://www.legislation.gov.uk/ukpga/2018/12/conte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egislation.gov.uk/ukpga/2010/15/contents" TargetMode="External"/><Relationship Id="rId12" Type="http://schemas.openxmlformats.org/officeDocument/2006/relationships/hyperlink" Target="https://www.cqc.org.uk/publications/major-reports/collaborating-better-care" TargetMode="External"/><Relationship Id="rId17" Type="http://schemas.openxmlformats.org/officeDocument/2006/relationships/hyperlink" Target="https://www.legislation.gov.uk/ukpga/2010/15/contents" TargetMode="External"/><Relationship Id="rId2" Type="http://schemas.openxmlformats.org/officeDocument/2006/relationships/styles" Target="styles.xml"/><Relationship Id="rId16" Type="http://schemas.openxmlformats.org/officeDocument/2006/relationships/hyperlink" Target="https://www.skillsforcare.org.uk/Support-for-leaders-and-managers/Good-and-outstanding-care/inspection-toolkit/Topic-examples.aspx?kloe=responsive-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gislation.gov.uk/ukpga/2018/12/contents" TargetMode="External"/><Relationship Id="rId11" Type="http://schemas.openxmlformats.org/officeDocument/2006/relationships/hyperlink" Target="https://www.who.int/publications/i/item/WHO-HIS-SDS-2016.8" TargetMode="External"/><Relationship Id="rId5" Type="http://schemas.openxmlformats.org/officeDocument/2006/relationships/hyperlink" Target="https://www.cqc.org.uk/what-we-do/how-we-do-our-job/fundamental-standards" TargetMode="External"/><Relationship Id="rId15" Type="http://schemas.openxmlformats.org/officeDocument/2006/relationships/hyperlink" Target="https://www.skillsforcare.org.uk/Support-for-leaders-and-managers/Good-and-outstanding-care/inspection-toolkit/Topic-examples.aspx?kloe=well-led-2" TargetMode="External"/><Relationship Id="rId10" Type="http://schemas.openxmlformats.org/officeDocument/2006/relationships/hyperlink" Target="https://www.england.nhs.uk/integratedcare/integrated-care-systems/" TargetMode="External"/><Relationship Id="rId19"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www.nmc.org.uk/standards/code/" TargetMode="External"/><Relationship Id="rId14" Type="http://schemas.openxmlformats.org/officeDocument/2006/relationships/hyperlink" Target="https://carelearning.org.uk/blog/settings/what-is-partnership-working-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59</TotalTime>
  <Pages>10</Pages>
  <Words>2847</Words>
  <Characters>16234</Characters>
  <Application>Microsoft Office Word</Application>
  <DocSecurity>0</DocSecurity>
  <Lines>135</Lines>
  <Paragraphs>38</Paragraphs>
  <ScaleCrop>false</ScaleCrop>
  <Company/>
  <LinksUpToDate>false</LinksUpToDate>
  <CharactersWithSpaces>19043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Jeneba Echeverria (2438504)</dc:creator>
  <cp:keywords/>
  <dc:description/>
  <cp:lastModifiedBy>Jeneba Echeverria (2438504)</cp:lastModifiedBy>
  <cp:revision>46</cp:revision>
  <dcterms:created xsi:type="dcterms:W3CDTF">2025-12-18T19:46:00Z</dcterms:created>
  <dcterms:modified xsi:type="dcterms:W3CDTF">2025-12-18T21:30:00Z</dcterms:modified>
</cp:coreProperties>
</file>