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143257100"/>
        <w:docPartObj>
          <w:docPartGallery w:val="Cover Pages"/>
          <w:docPartUnique/>
        </w:docPartObj>
      </w:sdtPr>
      <w:sdtEndPr>
        <w:rPr>
          <w:b/>
          <w:bCs/>
          <w:color w:val="auto"/>
        </w:rPr>
      </w:sdtEndPr>
      <w:sdtContent>
        <w:p w14:paraId="514D1C16" w14:textId="0E47C382" w:rsidR="00005F81" w:rsidRPr="000F7CF0" w:rsidRDefault="00005F81" w:rsidP="00005F81">
          <w:pPr>
            <w:jc w:val="center"/>
            <w:rPr>
              <w:rFonts w:ascii="Arial" w:hAnsi="Arial" w:cs="Arial"/>
              <w:sz w:val="40"/>
              <w:szCs w:val="40"/>
            </w:rPr>
          </w:pPr>
          <w:r w:rsidRPr="000F7CF0">
            <w:rPr>
              <w:rFonts w:ascii="Arial" w:hAnsi="Arial" w:cs="Arial"/>
              <w:b/>
              <w:bCs/>
              <w:sz w:val="40"/>
              <w:szCs w:val="40"/>
            </w:rPr>
            <w:t>Programme:</w:t>
          </w:r>
        </w:p>
        <w:p w14:paraId="163B5355" w14:textId="77777777" w:rsidR="00005F81" w:rsidRPr="000F7CF0" w:rsidRDefault="00005F81" w:rsidP="00005F81">
          <w:pPr>
            <w:jc w:val="center"/>
            <w:rPr>
              <w:rFonts w:ascii="Arial" w:hAnsi="Arial" w:cs="Arial"/>
              <w:sz w:val="40"/>
              <w:szCs w:val="40"/>
            </w:rPr>
          </w:pPr>
          <w:r w:rsidRPr="000F7CF0">
            <w:rPr>
              <w:rFonts w:ascii="Arial" w:hAnsi="Arial" w:cs="Arial"/>
              <w:sz w:val="40"/>
              <w:szCs w:val="40"/>
            </w:rPr>
            <w:t>BA (Hons) Leadership and Management Skills for the Workplace</w:t>
          </w:r>
        </w:p>
        <w:p w14:paraId="7CF8A776" w14:textId="77777777" w:rsidR="00005F81" w:rsidRPr="000F7CF0" w:rsidRDefault="00005F81" w:rsidP="00005F81">
          <w:pPr>
            <w:jc w:val="center"/>
            <w:rPr>
              <w:rFonts w:ascii="Arial" w:hAnsi="Arial" w:cs="Arial"/>
              <w:sz w:val="40"/>
              <w:szCs w:val="40"/>
            </w:rPr>
          </w:pPr>
        </w:p>
        <w:p w14:paraId="6A3D53EC"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Module:</w:t>
          </w:r>
        </w:p>
        <w:p w14:paraId="17EB4A43" w14:textId="77777777" w:rsidR="0020111E" w:rsidRPr="0020111E" w:rsidRDefault="0020111E" w:rsidP="0020111E">
          <w:pPr>
            <w:jc w:val="center"/>
            <w:rPr>
              <w:rFonts w:ascii="Arial" w:hAnsi="Arial" w:cs="Arial"/>
              <w:sz w:val="40"/>
              <w:szCs w:val="40"/>
            </w:rPr>
          </w:pPr>
          <w:r w:rsidRPr="0020111E">
            <w:rPr>
              <w:rFonts w:ascii="Arial" w:hAnsi="Arial" w:cs="Arial"/>
              <w:sz w:val="40"/>
              <w:szCs w:val="40"/>
            </w:rPr>
            <w:t>Developing and Managing Individuals and Teams</w:t>
          </w:r>
        </w:p>
        <w:p w14:paraId="12F8B413" w14:textId="77777777" w:rsidR="00CD2D8A" w:rsidRDefault="0020111E" w:rsidP="00005F81">
          <w:pPr>
            <w:jc w:val="center"/>
            <w:rPr>
              <w:rFonts w:ascii="Arial" w:hAnsi="Arial" w:cs="Arial"/>
              <w:sz w:val="40"/>
              <w:szCs w:val="40"/>
            </w:rPr>
          </w:pPr>
          <w:r w:rsidRPr="0020111E">
            <w:rPr>
              <w:rFonts w:ascii="Arial" w:hAnsi="Arial" w:cs="Arial"/>
              <w:sz w:val="40"/>
              <w:szCs w:val="40"/>
            </w:rPr>
            <w:t xml:space="preserve">Individual Report: </w:t>
          </w:r>
        </w:p>
        <w:p w14:paraId="0BE67419" w14:textId="77777777" w:rsidR="00CD2D8A" w:rsidRDefault="00CD2D8A" w:rsidP="00005F81">
          <w:pPr>
            <w:jc w:val="center"/>
            <w:rPr>
              <w:rFonts w:ascii="Arial" w:hAnsi="Arial" w:cs="Arial"/>
              <w:sz w:val="40"/>
              <w:szCs w:val="40"/>
            </w:rPr>
          </w:pPr>
        </w:p>
        <w:p w14:paraId="4C68C737" w14:textId="07318CF1" w:rsidR="00005F81" w:rsidRPr="000F7CF0" w:rsidRDefault="00005F81" w:rsidP="00005F81">
          <w:pPr>
            <w:jc w:val="center"/>
            <w:rPr>
              <w:rFonts w:ascii="Arial" w:hAnsi="Arial" w:cs="Arial"/>
              <w:b/>
              <w:bCs/>
              <w:sz w:val="40"/>
              <w:szCs w:val="40"/>
            </w:rPr>
          </w:pPr>
          <w:r w:rsidRPr="000F7CF0">
            <w:rPr>
              <w:rFonts w:ascii="Arial" w:hAnsi="Arial" w:cs="Arial"/>
              <w:b/>
              <w:bCs/>
              <w:sz w:val="40"/>
              <w:szCs w:val="40"/>
            </w:rPr>
            <w:t>Module code:</w:t>
          </w:r>
        </w:p>
        <w:p w14:paraId="6AAF6956" w14:textId="2F9B889B" w:rsidR="00005F81" w:rsidRPr="000F7CF0" w:rsidRDefault="00005F81" w:rsidP="00005F81">
          <w:pPr>
            <w:jc w:val="center"/>
            <w:rPr>
              <w:rFonts w:ascii="Arial" w:hAnsi="Arial" w:cs="Arial"/>
              <w:sz w:val="40"/>
              <w:szCs w:val="40"/>
            </w:rPr>
          </w:pPr>
          <w:r w:rsidRPr="000F7CF0">
            <w:rPr>
              <w:rFonts w:ascii="Arial" w:hAnsi="Arial" w:cs="Arial"/>
              <w:sz w:val="40"/>
              <w:szCs w:val="40"/>
            </w:rPr>
            <w:t>LCLM500</w:t>
          </w:r>
          <w:r w:rsidR="0020111E">
            <w:rPr>
              <w:rFonts w:ascii="Arial" w:hAnsi="Arial" w:cs="Arial"/>
              <w:sz w:val="40"/>
              <w:szCs w:val="40"/>
            </w:rPr>
            <w:t>2</w:t>
          </w:r>
        </w:p>
        <w:p w14:paraId="6668F8B5" w14:textId="77777777" w:rsidR="00005F81" w:rsidRPr="000F7CF0" w:rsidRDefault="00005F81" w:rsidP="00005F81">
          <w:pPr>
            <w:jc w:val="center"/>
            <w:rPr>
              <w:rFonts w:ascii="Arial" w:hAnsi="Arial" w:cs="Arial"/>
              <w:sz w:val="40"/>
              <w:szCs w:val="40"/>
            </w:rPr>
          </w:pPr>
        </w:p>
        <w:p w14:paraId="641A2A3E" w14:textId="77777777" w:rsidR="00005F81" w:rsidRPr="000F7CF0" w:rsidRDefault="00005F81" w:rsidP="00005F81">
          <w:pPr>
            <w:jc w:val="center"/>
            <w:rPr>
              <w:rFonts w:ascii="Arial" w:hAnsi="Arial" w:cs="Arial"/>
              <w:b/>
              <w:bCs/>
              <w:sz w:val="40"/>
              <w:szCs w:val="40"/>
            </w:rPr>
          </w:pPr>
          <w:r w:rsidRPr="000F7CF0">
            <w:rPr>
              <w:rFonts w:ascii="Arial" w:hAnsi="Arial" w:cs="Arial"/>
              <w:b/>
              <w:bCs/>
              <w:sz w:val="40"/>
              <w:szCs w:val="40"/>
            </w:rPr>
            <w:t>Module Lecturer:</w:t>
          </w:r>
        </w:p>
        <w:p w14:paraId="5AD37B57" w14:textId="01E6C6AA" w:rsidR="00005F81" w:rsidRPr="000F7CF0" w:rsidRDefault="000F12DA" w:rsidP="00005F81">
          <w:pPr>
            <w:jc w:val="center"/>
            <w:rPr>
              <w:rFonts w:ascii="Arial" w:hAnsi="Arial" w:cs="Arial"/>
              <w:sz w:val="40"/>
              <w:szCs w:val="40"/>
            </w:rPr>
          </w:pPr>
          <w:r>
            <w:rPr>
              <w:rFonts w:ascii="Arial" w:hAnsi="Arial" w:cs="Arial"/>
              <w:sz w:val="40"/>
              <w:szCs w:val="40"/>
            </w:rPr>
            <w:t xml:space="preserve">Dr </w:t>
          </w:r>
          <w:r w:rsidRPr="000F12DA">
            <w:rPr>
              <w:rFonts w:ascii="Arial" w:hAnsi="Arial" w:cs="Arial"/>
              <w:sz w:val="40"/>
              <w:szCs w:val="40"/>
            </w:rPr>
            <w:t>Mudassar Hasan</w:t>
          </w:r>
        </w:p>
        <w:p w14:paraId="7E2FAB3E" w14:textId="77777777" w:rsidR="00005F81" w:rsidRPr="000F7CF0" w:rsidRDefault="00005F81" w:rsidP="00005F81">
          <w:pPr>
            <w:jc w:val="center"/>
            <w:rPr>
              <w:rFonts w:ascii="Arial" w:hAnsi="Arial" w:cs="Arial"/>
              <w:sz w:val="40"/>
              <w:szCs w:val="40"/>
            </w:rPr>
          </w:pPr>
        </w:p>
        <w:p w14:paraId="05C96648"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Student Name:</w:t>
          </w:r>
          <w:r w:rsidRPr="000F7CF0">
            <w:rPr>
              <w:rFonts w:ascii="Arial" w:hAnsi="Arial" w:cs="Arial"/>
              <w:sz w:val="40"/>
              <w:szCs w:val="40"/>
            </w:rPr>
            <w:br/>
            <w:t>James Masih</w:t>
          </w:r>
        </w:p>
        <w:p w14:paraId="1A659C45" w14:textId="77777777" w:rsidR="00005F81" w:rsidRPr="000F7CF0" w:rsidRDefault="00005F81" w:rsidP="00005F81">
          <w:pPr>
            <w:jc w:val="center"/>
            <w:rPr>
              <w:rFonts w:ascii="Arial" w:hAnsi="Arial" w:cs="Arial"/>
              <w:sz w:val="40"/>
              <w:szCs w:val="40"/>
            </w:rPr>
          </w:pPr>
        </w:p>
        <w:p w14:paraId="4728BAD0"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Student ID:</w:t>
          </w:r>
          <w:r w:rsidRPr="000F7CF0">
            <w:rPr>
              <w:rFonts w:ascii="Arial" w:hAnsi="Arial" w:cs="Arial"/>
              <w:sz w:val="40"/>
              <w:szCs w:val="40"/>
            </w:rPr>
            <w:br/>
            <w:t>2420102</w:t>
          </w:r>
        </w:p>
        <w:p w14:paraId="00939CCD" w14:textId="77777777" w:rsidR="00005F81" w:rsidRDefault="00005F81" w:rsidP="00005F81">
          <w:pPr>
            <w:pStyle w:val="NoSpacing"/>
            <w:spacing w:before="1540" w:after="240"/>
            <w:jc w:val="center"/>
            <w:rPr>
              <w:color w:val="156082" w:themeColor="accent1"/>
            </w:rPr>
          </w:pPr>
        </w:p>
        <w:p w14:paraId="03CC881F" w14:textId="77777777" w:rsidR="006309DD" w:rsidRDefault="006309DD" w:rsidP="006309DD">
          <w:pPr>
            <w:pStyle w:val="NormalWeb"/>
            <w:spacing w:line="360" w:lineRule="auto"/>
            <w:rPr>
              <w:rStyle w:val="Strong"/>
              <w:rFonts w:ascii="Arial" w:eastAsiaTheme="majorEastAsia" w:hAnsi="Arial" w:cs="Arial"/>
              <w:sz w:val="22"/>
              <w:szCs w:val="22"/>
            </w:rPr>
          </w:pPr>
          <w:r w:rsidRPr="006309DD">
            <w:rPr>
              <w:rStyle w:val="Strong"/>
              <w:rFonts w:ascii="Arial" w:eastAsiaTheme="majorEastAsia" w:hAnsi="Arial" w:cs="Arial"/>
              <w:sz w:val="22"/>
              <w:szCs w:val="22"/>
            </w:rPr>
            <w:t>Executive Summary</w:t>
          </w:r>
        </w:p>
        <w:p w14:paraId="2E11B826" w14:textId="493E9114" w:rsidR="00097E3A" w:rsidRPr="00097E3A" w:rsidRDefault="00097E3A" w:rsidP="00097E3A">
          <w:pPr>
            <w:pStyle w:val="NormalWeb"/>
            <w:spacing w:line="360" w:lineRule="auto"/>
            <w:rPr>
              <w:rFonts w:ascii="Arial" w:hAnsi="Arial" w:cs="Arial"/>
              <w:sz w:val="22"/>
              <w:szCs w:val="22"/>
            </w:rPr>
          </w:pPr>
          <w:r w:rsidRPr="00097E3A">
            <w:rPr>
              <w:rFonts w:ascii="Arial" w:hAnsi="Arial" w:cs="Arial"/>
              <w:sz w:val="22"/>
              <w:szCs w:val="22"/>
            </w:rPr>
            <w:t>This report critically examines key human resource challenges faced by organisations in relation to technological advancement, talent acquisition</w:t>
          </w:r>
          <w:r w:rsidR="007E4DBE">
            <w:rPr>
              <w:rFonts w:ascii="Arial" w:hAnsi="Arial" w:cs="Arial"/>
              <w:sz w:val="22"/>
              <w:szCs w:val="22"/>
            </w:rPr>
            <w:t xml:space="preserve">, </w:t>
          </w:r>
          <w:r w:rsidR="007E4DBE" w:rsidRPr="00097E3A">
            <w:rPr>
              <w:rFonts w:ascii="Arial" w:hAnsi="Arial" w:cs="Arial"/>
              <w:sz w:val="22"/>
              <w:szCs w:val="22"/>
            </w:rPr>
            <w:t>retention</w:t>
          </w:r>
          <w:r w:rsidRPr="00097E3A">
            <w:rPr>
              <w:rFonts w:ascii="Arial" w:hAnsi="Arial" w:cs="Arial"/>
              <w:sz w:val="22"/>
              <w:szCs w:val="22"/>
            </w:rPr>
            <w:t>,</w:t>
          </w:r>
          <w:r w:rsidR="007E4DBE">
            <w:rPr>
              <w:rFonts w:ascii="Arial" w:hAnsi="Arial" w:cs="Arial"/>
              <w:sz w:val="22"/>
              <w:szCs w:val="22"/>
            </w:rPr>
            <w:t xml:space="preserve"> </w:t>
          </w:r>
          <w:r w:rsidRPr="00097E3A">
            <w:rPr>
              <w:rFonts w:ascii="Arial" w:hAnsi="Arial" w:cs="Arial"/>
              <w:sz w:val="22"/>
              <w:szCs w:val="22"/>
            </w:rPr>
            <w:t>diversity, equity and inclusion (DEI), using Shield Batteries Ltd as a case study.</w:t>
          </w:r>
        </w:p>
        <w:p w14:paraId="78D26776" w14:textId="7194D112" w:rsidR="00097E3A" w:rsidRPr="00097E3A" w:rsidRDefault="00097E3A" w:rsidP="00097E3A">
          <w:pPr>
            <w:pStyle w:val="NormalWeb"/>
            <w:spacing w:line="360" w:lineRule="auto"/>
            <w:rPr>
              <w:rFonts w:ascii="Arial" w:hAnsi="Arial" w:cs="Arial"/>
              <w:sz w:val="22"/>
              <w:szCs w:val="22"/>
            </w:rPr>
          </w:pPr>
          <w:r w:rsidRPr="00097E3A">
            <w:rPr>
              <w:rFonts w:ascii="Arial" w:hAnsi="Arial" w:cs="Arial"/>
              <w:sz w:val="22"/>
              <w:szCs w:val="22"/>
            </w:rPr>
            <w:t>The analysis identifies that rapid technological change requires continuous employee upskilling, whil</w:t>
          </w:r>
          <w:r w:rsidR="00F973C6">
            <w:rPr>
              <w:rFonts w:ascii="Arial" w:hAnsi="Arial" w:cs="Arial"/>
              <w:sz w:val="22"/>
              <w:szCs w:val="22"/>
            </w:rPr>
            <w:t>st</w:t>
          </w:r>
          <w:r w:rsidRPr="00097E3A">
            <w:rPr>
              <w:rFonts w:ascii="Arial" w:hAnsi="Arial" w:cs="Arial"/>
              <w:sz w:val="22"/>
              <w:szCs w:val="22"/>
            </w:rPr>
            <w:t xml:space="preserve"> increasing competition in the labour market makes attracting and retaining talent more complex. In addition, organisations are under growing pressure to create inclusive workplaces that promote equality and diversity.</w:t>
          </w:r>
        </w:p>
        <w:p w14:paraId="3AD81C05" w14:textId="77777777" w:rsidR="00097E3A" w:rsidRPr="00097E3A" w:rsidRDefault="00097E3A" w:rsidP="00097E3A">
          <w:pPr>
            <w:pStyle w:val="NormalWeb"/>
            <w:spacing w:line="360" w:lineRule="auto"/>
            <w:rPr>
              <w:rFonts w:ascii="Arial" w:hAnsi="Arial" w:cs="Arial"/>
              <w:sz w:val="22"/>
              <w:szCs w:val="22"/>
            </w:rPr>
          </w:pPr>
          <w:r w:rsidRPr="00097E3A">
            <w:rPr>
              <w:rFonts w:ascii="Arial" w:hAnsi="Arial" w:cs="Arial"/>
              <w:sz w:val="22"/>
              <w:szCs w:val="22"/>
            </w:rPr>
            <w:t>The report evaluates contemporary HR practices such as digital training programmes, employer branding, flexible working arrangements and inclusive recruitment strategies. While these practices offer potential solutions, their effectiveness is dependent on organisational context and managerial capability.</w:t>
          </w:r>
        </w:p>
        <w:p w14:paraId="0FB7B2ED" w14:textId="77777777" w:rsidR="00097E3A" w:rsidRPr="00097E3A" w:rsidRDefault="00097E3A" w:rsidP="00097E3A">
          <w:pPr>
            <w:pStyle w:val="NormalWeb"/>
            <w:spacing w:line="360" w:lineRule="auto"/>
            <w:rPr>
              <w:rFonts w:ascii="Arial" w:hAnsi="Arial" w:cs="Arial"/>
              <w:sz w:val="22"/>
              <w:szCs w:val="22"/>
            </w:rPr>
          </w:pPr>
          <w:r w:rsidRPr="00097E3A">
            <w:rPr>
              <w:rFonts w:ascii="Arial" w:hAnsi="Arial" w:cs="Arial"/>
              <w:sz w:val="22"/>
              <w:szCs w:val="22"/>
            </w:rPr>
            <w:t>The findings highlight the critical role of departmental managers in implementing HR strategies, particularly in ensuring employee engagement, monitoring performance and promoting inclusive workplace behaviours.</w:t>
          </w:r>
        </w:p>
        <w:p w14:paraId="1557F00A" w14:textId="77777777" w:rsidR="00097E3A" w:rsidRPr="00097E3A" w:rsidRDefault="00097E3A" w:rsidP="00097E3A">
          <w:pPr>
            <w:pStyle w:val="NormalWeb"/>
            <w:spacing w:line="360" w:lineRule="auto"/>
            <w:rPr>
              <w:rFonts w:ascii="Arial" w:hAnsi="Arial" w:cs="Arial"/>
              <w:sz w:val="22"/>
              <w:szCs w:val="22"/>
            </w:rPr>
          </w:pPr>
          <w:r w:rsidRPr="00097E3A">
            <w:rPr>
              <w:rFonts w:ascii="Arial" w:hAnsi="Arial" w:cs="Arial"/>
              <w:sz w:val="22"/>
              <w:szCs w:val="22"/>
            </w:rPr>
            <w:t>It is recommended that Shield Batteries Ltd invests in targeted training, adopts tailored retention strategies, strengthens DEI initiatives and enhances managerial development to ensure effective implementation of HR practices and long-term organisational success.</w:t>
          </w:r>
        </w:p>
        <w:p w14:paraId="0F7D54F4" w14:textId="77777777" w:rsidR="00097E3A" w:rsidRPr="006309DD" w:rsidRDefault="00097E3A" w:rsidP="006309DD">
          <w:pPr>
            <w:pStyle w:val="NormalWeb"/>
            <w:spacing w:line="360" w:lineRule="auto"/>
            <w:rPr>
              <w:rFonts w:ascii="Arial" w:hAnsi="Arial" w:cs="Arial"/>
              <w:sz w:val="22"/>
              <w:szCs w:val="22"/>
            </w:rPr>
          </w:pPr>
        </w:p>
        <w:p w14:paraId="14BE62CD" w14:textId="776DB79B" w:rsidR="005D0721" w:rsidRDefault="00DE0F7B" w:rsidP="003550E5">
          <w:pPr>
            <w:spacing w:line="360" w:lineRule="auto"/>
            <w:rPr>
              <w:b/>
              <w:bCs/>
            </w:rPr>
          </w:pPr>
          <w:r>
            <w:rPr>
              <w:b/>
              <w:bCs/>
            </w:rPr>
            <w:br w:type="page"/>
          </w:r>
        </w:p>
        <w:p w14:paraId="74C2D5DA" w14:textId="77777777" w:rsidR="00691556" w:rsidRDefault="00691556">
          <w:pPr>
            <w:pStyle w:val="TOCHeading"/>
          </w:pPr>
        </w:p>
        <w:p w14:paraId="36F3100C" w14:textId="43DC47FF" w:rsidR="00005C99" w:rsidRDefault="00005C99">
          <w:pPr>
            <w:pStyle w:val="TOCHeading"/>
          </w:pPr>
          <w:r>
            <w:t>Table of Contents</w:t>
          </w:r>
        </w:p>
        <w:p w14:paraId="621232DF" w14:textId="77777777" w:rsidR="006309DD" w:rsidRPr="006309DD" w:rsidRDefault="006309DD" w:rsidP="006309DD">
          <w:pPr>
            <w:rPr>
              <w:lang w:val="en-US"/>
            </w:rPr>
          </w:pPr>
        </w:p>
        <w:sdt>
          <w:sdtPr>
            <w:rPr>
              <w:b w:val="0"/>
              <w:bCs w:val="0"/>
              <w:noProof w:val="0"/>
            </w:rPr>
            <w:id w:val="-722132441"/>
            <w:docPartObj>
              <w:docPartGallery w:val="Table of Contents"/>
              <w:docPartUnique/>
            </w:docPartObj>
          </w:sdtPr>
          <w:sdtContent>
            <w:p w14:paraId="05DBCB0D" w14:textId="65BFEF2C" w:rsidR="001104E0" w:rsidRDefault="00005C99" w:rsidP="001104E0">
              <w:pPr>
                <w:pStyle w:val="TOC1"/>
                <w:rPr>
                  <w:rFonts w:eastAsiaTheme="minorEastAsia"/>
                  <w:lang w:eastAsia="en-GB"/>
                </w:rPr>
              </w:pPr>
              <w:r>
                <w:rPr>
                  <w:noProof w:val="0"/>
                </w:rPr>
                <w:fldChar w:fldCharType="begin"/>
              </w:r>
              <w:r>
                <w:instrText xml:space="preserve"> TOC \o "1-3" \h \z \u </w:instrText>
              </w:r>
              <w:r>
                <w:rPr>
                  <w:noProof w:val="0"/>
                </w:rPr>
                <w:fldChar w:fldCharType="separate"/>
              </w:r>
              <w:hyperlink w:anchor="_Toc225024336" w:history="1">
                <w:r w:rsidR="001104E0" w:rsidRPr="00984D22">
                  <w:rPr>
                    <w:rStyle w:val="Hyperlink"/>
                    <w:smallCaps/>
                    <w:spacing w:val="5"/>
                  </w:rPr>
                  <w:t>Introduction</w:t>
                </w:r>
                <w:r w:rsidR="001104E0">
                  <w:rPr>
                    <w:webHidden/>
                  </w:rPr>
                  <w:tab/>
                </w:r>
                <w:r w:rsidR="001104E0">
                  <w:rPr>
                    <w:webHidden/>
                  </w:rPr>
                  <w:fldChar w:fldCharType="begin"/>
                </w:r>
                <w:r w:rsidR="001104E0">
                  <w:rPr>
                    <w:webHidden/>
                  </w:rPr>
                  <w:instrText xml:space="preserve"> PAGEREF _Toc225024336 \h </w:instrText>
                </w:r>
                <w:r w:rsidR="001104E0">
                  <w:rPr>
                    <w:webHidden/>
                  </w:rPr>
                </w:r>
                <w:r w:rsidR="001104E0">
                  <w:rPr>
                    <w:webHidden/>
                  </w:rPr>
                  <w:fldChar w:fldCharType="separate"/>
                </w:r>
                <w:r w:rsidR="001104E0">
                  <w:rPr>
                    <w:webHidden/>
                  </w:rPr>
                  <w:t>3</w:t>
                </w:r>
                <w:r w:rsidR="001104E0">
                  <w:rPr>
                    <w:webHidden/>
                  </w:rPr>
                  <w:fldChar w:fldCharType="end"/>
                </w:r>
              </w:hyperlink>
            </w:p>
            <w:p w14:paraId="5C096DF7" w14:textId="3DA67320" w:rsidR="001104E0" w:rsidRDefault="001104E0" w:rsidP="001104E0">
              <w:pPr>
                <w:pStyle w:val="TOC1"/>
                <w:rPr>
                  <w:rFonts w:eastAsiaTheme="minorEastAsia"/>
                  <w:lang w:eastAsia="en-GB"/>
                </w:rPr>
              </w:pPr>
              <w:hyperlink w:anchor="_Toc225024337" w:history="1">
                <w:r w:rsidRPr="00984D22">
                  <w:rPr>
                    <w:rStyle w:val="Hyperlink"/>
                  </w:rPr>
                  <w:t>Meeting up with Technological Advancement</w:t>
                </w:r>
                <w:r>
                  <w:rPr>
                    <w:webHidden/>
                  </w:rPr>
                  <w:tab/>
                </w:r>
                <w:r>
                  <w:rPr>
                    <w:webHidden/>
                  </w:rPr>
                  <w:fldChar w:fldCharType="begin"/>
                </w:r>
                <w:r>
                  <w:rPr>
                    <w:webHidden/>
                  </w:rPr>
                  <w:instrText xml:space="preserve"> PAGEREF _Toc225024337 \h </w:instrText>
                </w:r>
                <w:r>
                  <w:rPr>
                    <w:webHidden/>
                  </w:rPr>
                </w:r>
                <w:r>
                  <w:rPr>
                    <w:webHidden/>
                  </w:rPr>
                  <w:fldChar w:fldCharType="separate"/>
                </w:r>
                <w:r>
                  <w:rPr>
                    <w:webHidden/>
                  </w:rPr>
                  <w:t>3</w:t>
                </w:r>
                <w:r>
                  <w:rPr>
                    <w:webHidden/>
                  </w:rPr>
                  <w:fldChar w:fldCharType="end"/>
                </w:r>
              </w:hyperlink>
            </w:p>
            <w:p w14:paraId="70CC7811" w14:textId="24E516B1" w:rsidR="001104E0" w:rsidRDefault="001104E0" w:rsidP="001104E0">
              <w:pPr>
                <w:pStyle w:val="TOC1"/>
                <w:rPr>
                  <w:rFonts w:eastAsiaTheme="minorEastAsia"/>
                  <w:lang w:eastAsia="en-GB"/>
                </w:rPr>
              </w:pPr>
              <w:hyperlink w:anchor="_Toc225024338" w:history="1">
                <w:r w:rsidRPr="00984D22">
                  <w:rPr>
                    <w:rStyle w:val="Hyperlink"/>
                  </w:rPr>
                  <w:t>Talent Acquisition and Retention</w:t>
                </w:r>
                <w:r>
                  <w:rPr>
                    <w:webHidden/>
                  </w:rPr>
                  <w:tab/>
                </w:r>
                <w:r>
                  <w:rPr>
                    <w:webHidden/>
                  </w:rPr>
                  <w:fldChar w:fldCharType="begin"/>
                </w:r>
                <w:r>
                  <w:rPr>
                    <w:webHidden/>
                  </w:rPr>
                  <w:instrText xml:space="preserve"> PAGEREF _Toc225024338 \h </w:instrText>
                </w:r>
                <w:r>
                  <w:rPr>
                    <w:webHidden/>
                  </w:rPr>
                </w:r>
                <w:r>
                  <w:rPr>
                    <w:webHidden/>
                  </w:rPr>
                  <w:fldChar w:fldCharType="separate"/>
                </w:r>
                <w:r>
                  <w:rPr>
                    <w:webHidden/>
                  </w:rPr>
                  <w:t>4</w:t>
                </w:r>
                <w:r>
                  <w:rPr>
                    <w:webHidden/>
                  </w:rPr>
                  <w:fldChar w:fldCharType="end"/>
                </w:r>
              </w:hyperlink>
            </w:p>
            <w:p w14:paraId="6F270E1F" w14:textId="506C62E7" w:rsidR="001104E0" w:rsidRDefault="001104E0" w:rsidP="001104E0">
              <w:pPr>
                <w:pStyle w:val="TOC1"/>
                <w:rPr>
                  <w:rFonts w:eastAsiaTheme="minorEastAsia"/>
                  <w:lang w:eastAsia="en-GB"/>
                </w:rPr>
              </w:pPr>
              <w:hyperlink w:anchor="_Toc225024339" w:history="1">
                <w:r w:rsidRPr="00984D22">
                  <w:rPr>
                    <w:rStyle w:val="Hyperlink"/>
                  </w:rPr>
                  <w:t>DEI (Diversity, Equity and Inclusion)</w:t>
                </w:r>
                <w:r>
                  <w:rPr>
                    <w:webHidden/>
                  </w:rPr>
                  <w:tab/>
                </w:r>
                <w:r>
                  <w:rPr>
                    <w:webHidden/>
                  </w:rPr>
                  <w:fldChar w:fldCharType="begin"/>
                </w:r>
                <w:r>
                  <w:rPr>
                    <w:webHidden/>
                  </w:rPr>
                  <w:instrText xml:space="preserve"> PAGEREF _Toc225024339 \h </w:instrText>
                </w:r>
                <w:r>
                  <w:rPr>
                    <w:webHidden/>
                  </w:rPr>
                </w:r>
                <w:r>
                  <w:rPr>
                    <w:webHidden/>
                  </w:rPr>
                  <w:fldChar w:fldCharType="separate"/>
                </w:r>
                <w:r>
                  <w:rPr>
                    <w:webHidden/>
                  </w:rPr>
                  <w:t>5</w:t>
                </w:r>
                <w:r>
                  <w:rPr>
                    <w:webHidden/>
                  </w:rPr>
                  <w:fldChar w:fldCharType="end"/>
                </w:r>
              </w:hyperlink>
            </w:p>
            <w:p w14:paraId="4855B578" w14:textId="4CAAC67D" w:rsidR="001104E0" w:rsidRDefault="001104E0" w:rsidP="001104E0">
              <w:pPr>
                <w:pStyle w:val="TOC1"/>
                <w:rPr>
                  <w:rFonts w:eastAsiaTheme="minorEastAsia"/>
                  <w:lang w:eastAsia="en-GB"/>
                </w:rPr>
              </w:pPr>
              <w:hyperlink w:anchor="_Toc225024340" w:history="1">
                <w:r w:rsidRPr="00984D22">
                  <w:rPr>
                    <w:rStyle w:val="Hyperlink"/>
                    <w:rFonts w:eastAsia="Calibri"/>
                  </w:rPr>
                  <w:t>HR Practices for Technological Advancement</w:t>
                </w:r>
                <w:r>
                  <w:rPr>
                    <w:webHidden/>
                  </w:rPr>
                  <w:tab/>
                </w:r>
                <w:r>
                  <w:rPr>
                    <w:webHidden/>
                  </w:rPr>
                  <w:fldChar w:fldCharType="begin"/>
                </w:r>
                <w:r>
                  <w:rPr>
                    <w:webHidden/>
                  </w:rPr>
                  <w:instrText xml:space="preserve"> PAGEREF _Toc225024340 \h </w:instrText>
                </w:r>
                <w:r>
                  <w:rPr>
                    <w:webHidden/>
                  </w:rPr>
                </w:r>
                <w:r>
                  <w:rPr>
                    <w:webHidden/>
                  </w:rPr>
                  <w:fldChar w:fldCharType="separate"/>
                </w:r>
                <w:r>
                  <w:rPr>
                    <w:webHidden/>
                  </w:rPr>
                  <w:t>5</w:t>
                </w:r>
                <w:r>
                  <w:rPr>
                    <w:webHidden/>
                  </w:rPr>
                  <w:fldChar w:fldCharType="end"/>
                </w:r>
              </w:hyperlink>
            </w:p>
            <w:p w14:paraId="1B1FA053" w14:textId="244A72EF" w:rsidR="001104E0" w:rsidRDefault="001104E0" w:rsidP="001104E0">
              <w:pPr>
                <w:pStyle w:val="TOC1"/>
                <w:rPr>
                  <w:rFonts w:eastAsiaTheme="minorEastAsia"/>
                  <w:lang w:eastAsia="en-GB"/>
                </w:rPr>
              </w:pPr>
              <w:hyperlink w:anchor="_Toc225024341" w:history="1">
                <w:r w:rsidRPr="00984D22">
                  <w:rPr>
                    <w:rStyle w:val="Hyperlink"/>
                  </w:rPr>
                  <w:t>HR Practices for Talent Acquisition and Retention</w:t>
                </w:r>
                <w:r>
                  <w:rPr>
                    <w:webHidden/>
                  </w:rPr>
                  <w:tab/>
                </w:r>
                <w:r>
                  <w:rPr>
                    <w:webHidden/>
                  </w:rPr>
                  <w:fldChar w:fldCharType="begin"/>
                </w:r>
                <w:r>
                  <w:rPr>
                    <w:webHidden/>
                  </w:rPr>
                  <w:instrText xml:space="preserve"> PAGEREF _Toc225024341 \h </w:instrText>
                </w:r>
                <w:r>
                  <w:rPr>
                    <w:webHidden/>
                  </w:rPr>
                </w:r>
                <w:r>
                  <w:rPr>
                    <w:webHidden/>
                  </w:rPr>
                  <w:fldChar w:fldCharType="separate"/>
                </w:r>
                <w:r>
                  <w:rPr>
                    <w:webHidden/>
                  </w:rPr>
                  <w:t>6</w:t>
                </w:r>
                <w:r>
                  <w:rPr>
                    <w:webHidden/>
                  </w:rPr>
                  <w:fldChar w:fldCharType="end"/>
                </w:r>
              </w:hyperlink>
            </w:p>
            <w:p w14:paraId="275660ED" w14:textId="3668BE0B" w:rsidR="001104E0" w:rsidRDefault="001104E0" w:rsidP="001104E0">
              <w:pPr>
                <w:pStyle w:val="TOC1"/>
                <w:rPr>
                  <w:rFonts w:eastAsiaTheme="minorEastAsia"/>
                  <w:lang w:eastAsia="en-GB"/>
                </w:rPr>
              </w:pPr>
              <w:hyperlink w:anchor="_Toc225024342" w:history="1">
                <w:r w:rsidRPr="00984D22">
                  <w:rPr>
                    <w:rStyle w:val="Hyperlink"/>
                    <w:rFonts w:eastAsia="Times New Roman"/>
                    <w:lang w:eastAsia="en-GB"/>
                  </w:rPr>
                  <w:t>HR Practices for DEI</w:t>
                </w:r>
                <w:r>
                  <w:rPr>
                    <w:webHidden/>
                  </w:rPr>
                  <w:tab/>
                </w:r>
                <w:r>
                  <w:rPr>
                    <w:webHidden/>
                  </w:rPr>
                  <w:fldChar w:fldCharType="begin"/>
                </w:r>
                <w:r>
                  <w:rPr>
                    <w:webHidden/>
                  </w:rPr>
                  <w:instrText xml:space="preserve"> PAGEREF _Toc225024342 \h </w:instrText>
                </w:r>
                <w:r>
                  <w:rPr>
                    <w:webHidden/>
                  </w:rPr>
                </w:r>
                <w:r>
                  <w:rPr>
                    <w:webHidden/>
                  </w:rPr>
                  <w:fldChar w:fldCharType="separate"/>
                </w:r>
                <w:r>
                  <w:rPr>
                    <w:webHidden/>
                  </w:rPr>
                  <w:t>6</w:t>
                </w:r>
                <w:r>
                  <w:rPr>
                    <w:webHidden/>
                  </w:rPr>
                  <w:fldChar w:fldCharType="end"/>
                </w:r>
              </w:hyperlink>
            </w:p>
            <w:p w14:paraId="37D13698" w14:textId="65890C02" w:rsidR="001104E0" w:rsidRDefault="001104E0" w:rsidP="001104E0">
              <w:pPr>
                <w:pStyle w:val="TOC1"/>
                <w:rPr>
                  <w:rFonts w:eastAsiaTheme="minorEastAsia"/>
                  <w:lang w:eastAsia="en-GB"/>
                </w:rPr>
              </w:pPr>
              <w:hyperlink w:anchor="_Toc225024343" w:history="1">
                <w:r w:rsidRPr="00984D22">
                  <w:rPr>
                    <w:rStyle w:val="Hyperlink"/>
                    <w:rFonts w:eastAsia="Times New Roman"/>
                    <w:lang w:eastAsia="en-GB"/>
                  </w:rPr>
                  <w:t>Role of Departmental Managers in Implementation</w:t>
                </w:r>
                <w:r>
                  <w:rPr>
                    <w:webHidden/>
                  </w:rPr>
                  <w:tab/>
                </w:r>
                <w:r>
                  <w:rPr>
                    <w:webHidden/>
                  </w:rPr>
                  <w:fldChar w:fldCharType="begin"/>
                </w:r>
                <w:r>
                  <w:rPr>
                    <w:webHidden/>
                  </w:rPr>
                  <w:instrText xml:space="preserve"> PAGEREF _Toc225024343 \h </w:instrText>
                </w:r>
                <w:r>
                  <w:rPr>
                    <w:webHidden/>
                  </w:rPr>
                </w:r>
                <w:r>
                  <w:rPr>
                    <w:webHidden/>
                  </w:rPr>
                  <w:fldChar w:fldCharType="separate"/>
                </w:r>
                <w:r>
                  <w:rPr>
                    <w:webHidden/>
                  </w:rPr>
                  <w:t>7</w:t>
                </w:r>
                <w:r>
                  <w:rPr>
                    <w:webHidden/>
                  </w:rPr>
                  <w:fldChar w:fldCharType="end"/>
                </w:r>
              </w:hyperlink>
            </w:p>
            <w:p w14:paraId="70283E88" w14:textId="3D0F45D5" w:rsidR="001104E0" w:rsidRDefault="001104E0" w:rsidP="001104E0">
              <w:pPr>
                <w:pStyle w:val="TOC1"/>
                <w:rPr>
                  <w:rFonts w:eastAsiaTheme="minorEastAsia"/>
                  <w:lang w:eastAsia="en-GB"/>
                </w:rPr>
              </w:pPr>
              <w:hyperlink w:anchor="_Toc225024344" w:history="1">
                <w:r w:rsidRPr="00984D22">
                  <w:rPr>
                    <w:rStyle w:val="Hyperlink"/>
                    <w:rFonts w:eastAsia="Times New Roman"/>
                    <w:lang w:eastAsia="en-GB"/>
                  </w:rPr>
                  <w:t>Conclusion</w:t>
                </w:r>
                <w:r>
                  <w:rPr>
                    <w:webHidden/>
                  </w:rPr>
                  <w:tab/>
                </w:r>
                <w:r>
                  <w:rPr>
                    <w:webHidden/>
                  </w:rPr>
                  <w:fldChar w:fldCharType="begin"/>
                </w:r>
                <w:r>
                  <w:rPr>
                    <w:webHidden/>
                  </w:rPr>
                  <w:instrText xml:space="preserve"> PAGEREF _Toc225024344 \h </w:instrText>
                </w:r>
                <w:r>
                  <w:rPr>
                    <w:webHidden/>
                  </w:rPr>
                </w:r>
                <w:r>
                  <w:rPr>
                    <w:webHidden/>
                  </w:rPr>
                  <w:fldChar w:fldCharType="separate"/>
                </w:r>
                <w:r>
                  <w:rPr>
                    <w:webHidden/>
                  </w:rPr>
                  <w:t>7</w:t>
                </w:r>
                <w:r>
                  <w:rPr>
                    <w:webHidden/>
                  </w:rPr>
                  <w:fldChar w:fldCharType="end"/>
                </w:r>
              </w:hyperlink>
            </w:p>
            <w:p w14:paraId="52F3D507" w14:textId="4EFB513E" w:rsidR="001104E0" w:rsidRDefault="001104E0" w:rsidP="001104E0">
              <w:pPr>
                <w:pStyle w:val="TOC1"/>
                <w:rPr>
                  <w:rFonts w:eastAsiaTheme="minorEastAsia"/>
                  <w:lang w:eastAsia="en-GB"/>
                </w:rPr>
              </w:pPr>
              <w:hyperlink w:anchor="_Toc225024345" w:history="1">
                <w:r w:rsidRPr="00984D22">
                  <w:rPr>
                    <w:rStyle w:val="Hyperlink"/>
                    <w:rFonts w:eastAsia="Times New Roman"/>
                    <w:lang w:eastAsia="en-GB"/>
                  </w:rPr>
                  <w:t>Recommendations</w:t>
                </w:r>
                <w:r>
                  <w:rPr>
                    <w:webHidden/>
                  </w:rPr>
                  <w:tab/>
                </w:r>
                <w:r>
                  <w:rPr>
                    <w:webHidden/>
                  </w:rPr>
                  <w:fldChar w:fldCharType="begin"/>
                </w:r>
                <w:r>
                  <w:rPr>
                    <w:webHidden/>
                  </w:rPr>
                  <w:instrText xml:space="preserve"> PAGEREF _Toc225024345 \h </w:instrText>
                </w:r>
                <w:r>
                  <w:rPr>
                    <w:webHidden/>
                  </w:rPr>
                </w:r>
                <w:r>
                  <w:rPr>
                    <w:webHidden/>
                  </w:rPr>
                  <w:fldChar w:fldCharType="separate"/>
                </w:r>
                <w:r>
                  <w:rPr>
                    <w:webHidden/>
                  </w:rPr>
                  <w:t>8</w:t>
                </w:r>
                <w:r>
                  <w:rPr>
                    <w:webHidden/>
                  </w:rPr>
                  <w:fldChar w:fldCharType="end"/>
                </w:r>
              </w:hyperlink>
            </w:p>
            <w:p w14:paraId="6F403D7D" w14:textId="3A245CDF" w:rsidR="001104E0" w:rsidRPr="001104E0" w:rsidRDefault="001104E0" w:rsidP="001104E0">
              <w:pPr>
                <w:pStyle w:val="TOC1"/>
                <w:rPr>
                  <w:rFonts w:eastAsiaTheme="minorEastAsia"/>
                  <w:lang w:eastAsia="en-GB"/>
                </w:rPr>
              </w:pPr>
              <w:hyperlink w:anchor="_Toc225024346" w:history="1">
                <w:r w:rsidRPr="00C95198">
                  <w:rPr>
                    <w:rStyle w:val="Hyperlink"/>
                  </w:rPr>
                  <w:t>References</w:t>
                </w:r>
                <w:r w:rsidRPr="001104E0">
                  <w:rPr>
                    <w:webHidden/>
                  </w:rPr>
                  <w:tab/>
                </w:r>
                <w:r w:rsidRPr="001104E0">
                  <w:rPr>
                    <w:webHidden/>
                  </w:rPr>
                  <w:fldChar w:fldCharType="begin"/>
                </w:r>
                <w:r w:rsidRPr="001104E0">
                  <w:rPr>
                    <w:webHidden/>
                  </w:rPr>
                  <w:instrText xml:space="preserve"> PAGEREF _Toc225024346 \h </w:instrText>
                </w:r>
                <w:r w:rsidRPr="001104E0">
                  <w:rPr>
                    <w:webHidden/>
                  </w:rPr>
                </w:r>
                <w:r w:rsidRPr="001104E0">
                  <w:rPr>
                    <w:webHidden/>
                  </w:rPr>
                  <w:fldChar w:fldCharType="separate"/>
                </w:r>
                <w:r w:rsidRPr="001104E0">
                  <w:rPr>
                    <w:webHidden/>
                  </w:rPr>
                  <w:t>10</w:t>
                </w:r>
                <w:r w:rsidRPr="001104E0">
                  <w:rPr>
                    <w:webHidden/>
                  </w:rPr>
                  <w:fldChar w:fldCharType="end"/>
                </w:r>
              </w:hyperlink>
            </w:p>
            <w:p w14:paraId="4CD7DE9C" w14:textId="0E83DD59" w:rsidR="00005C99" w:rsidRDefault="00005C99">
              <w:r>
                <w:rPr>
                  <w:b/>
                  <w:bCs/>
                  <w:noProof/>
                </w:rPr>
                <w:fldChar w:fldCharType="end"/>
              </w:r>
            </w:p>
          </w:sdtContent>
        </w:sdt>
        <w:p w14:paraId="551282B8" w14:textId="25E7C9F8" w:rsidR="000F7CF0" w:rsidRDefault="00000000" w:rsidP="00E00171">
          <w:pPr>
            <w:jc w:val="center"/>
            <w:rPr>
              <w:b/>
              <w:bCs/>
            </w:rPr>
          </w:pPr>
        </w:p>
      </w:sdtContent>
    </w:sdt>
    <w:p w14:paraId="4AA2A22D" w14:textId="77777777" w:rsidR="007A0741" w:rsidRDefault="007A0741" w:rsidP="001E6FF6">
      <w:pPr>
        <w:pStyle w:val="Heading1"/>
        <w:rPr>
          <w:rStyle w:val="IntenseReference"/>
        </w:rPr>
      </w:pPr>
    </w:p>
    <w:p w14:paraId="7ADF3D88" w14:textId="77777777" w:rsidR="007A0741" w:rsidRDefault="007A0741" w:rsidP="007A0741"/>
    <w:p w14:paraId="335CBE10" w14:textId="77777777" w:rsidR="007A0741" w:rsidRPr="007A0741" w:rsidRDefault="007A0741" w:rsidP="007A0741"/>
    <w:p w14:paraId="196CFD01" w14:textId="77777777" w:rsidR="00146CB7" w:rsidRDefault="00146CB7" w:rsidP="001E6FF6">
      <w:pPr>
        <w:pStyle w:val="Heading1"/>
        <w:rPr>
          <w:rStyle w:val="IntenseReference"/>
          <w:sz w:val="28"/>
          <w:szCs w:val="28"/>
        </w:rPr>
      </w:pPr>
    </w:p>
    <w:p w14:paraId="1FC58ED1" w14:textId="77777777" w:rsidR="00146CB7" w:rsidRDefault="00146CB7" w:rsidP="001E6FF6">
      <w:pPr>
        <w:pStyle w:val="Heading1"/>
        <w:rPr>
          <w:rStyle w:val="IntenseReference"/>
          <w:sz w:val="28"/>
          <w:szCs w:val="28"/>
        </w:rPr>
      </w:pPr>
    </w:p>
    <w:p w14:paraId="2DF42719" w14:textId="77777777" w:rsidR="00146CB7" w:rsidRDefault="00146CB7" w:rsidP="00146CB7"/>
    <w:p w14:paraId="53B85841" w14:textId="77777777" w:rsidR="00146CB7" w:rsidRPr="00146CB7" w:rsidRDefault="00146CB7" w:rsidP="00146CB7"/>
    <w:p w14:paraId="5E967FB4" w14:textId="77777777" w:rsidR="00A124A2" w:rsidRDefault="00A124A2" w:rsidP="001E6FF6">
      <w:pPr>
        <w:pStyle w:val="Heading1"/>
        <w:rPr>
          <w:rStyle w:val="IntenseReference"/>
          <w:sz w:val="28"/>
          <w:szCs w:val="28"/>
        </w:rPr>
      </w:pPr>
    </w:p>
    <w:p w14:paraId="72343D0A" w14:textId="37C6BEE7" w:rsidR="001D6A79" w:rsidRDefault="001D6A79" w:rsidP="001E6FF6">
      <w:pPr>
        <w:pStyle w:val="Heading1"/>
        <w:rPr>
          <w:rStyle w:val="IntenseReference"/>
          <w:sz w:val="28"/>
          <w:szCs w:val="28"/>
        </w:rPr>
      </w:pPr>
      <w:bookmarkStart w:id="0" w:name="_Toc225024336"/>
      <w:r w:rsidRPr="00675059">
        <w:rPr>
          <w:rStyle w:val="IntenseReference"/>
          <w:sz w:val="28"/>
          <w:szCs w:val="28"/>
        </w:rPr>
        <w:t>Introduction</w:t>
      </w:r>
      <w:bookmarkEnd w:id="0"/>
      <w:r w:rsidR="00EB716E">
        <w:rPr>
          <w:rStyle w:val="IntenseReference"/>
          <w:sz w:val="28"/>
          <w:szCs w:val="28"/>
        </w:rPr>
        <w:t xml:space="preserve"> </w:t>
      </w:r>
    </w:p>
    <w:p w14:paraId="608FC0E9" w14:textId="77777777" w:rsidR="00D52A3B" w:rsidRPr="00D52A3B" w:rsidRDefault="00D52A3B" w:rsidP="00124C23">
      <w:pPr>
        <w:spacing w:line="360" w:lineRule="auto"/>
        <w:rPr>
          <w:rFonts w:ascii="Arial" w:hAnsi="Arial" w:cs="Arial"/>
          <w:sz w:val="22"/>
          <w:szCs w:val="22"/>
        </w:rPr>
      </w:pPr>
      <w:r w:rsidRPr="00D52A3B">
        <w:rPr>
          <w:rFonts w:ascii="Arial" w:hAnsi="Arial" w:cs="Arial"/>
          <w:sz w:val="22"/>
          <w:szCs w:val="22"/>
        </w:rPr>
        <w:t>Human Resource Management (HRM) has evolved from a primarily administrative function into a strategic mechanism that directly contributes to organisational performance and competitive advantage. In contemporary business environments, organisations are increasingly exposed to rapid technological advancements, intensified labour market competition and growing societal expectations surrounding equality and inclusion. As a result, HR functions must adopt proactive and integrated strategies to effectively manage people and organisational change (Armstrong and Taylor, 2023).</w:t>
      </w:r>
    </w:p>
    <w:p w14:paraId="05E89665" w14:textId="5EA7AD8A" w:rsidR="00D52A3B" w:rsidRPr="00D52A3B" w:rsidRDefault="00D52A3B" w:rsidP="00124C23">
      <w:pPr>
        <w:spacing w:line="360" w:lineRule="auto"/>
        <w:rPr>
          <w:rFonts w:ascii="Arial" w:hAnsi="Arial" w:cs="Arial"/>
          <w:sz w:val="22"/>
          <w:szCs w:val="22"/>
        </w:rPr>
      </w:pPr>
      <w:r w:rsidRPr="00D52A3B">
        <w:rPr>
          <w:rFonts w:ascii="Arial" w:hAnsi="Arial" w:cs="Arial"/>
          <w:sz w:val="22"/>
          <w:szCs w:val="22"/>
        </w:rPr>
        <w:t xml:space="preserve">Organisations operating within logistics and distribution sectors face </w:t>
      </w:r>
      <w:r w:rsidR="00410326" w:rsidRPr="00D52A3B">
        <w:rPr>
          <w:rFonts w:ascii="Arial" w:hAnsi="Arial" w:cs="Arial"/>
          <w:sz w:val="22"/>
          <w:szCs w:val="22"/>
        </w:rPr>
        <w:t>challenges</w:t>
      </w:r>
      <w:r w:rsidRPr="00D52A3B">
        <w:rPr>
          <w:rFonts w:ascii="Arial" w:hAnsi="Arial" w:cs="Arial"/>
          <w:sz w:val="22"/>
          <w:szCs w:val="22"/>
        </w:rPr>
        <w:t xml:space="preserve"> in aligning workforce capabilities with technological developments, attracting and retaining skilled employees</w:t>
      </w:r>
      <w:r w:rsidR="001D1AAC">
        <w:rPr>
          <w:rFonts w:ascii="Arial" w:hAnsi="Arial" w:cs="Arial"/>
          <w:sz w:val="22"/>
          <w:szCs w:val="22"/>
        </w:rPr>
        <w:t xml:space="preserve"> </w:t>
      </w:r>
      <w:r w:rsidRPr="00D52A3B">
        <w:rPr>
          <w:rFonts w:ascii="Arial" w:hAnsi="Arial" w:cs="Arial"/>
          <w:sz w:val="22"/>
          <w:szCs w:val="22"/>
        </w:rPr>
        <w:t>and fostering inclusive workplace environments. These challenges are not independent; rather, they are interconnected and require coordinated HR responses to ensure long-term organisational sustainability (CIPD, 2024). Furthermore, the increasing pace of digital transformation has heightened the need for organisations to remain agile, ensuring that both operational processes and workforce competencies evolve simultaneously to meet changing business demands.</w:t>
      </w:r>
    </w:p>
    <w:p w14:paraId="1C8DDE37" w14:textId="34C9018C" w:rsidR="00D52A3B" w:rsidRPr="00124C23" w:rsidRDefault="00D52A3B" w:rsidP="00124C23">
      <w:pPr>
        <w:spacing w:line="360" w:lineRule="auto"/>
        <w:rPr>
          <w:rFonts w:ascii="Arial" w:hAnsi="Arial" w:cs="Arial"/>
          <w:sz w:val="22"/>
          <w:szCs w:val="22"/>
        </w:rPr>
      </w:pPr>
      <w:r w:rsidRPr="00D52A3B">
        <w:rPr>
          <w:rFonts w:ascii="Arial" w:hAnsi="Arial" w:cs="Arial"/>
          <w:sz w:val="22"/>
          <w:szCs w:val="22"/>
        </w:rPr>
        <w:t>This report critically examines these issues within the context of Shield Batteries Ltd, a UK-based organisation specialising in automotive and industrial battery distribution. The report explores key factors influencing technological advancement, talent acquisition and retention</w:t>
      </w:r>
      <w:r w:rsidR="00115CA0">
        <w:rPr>
          <w:rFonts w:ascii="Arial" w:hAnsi="Arial" w:cs="Arial"/>
          <w:sz w:val="22"/>
          <w:szCs w:val="22"/>
        </w:rPr>
        <w:t xml:space="preserve"> </w:t>
      </w:r>
      <w:r w:rsidRPr="00D52A3B">
        <w:rPr>
          <w:rFonts w:ascii="Arial" w:hAnsi="Arial" w:cs="Arial"/>
          <w:sz w:val="22"/>
          <w:szCs w:val="22"/>
        </w:rPr>
        <w:t>and diversity, equity and inclusion (DEI). It further evaluates contemporary HR practices designed to address these challenges and critically assesses the role of departmental managers in ensuring their effective and timely implementation. The report argues that while HR practices provide essential frameworks, their effectiveness depends significantly on contextual application and managerial capability. Additionally, it emphasises that sustainable organisational success is closely linked to the ability of managers to translate strategic HR policies into consistent and practical workplace behaviours.</w:t>
      </w:r>
    </w:p>
    <w:p w14:paraId="61D48796" w14:textId="002420F0" w:rsidR="00982F34" w:rsidRPr="00982F34" w:rsidRDefault="00D74496" w:rsidP="00982F34">
      <w:pPr>
        <w:pStyle w:val="Heading1"/>
        <w:rPr>
          <w:b/>
          <w:bCs/>
          <w:sz w:val="28"/>
          <w:szCs w:val="28"/>
        </w:rPr>
      </w:pPr>
      <w:bookmarkStart w:id="1" w:name="_Toc225024337"/>
      <w:r>
        <w:rPr>
          <w:b/>
          <w:bCs/>
          <w:sz w:val="28"/>
          <w:szCs w:val="28"/>
        </w:rPr>
        <w:t xml:space="preserve">Meeting up with </w:t>
      </w:r>
      <w:r w:rsidR="00233987">
        <w:rPr>
          <w:b/>
          <w:bCs/>
          <w:sz w:val="28"/>
          <w:szCs w:val="28"/>
        </w:rPr>
        <w:t>Technological Advancement</w:t>
      </w:r>
      <w:bookmarkEnd w:id="1"/>
      <w:r w:rsidR="00982F34" w:rsidRPr="00982F34">
        <w:rPr>
          <w:b/>
          <w:bCs/>
          <w:sz w:val="28"/>
          <w:szCs w:val="28"/>
        </w:rPr>
        <w:t xml:space="preserve">  </w:t>
      </w:r>
    </w:p>
    <w:p w14:paraId="32E553EE" w14:textId="77777777" w:rsidR="00B136B3" w:rsidRPr="00B136B3" w:rsidRDefault="00B136B3" w:rsidP="00152DFB">
      <w:pPr>
        <w:spacing w:after="253" w:line="360" w:lineRule="auto"/>
        <w:ind w:right="135"/>
        <w:jc w:val="both"/>
        <w:rPr>
          <w:rFonts w:ascii="Arial" w:hAnsi="Arial" w:cs="Arial"/>
          <w:sz w:val="22"/>
          <w:szCs w:val="22"/>
        </w:rPr>
      </w:pPr>
      <w:r w:rsidRPr="00B136B3">
        <w:rPr>
          <w:rFonts w:ascii="Arial" w:hAnsi="Arial" w:cs="Arial"/>
          <w:sz w:val="22"/>
          <w:szCs w:val="22"/>
        </w:rPr>
        <w:t>Technological advancement is a key driver of organisational transformation, particularly within logistics and distribution industries. Companies such as Shield Batteries Ltd increasingly rely on digital systems, including inventory management software, automated warehousing and data analytics tools, to improve operational efficiency (Stone et al., 2020).</w:t>
      </w:r>
    </w:p>
    <w:p w14:paraId="22D19C8B" w14:textId="77777777" w:rsidR="00B136B3" w:rsidRPr="00B136B3" w:rsidRDefault="00B136B3" w:rsidP="00152DFB">
      <w:pPr>
        <w:spacing w:after="253" w:line="360" w:lineRule="auto"/>
        <w:ind w:right="135"/>
        <w:jc w:val="both"/>
        <w:rPr>
          <w:rFonts w:ascii="Arial" w:hAnsi="Arial" w:cs="Arial"/>
          <w:sz w:val="22"/>
          <w:szCs w:val="22"/>
        </w:rPr>
      </w:pPr>
      <w:r w:rsidRPr="00B136B3">
        <w:rPr>
          <w:rFonts w:ascii="Arial" w:hAnsi="Arial" w:cs="Arial"/>
          <w:sz w:val="22"/>
          <w:szCs w:val="22"/>
        </w:rPr>
        <w:lastRenderedPageBreak/>
        <w:t>A critical factor associated with technological advancement is the growing need for digital skills among employees. As organisations adopt advanced systems, employees must possess the competencies required to operate these technologies effectively. According to Noe et al. (2021), organisations that prioritise employee learning and development are better equipped to adapt to technological changes and maintain productivity.</w:t>
      </w:r>
    </w:p>
    <w:p w14:paraId="5E6F341F" w14:textId="77777777" w:rsidR="00B136B3" w:rsidRPr="00B136B3" w:rsidRDefault="00B136B3" w:rsidP="00152DFB">
      <w:pPr>
        <w:spacing w:after="253" w:line="360" w:lineRule="auto"/>
        <w:ind w:right="135"/>
        <w:jc w:val="both"/>
        <w:rPr>
          <w:rFonts w:ascii="Arial" w:hAnsi="Arial" w:cs="Arial"/>
          <w:sz w:val="22"/>
          <w:szCs w:val="22"/>
        </w:rPr>
      </w:pPr>
      <w:r w:rsidRPr="00B136B3">
        <w:rPr>
          <w:rFonts w:ascii="Arial" w:hAnsi="Arial" w:cs="Arial"/>
          <w:sz w:val="22"/>
          <w:szCs w:val="22"/>
        </w:rPr>
        <w:t>However, technological implementation is not without challenges. One significant issue is employee resistance to change, often driven by fear of job displacement or lack of confidence in using new systems. Burnes (2020) highlights that without effective change management strategies, technological adoption can result in reduced morale and productivity.</w:t>
      </w:r>
    </w:p>
    <w:p w14:paraId="5C28A1D2" w14:textId="3F299365" w:rsidR="00982F34" w:rsidRPr="00152DFB" w:rsidRDefault="00B136B3" w:rsidP="00152DFB">
      <w:pPr>
        <w:spacing w:after="253" w:line="360" w:lineRule="auto"/>
        <w:ind w:right="135"/>
        <w:jc w:val="both"/>
        <w:rPr>
          <w:rFonts w:ascii="Arial" w:hAnsi="Arial" w:cs="Arial"/>
          <w:sz w:val="22"/>
          <w:szCs w:val="22"/>
        </w:rPr>
      </w:pPr>
      <w:r w:rsidRPr="00B136B3">
        <w:rPr>
          <w:rFonts w:ascii="Arial" w:hAnsi="Arial" w:cs="Arial"/>
          <w:sz w:val="22"/>
          <w:szCs w:val="22"/>
        </w:rPr>
        <w:t>Furthermore, organisations must engage in strategic workforce planning to anticipate future skill requirements. Failure to do so may result in skill gaps, limiting the organisation’s ability to remain competitive. This suggests that technological advancement is not purely a technical issue but a human resource challenge requiring continuous development and adaptation.</w:t>
      </w:r>
    </w:p>
    <w:p w14:paraId="1595AFEE" w14:textId="7D11A8F1" w:rsidR="001D6A79" w:rsidRDefault="007A4F38" w:rsidP="001E6FF6">
      <w:pPr>
        <w:pStyle w:val="Heading1"/>
        <w:rPr>
          <w:b/>
          <w:bCs/>
          <w:sz w:val="28"/>
          <w:szCs w:val="28"/>
        </w:rPr>
      </w:pPr>
      <w:bookmarkStart w:id="2" w:name="_Toc225024338"/>
      <w:r w:rsidRPr="007A4F38">
        <w:rPr>
          <w:b/>
          <w:bCs/>
          <w:sz w:val="28"/>
          <w:szCs w:val="28"/>
        </w:rPr>
        <w:t xml:space="preserve">Talent Acquisition </w:t>
      </w:r>
      <w:r w:rsidR="003B0814">
        <w:rPr>
          <w:b/>
          <w:bCs/>
          <w:sz w:val="28"/>
          <w:szCs w:val="28"/>
        </w:rPr>
        <w:t>and Retention</w:t>
      </w:r>
      <w:bookmarkEnd w:id="2"/>
    </w:p>
    <w:p w14:paraId="64C042A5" w14:textId="77777777" w:rsidR="00703063" w:rsidRPr="00703063" w:rsidRDefault="00703063" w:rsidP="00152DFB">
      <w:pPr>
        <w:spacing w:line="360" w:lineRule="auto"/>
        <w:rPr>
          <w:rFonts w:ascii="Arial" w:hAnsi="Arial" w:cs="Arial"/>
          <w:sz w:val="22"/>
          <w:szCs w:val="22"/>
        </w:rPr>
      </w:pPr>
      <w:r w:rsidRPr="00703063">
        <w:rPr>
          <w:rFonts w:ascii="Arial" w:hAnsi="Arial" w:cs="Arial"/>
          <w:sz w:val="22"/>
          <w:szCs w:val="22"/>
        </w:rPr>
        <w:t>Talent acquisition and retention represent ongoing challenges in modern organisations, particularly within competitive labour markets. Organisations require employees with a combination of technical expertise, adaptability and problem-solving capabilities to support operational performance (Boxall and Purcell, 2022).</w:t>
      </w:r>
    </w:p>
    <w:p w14:paraId="66010A0A" w14:textId="77777777" w:rsidR="00CE77D6" w:rsidRDefault="00703063" w:rsidP="00152DFB">
      <w:pPr>
        <w:spacing w:line="360" w:lineRule="auto"/>
        <w:rPr>
          <w:rFonts w:ascii="Arial" w:hAnsi="Arial" w:cs="Arial"/>
          <w:sz w:val="22"/>
          <w:szCs w:val="22"/>
        </w:rPr>
      </w:pPr>
      <w:r w:rsidRPr="00703063">
        <w:rPr>
          <w:rFonts w:ascii="Arial" w:hAnsi="Arial" w:cs="Arial"/>
          <w:sz w:val="22"/>
          <w:szCs w:val="22"/>
        </w:rPr>
        <w:t xml:space="preserve">One major factor influencing talent acquisition is the </w:t>
      </w:r>
      <w:r w:rsidRPr="00703063">
        <w:rPr>
          <w:rFonts w:ascii="Arial" w:hAnsi="Arial" w:cs="Arial"/>
          <w:b/>
          <w:bCs/>
          <w:sz w:val="22"/>
          <w:szCs w:val="22"/>
        </w:rPr>
        <w:t>shortage of specialised skills</w:t>
      </w:r>
      <w:r w:rsidRPr="00703063">
        <w:rPr>
          <w:rFonts w:ascii="Arial" w:hAnsi="Arial" w:cs="Arial"/>
          <w:sz w:val="22"/>
          <w:szCs w:val="22"/>
        </w:rPr>
        <w:t xml:space="preserve">. Organisations must compete for candidates with expertise in logistics, digital systems and supply chain management, making recruitment increasingly complex (CIPD, 2024). </w:t>
      </w:r>
    </w:p>
    <w:p w14:paraId="65BA94B7" w14:textId="4B583912" w:rsidR="00CE77D6" w:rsidRDefault="00CE77D6" w:rsidP="00CE77D6">
      <w:pPr>
        <w:spacing w:line="360" w:lineRule="auto"/>
        <w:rPr>
          <w:rFonts w:ascii="Arial" w:hAnsi="Arial" w:cs="Arial"/>
          <w:sz w:val="22"/>
          <w:szCs w:val="22"/>
        </w:rPr>
      </w:pPr>
      <w:r w:rsidRPr="00CE77D6">
        <w:rPr>
          <w:rFonts w:ascii="Arial" w:hAnsi="Arial" w:cs="Arial"/>
          <w:sz w:val="22"/>
          <w:szCs w:val="22"/>
        </w:rPr>
        <w:t>This challenge is further intensified by ongoing labour market pressures, as organisations across the UK continue to report difficulties in recruiting and retaining skilled employees (CIPD, 2024). As a result, businesses must adopt more strategic and differentiated approaches to workforce planning and employee engagement.</w:t>
      </w:r>
    </w:p>
    <w:p w14:paraId="3EC99486" w14:textId="2B25D8F5" w:rsidR="00703063" w:rsidRPr="00703063" w:rsidRDefault="00703063" w:rsidP="00152DFB">
      <w:pPr>
        <w:spacing w:line="360" w:lineRule="auto"/>
        <w:rPr>
          <w:rFonts w:ascii="Arial" w:hAnsi="Arial" w:cs="Arial"/>
          <w:sz w:val="22"/>
          <w:szCs w:val="22"/>
        </w:rPr>
      </w:pPr>
      <w:r w:rsidRPr="00703063">
        <w:rPr>
          <w:rFonts w:ascii="Arial" w:hAnsi="Arial" w:cs="Arial"/>
          <w:sz w:val="22"/>
          <w:szCs w:val="22"/>
        </w:rPr>
        <w:t>However, this challenge varies across job roles. While technical and managerial positions may be difficult to fill, operational roles may experience higher turnover due to lower job satisfaction.</w:t>
      </w:r>
    </w:p>
    <w:p w14:paraId="5653B7B0" w14:textId="77777777" w:rsidR="00703063" w:rsidRPr="00703063" w:rsidRDefault="00703063" w:rsidP="00152DFB">
      <w:pPr>
        <w:spacing w:line="360" w:lineRule="auto"/>
        <w:rPr>
          <w:rFonts w:ascii="Arial" w:hAnsi="Arial" w:cs="Arial"/>
          <w:sz w:val="22"/>
          <w:szCs w:val="22"/>
        </w:rPr>
      </w:pPr>
      <w:r w:rsidRPr="00703063">
        <w:rPr>
          <w:rFonts w:ascii="Arial" w:hAnsi="Arial" w:cs="Arial"/>
          <w:sz w:val="22"/>
          <w:szCs w:val="22"/>
        </w:rPr>
        <w:t xml:space="preserve">Another key factor is the </w:t>
      </w:r>
      <w:r w:rsidRPr="00703063">
        <w:rPr>
          <w:rFonts w:ascii="Arial" w:hAnsi="Arial" w:cs="Arial"/>
          <w:b/>
          <w:bCs/>
          <w:sz w:val="22"/>
          <w:szCs w:val="22"/>
        </w:rPr>
        <w:t>changing expectations of employees</w:t>
      </w:r>
      <w:r w:rsidRPr="00703063">
        <w:rPr>
          <w:rFonts w:ascii="Arial" w:hAnsi="Arial" w:cs="Arial"/>
          <w:sz w:val="22"/>
          <w:szCs w:val="22"/>
        </w:rPr>
        <w:t xml:space="preserve">. Modern employees increasingly value work-life balance, career progression and organisational culture over </w:t>
      </w:r>
      <w:r w:rsidRPr="00703063">
        <w:rPr>
          <w:rFonts w:ascii="Arial" w:hAnsi="Arial" w:cs="Arial"/>
          <w:sz w:val="22"/>
          <w:szCs w:val="22"/>
        </w:rPr>
        <w:lastRenderedPageBreak/>
        <w:t>purely financial rewards (Sparrow et al., 2023). This shift requires organisations to rethink traditional recruitment and retention strategies.</w:t>
      </w:r>
    </w:p>
    <w:p w14:paraId="64BAC110" w14:textId="77777777" w:rsidR="00703063" w:rsidRPr="00703063" w:rsidRDefault="00703063" w:rsidP="00152DFB">
      <w:pPr>
        <w:spacing w:line="360" w:lineRule="auto"/>
        <w:rPr>
          <w:rFonts w:ascii="Arial" w:hAnsi="Arial" w:cs="Arial"/>
          <w:sz w:val="22"/>
          <w:szCs w:val="22"/>
        </w:rPr>
      </w:pPr>
      <w:r w:rsidRPr="00703063">
        <w:rPr>
          <w:rFonts w:ascii="Arial" w:hAnsi="Arial" w:cs="Arial"/>
          <w:sz w:val="22"/>
          <w:szCs w:val="22"/>
        </w:rPr>
        <w:t xml:space="preserve">Retention is also influenced by </w:t>
      </w:r>
      <w:r w:rsidRPr="00703063">
        <w:rPr>
          <w:rFonts w:ascii="Arial" w:hAnsi="Arial" w:cs="Arial"/>
          <w:b/>
          <w:bCs/>
          <w:sz w:val="22"/>
          <w:szCs w:val="22"/>
        </w:rPr>
        <w:t>employee engagement and job satisfaction</w:t>
      </w:r>
      <w:r w:rsidRPr="00703063">
        <w:rPr>
          <w:rFonts w:ascii="Arial" w:hAnsi="Arial" w:cs="Arial"/>
          <w:sz w:val="22"/>
          <w:szCs w:val="22"/>
        </w:rPr>
        <w:t>. Employees who feel valued and supported are more likely to remain within the organisation. Conversely, poor management, lack of recognition and limited career development opportunities contribute to high turnover rates (Dessler, 2022).</w:t>
      </w:r>
    </w:p>
    <w:p w14:paraId="6B8D72C1" w14:textId="77777777" w:rsidR="00703063" w:rsidRPr="00703063" w:rsidRDefault="00703063" w:rsidP="00152DFB">
      <w:pPr>
        <w:spacing w:line="360" w:lineRule="auto"/>
        <w:rPr>
          <w:rFonts w:ascii="Arial" w:hAnsi="Arial" w:cs="Arial"/>
          <w:sz w:val="22"/>
          <w:szCs w:val="22"/>
        </w:rPr>
      </w:pPr>
      <w:r w:rsidRPr="00703063">
        <w:rPr>
          <w:rFonts w:ascii="Arial" w:hAnsi="Arial" w:cs="Arial"/>
          <w:sz w:val="22"/>
          <w:szCs w:val="22"/>
        </w:rPr>
        <w:t>However, it can be argued that retention strategies are often oversimplified. While flexible working arrangements are widely promoted, they may not be feasible in operational environments such as battery distribution. This highlights the need for context-specific retention strategies tailored to organisational realities.</w:t>
      </w:r>
    </w:p>
    <w:p w14:paraId="45E00146" w14:textId="53DB03EA" w:rsidR="001D6A79" w:rsidRDefault="00703063" w:rsidP="001E6FF6">
      <w:pPr>
        <w:pStyle w:val="Heading1"/>
        <w:rPr>
          <w:b/>
          <w:bCs/>
          <w:sz w:val="28"/>
          <w:szCs w:val="28"/>
        </w:rPr>
      </w:pPr>
      <w:bookmarkStart w:id="3" w:name="_Toc225024339"/>
      <w:r w:rsidRPr="00703063">
        <w:rPr>
          <w:b/>
          <w:bCs/>
          <w:sz w:val="28"/>
          <w:szCs w:val="28"/>
        </w:rPr>
        <w:t xml:space="preserve">DEI </w:t>
      </w:r>
      <w:r w:rsidR="007B5E82">
        <w:rPr>
          <w:b/>
          <w:bCs/>
          <w:sz w:val="28"/>
          <w:szCs w:val="28"/>
        </w:rPr>
        <w:t>(Diversity, Equity and Inclusion)</w:t>
      </w:r>
      <w:bookmarkEnd w:id="3"/>
    </w:p>
    <w:p w14:paraId="5964B5E0" w14:textId="77777777" w:rsidR="00A4353E" w:rsidRPr="00A4353E" w:rsidRDefault="00A4353E" w:rsidP="00152DFB">
      <w:pPr>
        <w:spacing w:line="360" w:lineRule="auto"/>
        <w:rPr>
          <w:rFonts w:ascii="Arial" w:hAnsi="Arial" w:cs="Arial"/>
          <w:sz w:val="22"/>
          <w:szCs w:val="22"/>
        </w:rPr>
      </w:pPr>
      <w:r w:rsidRPr="00A4353E">
        <w:rPr>
          <w:rFonts w:ascii="Arial" w:hAnsi="Arial" w:cs="Arial"/>
          <w:sz w:val="22"/>
          <w:szCs w:val="22"/>
        </w:rPr>
        <w:t>Diversity, equity and inclusion have become central to modern HR strategies. DEI initiatives aim to create fair and inclusive workplaces that allow individuals from diverse backgrounds to contribute effectively (Mor Barak, 2022).</w:t>
      </w:r>
    </w:p>
    <w:p w14:paraId="07A247F1" w14:textId="77777777" w:rsidR="00A4353E" w:rsidRPr="00A4353E" w:rsidRDefault="00A4353E" w:rsidP="00152DFB">
      <w:pPr>
        <w:spacing w:line="360" w:lineRule="auto"/>
        <w:rPr>
          <w:rFonts w:ascii="Arial" w:hAnsi="Arial" w:cs="Arial"/>
          <w:sz w:val="22"/>
          <w:szCs w:val="22"/>
        </w:rPr>
      </w:pPr>
      <w:r w:rsidRPr="00A4353E">
        <w:rPr>
          <w:rFonts w:ascii="Arial" w:hAnsi="Arial" w:cs="Arial"/>
          <w:sz w:val="22"/>
          <w:szCs w:val="22"/>
        </w:rPr>
        <w:t xml:space="preserve">One key factor driving DEI is </w:t>
      </w:r>
      <w:r w:rsidRPr="00A4353E">
        <w:rPr>
          <w:rFonts w:ascii="Arial" w:hAnsi="Arial" w:cs="Arial"/>
          <w:b/>
          <w:bCs/>
          <w:sz w:val="22"/>
          <w:szCs w:val="22"/>
        </w:rPr>
        <w:t>legal compliance</w:t>
      </w:r>
      <w:r w:rsidRPr="00A4353E">
        <w:rPr>
          <w:rFonts w:ascii="Arial" w:hAnsi="Arial" w:cs="Arial"/>
          <w:sz w:val="22"/>
          <w:szCs w:val="22"/>
        </w:rPr>
        <w:t>. UK legislation, including the Equality Act 2010, requires organisations to prevent discrimination and promote equal opportunities (CIPD, 2023). Non-compliance can result in legal consequences and reputational damage.</w:t>
      </w:r>
    </w:p>
    <w:p w14:paraId="77AE9BCC" w14:textId="77777777" w:rsidR="00A4353E" w:rsidRPr="00A4353E" w:rsidRDefault="00A4353E" w:rsidP="00152DFB">
      <w:pPr>
        <w:spacing w:line="360" w:lineRule="auto"/>
        <w:rPr>
          <w:rFonts w:ascii="Arial" w:hAnsi="Arial" w:cs="Arial"/>
          <w:sz w:val="22"/>
          <w:szCs w:val="22"/>
        </w:rPr>
      </w:pPr>
      <w:r w:rsidRPr="00A4353E">
        <w:rPr>
          <w:rFonts w:ascii="Arial" w:hAnsi="Arial" w:cs="Arial"/>
          <w:sz w:val="22"/>
          <w:szCs w:val="22"/>
        </w:rPr>
        <w:t xml:space="preserve">In addition, there is growing recognition of the </w:t>
      </w:r>
      <w:r w:rsidRPr="00A4353E">
        <w:rPr>
          <w:rFonts w:ascii="Arial" w:hAnsi="Arial" w:cs="Arial"/>
          <w:b/>
          <w:bCs/>
          <w:sz w:val="22"/>
          <w:szCs w:val="22"/>
        </w:rPr>
        <w:t>business benefits of diversity</w:t>
      </w:r>
      <w:r w:rsidRPr="00A4353E">
        <w:rPr>
          <w:rFonts w:ascii="Arial" w:hAnsi="Arial" w:cs="Arial"/>
          <w:sz w:val="22"/>
          <w:szCs w:val="22"/>
        </w:rPr>
        <w:t>. Diverse teams are associated with improved creativity, innovation and decision-making, as employees bring varied perspectives (Roberson, 2019). For organisations such as Shield Batteries Ltd, this can enhance problem-solving and customer understanding.</w:t>
      </w:r>
    </w:p>
    <w:p w14:paraId="009BEA9B" w14:textId="77777777" w:rsidR="00A4353E" w:rsidRPr="00A4353E" w:rsidRDefault="00A4353E" w:rsidP="00152DFB">
      <w:pPr>
        <w:spacing w:line="360" w:lineRule="auto"/>
        <w:rPr>
          <w:rFonts w:ascii="Arial" w:hAnsi="Arial" w:cs="Arial"/>
          <w:sz w:val="22"/>
          <w:szCs w:val="22"/>
        </w:rPr>
      </w:pPr>
      <w:r w:rsidRPr="00A4353E">
        <w:rPr>
          <w:rFonts w:ascii="Arial" w:hAnsi="Arial" w:cs="Arial"/>
          <w:sz w:val="22"/>
          <w:szCs w:val="22"/>
        </w:rPr>
        <w:t>However, achieving effective DEI is challenging. Issues such as unconscious bias, lack of diversity in leadership and superficial policy implementation often limit progress (Bratton and Gold, 2022). This suggests that DEI requires not only formal policies but also cultural change within organisations.</w:t>
      </w:r>
    </w:p>
    <w:p w14:paraId="3767DC30" w14:textId="7C0E2CD0" w:rsidR="00642BB6" w:rsidRDefault="00642BB6" w:rsidP="00642BB6">
      <w:pPr>
        <w:pStyle w:val="Heading1"/>
        <w:rPr>
          <w:rFonts w:eastAsia="Calibri"/>
          <w:b/>
          <w:bCs/>
          <w:sz w:val="28"/>
          <w:szCs w:val="28"/>
        </w:rPr>
      </w:pPr>
      <w:bookmarkStart w:id="4" w:name="_Toc225024340"/>
      <w:r w:rsidRPr="00642BB6">
        <w:rPr>
          <w:rFonts w:eastAsia="Calibri"/>
          <w:b/>
          <w:bCs/>
          <w:sz w:val="28"/>
          <w:szCs w:val="28"/>
        </w:rPr>
        <w:t>HR Practices for Technological Advancement</w:t>
      </w:r>
      <w:bookmarkEnd w:id="4"/>
    </w:p>
    <w:p w14:paraId="55E905AF" w14:textId="77777777" w:rsidR="00647077" w:rsidRPr="00647077" w:rsidRDefault="00647077" w:rsidP="00152DFB">
      <w:pPr>
        <w:spacing w:line="360" w:lineRule="auto"/>
        <w:rPr>
          <w:rFonts w:ascii="Arial" w:hAnsi="Arial" w:cs="Arial"/>
          <w:sz w:val="22"/>
          <w:szCs w:val="22"/>
        </w:rPr>
      </w:pPr>
      <w:r w:rsidRPr="00647077">
        <w:rPr>
          <w:rFonts w:ascii="Arial" w:hAnsi="Arial" w:cs="Arial"/>
          <w:sz w:val="22"/>
          <w:szCs w:val="22"/>
        </w:rPr>
        <w:t xml:space="preserve">One key HR practice is </w:t>
      </w:r>
      <w:r w:rsidRPr="00647077">
        <w:rPr>
          <w:rFonts w:ascii="Arial" w:hAnsi="Arial" w:cs="Arial"/>
          <w:b/>
          <w:bCs/>
          <w:sz w:val="22"/>
          <w:szCs w:val="22"/>
        </w:rPr>
        <w:t>continuous learning and development programmes</w:t>
      </w:r>
      <w:r w:rsidRPr="00647077">
        <w:rPr>
          <w:rFonts w:ascii="Arial" w:hAnsi="Arial" w:cs="Arial"/>
          <w:sz w:val="22"/>
          <w:szCs w:val="22"/>
        </w:rPr>
        <w:t>. Organisations increasingly use digital platforms and training initiatives to develop employee skills and support technological adaptation (Noe et al., 2021).</w:t>
      </w:r>
    </w:p>
    <w:p w14:paraId="678BDCB2" w14:textId="77777777" w:rsidR="00647077" w:rsidRPr="00647077" w:rsidRDefault="00647077" w:rsidP="00152DFB">
      <w:pPr>
        <w:spacing w:line="360" w:lineRule="auto"/>
        <w:rPr>
          <w:rFonts w:ascii="Arial" w:hAnsi="Arial" w:cs="Arial"/>
          <w:sz w:val="22"/>
          <w:szCs w:val="22"/>
        </w:rPr>
      </w:pPr>
      <w:r w:rsidRPr="00647077">
        <w:rPr>
          <w:rFonts w:ascii="Arial" w:hAnsi="Arial" w:cs="Arial"/>
          <w:sz w:val="22"/>
          <w:szCs w:val="22"/>
        </w:rPr>
        <w:lastRenderedPageBreak/>
        <w:t>While such programmes are beneficial, their effectiveness depends on employee engagement and organisational investment. In smaller organisations, limited resources may restrict the scope of training, resulting in uneven skill development.</w:t>
      </w:r>
    </w:p>
    <w:p w14:paraId="604F7B1D" w14:textId="18DEC8B0" w:rsidR="00287B13" w:rsidRPr="00152DFB" w:rsidRDefault="00647077" w:rsidP="00152DFB">
      <w:pPr>
        <w:spacing w:line="360" w:lineRule="auto"/>
        <w:rPr>
          <w:rFonts w:ascii="Arial" w:hAnsi="Arial" w:cs="Arial"/>
          <w:sz w:val="22"/>
          <w:szCs w:val="22"/>
        </w:rPr>
      </w:pPr>
      <w:r w:rsidRPr="00647077">
        <w:rPr>
          <w:rFonts w:ascii="Arial" w:hAnsi="Arial" w:cs="Arial"/>
          <w:sz w:val="22"/>
          <w:szCs w:val="22"/>
        </w:rPr>
        <w:t xml:space="preserve">Another important practice is </w:t>
      </w:r>
      <w:r w:rsidRPr="00647077">
        <w:rPr>
          <w:rFonts w:ascii="Arial" w:hAnsi="Arial" w:cs="Arial"/>
          <w:b/>
          <w:bCs/>
          <w:sz w:val="22"/>
          <w:szCs w:val="22"/>
        </w:rPr>
        <w:t>strategic workforce planning</w:t>
      </w:r>
      <w:r w:rsidRPr="00647077">
        <w:rPr>
          <w:rFonts w:ascii="Arial" w:hAnsi="Arial" w:cs="Arial"/>
          <w:sz w:val="22"/>
          <w:szCs w:val="22"/>
        </w:rPr>
        <w:t>, which involves forecasting future skill requirements and aligning recruitment and training accordingly (Armstrong and Taylor, 2023). This proactive approach helps organisations prepare for technological changes.</w:t>
      </w:r>
      <w:r w:rsidR="00EF5E5E">
        <w:rPr>
          <w:rFonts w:ascii="Arial" w:hAnsi="Arial" w:cs="Arial"/>
          <w:sz w:val="22"/>
          <w:szCs w:val="22"/>
        </w:rPr>
        <w:t xml:space="preserve"> </w:t>
      </w:r>
      <w:r w:rsidRPr="00647077">
        <w:rPr>
          <w:rFonts w:ascii="Arial" w:hAnsi="Arial" w:cs="Arial"/>
          <w:sz w:val="22"/>
          <w:szCs w:val="22"/>
        </w:rPr>
        <w:t>However, workforce planning relies on accurate forecasting, which can be difficult in rapidly changing environments. This highlights a limitation in relying solely on predictive models.</w:t>
      </w:r>
    </w:p>
    <w:p w14:paraId="4EF6128C" w14:textId="0633798F" w:rsidR="001D6A79" w:rsidRDefault="00C40A3B" w:rsidP="001E6FF6">
      <w:pPr>
        <w:pStyle w:val="Heading1"/>
        <w:rPr>
          <w:b/>
          <w:bCs/>
          <w:sz w:val="28"/>
          <w:szCs w:val="28"/>
        </w:rPr>
      </w:pPr>
      <w:bookmarkStart w:id="5" w:name="_Toc225024341"/>
      <w:r w:rsidRPr="00C40A3B">
        <w:rPr>
          <w:b/>
          <w:bCs/>
          <w:sz w:val="28"/>
          <w:szCs w:val="28"/>
        </w:rPr>
        <w:t>HR Practices for Talent Acquisition and Retention</w:t>
      </w:r>
      <w:bookmarkEnd w:id="5"/>
    </w:p>
    <w:p w14:paraId="33FBD3D9" w14:textId="77777777" w:rsidR="002771A3" w:rsidRPr="002771A3" w:rsidRDefault="002771A3" w:rsidP="00152DFB">
      <w:pPr>
        <w:spacing w:line="360" w:lineRule="auto"/>
        <w:rPr>
          <w:rFonts w:ascii="Arial" w:hAnsi="Arial" w:cs="Arial"/>
          <w:sz w:val="22"/>
          <w:szCs w:val="22"/>
        </w:rPr>
      </w:pPr>
      <w:r w:rsidRPr="002771A3">
        <w:rPr>
          <w:rFonts w:ascii="Arial" w:hAnsi="Arial" w:cs="Arial"/>
          <w:sz w:val="22"/>
          <w:szCs w:val="22"/>
        </w:rPr>
        <w:t xml:space="preserve">Organisations use </w:t>
      </w:r>
      <w:r w:rsidRPr="002771A3">
        <w:rPr>
          <w:rFonts w:ascii="Arial" w:hAnsi="Arial" w:cs="Arial"/>
          <w:b/>
          <w:bCs/>
          <w:sz w:val="22"/>
          <w:szCs w:val="22"/>
        </w:rPr>
        <w:t>employer branding</w:t>
      </w:r>
      <w:r w:rsidRPr="002771A3">
        <w:rPr>
          <w:rFonts w:ascii="Arial" w:hAnsi="Arial" w:cs="Arial"/>
          <w:sz w:val="22"/>
          <w:szCs w:val="22"/>
        </w:rPr>
        <w:t xml:space="preserve"> to attract talent by promoting a positive organisational image (Sparrow et al., 2023). This can enhance recruitment outcomes, particularly in competitive labour markets.</w:t>
      </w:r>
    </w:p>
    <w:p w14:paraId="5EFAFC87" w14:textId="77777777" w:rsidR="002771A3" w:rsidRPr="002771A3" w:rsidRDefault="002771A3" w:rsidP="00152DFB">
      <w:pPr>
        <w:spacing w:line="360" w:lineRule="auto"/>
        <w:rPr>
          <w:rFonts w:ascii="Arial" w:hAnsi="Arial" w:cs="Arial"/>
          <w:sz w:val="22"/>
          <w:szCs w:val="22"/>
        </w:rPr>
      </w:pPr>
      <w:r w:rsidRPr="002771A3">
        <w:rPr>
          <w:rFonts w:ascii="Arial" w:hAnsi="Arial" w:cs="Arial"/>
          <w:sz w:val="22"/>
          <w:szCs w:val="22"/>
        </w:rPr>
        <w:t>Flexible working arrangements are also widely adopted to improve retention. However, their applicability varies across roles. In operational contexts such as Shield Batteries Ltd, alternative strategies such as financial incentives and career progression may be more effective.</w:t>
      </w:r>
    </w:p>
    <w:p w14:paraId="5DB6B8EF" w14:textId="77777777" w:rsidR="002771A3" w:rsidRPr="002771A3" w:rsidRDefault="002771A3" w:rsidP="00152DFB">
      <w:pPr>
        <w:spacing w:line="360" w:lineRule="auto"/>
        <w:rPr>
          <w:rFonts w:ascii="Arial" w:hAnsi="Arial" w:cs="Arial"/>
          <w:sz w:val="22"/>
          <w:szCs w:val="22"/>
        </w:rPr>
      </w:pPr>
      <w:r w:rsidRPr="002771A3">
        <w:rPr>
          <w:rFonts w:ascii="Arial" w:hAnsi="Arial" w:cs="Arial"/>
          <w:sz w:val="22"/>
          <w:szCs w:val="22"/>
        </w:rPr>
        <w:t xml:space="preserve">Additionally, </w:t>
      </w:r>
      <w:r w:rsidRPr="002771A3">
        <w:rPr>
          <w:rFonts w:ascii="Arial" w:hAnsi="Arial" w:cs="Arial"/>
          <w:b/>
          <w:bCs/>
          <w:sz w:val="22"/>
          <w:szCs w:val="22"/>
        </w:rPr>
        <w:t>performance management systems</w:t>
      </w:r>
      <w:r w:rsidRPr="002771A3">
        <w:rPr>
          <w:rFonts w:ascii="Arial" w:hAnsi="Arial" w:cs="Arial"/>
          <w:sz w:val="22"/>
          <w:szCs w:val="22"/>
        </w:rPr>
        <w:t xml:space="preserve"> are used to support employee development through feedback and career planning (Dessler, 2022). While these systems can improve engagement, inconsistent implementation may reduce their effectiveness.</w:t>
      </w:r>
    </w:p>
    <w:p w14:paraId="299815E8" w14:textId="3853DD69" w:rsidR="00DC295F" w:rsidRDefault="00DC295F" w:rsidP="00DC295F">
      <w:pPr>
        <w:pStyle w:val="Heading1"/>
        <w:spacing w:line="360" w:lineRule="auto"/>
        <w:rPr>
          <w:rFonts w:eastAsia="Times New Roman"/>
          <w:b/>
          <w:bCs/>
          <w:sz w:val="28"/>
          <w:szCs w:val="28"/>
          <w:lang w:eastAsia="en-GB"/>
        </w:rPr>
      </w:pPr>
      <w:bookmarkStart w:id="6" w:name="_Toc225024342"/>
      <w:r w:rsidRPr="00DC295F">
        <w:rPr>
          <w:rFonts w:eastAsia="Times New Roman"/>
          <w:b/>
          <w:bCs/>
          <w:sz w:val="28"/>
          <w:szCs w:val="28"/>
          <w:lang w:eastAsia="en-GB"/>
        </w:rPr>
        <w:t>HR Practices for DEI</w:t>
      </w:r>
      <w:bookmarkEnd w:id="6"/>
    </w:p>
    <w:p w14:paraId="590E3396" w14:textId="77777777" w:rsidR="002059C3" w:rsidRPr="002059C3" w:rsidRDefault="002059C3" w:rsidP="00152DFB">
      <w:pPr>
        <w:spacing w:line="360" w:lineRule="auto"/>
        <w:rPr>
          <w:rFonts w:ascii="Arial" w:hAnsi="Arial" w:cs="Arial"/>
          <w:sz w:val="22"/>
          <w:szCs w:val="22"/>
          <w:lang w:eastAsia="en-GB"/>
        </w:rPr>
      </w:pPr>
      <w:r w:rsidRPr="002059C3">
        <w:rPr>
          <w:rFonts w:ascii="Arial" w:hAnsi="Arial" w:cs="Arial"/>
          <w:sz w:val="22"/>
          <w:szCs w:val="22"/>
          <w:lang w:eastAsia="en-GB"/>
        </w:rPr>
        <w:t>Inclusive recruitment practices, such as structured interviews and anonymised CVs, aim to reduce bias and promote fairness (Mor Barak, 2022). These practices can improve diversity within organisations.</w:t>
      </w:r>
    </w:p>
    <w:p w14:paraId="10DDEF6A" w14:textId="77777777" w:rsidR="002059C3" w:rsidRPr="002059C3" w:rsidRDefault="002059C3" w:rsidP="00152DFB">
      <w:pPr>
        <w:spacing w:line="360" w:lineRule="auto"/>
        <w:rPr>
          <w:rFonts w:ascii="Arial" w:hAnsi="Arial" w:cs="Arial"/>
          <w:sz w:val="22"/>
          <w:szCs w:val="22"/>
          <w:lang w:eastAsia="en-GB"/>
        </w:rPr>
      </w:pPr>
      <w:r w:rsidRPr="002059C3">
        <w:rPr>
          <w:rFonts w:ascii="Arial" w:hAnsi="Arial" w:cs="Arial"/>
          <w:sz w:val="22"/>
          <w:szCs w:val="22"/>
          <w:lang w:eastAsia="en-GB"/>
        </w:rPr>
        <w:t>Diversity training programmes are also used to raise awareness of unconscious bias. However, their long-term effectiveness is debated, as behavioural change may be limited without ongoing reinforcement.</w:t>
      </w:r>
    </w:p>
    <w:p w14:paraId="2D367AE5" w14:textId="77777777" w:rsidR="002059C3" w:rsidRPr="002059C3" w:rsidRDefault="002059C3" w:rsidP="00152DFB">
      <w:pPr>
        <w:spacing w:line="360" w:lineRule="auto"/>
        <w:rPr>
          <w:rFonts w:ascii="Arial" w:hAnsi="Arial" w:cs="Arial"/>
          <w:sz w:val="22"/>
          <w:szCs w:val="22"/>
          <w:lang w:eastAsia="en-GB"/>
        </w:rPr>
      </w:pPr>
      <w:r w:rsidRPr="002059C3">
        <w:rPr>
          <w:rFonts w:ascii="Arial" w:hAnsi="Arial" w:cs="Arial"/>
          <w:sz w:val="22"/>
          <w:szCs w:val="22"/>
          <w:lang w:eastAsia="en-GB"/>
        </w:rPr>
        <w:t>Employee resource groups (ERGs) provide support for underrepresented employees and promote inclusion. While beneficial, their impact depends on organisational commitment and leadership support (Roberson, 2019).</w:t>
      </w:r>
    </w:p>
    <w:p w14:paraId="7CB4657D" w14:textId="3D8A8852" w:rsidR="00F978A9" w:rsidRDefault="00520782" w:rsidP="001E6FF6">
      <w:pPr>
        <w:pStyle w:val="Heading1"/>
        <w:rPr>
          <w:rFonts w:eastAsia="Times New Roman"/>
          <w:b/>
          <w:bCs/>
          <w:sz w:val="28"/>
          <w:szCs w:val="28"/>
          <w:lang w:eastAsia="en-GB"/>
        </w:rPr>
      </w:pPr>
      <w:bookmarkStart w:id="7" w:name="_Toc225024343"/>
      <w:r w:rsidRPr="00520782">
        <w:rPr>
          <w:rFonts w:eastAsia="Times New Roman"/>
          <w:b/>
          <w:bCs/>
          <w:sz w:val="28"/>
          <w:szCs w:val="28"/>
          <w:lang w:eastAsia="en-GB"/>
        </w:rPr>
        <w:lastRenderedPageBreak/>
        <w:t>Role of Departmental Managers in Implementation</w:t>
      </w:r>
      <w:bookmarkEnd w:id="7"/>
    </w:p>
    <w:p w14:paraId="5B7BE369" w14:textId="77777777" w:rsidR="002C6128" w:rsidRPr="002C6128" w:rsidRDefault="002C6128" w:rsidP="00152DFB">
      <w:pPr>
        <w:spacing w:line="360" w:lineRule="auto"/>
        <w:rPr>
          <w:rFonts w:ascii="Arial" w:hAnsi="Arial" w:cs="Arial"/>
          <w:sz w:val="22"/>
          <w:szCs w:val="22"/>
          <w:lang w:eastAsia="en-GB"/>
        </w:rPr>
      </w:pPr>
      <w:r w:rsidRPr="002C6128">
        <w:rPr>
          <w:rFonts w:ascii="Arial" w:hAnsi="Arial" w:cs="Arial"/>
          <w:sz w:val="22"/>
          <w:szCs w:val="22"/>
          <w:lang w:eastAsia="en-GB"/>
        </w:rPr>
        <w:t>Departmental managers are central to the successful implementation of HR practices, as they translate strategic policies into operational actions. Their role is particularly important in organisations such as Shield Batteries Ltd, where daily operations require effective coordination between people and processes.</w:t>
      </w:r>
    </w:p>
    <w:p w14:paraId="3AD02B68" w14:textId="77777777" w:rsidR="002C6128" w:rsidRPr="002C6128" w:rsidRDefault="002C6128" w:rsidP="00152DFB">
      <w:pPr>
        <w:spacing w:line="360" w:lineRule="auto"/>
        <w:rPr>
          <w:rFonts w:ascii="Arial" w:hAnsi="Arial" w:cs="Arial"/>
          <w:sz w:val="22"/>
          <w:szCs w:val="22"/>
          <w:lang w:eastAsia="en-GB"/>
        </w:rPr>
      </w:pPr>
      <w:r w:rsidRPr="002C6128">
        <w:rPr>
          <w:rFonts w:ascii="Arial" w:hAnsi="Arial" w:cs="Arial"/>
          <w:sz w:val="22"/>
          <w:szCs w:val="22"/>
          <w:lang w:eastAsia="en-GB"/>
        </w:rPr>
        <w:t xml:space="preserve">Managers must ensure </w:t>
      </w:r>
      <w:r w:rsidRPr="002C6128">
        <w:rPr>
          <w:rFonts w:ascii="Arial" w:hAnsi="Arial" w:cs="Arial"/>
          <w:b/>
          <w:bCs/>
          <w:sz w:val="22"/>
          <w:szCs w:val="22"/>
          <w:lang w:eastAsia="en-GB"/>
        </w:rPr>
        <w:t>effective communication</w:t>
      </w:r>
      <w:r w:rsidRPr="002C6128">
        <w:rPr>
          <w:rFonts w:ascii="Arial" w:hAnsi="Arial" w:cs="Arial"/>
          <w:sz w:val="22"/>
          <w:szCs w:val="22"/>
          <w:lang w:eastAsia="en-GB"/>
        </w:rPr>
        <w:t xml:space="preserve"> of HR initiatives. Clear communication reduces uncertainty and encourages employee engagement (Burnes, 2020). However, communication must be supported by consistent managerial behaviour to maintain credibility.</w:t>
      </w:r>
    </w:p>
    <w:p w14:paraId="5F1E13B7" w14:textId="77777777" w:rsidR="002C6128" w:rsidRPr="002C6128" w:rsidRDefault="002C6128" w:rsidP="00152DFB">
      <w:pPr>
        <w:spacing w:line="360" w:lineRule="auto"/>
        <w:rPr>
          <w:rFonts w:ascii="Arial" w:hAnsi="Arial" w:cs="Arial"/>
          <w:sz w:val="22"/>
          <w:szCs w:val="22"/>
          <w:lang w:eastAsia="en-GB"/>
        </w:rPr>
      </w:pPr>
      <w:r w:rsidRPr="002C6128">
        <w:rPr>
          <w:rFonts w:ascii="Arial" w:hAnsi="Arial" w:cs="Arial"/>
          <w:sz w:val="22"/>
          <w:szCs w:val="22"/>
          <w:lang w:eastAsia="en-GB"/>
        </w:rPr>
        <w:t xml:space="preserve">Managers also play a key role in </w:t>
      </w:r>
      <w:r w:rsidRPr="002C6128">
        <w:rPr>
          <w:rFonts w:ascii="Arial" w:hAnsi="Arial" w:cs="Arial"/>
          <w:b/>
          <w:bCs/>
          <w:sz w:val="22"/>
          <w:szCs w:val="22"/>
          <w:lang w:eastAsia="en-GB"/>
        </w:rPr>
        <w:t>facilitating employee development</w:t>
      </w:r>
      <w:r w:rsidRPr="002C6128">
        <w:rPr>
          <w:rFonts w:ascii="Arial" w:hAnsi="Arial" w:cs="Arial"/>
          <w:sz w:val="22"/>
          <w:szCs w:val="22"/>
          <w:lang w:eastAsia="en-GB"/>
        </w:rPr>
        <w:t>. They must support training initiatives and ensure employees have opportunities to develop relevant skills. However, operational pressures may limit the time available for training.</w:t>
      </w:r>
    </w:p>
    <w:p w14:paraId="1FE732A4" w14:textId="77777777" w:rsidR="002C6128" w:rsidRPr="002C6128" w:rsidRDefault="002C6128" w:rsidP="00152DFB">
      <w:pPr>
        <w:spacing w:line="360" w:lineRule="auto"/>
        <w:rPr>
          <w:rFonts w:ascii="Arial" w:hAnsi="Arial" w:cs="Arial"/>
          <w:sz w:val="22"/>
          <w:szCs w:val="22"/>
          <w:lang w:eastAsia="en-GB"/>
        </w:rPr>
      </w:pPr>
      <w:r w:rsidRPr="002C6128">
        <w:rPr>
          <w:rFonts w:ascii="Arial" w:hAnsi="Arial" w:cs="Arial"/>
          <w:sz w:val="22"/>
          <w:szCs w:val="22"/>
          <w:lang w:eastAsia="en-GB"/>
        </w:rPr>
        <w:t xml:space="preserve">Another responsibility is </w:t>
      </w:r>
      <w:r w:rsidRPr="002C6128">
        <w:rPr>
          <w:rFonts w:ascii="Arial" w:hAnsi="Arial" w:cs="Arial"/>
          <w:b/>
          <w:bCs/>
          <w:sz w:val="22"/>
          <w:szCs w:val="22"/>
          <w:lang w:eastAsia="en-GB"/>
        </w:rPr>
        <w:t>monitoring performance and ensuring accountability</w:t>
      </w:r>
      <w:r w:rsidRPr="002C6128">
        <w:rPr>
          <w:rFonts w:ascii="Arial" w:hAnsi="Arial" w:cs="Arial"/>
          <w:sz w:val="22"/>
          <w:szCs w:val="22"/>
          <w:lang w:eastAsia="en-GB"/>
        </w:rPr>
        <w:t>. Managers use performance metrics and feedback systems to evaluate outcomes (Boxall and Purcell, 2022). However, inconsistent evaluation practices may reduce fairness and effectiveness.</w:t>
      </w:r>
    </w:p>
    <w:p w14:paraId="038E8B48" w14:textId="77777777" w:rsidR="002C6128" w:rsidRPr="002C6128" w:rsidRDefault="002C6128" w:rsidP="00152DFB">
      <w:pPr>
        <w:spacing w:line="360" w:lineRule="auto"/>
        <w:rPr>
          <w:rFonts w:ascii="Arial" w:hAnsi="Arial" w:cs="Arial"/>
          <w:sz w:val="22"/>
          <w:szCs w:val="22"/>
          <w:lang w:eastAsia="en-GB"/>
        </w:rPr>
      </w:pPr>
      <w:r w:rsidRPr="002C6128">
        <w:rPr>
          <w:rFonts w:ascii="Arial" w:hAnsi="Arial" w:cs="Arial"/>
          <w:sz w:val="22"/>
          <w:szCs w:val="22"/>
          <w:lang w:eastAsia="en-GB"/>
        </w:rPr>
        <w:t xml:space="preserve">Managers are also responsible for </w:t>
      </w:r>
      <w:r w:rsidRPr="002C6128">
        <w:rPr>
          <w:rFonts w:ascii="Arial" w:hAnsi="Arial" w:cs="Arial"/>
          <w:b/>
          <w:bCs/>
          <w:sz w:val="22"/>
          <w:szCs w:val="22"/>
          <w:lang w:eastAsia="en-GB"/>
        </w:rPr>
        <w:t>promoting inclusive workplace cultures</w:t>
      </w:r>
      <w:r w:rsidRPr="002C6128">
        <w:rPr>
          <w:rFonts w:ascii="Arial" w:hAnsi="Arial" w:cs="Arial"/>
          <w:sz w:val="22"/>
          <w:szCs w:val="22"/>
          <w:lang w:eastAsia="en-GB"/>
        </w:rPr>
        <w:t>. By demonstrating inclusive behaviours, they influence organisational culture. However, without genuine commitment, DEI initiatives may remain superficial.</w:t>
      </w:r>
    </w:p>
    <w:p w14:paraId="0E820A7F" w14:textId="77777777" w:rsidR="002C6128" w:rsidRPr="002C6128" w:rsidRDefault="002C6128" w:rsidP="00152DFB">
      <w:pPr>
        <w:spacing w:line="360" w:lineRule="auto"/>
        <w:rPr>
          <w:rFonts w:ascii="Arial" w:hAnsi="Arial" w:cs="Arial"/>
          <w:sz w:val="22"/>
          <w:szCs w:val="22"/>
          <w:lang w:eastAsia="en-GB"/>
        </w:rPr>
      </w:pPr>
      <w:r w:rsidRPr="002C6128">
        <w:rPr>
          <w:rFonts w:ascii="Arial" w:hAnsi="Arial" w:cs="Arial"/>
          <w:sz w:val="22"/>
          <w:szCs w:val="22"/>
          <w:lang w:eastAsia="en-GB"/>
        </w:rPr>
        <w:t>Overall, while managers are essential for implementation, their effectiveness depends on organisational support, training and leadership capability.</w:t>
      </w:r>
    </w:p>
    <w:p w14:paraId="2FB39C95" w14:textId="43D6D713" w:rsidR="00F978A9" w:rsidRDefault="009F33F2" w:rsidP="001E6FF6">
      <w:pPr>
        <w:pStyle w:val="Heading1"/>
        <w:rPr>
          <w:rFonts w:eastAsia="Times New Roman"/>
          <w:b/>
          <w:bCs/>
          <w:sz w:val="28"/>
          <w:szCs w:val="28"/>
          <w:lang w:eastAsia="en-GB"/>
        </w:rPr>
      </w:pPr>
      <w:bookmarkStart w:id="8" w:name="_Toc225024344"/>
      <w:r>
        <w:rPr>
          <w:rFonts w:eastAsia="Times New Roman"/>
          <w:b/>
          <w:bCs/>
          <w:sz w:val="28"/>
          <w:szCs w:val="28"/>
          <w:lang w:eastAsia="en-GB"/>
        </w:rPr>
        <w:t>Conclusion</w:t>
      </w:r>
      <w:bookmarkEnd w:id="8"/>
    </w:p>
    <w:p w14:paraId="2FE93850" w14:textId="2BAC7775" w:rsidR="005C1179" w:rsidRPr="005C1179" w:rsidRDefault="005C1179" w:rsidP="00152DFB">
      <w:pPr>
        <w:spacing w:line="360" w:lineRule="auto"/>
        <w:rPr>
          <w:rFonts w:ascii="Arial" w:hAnsi="Arial" w:cs="Arial"/>
          <w:sz w:val="22"/>
          <w:szCs w:val="22"/>
          <w:lang w:eastAsia="en-GB"/>
        </w:rPr>
      </w:pPr>
      <w:r w:rsidRPr="005C1179">
        <w:rPr>
          <w:rFonts w:ascii="Arial" w:hAnsi="Arial" w:cs="Arial"/>
          <w:sz w:val="22"/>
          <w:szCs w:val="22"/>
          <w:lang w:eastAsia="en-GB"/>
        </w:rPr>
        <w:t>This report has critically examined key human resource challenges faced by Shield Batteries Ltd in relation to technological advancement, talent acquisition and retention, diversity, equity and inclusion (DEI). The analysis demonstrates that these challenges are complex, dynamic and highly interconnected, requiring organisations to adopt integrated and strategic HR approaches rather than isolated or reactive interventions.</w:t>
      </w:r>
    </w:p>
    <w:p w14:paraId="212213B4" w14:textId="77777777" w:rsidR="005C1179" w:rsidRPr="005C1179" w:rsidRDefault="005C1179" w:rsidP="00152DFB">
      <w:pPr>
        <w:spacing w:line="360" w:lineRule="auto"/>
        <w:rPr>
          <w:rFonts w:ascii="Arial" w:hAnsi="Arial" w:cs="Arial"/>
          <w:sz w:val="22"/>
          <w:szCs w:val="22"/>
          <w:lang w:eastAsia="en-GB"/>
        </w:rPr>
      </w:pPr>
      <w:r w:rsidRPr="005C1179">
        <w:rPr>
          <w:rFonts w:ascii="Arial" w:hAnsi="Arial" w:cs="Arial"/>
          <w:sz w:val="22"/>
          <w:szCs w:val="22"/>
          <w:lang w:eastAsia="en-GB"/>
        </w:rPr>
        <w:t xml:space="preserve">Technological advancement has been identified as both an opportunity and a challenge, as organisations must balance the benefits of increased efficiency with the need to continuously develop employee skills. Similarly, talent acquisition and retention have become increasingly difficult due to competitive labour markets and changing employee expectations, highlighting the importance of creating engaging and supportive work environments. In addition, DEI has </w:t>
      </w:r>
      <w:r w:rsidRPr="005C1179">
        <w:rPr>
          <w:rFonts w:ascii="Arial" w:hAnsi="Arial" w:cs="Arial"/>
          <w:sz w:val="22"/>
          <w:szCs w:val="22"/>
          <w:lang w:eastAsia="en-GB"/>
        </w:rPr>
        <w:lastRenderedPageBreak/>
        <w:t>emerged as a critical organisational priority, not only due to legal obligations but also because of its potential to enhance innovation and decision-making.</w:t>
      </w:r>
    </w:p>
    <w:p w14:paraId="335AB489" w14:textId="77777777" w:rsidR="005C1179" w:rsidRPr="005C1179" w:rsidRDefault="005C1179" w:rsidP="00152DFB">
      <w:pPr>
        <w:spacing w:line="360" w:lineRule="auto"/>
        <w:rPr>
          <w:rFonts w:ascii="Arial" w:hAnsi="Arial" w:cs="Arial"/>
          <w:sz w:val="22"/>
          <w:szCs w:val="22"/>
          <w:lang w:eastAsia="en-GB"/>
        </w:rPr>
      </w:pPr>
      <w:r w:rsidRPr="005C1179">
        <w:rPr>
          <w:rFonts w:ascii="Arial" w:hAnsi="Arial" w:cs="Arial"/>
          <w:sz w:val="22"/>
          <w:szCs w:val="22"/>
          <w:lang w:eastAsia="en-GB"/>
        </w:rPr>
        <w:t>However, the report has argued that the mere adoption of contemporary HR practices is insufficient to ensure organisational success. The effectiveness of these practices is highly dependent on organisational context, resource availability and, most importantly, the capability of departmental managers responsible for implementation. Without strong leadership, clear communication and consistent application, HR strategies may fail to achieve their intended outcomes.</w:t>
      </w:r>
    </w:p>
    <w:p w14:paraId="39CCC4EF" w14:textId="77777777" w:rsidR="005C1179" w:rsidRPr="005C1179" w:rsidRDefault="005C1179" w:rsidP="00152DFB">
      <w:pPr>
        <w:spacing w:line="360" w:lineRule="auto"/>
        <w:rPr>
          <w:rFonts w:ascii="Arial" w:hAnsi="Arial" w:cs="Arial"/>
          <w:sz w:val="22"/>
          <w:szCs w:val="22"/>
          <w:lang w:eastAsia="en-GB"/>
        </w:rPr>
      </w:pPr>
      <w:r w:rsidRPr="005C1179">
        <w:rPr>
          <w:rFonts w:ascii="Arial" w:hAnsi="Arial" w:cs="Arial"/>
          <w:sz w:val="22"/>
          <w:szCs w:val="22"/>
          <w:lang w:eastAsia="en-GB"/>
        </w:rPr>
        <w:t>Overall, the findings suggest that sustainable organisational performance is not achieved through HR policies alone, but through their practical execution within the workplace. Therefore, organisations such as Shield Batteries Ltd must ensure that HR strategies are aligned with operational realities and supported by effective managerial leadership to create a workforce that is adaptable, engaged and inclusive.</w:t>
      </w:r>
    </w:p>
    <w:p w14:paraId="5861E2FF" w14:textId="63C5A352" w:rsidR="00F978A9" w:rsidRDefault="007F6ECE" w:rsidP="003A35F3">
      <w:pPr>
        <w:pStyle w:val="Heading1"/>
        <w:rPr>
          <w:rFonts w:eastAsia="Times New Roman"/>
          <w:b/>
          <w:bCs/>
          <w:sz w:val="28"/>
          <w:szCs w:val="28"/>
          <w:lang w:eastAsia="en-GB"/>
        </w:rPr>
      </w:pPr>
      <w:bookmarkStart w:id="9" w:name="_Toc225024345"/>
      <w:r w:rsidRPr="007F6ECE">
        <w:rPr>
          <w:rFonts w:eastAsia="Times New Roman"/>
          <w:b/>
          <w:bCs/>
          <w:sz w:val="28"/>
          <w:szCs w:val="28"/>
          <w:lang w:eastAsia="en-GB"/>
        </w:rPr>
        <w:t>Recommendations</w:t>
      </w:r>
      <w:bookmarkEnd w:id="9"/>
    </w:p>
    <w:p w14:paraId="27939BF4" w14:textId="77777777" w:rsidR="001104D9" w:rsidRPr="001104D9" w:rsidRDefault="001104D9" w:rsidP="00152DFB">
      <w:pPr>
        <w:spacing w:line="360" w:lineRule="auto"/>
        <w:rPr>
          <w:rFonts w:ascii="Arial" w:hAnsi="Arial" w:cs="Arial"/>
          <w:sz w:val="22"/>
          <w:szCs w:val="22"/>
          <w:lang w:eastAsia="en-GB"/>
        </w:rPr>
      </w:pPr>
      <w:r w:rsidRPr="001104D9">
        <w:rPr>
          <w:rFonts w:ascii="Arial" w:hAnsi="Arial" w:cs="Arial"/>
          <w:sz w:val="22"/>
          <w:szCs w:val="22"/>
          <w:lang w:eastAsia="en-GB"/>
        </w:rPr>
        <w:t>Based on the analysis presented in this report, several recommendations are proposed to enhance HR effectiveness within Shield Batteries Ltd.</w:t>
      </w:r>
    </w:p>
    <w:p w14:paraId="64D2B1AF" w14:textId="77777777" w:rsidR="001104D9" w:rsidRPr="001104D9" w:rsidRDefault="001104D9" w:rsidP="00152DFB">
      <w:pPr>
        <w:spacing w:line="360" w:lineRule="auto"/>
        <w:rPr>
          <w:rFonts w:ascii="Arial" w:hAnsi="Arial" w:cs="Arial"/>
          <w:sz w:val="22"/>
          <w:szCs w:val="22"/>
          <w:lang w:eastAsia="en-GB"/>
        </w:rPr>
      </w:pPr>
      <w:r w:rsidRPr="001104D9">
        <w:rPr>
          <w:rFonts w:ascii="Arial" w:hAnsi="Arial" w:cs="Arial"/>
          <w:sz w:val="22"/>
          <w:szCs w:val="22"/>
          <w:lang w:eastAsia="en-GB"/>
        </w:rPr>
        <w:t xml:space="preserve">Firstly, the organisation should invest in </w:t>
      </w:r>
      <w:r w:rsidRPr="001104D9">
        <w:rPr>
          <w:rFonts w:ascii="Arial" w:hAnsi="Arial" w:cs="Arial"/>
          <w:b/>
          <w:bCs/>
          <w:sz w:val="22"/>
          <w:szCs w:val="22"/>
          <w:lang w:eastAsia="en-GB"/>
        </w:rPr>
        <w:t>targeted digital training and development programmes</w:t>
      </w:r>
      <w:r w:rsidRPr="001104D9">
        <w:rPr>
          <w:rFonts w:ascii="Arial" w:hAnsi="Arial" w:cs="Arial"/>
          <w:sz w:val="22"/>
          <w:szCs w:val="22"/>
          <w:lang w:eastAsia="en-GB"/>
        </w:rPr>
        <w:t xml:space="preserve"> to support employees in adapting to technological advancements. These programmes should be continuous and role-specific, ensuring that employees at all levels develop the necessary digital competencies to operate modern systems effectively.</w:t>
      </w:r>
    </w:p>
    <w:p w14:paraId="01F782CF" w14:textId="77777777" w:rsidR="001104D9" w:rsidRPr="001104D9" w:rsidRDefault="001104D9" w:rsidP="00152DFB">
      <w:pPr>
        <w:spacing w:line="360" w:lineRule="auto"/>
        <w:rPr>
          <w:rFonts w:ascii="Arial" w:hAnsi="Arial" w:cs="Arial"/>
          <w:sz w:val="22"/>
          <w:szCs w:val="22"/>
          <w:lang w:eastAsia="en-GB"/>
        </w:rPr>
      </w:pPr>
      <w:r w:rsidRPr="001104D9">
        <w:rPr>
          <w:rFonts w:ascii="Arial" w:hAnsi="Arial" w:cs="Arial"/>
          <w:sz w:val="22"/>
          <w:szCs w:val="22"/>
          <w:lang w:eastAsia="en-GB"/>
        </w:rPr>
        <w:t xml:space="preserve">Secondly, Shield Batteries Ltd should adopt a more </w:t>
      </w:r>
      <w:r w:rsidRPr="001104D9">
        <w:rPr>
          <w:rFonts w:ascii="Arial" w:hAnsi="Arial" w:cs="Arial"/>
          <w:b/>
          <w:bCs/>
          <w:sz w:val="22"/>
          <w:szCs w:val="22"/>
          <w:lang w:eastAsia="en-GB"/>
        </w:rPr>
        <w:t>tailored approach to talent retention</w:t>
      </w:r>
      <w:r w:rsidRPr="001104D9">
        <w:rPr>
          <w:rFonts w:ascii="Arial" w:hAnsi="Arial" w:cs="Arial"/>
          <w:sz w:val="22"/>
          <w:szCs w:val="22"/>
          <w:lang w:eastAsia="en-GB"/>
        </w:rPr>
        <w:t>. Given the operational nature of the business, flexible working may not always be feasible. Therefore, alternative strategies such as structured career progression pathways, performance-based incentives and employee recognition schemes should be prioritised to improve job satisfaction and reduce turnover.</w:t>
      </w:r>
    </w:p>
    <w:p w14:paraId="0F61F8D3" w14:textId="77777777" w:rsidR="001104D9" w:rsidRPr="001104D9" w:rsidRDefault="001104D9" w:rsidP="00152DFB">
      <w:pPr>
        <w:spacing w:line="360" w:lineRule="auto"/>
        <w:rPr>
          <w:rFonts w:ascii="Arial" w:hAnsi="Arial" w:cs="Arial"/>
          <w:sz w:val="22"/>
          <w:szCs w:val="22"/>
          <w:lang w:eastAsia="en-GB"/>
        </w:rPr>
      </w:pPr>
      <w:r w:rsidRPr="001104D9">
        <w:rPr>
          <w:rFonts w:ascii="Arial" w:hAnsi="Arial" w:cs="Arial"/>
          <w:sz w:val="22"/>
          <w:szCs w:val="22"/>
          <w:lang w:eastAsia="en-GB"/>
        </w:rPr>
        <w:t xml:space="preserve">Thirdly, the organisation should strengthen its </w:t>
      </w:r>
      <w:r w:rsidRPr="001104D9">
        <w:rPr>
          <w:rFonts w:ascii="Arial" w:hAnsi="Arial" w:cs="Arial"/>
          <w:b/>
          <w:bCs/>
          <w:sz w:val="22"/>
          <w:szCs w:val="22"/>
          <w:lang w:eastAsia="en-GB"/>
        </w:rPr>
        <w:t>diversity, equity and inclusion (DEI) initiatives</w:t>
      </w:r>
      <w:r w:rsidRPr="001104D9">
        <w:rPr>
          <w:rFonts w:ascii="Arial" w:hAnsi="Arial" w:cs="Arial"/>
          <w:sz w:val="22"/>
          <w:szCs w:val="22"/>
          <w:lang w:eastAsia="en-GB"/>
        </w:rPr>
        <w:t xml:space="preserve"> by moving beyond policy-level commitments towards practical implementation. This may include introducing inclusive recruitment practices, providing diversity training and holding managers accountable for promoting inclusive behaviours within their teams.</w:t>
      </w:r>
    </w:p>
    <w:p w14:paraId="3C935DEB" w14:textId="77777777" w:rsidR="001104D9" w:rsidRPr="001104D9" w:rsidRDefault="001104D9" w:rsidP="00152DFB">
      <w:pPr>
        <w:spacing w:line="360" w:lineRule="auto"/>
        <w:rPr>
          <w:rFonts w:ascii="Arial" w:hAnsi="Arial" w:cs="Arial"/>
          <w:sz w:val="22"/>
          <w:szCs w:val="22"/>
          <w:lang w:eastAsia="en-GB"/>
        </w:rPr>
      </w:pPr>
      <w:r w:rsidRPr="001104D9">
        <w:rPr>
          <w:rFonts w:ascii="Arial" w:hAnsi="Arial" w:cs="Arial"/>
          <w:sz w:val="22"/>
          <w:szCs w:val="22"/>
          <w:lang w:eastAsia="en-GB"/>
        </w:rPr>
        <w:t xml:space="preserve">Finally, there should be a strong focus on </w:t>
      </w:r>
      <w:r w:rsidRPr="001104D9">
        <w:rPr>
          <w:rFonts w:ascii="Arial" w:hAnsi="Arial" w:cs="Arial"/>
          <w:b/>
          <w:bCs/>
          <w:sz w:val="22"/>
          <w:szCs w:val="22"/>
          <w:lang w:eastAsia="en-GB"/>
        </w:rPr>
        <w:t>developing managerial capability</w:t>
      </w:r>
      <w:r w:rsidRPr="001104D9">
        <w:rPr>
          <w:rFonts w:ascii="Arial" w:hAnsi="Arial" w:cs="Arial"/>
          <w:sz w:val="22"/>
          <w:szCs w:val="22"/>
          <w:lang w:eastAsia="en-GB"/>
        </w:rPr>
        <w:t xml:space="preserve">. Departmental managers should receive training in leadership, performance management and change </w:t>
      </w:r>
      <w:r w:rsidRPr="001104D9">
        <w:rPr>
          <w:rFonts w:ascii="Arial" w:hAnsi="Arial" w:cs="Arial"/>
          <w:sz w:val="22"/>
          <w:szCs w:val="22"/>
          <w:lang w:eastAsia="en-GB"/>
        </w:rPr>
        <w:lastRenderedPageBreak/>
        <w:t>management to ensure they can effectively implement HR strategies. This is essential, as managers play a critical role in translating HR policies into everyday workplace practices.</w:t>
      </w:r>
    </w:p>
    <w:p w14:paraId="06FEA64F" w14:textId="77777777" w:rsidR="004B36F2" w:rsidRDefault="001104D9" w:rsidP="004B36F2">
      <w:pPr>
        <w:spacing w:line="360" w:lineRule="auto"/>
        <w:rPr>
          <w:rFonts w:ascii="Arial" w:hAnsi="Arial" w:cs="Arial"/>
          <w:sz w:val="22"/>
          <w:szCs w:val="22"/>
          <w:lang w:eastAsia="en-GB"/>
        </w:rPr>
      </w:pPr>
      <w:r w:rsidRPr="001104D9">
        <w:rPr>
          <w:rFonts w:ascii="Arial" w:hAnsi="Arial" w:cs="Arial"/>
          <w:sz w:val="22"/>
          <w:szCs w:val="22"/>
          <w:lang w:eastAsia="en-GB"/>
        </w:rPr>
        <w:t>In conclusion, by adopting these recommendations, Shield Batteries Ltd can enhance its ability to respond to HR challenges, improve employee engagement and build a workforce that supports long-term organisational sustainability and competitive advantage.</w:t>
      </w:r>
    </w:p>
    <w:p w14:paraId="330A1570" w14:textId="77777777" w:rsidR="001104E0" w:rsidRDefault="001104E0" w:rsidP="00114C91">
      <w:pPr>
        <w:pStyle w:val="Heading1"/>
      </w:pPr>
    </w:p>
    <w:p w14:paraId="06F28B09" w14:textId="77777777" w:rsidR="001104E0" w:rsidRDefault="001104E0" w:rsidP="00114C91">
      <w:pPr>
        <w:pStyle w:val="Heading1"/>
      </w:pPr>
    </w:p>
    <w:p w14:paraId="3D0EC799" w14:textId="77777777" w:rsidR="001104E0" w:rsidRDefault="001104E0" w:rsidP="00114C91">
      <w:pPr>
        <w:pStyle w:val="Heading1"/>
      </w:pPr>
    </w:p>
    <w:p w14:paraId="1685296E" w14:textId="77777777" w:rsidR="001104E0" w:rsidRDefault="001104E0" w:rsidP="00114C91">
      <w:pPr>
        <w:pStyle w:val="Heading1"/>
      </w:pPr>
    </w:p>
    <w:p w14:paraId="607DC799" w14:textId="77777777" w:rsidR="001104E0" w:rsidRDefault="001104E0" w:rsidP="00114C91">
      <w:pPr>
        <w:pStyle w:val="Heading1"/>
      </w:pPr>
    </w:p>
    <w:p w14:paraId="5ECB4579" w14:textId="77777777" w:rsidR="001104E0" w:rsidRDefault="001104E0" w:rsidP="00114C91">
      <w:pPr>
        <w:pStyle w:val="Heading1"/>
      </w:pPr>
    </w:p>
    <w:p w14:paraId="0BF6203B" w14:textId="77777777" w:rsidR="001104E0" w:rsidRDefault="001104E0" w:rsidP="00114C91">
      <w:pPr>
        <w:pStyle w:val="Heading1"/>
      </w:pPr>
    </w:p>
    <w:p w14:paraId="1D164D10" w14:textId="77777777" w:rsidR="001104E0" w:rsidRDefault="001104E0" w:rsidP="00114C91">
      <w:pPr>
        <w:pStyle w:val="Heading1"/>
      </w:pPr>
    </w:p>
    <w:p w14:paraId="67BE1AE6" w14:textId="77777777" w:rsidR="001104E0" w:rsidRDefault="001104E0" w:rsidP="00114C91">
      <w:pPr>
        <w:pStyle w:val="Heading1"/>
      </w:pPr>
    </w:p>
    <w:p w14:paraId="26E4098F" w14:textId="77777777" w:rsidR="001104E0" w:rsidRDefault="001104E0" w:rsidP="001104E0"/>
    <w:p w14:paraId="240D5EC5" w14:textId="77777777" w:rsidR="001104E0" w:rsidRDefault="001104E0" w:rsidP="001104E0"/>
    <w:p w14:paraId="0E74E704" w14:textId="77777777" w:rsidR="001104E0" w:rsidRPr="001104E0" w:rsidRDefault="001104E0" w:rsidP="001104E0"/>
    <w:p w14:paraId="4FA432B9" w14:textId="42D1051E" w:rsidR="00F02243" w:rsidRPr="004B36F2" w:rsidRDefault="00530498" w:rsidP="00114C91">
      <w:pPr>
        <w:pStyle w:val="Heading1"/>
        <w:rPr>
          <w:rFonts w:ascii="Arial" w:hAnsi="Arial" w:cs="Arial"/>
          <w:sz w:val="22"/>
          <w:szCs w:val="22"/>
          <w:lang w:eastAsia="en-GB"/>
        </w:rPr>
      </w:pPr>
      <w:bookmarkStart w:id="10" w:name="_Toc225024346"/>
      <w:r w:rsidRPr="00530498">
        <w:lastRenderedPageBreak/>
        <w:t>References</w:t>
      </w:r>
      <w:bookmarkEnd w:id="10"/>
    </w:p>
    <w:p w14:paraId="7BA03E33"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Armstrong, M. and Taylor, S. (2023) </w:t>
      </w:r>
      <w:r w:rsidRPr="00152DFB">
        <w:rPr>
          <w:rFonts w:ascii="Arial" w:hAnsi="Arial" w:cs="Arial"/>
          <w:i/>
          <w:iCs/>
          <w:sz w:val="22"/>
          <w:szCs w:val="22"/>
        </w:rPr>
        <w:t>Armstrong’s Handbook of Human Resource Management Practice</w:t>
      </w:r>
      <w:r w:rsidRPr="00152DFB">
        <w:rPr>
          <w:rFonts w:ascii="Arial" w:hAnsi="Arial" w:cs="Arial"/>
          <w:sz w:val="22"/>
          <w:szCs w:val="22"/>
        </w:rPr>
        <w:t>. London: Kogan Page.</w:t>
      </w:r>
    </w:p>
    <w:p w14:paraId="4D7F1F91"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Boxall, P. and Purcell, J. (2022) </w:t>
      </w:r>
      <w:r w:rsidRPr="00152DFB">
        <w:rPr>
          <w:rFonts w:ascii="Arial" w:hAnsi="Arial" w:cs="Arial"/>
          <w:i/>
          <w:iCs/>
          <w:sz w:val="22"/>
          <w:szCs w:val="22"/>
        </w:rPr>
        <w:t>Strategy and Human Resource Management</w:t>
      </w:r>
      <w:r w:rsidRPr="00152DFB">
        <w:rPr>
          <w:rFonts w:ascii="Arial" w:hAnsi="Arial" w:cs="Arial"/>
          <w:sz w:val="22"/>
          <w:szCs w:val="22"/>
        </w:rPr>
        <w:t>. London: Palgrave.</w:t>
      </w:r>
    </w:p>
    <w:p w14:paraId="20EACD07"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Bratton, J. and Gold, J. (2022) </w:t>
      </w:r>
      <w:r w:rsidRPr="00152DFB">
        <w:rPr>
          <w:rFonts w:ascii="Arial" w:hAnsi="Arial" w:cs="Arial"/>
          <w:i/>
          <w:iCs/>
          <w:sz w:val="22"/>
          <w:szCs w:val="22"/>
        </w:rPr>
        <w:t>Human Resource Management</w:t>
      </w:r>
      <w:r w:rsidRPr="00152DFB">
        <w:rPr>
          <w:rFonts w:ascii="Arial" w:hAnsi="Arial" w:cs="Arial"/>
          <w:sz w:val="22"/>
          <w:szCs w:val="22"/>
        </w:rPr>
        <w:t>. London: Palgrave.</w:t>
      </w:r>
    </w:p>
    <w:p w14:paraId="6AC846BA"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Burnes, B. (2020) </w:t>
      </w:r>
      <w:r w:rsidRPr="00152DFB">
        <w:rPr>
          <w:rFonts w:ascii="Arial" w:hAnsi="Arial" w:cs="Arial"/>
          <w:i/>
          <w:iCs/>
          <w:sz w:val="22"/>
          <w:szCs w:val="22"/>
        </w:rPr>
        <w:t>Managing Change</w:t>
      </w:r>
      <w:r w:rsidRPr="00152DFB">
        <w:rPr>
          <w:rFonts w:ascii="Arial" w:hAnsi="Arial" w:cs="Arial"/>
          <w:sz w:val="22"/>
          <w:szCs w:val="22"/>
        </w:rPr>
        <w:t>. Pearson.</w:t>
      </w:r>
    </w:p>
    <w:p w14:paraId="204E4ED3"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CIPD (2023) </w:t>
      </w:r>
      <w:r w:rsidRPr="00152DFB">
        <w:rPr>
          <w:rFonts w:ascii="Arial" w:hAnsi="Arial" w:cs="Arial"/>
          <w:i/>
          <w:iCs/>
          <w:sz w:val="22"/>
          <w:szCs w:val="22"/>
        </w:rPr>
        <w:t>Technology and the future of work</w:t>
      </w:r>
      <w:r w:rsidRPr="00152DFB">
        <w:rPr>
          <w:rFonts w:ascii="Arial" w:hAnsi="Arial" w:cs="Arial"/>
          <w:sz w:val="22"/>
          <w:szCs w:val="22"/>
        </w:rPr>
        <w:t>.</w:t>
      </w:r>
    </w:p>
    <w:p w14:paraId="7732B4DD"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CIPD (2024) </w:t>
      </w:r>
      <w:r w:rsidRPr="00152DFB">
        <w:rPr>
          <w:rFonts w:ascii="Arial" w:hAnsi="Arial" w:cs="Arial"/>
          <w:i/>
          <w:iCs/>
          <w:sz w:val="22"/>
          <w:szCs w:val="22"/>
        </w:rPr>
        <w:t>Talent management and employee retention</w:t>
      </w:r>
      <w:r w:rsidRPr="00152DFB">
        <w:rPr>
          <w:rFonts w:ascii="Arial" w:hAnsi="Arial" w:cs="Arial"/>
          <w:sz w:val="22"/>
          <w:szCs w:val="22"/>
        </w:rPr>
        <w:t>.</w:t>
      </w:r>
    </w:p>
    <w:p w14:paraId="6F5175AC"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Dessler, G. (2022) </w:t>
      </w:r>
      <w:r w:rsidRPr="00152DFB">
        <w:rPr>
          <w:rFonts w:ascii="Arial" w:hAnsi="Arial" w:cs="Arial"/>
          <w:i/>
          <w:iCs/>
          <w:sz w:val="22"/>
          <w:szCs w:val="22"/>
        </w:rPr>
        <w:t>Human Resource Management</w:t>
      </w:r>
      <w:r w:rsidRPr="00152DFB">
        <w:rPr>
          <w:rFonts w:ascii="Arial" w:hAnsi="Arial" w:cs="Arial"/>
          <w:sz w:val="22"/>
          <w:szCs w:val="22"/>
        </w:rPr>
        <w:t>. Pearson.</w:t>
      </w:r>
    </w:p>
    <w:p w14:paraId="231C3D33"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Mor Barak, M. (2022) </w:t>
      </w:r>
      <w:r w:rsidRPr="00152DFB">
        <w:rPr>
          <w:rFonts w:ascii="Arial" w:hAnsi="Arial" w:cs="Arial"/>
          <w:i/>
          <w:iCs/>
          <w:sz w:val="22"/>
          <w:szCs w:val="22"/>
        </w:rPr>
        <w:t>Managing Diversity</w:t>
      </w:r>
      <w:r w:rsidRPr="00152DFB">
        <w:rPr>
          <w:rFonts w:ascii="Arial" w:hAnsi="Arial" w:cs="Arial"/>
          <w:sz w:val="22"/>
          <w:szCs w:val="22"/>
        </w:rPr>
        <w:t>. Sage.</w:t>
      </w:r>
    </w:p>
    <w:p w14:paraId="0D648ECB"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Noe, R. et al. (2021) </w:t>
      </w:r>
      <w:r w:rsidRPr="00152DFB">
        <w:rPr>
          <w:rFonts w:ascii="Arial" w:hAnsi="Arial" w:cs="Arial"/>
          <w:i/>
          <w:iCs/>
          <w:sz w:val="22"/>
          <w:szCs w:val="22"/>
        </w:rPr>
        <w:t>Human Resource Management</w:t>
      </w:r>
      <w:r w:rsidRPr="00152DFB">
        <w:rPr>
          <w:rFonts w:ascii="Arial" w:hAnsi="Arial" w:cs="Arial"/>
          <w:sz w:val="22"/>
          <w:szCs w:val="22"/>
        </w:rPr>
        <w:t>. McGraw-Hill.</w:t>
      </w:r>
    </w:p>
    <w:p w14:paraId="65C6BD3D"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Roberson, Q. (2019) </w:t>
      </w:r>
      <w:r w:rsidRPr="00152DFB">
        <w:rPr>
          <w:rFonts w:ascii="Arial" w:hAnsi="Arial" w:cs="Arial"/>
          <w:i/>
          <w:iCs/>
          <w:sz w:val="22"/>
          <w:szCs w:val="22"/>
        </w:rPr>
        <w:t>Diversity in the workplace</w:t>
      </w:r>
      <w:r w:rsidRPr="00152DFB">
        <w:rPr>
          <w:rFonts w:ascii="Arial" w:hAnsi="Arial" w:cs="Arial"/>
          <w:sz w:val="22"/>
          <w:szCs w:val="22"/>
        </w:rPr>
        <w:t>.</w:t>
      </w:r>
    </w:p>
    <w:p w14:paraId="1456AF8B"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Sparrow, P. et al. (2023) </w:t>
      </w:r>
      <w:r w:rsidRPr="00152DFB">
        <w:rPr>
          <w:rFonts w:ascii="Arial" w:hAnsi="Arial" w:cs="Arial"/>
          <w:i/>
          <w:iCs/>
          <w:sz w:val="22"/>
          <w:szCs w:val="22"/>
        </w:rPr>
        <w:t>Globalising HRM</w:t>
      </w:r>
      <w:r w:rsidRPr="00152DFB">
        <w:rPr>
          <w:rFonts w:ascii="Arial" w:hAnsi="Arial" w:cs="Arial"/>
          <w:sz w:val="22"/>
          <w:szCs w:val="22"/>
        </w:rPr>
        <w:t>. Routledge.</w:t>
      </w:r>
    </w:p>
    <w:p w14:paraId="5C992DED"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Stone, D. et al. (2020) </w:t>
      </w:r>
      <w:r w:rsidRPr="00152DFB">
        <w:rPr>
          <w:rFonts w:ascii="Arial" w:hAnsi="Arial" w:cs="Arial"/>
          <w:i/>
          <w:iCs/>
          <w:sz w:val="22"/>
          <w:szCs w:val="22"/>
        </w:rPr>
        <w:t>HRM Review</w:t>
      </w:r>
      <w:r w:rsidRPr="00152DFB">
        <w:rPr>
          <w:rFonts w:ascii="Arial" w:hAnsi="Arial" w:cs="Arial"/>
          <w:sz w:val="22"/>
          <w:szCs w:val="22"/>
        </w:rPr>
        <w:t>.</w:t>
      </w:r>
    </w:p>
    <w:p w14:paraId="7B83D368"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Torrington, D. et al. (2020) </w:t>
      </w:r>
      <w:r w:rsidRPr="00152DFB">
        <w:rPr>
          <w:rFonts w:ascii="Arial" w:hAnsi="Arial" w:cs="Arial"/>
          <w:i/>
          <w:iCs/>
          <w:sz w:val="22"/>
          <w:szCs w:val="22"/>
        </w:rPr>
        <w:t>Human Resource Management</w:t>
      </w:r>
      <w:r w:rsidRPr="00152DFB">
        <w:rPr>
          <w:rFonts w:ascii="Arial" w:hAnsi="Arial" w:cs="Arial"/>
          <w:sz w:val="22"/>
          <w:szCs w:val="22"/>
        </w:rPr>
        <w:t>. Pearson.</w:t>
      </w:r>
    </w:p>
    <w:p w14:paraId="0B5235B8"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Ulrich, D. et al. (2021) </w:t>
      </w:r>
      <w:r w:rsidRPr="00152DFB">
        <w:rPr>
          <w:rFonts w:ascii="Arial" w:hAnsi="Arial" w:cs="Arial"/>
          <w:i/>
          <w:iCs/>
          <w:sz w:val="22"/>
          <w:szCs w:val="22"/>
        </w:rPr>
        <w:t>HR Competencies</w:t>
      </w:r>
      <w:r w:rsidRPr="00152DFB">
        <w:rPr>
          <w:rFonts w:ascii="Arial" w:hAnsi="Arial" w:cs="Arial"/>
          <w:sz w:val="22"/>
          <w:szCs w:val="22"/>
        </w:rPr>
        <w:t>. SHRM.</w:t>
      </w:r>
    </w:p>
    <w:p w14:paraId="6BE38DE9" w14:textId="77777777" w:rsidR="00F02243" w:rsidRPr="00152DFB" w:rsidRDefault="00F02243" w:rsidP="00114C91">
      <w:pPr>
        <w:spacing w:line="360" w:lineRule="auto"/>
        <w:rPr>
          <w:rFonts w:ascii="Arial" w:hAnsi="Arial" w:cs="Arial"/>
          <w:sz w:val="22"/>
          <w:szCs w:val="22"/>
        </w:rPr>
      </w:pPr>
      <w:r w:rsidRPr="00152DFB">
        <w:rPr>
          <w:rFonts w:ascii="Arial" w:hAnsi="Arial" w:cs="Arial"/>
          <w:sz w:val="22"/>
          <w:szCs w:val="22"/>
        </w:rPr>
        <w:t xml:space="preserve">World Economic Forum (2023) </w:t>
      </w:r>
      <w:r w:rsidRPr="00152DFB">
        <w:rPr>
          <w:rFonts w:ascii="Arial" w:hAnsi="Arial" w:cs="Arial"/>
          <w:i/>
          <w:iCs/>
          <w:sz w:val="22"/>
          <w:szCs w:val="22"/>
        </w:rPr>
        <w:t>Future of Jobs Report</w:t>
      </w:r>
      <w:r w:rsidRPr="00152DFB">
        <w:rPr>
          <w:rFonts w:ascii="Arial" w:hAnsi="Arial" w:cs="Arial"/>
          <w:sz w:val="22"/>
          <w:szCs w:val="22"/>
        </w:rPr>
        <w:t>.</w:t>
      </w:r>
    </w:p>
    <w:p w14:paraId="13C81B15" w14:textId="10D0A3DB" w:rsidR="00F02243" w:rsidRDefault="00F02243" w:rsidP="00114C91">
      <w:pPr>
        <w:spacing w:line="360" w:lineRule="auto"/>
        <w:rPr>
          <w:rFonts w:ascii="Arial" w:hAnsi="Arial" w:cs="Arial"/>
          <w:sz w:val="22"/>
          <w:szCs w:val="22"/>
        </w:rPr>
      </w:pPr>
    </w:p>
    <w:p w14:paraId="00F07AC5" w14:textId="77777777" w:rsidR="00B50F60" w:rsidRPr="00152DFB" w:rsidRDefault="00B50F60" w:rsidP="00152DFB">
      <w:pPr>
        <w:spacing w:line="360" w:lineRule="auto"/>
        <w:rPr>
          <w:rFonts w:ascii="Arial" w:hAnsi="Arial" w:cs="Arial"/>
          <w:sz w:val="22"/>
          <w:szCs w:val="22"/>
        </w:rPr>
      </w:pPr>
    </w:p>
    <w:p w14:paraId="7EC3BCC8" w14:textId="77777777" w:rsidR="00F02243" w:rsidRDefault="00F02243" w:rsidP="00F02243"/>
    <w:p w14:paraId="55DA256C" w14:textId="77777777" w:rsidR="00F02243" w:rsidRPr="00530498" w:rsidRDefault="00F02243" w:rsidP="00530498">
      <w:pPr>
        <w:keepNext/>
        <w:keepLines/>
        <w:spacing w:before="360" w:after="80"/>
        <w:outlineLvl w:val="0"/>
        <w:rPr>
          <w:rFonts w:asciiTheme="majorHAnsi" w:eastAsiaTheme="majorEastAsia" w:hAnsiTheme="majorHAnsi" w:cstheme="majorBidi"/>
          <w:b/>
          <w:bCs/>
          <w:color w:val="0F4761" w:themeColor="accent1" w:themeShade="BF"/>
          <w:sz w:val="28"/>
          <w:szCs w:val="28"/>
        </w:rPr>
      </w:pPr>
    </w:p>
    <w:sectPr w:rsidR="00F02243" w:rsidRPr="00530498" w:rsidSect="00DE0F7B">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E6686" w14:textId="77777777" w:rsidR="00F60415" w:rsidRDefault="00F60415" w:rsidP="000F7CF0">
      <w:pPr>
        <w:spacing w:after="0" w:line="240" w:lineRule="auto"/>
      </w:pPr>
      <w:r>
        <w:separator/>
      </w:r>
    </w:p>
  </w:endnote>
  <w:endnote w:type="continuationSeparator" w:id="0">
    <w:p w14:paraId="5EFF394F" w14:textId="77777777" w:rsidR="00F60415" w:rsidRDefault="00F60415" w:rsidP="000F7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568027"/>
      <w:docPartObj>
        <w:docPartGallery w:val="Page Numbers (Bottom of Page)"/>
        <w:docPartUnique/>
      </w:docPartObj>
    </w:sdtPr>
    <w:sdtEndPr>
      <w:rPr>
        <w:noProof/>
      </w:rPr>
    </w:sdtEndPr>
    <w:sdtContent>
      <w:p w14:paraId="124FC61F" w14:textId="43B6CBCA" w:rsidR="00B20C1C" w:rsidRDefault="00B20C1C">
        <w:pPr>
          <w:pStyle w:val="Footer"/>
          <w:jc w:val="center"/>
        </w:pPr>
        <w:r>
          <w:rPr>
            <w:noProof/>
          </w:rPr>
          <mc:AlternateContent>
            <mc:Choice Requires="wps">
              <w:drawing>
                <wp:inline distT="0" distB="0" distL="0" distR="0" wp14:anchorId="14BD051F" wp14:editId="45D3E6F4">
                  <wp:extent cx="5467350" cy="54610"/>
                  <wp:effectExtent l="9525" t="19050" r="9525" b="12065"/>
                  <wp:docPr id="1394113883"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6676E55"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970567A" w14:textId="30443520" w:rsidR="00B20C1C" w:rsidRDefault="00B20C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DA49B" w14:textId="77777777" w:rsidR="00B20C1C" w:rsidRDefault="00B20C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ADA63" w14:textId="77777777" w:rsidR="00F60415" w:rsidRDefault="00F60415" w:rsidP="000F7CF0">
      <w:pPr>
        <w:spacing w:after="0" w:line="240" w:lineRule="auto"/>
      </w:pPr>
      <w:r>
        <w:separator/>
      </w:r>
    </w:p>
  </w:footnote>
  <w:footnote w:type="continuationSeparator" w:id="0">
    <w:p w14:paraId="4931A37A" w14:textId="77777777" w:rsidR="00F60415" w:rsidRDefault="00F60415" w:rsidP="000F7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AD745" w14:textId="4DFC113B" w:rsidR="000F7CF0" w:rsidRDefault="000F7CF0">
    <w:pPr>
      <w:pStyle w:val="Header"/>
    </w:pPr>
    <w:r>
      <w:rPr>
        <w:noProof/>
      </w:rPr>
      <w:drawing>
        <wp:inline distT="0" distB="0" distL="0" distR="0" wp14:anchorId="759E4A3C" wp14:editId="2E827DB9">
          <wp:extent cx="1810385" cy="725170"/>
          <wp:effectExtent l="0" t="0" r="0" b="0"/>
          <wp:docPr id="123109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80425A1"/>
    <w:multiLevelType w:val="hybridMultilevel"/>
    <w:tmpl w:val="DF8C8066"/>
    <w:lvl w:ilvl="0" w:tplc="A8A8E788">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550CA"/>
    <w:multiLevelType w:val="hybridMultilevel"/>
    <w:tmpl w:val="7436BD32"/>
    <w:lvl w:ilvl="0" w:tplc="646A9E74">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B5A48"/>
    <w:multiLevelType w:val="multilevel"/>
    <w:tmpl w:val="76B2E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3C1FB7"/>
    <w:multiLevelType w:val="hybridMultilevel"/>
    <w:tmpl w:val="E9026E38"/>
    <w:lvl w:ilvl="0" w:tplc="AE28D5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AA5F15"/>
    <w:multiLevelType w:val="multilevel"/>
    <w:tmpl w:val="2AC2BB9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045C57"/>
    <w:multiLevelType w:val="hybridMultilevel"/>
    <w:tmpl w:val="7D92BDB0"/>
    <w:lvl w:ilvl="0" w:tplc="0809000B">
      <w:start w:val="1"/>
      <w:numFmt w:val="bullet"/>
      <w:lvlText w:val=""/>
      <w:lvlJc w:val="left"/>
      <w:pPr>
        <w:ind w:left="369" w:hanging="360"/>
      </w:pPr>
      <w:rPr>
        <w:rFonts w:ascii="Wingdings" w:hAnsi="Wingdings" w:hint="default"/>
      </w:rPr>
    </w:lvl>
    <w:lvl w:ilvl="1" w:tplc="08090003" w:tentative="1">
      <w:start w:val="1"/>
      <w:numFmt w:val="bullet"/>
      <w:lvlText w:val="o"/>
      <w:lvlJc w:val="left"/>
      <w:pPr>
        <w:ind w:left="1089" w:hanging="360"/>
      </w:pPr>
      <w:rPr>
        <w:rFonts w:ascii="Courier New" w:hAnsi="Courier New" w:cs="Courier New" w:hint="default"/>
      </w:rPr>
    </w:lvl>
    <w:lvl w:ilvl="2" w:tplc="08090005" w:tentative="1">
      <w:start w:val="1"/>
      <w:numFmt w:val="bullet"/>
      <w:lvlText w:val=""/>
      <w:lvlJc w:val="left"/>
      <w:pPr>
        <w:ind w:left="1809" w:hanging="360"/>
      </w:pPr>
      <w:rPr>
        <w:rFonts w:ascii="Wingdings" w:hAnsi="Wingdings" w:hint="default"/>
      </w:rPr>
    </w:lvl>
    <w:lvl w:ilvl="3" w:tplc="08090001" w:tentative="1">
      <w:start w:val="1"/>
      <w:numFmt w:val="bullet"/>
      <w:lvlText w:val=""/>
      <w:lvlJc w:val="left"/>
      <w:pPr>
        <w:ind w:left="2529" w:hanging="360"/>
      </w:pPr>
      <w:rPr>
        <w:rFonts w:ascii="Symbol" w:hAnsi="Symbol" w:hint="default"/>
      </w:rPr>
    </w:lvl>
    <w:lvl w:ilvl="4" w:tplc="08090003" w:tentative="1">
      <w:start w:val="1"/>
      <w:numFmt w:val="bullet"/>
      <w:lvlText w:val="o"/>
      <w:lvlJc w:val="left"/>
      <w:pPr>
        <w:ind w:left="3249" w:hanging="360"/>
      </w:pPr>
      <w:rPr>
        <w:rFonts w:ascii="Courier New" w:hAnsi="Courier New" w:cs="Courier New" w:hint="default"/>
      </w:rPr>
    </w:lvl>
    <w:lvl w:ilvl="5" w:tplc="08090005" w:tentative="1">
      <w:start w:val="1"/>
      <w:numFmt w:val="bullet"/>
      <w:lvlText w:val=""/>
      <w:lvlJc w:val="left"/>
      <w:pPr>
        <w:ind w:left="3969" w:hanging="360"/>
      </w:pPr>
      <w:rPr>
        <w:rFonts w:ascii="Wingdings" w:hAnsi="Wingdings" w:hint="default"/>
      </w:rPr>
    </w:lvl>
    <w:lvl w:ilvl="6" w:tplc="08090001" w:tentative="1">
      <w:start w:val="1"/>
      <w:numFmt w:val="bullet"/>
      <w:lvlText w:val=""/>
      <w:lvlJc w:val="left"/>
      <w:pPr>
        <w:ind w:left="4689" w:hanging="360"/>
      </w:pPr>
      <w:rPr>
        <w:rFonts w:ascii="Symbol" w:hAnsi="Symbol" w:hint="default"/>
      </w:rPr>
    </w:lvl>
    <w:lvl w:ilvl="7" w:tplc="08090003" w:tentative="1">
      <w:start w:val="1"/>
      <w:numFmt w:val="bullet"/>
      <w:lvlText w:val="o"/>
      <w:lvlJc w:val="left"/>
      <w:pPr>
        <w:ind w:left="5409" w:hanging="360"/>
      </w:pPr>
      <w:rPr>
        <w:rFonts w:ascii="Courier New" w:hAnsi="Courier New" w:cs="Courier New" w:hint="default"/>
      </w:rPr>
    </w:lvl>
    <w:lvl w:ilvl="8" w:tplc="08090005" w:tentative="1">
      <w:start w:val="1"/>
      <w:numFmt w:val="bullet"/>
      <w:lvlText w:val=""/>
      <w:lvlJc w:val="left"/>
      <w:pPr>
        <w:ind w:left="6129" w:hanging="360"/>
      </w:pPr>
      <w:rPr>
        <w:rFonts w:ascii="Wingdings" w:hAnsi="Wingdings" w:hint="default"/>
      </w:rPr>
    </w:lvl>
  </w:abstractNum>
  <w:num w:numId="1" w16cid:durableId="1084566513">
    <w:abstractNumId w:val="5"/>
  </w:num>
  <w:num w:numId="2" w16cid:durableId="565721032">
    <w:abstractNumId w:val="4"/>
  </w:num>
  <w:num w:numId="3" w16cid:durableId="974144224">
    <w:abstractNumId w:val="2"/>
  </w:num>
  <w:num w:numId="4" w16cid:durableId="1105921946">
    <w:abstractNumId w:val="3"/>
  </w:num>
  <w:num w:numId="5" w16cid:durableId="1638297229">
    <w:abstractNumId w:val="0"/>
  </w:num>
  <w:num w:numId="6" w16cid:durableId="712000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A79"/>
    <w:rsid w:val="00001375"/>
    <w:rsid w:val="00005C99"/>
    <w:rsid w:val="00005F81"/>
    <w:rsid w:val="00022B3B"/>
    <w:rsid w:val="00045F9E"/>
    <w:rsid w:val="00066BB7"/>
    <w:rsid w:val="0007326F"/>
    <w:rsid w:val="00076C8B"/>
    <w:rsid w:val="0009154A"/>
    <w:rsid w:val="00097E3A"/>
    <w:rsid w:val="000B287F"/>
    <w:rsid w:val="000B51C0"/>
    <w:rsid w:val="000B54E4"/>
    <w:rsid w:val="000C427E"/>
    <w:rsid w:val="000C565C"/>
    <w:rsid w:val="000D5FCC"/>
    <w:rsid w:val="000D6576"/>
    <w:rsid w:val="000F12DA"/>
    <w:rsid w:val="000F2D2F"/>
    <w:rsid w:val="000F6DC5"/>
    <w:rsid w:val="000F7CF0"/>
    <w:rsid w:val="001037AC"/>
    <w:rsid w:val="00105DAB"/>
    <w:rsid w:val="001104D9"/>
    <w:rsid w:val="001104E0"/>
    <w:rsid w:val="00110EF2"/>
    <w:rsid w:val="001117B5"/>
    <w:rsid w:val="00114C91"/>
    <w:rsid w:val="00115CA0"/>
    <w:rsid w:val="00124C23"/>
    <w:rsid w:val="0012554E"/>
    <w:rsid w:val="00130F20"/>
    <w:rsid w:val="00146CB7"/>
    <w:rsid w:val="00152DFB"/>
    <w:rsid w:val="00160501"/>
    <w:rsid w:val="00172896"/>
    <w:rsid w:val="00173B39"/>
    <w:rsid w:val="00185A9B"/>
    <w:rsid w:val="001B244A"/>
    <w:rsid w:val="001C162D"/>
    <w:rsid w:val="001C2360"/>
    <w:rsid w:val="001C2666"/>
    <w:rsid w:val="001D1AAC"/>
    <w:rsid w:val="001D250C"/>
    <w:rsid w:val="001D2592"/>
    <w:rsid w:val="001D6A79"/>
    <w:rsid w:val="001E1113"/>
    <w:rsid w:val="001E6FF6"/>
    <w:rsid w:val="0020111E"/>
    <w:rsid w:val="002030FC"/>
    <w:rsid w:val="002059C3"/>
    <w:rsid w:val="00210F4F"/>
    <w:rsid w:val="002333FA"/>
    <w:rsid w:val="00233987"/>
    <w:rsid w:val="0024015C"/>
    <w:rsid w:val="00243C55"/>
    <w:rsid w:val="0024693D"/>
    <w:rsid w:val="00251C11"/>
    <w:rsid w:val="002559FF"/>
    <w:rsid w:val="0025704C"/>
    <w:rsid w:val="00271606"/>
    <w:rsid w:val="0027285E"/>
    <w:rsid w:val="002747BF"/>
    <w:rsid w:val="002771A3"/>
    <w:rsid w:val="00287112"/>
    <w:rsid w:val="00287B13"/>
    <w:rsid w:val="00290BE0"/>
    <w:rsid w:val="00290D00"/>
    <w:rsid w:val="00291A81"/>
    <w:rsid w:val="002C6128"/>
    <w:rsid w:val="002D0FDF"/>
    <w:rsid w:val="002F02CB"/>
    <w:rsid w:val="0031205E"/>
    <w:rsid w:val="00316B1B"/>
    <w:rsid w:val="00323416"/>
    <w:rsid w:val="003263BC"/>
    <w:rsid w:val="0032686F"/>
    <w:rsid w:val="0033353D"/>
    <w:rsid w:val="00336BAB"/>
    <w:rsid w:val="00341CC2"/>
    <w:rsid w:val="00344850"/>
    <w:rsid w:val="0034538A"/>
    <w:rsid w:val="00350E52"/>
    <w:rsid w:val="003550E5"/>
    <w:rsid w:val="00360886"/>
    <w:rsid w:val="00366801"/>
    <w:rsid w:val="0036682F"/>
    <w:rsid w:val="00375FFB"/>
    <w:rsid w:val="0037658F"/>
    <w:rsid w:val="00383A66"/>
    <w:rsid w:val="003875FC"/>
    <w:rsid w:val="003920F3"/>
    <w:rsid w:val="00396463"/>
    <w:rsid w:val="003A35F3"/>
    <w:rsid w:val="003A683C"/>
    <w:rsid w:val="003B0814"/>
    <w:rsid w:val="003B70A0"/>
    <w:rsid w:val="003C1776"/>
    <w:rsid w:val="003C406E"/>
    <w:rsid w:val="003D3AAC"/>
    <w:rsid w:val="003E4FAC"/>
    <w:rsid w:val="003E7A32"/>
    <w:rsid w:val="003F60A5"/>
    <w:rsid w:val="00404C13"/>
    <w:rsid w:val="00410326"/>
    <w:rsid w:val="004250D9"/>
    <w:rsid w:val="00427F2E"/>
    <w:rsid w:val="00442EF5"/>
    <w:rsid w:val="0044754C"/>
    <w:rsid w:val="004535D8"/>
    <w:rsid w:val="004622BC"/>
    <w:rsid w:val="00463829"/>
    <w:rsid w:val="00465870"/>
    <w:rsid w:val="00466C71"/>
    <w:rsid w:val="00473B62"/>
    <w:rsid w:val="00474661"/>
    <w:rsid w:val="00475208"/>
    <w:rsid w:val="004979A2"/>
    <w:rsid w:val="004A0238"/>
    <w:rsid w:val="004A2757"/>
    <w:rsid w:val="004B36F2"/>
    <w:rsid w:val="004C2676"/>
    <w:rsid w:val="004C357B"/>
    <w:rsid w:val="004C7779"/>
    <w:rsid w:val="004F383A"/>
    <w:rsid w:val="004F71C1"/>
    <w:rsid w:val="00520782"/>
    <w:rsid w:val="00522AEC"/>
    <w:rsid w:val="0052624D"/>
    <w:rsid w:val="0052798B"/>
    <w:rsid w:val="00530498"/>
    <w:rsid w:val="00530890"/>
    <w:rsid w:val="00536CA6"/>
    <w:rsid w:val="00536D01"/>
    <w:rsid w:val="00547603"/>
    <w:rsid w:val="00557F9A"/>
    <w:rsid w:val="00560824"/>
    <w:rsid w:val="00564A69"/>
    <w:rsid w:val="00564C7B"/>
    <w:rsid w:val="00572982"/>
    <w:rsid w:val="00574E36"/>
    <w:rsid w:val="00585D17"/>
    <w:rsid w:val="0059115B"/>
    <w:rsid w:val="00594EA7"/>
    <w:rsid w:val="0059521F"/>
    <w:rsid w:val="00596125"/>
    <w:rsid w:val="00596B42"/>
    <w:rsid w:val="005A463E"/>
    <w:rsid w:val="005A5CB0"/>
    <w:rsid w:val="005A67E7"/>
    <w:rsid w:val="005B0860"/>
    <w:rsid w:val="005C1179"/>
    <w:rsid w:val="005D0721"/>
    <w:rsid w:val="005D5CDF"/>
    <w:rsid w:val="005F5470"/>
    <w:rsid w:val="00604F1B"/>
    <w:rsid w:val="0061319A"/>
    <w:rsid w:val="006309DD"/>
    <w:rsid w:val="00636D44"/>
    <w:rsid w:val="00642BB6"/>
    <w:rsid w:val="00647077"/>
    <w:rsid w:val="00656131"/>
    <w:rsid w:val="00675059"/>
    <w:rsid w:val="006903F6"/>
    <w:rsid w:val="00691556"/>
    <w:rsid w:val="006A4A1D"/>
    <w:rsid w:val="006B5CB2"/>
    <w:rsid w:val="006C0EEA"/>
    <w:rsid w:val="006C204E"/>
    <w:rsid w:val="006C73E1"/>
    <w:rsid w:val="006D010E"/>
    <w:rsid w:val="006D03D2"/>
    <w:rsid w:val="006D07E3"/>
    <w:rsid w:val="006D59D1"/>
    <w:rsid w:val="006F10A6"/>
    <w:rsid w:val="006F1187"/>
    <w:rsid w:val="006F6714"/>
    <w:rsid w:val="00701530"/>
    <w:rsid w:val="00703063"/>
    <w:rsid w:val="00710EE6"/>
    <w:rsid w:val="007120B3"/>
    <w:rsid w:val="00717967"/>
    <w:rsid w:val="0072388A"/>
    <w:rsid w:val="00723FFF"/>
    <w:rsid w:val="00727AFC"/>
    <w:rsid w:val="007440C4"/>
    <w:rsid w:val="007550F4"/>
    <w:rsid w:val="00755E75"/>
    <w:rsid w:val="00757371"/>
    <w:rsid w:val="0077052A"/>
    <w:rsid w:val="00773A92"/>
    <w:rsid w:val="00773D18"/>
    <w:rsid w:val="00776D7E"/>
    <w:rsid w:val="00792AA4"/>
    <w:rsid w:val="00793210"/>
    <w:rsid w:val="007933EC"/>
    <w:rsid w:val="00794BDB"/>
    <w:rsid w:val="007A052B"/>
    <w:rsid w:val="007A0741"/>
    <w:rsid w:val="007A4F38"/>
    <w:rsid w:val="007B5E82"/>
    <w:rsid w:val="007C7E78"/>
    <w:rsid w:val="007D6E0A"/>
    <w:rsid w:val="007E4DBE"/>
    <w:rsid w:val="007F6ECE"/>
    <w:rsid w:val="007F7BC9"/>
    <w:rsid w:val="00800103"/>
    <w:rsid w:val="00801B8D"/>
    <w:rsid w:val="008048D4"/>
    <w:rsid w:val="00813676"/>
    <w:rsid w:val="00815372"/>
    <w:rsid w:val="008174E0"/>
    <w:rsid w:val="00817D46"/>
    <w:rsid w:val="0084251F"/>
    <w:rsid w:val="008448E1"/>
    <w:rsid w:val="0085536D"/>
    <w:rsid w:val="00863EB7"/>
    <w:rsid w:val="00866A54"/>
    <w:rsid w:val="008866B1"/>
    <w:rsid w:val="00892DC1"/>
    <w:rsid w:val="00892EF1"/>
    <w:rsid w:val="008A60AC"/>
    <w:rsid w:val="008D1911"/>
    <w:rsid w:val="008E2CE4"/>
    <w:rsid w:val="008E53FA"/>
    <w:rsid w:val="008F4717"/>
    <w:rsid w:val="00904F5C"/>
    <w:rsid w:val="0091482C"/>
    <w:rsid w:val="00915520"/>
    <w:rsid w:val="00916A10"/>
    <w:rsid w:val="00921EE5"/>
    <w:rsid w:val="00921FC5"/>
    <w:rsid w:val="0093040D"/>
    <w:rsid w:val="0093050E"/>
    <w:rsid w:val="00930C8F"/>
    <w:rsid w:val="0093657E"/>
    <w:rsid w:val="009410DF"/>
    <w:rsid w:val="0094473A"/>
    <w:rsid w:val="00951CCE"/>
    <w:rsid w:val="00951D21"/>
    <w:rsid w:val="00961DE8"/>
    <w:rsid w:val="009800E4"/>
    <w:rsid w:val="00982F34"/>
    <w:rsid w:val="009948C0"/>
    <w:rsid w:val="00996878"/>
    <w:rsid w:val="009A03FE"/>
    <w:rsid w:val="009B2685"/>
    <w:rsid w:val="009C4AE4"/>
    <w:rsid w:val="009D78B7"/>
    <w:rsid w:val="009E61D0"/>
    <w:rsid w:val="009F33F2"/>
    <w:rsid w:val="009F4329"/>
    <w:rsid w:val="009F4AAE"/>
    <w:rsid w:val="00A0147E"/>
    <w:rsid w:val="00A04546"/>
    <w:rsid w:val="00A124A2"/>
    <w:rsid w:val="00A242FA"/>
    <w:rsid w:val="00A371C5"/>
    <w:rsid w:val="00A4353E"/>
    <w:rsid w:val="00A63F2F"/>
    <w:rsid w:val="00A70F16"/>
    <w:rsid w:val="00A74E3B"/>
    <w:rsid w:val="00A9076D"/>
    <w:rsid w:val="00A95A4D"/>
    <w:rsid w:val="00AA358A"/>
    <w:rsid w:val="00AA6A00"/>
    <w:rsid w:val="00AB44F7"/>
    <w:rsid w:val="00AB69F6"/>
    <w:rsid w:val="00AC0DAB"/>
    <w:rsid w:val="00AC2560"/>
    <w:rsid w:val="00AD2849"/>
    <w:rsid w:val="00AD4B4E"/>
    <w:rsid w:val="00AD762E"/>
    <w:rsid w:val="00AE2E1D"/>
    <w:rsid w:val="00AE3697"/>
    <w:rsid w:val="00AF0689"/>
    <w:rsid w:val="00AF68E9"/>
    <w:rsid w:val="00B0634F"/>
    <w:rsid w:val="00B12819"/>
    <w:rsid w:val="00B136B3"/>
    <w:rsid w:val="00B20C1C"/>
    <w:rsid w:val="00B20E6D"/>
    <w:rsid w:val="00B30920"/>
    <w:rsid w:val="00B34629"/>
    <w:rsid w:val="00B50F60"/>
    <w:rsid w:val="00B53334"/>
    <w:rsid w:val="00B76096"/>
    <w:rsid w:val="00B82C25"/>
    <w:rsid w:val="00B90309"/>
    <w:rsid w:val="00B919DD"/>
    <w:rsid w:val="00BC4AC2"/>
    <w:rsid w:val="00BC55A1"/>
    <w:rsid w:val="00BD2CA4"/>
    <w:rsid w:val="00BF58F5"/>
    <w:rsid w:val="00BF6489"/>
    <w:rsid w:val="00BF75E8"/>
    <w:rsid w:val="00C04755"/>
    <w:rsid w:val="00C047B7"/>
    <w:rsid w:val="00C07F65"/>
    <w:rsid w:val="00C15247"/>
    <w:rsid w:val="00C26054"/>
    <w:rsid w:val="00C26AE9"/>
    <w:rsid w:val="00C32D4D"/>
    <w:rsid w:val="00C40A3B"/>
    <w:rsid w:val="00C4313B"/>
    <w:rsid w:val="00C52477"/>
    <w:rsid w:val="00C70CB7"/>
    <w:rsid w:val="00C71A51"/>
    <w:rsid w:val="00C87D41"/>
    <w:rsid w:val="00C95198"/>
    <w:rsid w:val="00CA547F"/>
    <w:rsid w:val="00CA78A9"/>
    <w:rsid w:val="00CC49EE"/>
    <w:rsid w:val="00CD2D8A"/>
    <w:rsid w:val="00CD4331"/>
    <w:rsid w:val="00CE032D"/>
    <w:rsid w:val="00CE77D6"/>
    <w:rsid w:val="00D2028A"/>
    <w:rsid w:val="00D3024C"/>
    <w:rsid w:val="00D4678A"/>
    <w:rsid w:val="00D52A3B"/>
    <w:rsid w:val="00D74496"/>
    <w:rsid w:val="00D943EA"/>
    <w:rsid w:val="00DB1165"/>
    <w:rsid w:val="00DB3792"/>
    <w:rsid w:val="00DB4C59"/>
    <w:rsid w:val="00DB6C9E"/>
    <w:rsid w:val="00DC295F"/>
    <w:rsid w:val="00DC6857"/>
    <w:rsid w:val="00DD20DB"/>
    <w:rsid w:val="00DD63F0"/>
    <w:rsid w:val="00DE0F7B"/>
    <w:rsid w:val="00DE13E0"/>
    <w:rsid w:val="00DF2A13"/>
    <w:rsid w:val="00DF3226"/>
    <w:rsid w:val="00DF5BE0"/>
    <w:rsid w:val="00DF6E1D"/>
    <w:rsid w:val="00E00171"/>
    <w:rsid w:val="00E02498"/>
    <w:rsid w:val="00E20910"/>
    <w:rsid w:val="00E2480D"/>
    <w:rsid w:val="00E24D3F"/>
    <w:rsid w:val="00E362C2"/>
    <w:rsid w:val="00E43A4F"/>
    <w:rsid w:val="00E448C1"/>
    <w:rsid w:val="00E54839"/>
    <w:rsid w:val="00E55586"/>
    <w:rsid w:val="00E6194D"/>
    <w:rsid w:val="00E65A53"/>
    <w:rsid w:val="00E71369"/>
    <w:rsid w:val="00E9135F"/>
    <w:rsid w:val="00E934D3"/>
    <w:rsid w:val="00EA3E1A"/>
    <w:rsid w:val="00EB3A3A"/>
    <w:rsid w:val="00EB5DC5"/>
    <w:rsid w:val="00EB61A2"/>
    <w:rsid w:val="00EB716E"/>
    <w:rsid w:val="00EC724C"/>
    <w:rsid w:val="00ED3DF7"/>
    <w:rsid w:val="00ED6710"/>
    <w:rsid w:val="00EF2D05"/>
    <w:rsid w:val="00EF5E5E"/>
    <w:rsid w:val="00F02243"/>
    <w:rsid w:val="00F028D5"/>
    <w:rsid w:val="00F333FA"/>
    <w:rsid w:val="00F339DD"/>
    <w:rsid w:val="00F457F3"/>
    <w:rsid w:val="00F53DAB"/>
    <w:rsid w:val="00F5692C"/>
    <w:rsid w:val="00F60415"/>
    <w:rsid w:val="00F62458"/>
    <w:rsid w:val="00F92C78"/>
    <w:rsid w:val="00F973C6"/>
    <w:rsid w:val="00F978A9"/>
    <w:rsid w:val="00FA21AF"/>
    <w:rsid w:val="00FA7152"/>
    <w:rsid w:val="00FB0FE4"/>
    <w:rsid w:val="00FB54EF"/>
    <w:rsid w:val="00FB57D9"/>
    <w:rsid w:val="00FC6EA8"/>
    <w:rsid w:val="00FD55F6"/>
    <w:rsid w:val="00FE0534"/>
    <w:rsid w:val="00FE27C1"/>
    <w:rsid w:val="00FF1FD5"/>
    <w:rsid w:val="00FF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ECA63"/>
  <w15:chartTrackingRefBased/>
  <w15:docId w15:val="{CF04B0AF-3E59-4869-9E14-1907FCF3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498"/>
  </w:style>
  <w:style w:type="paragraph" w:styleId="Heading1">
    <w:name w:val="heading 1"/>
    <w:basedOn w:val="Normal"/>
    <w:next w:val="Normal"/>
    <w:link w:val="Heading1Char"/>
    <w:uiPriority w:val="9"/>
    <w:qFormat/>
    <w:rsid w:val="001D6A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A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A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A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A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A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A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A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A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A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A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A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A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A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A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A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A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A79"/>
    <w:rPr>
      <w:rFonts w:eastAsiaTheme="majorEastAsia" w:cstheme="majorBidi"/>
      <w:color w:val="272727" w:themeColor="text1" w:themeTint="D8"/>
    </w:rPr>
  </w:style>
  <w:style w:type="paragraph" w:styleId="Title">
    <w:name w:val="Title"/>
    <w:basedOn w:val="Normal"/>
    <w:next w:val="Normal"/>
    <w:link w:val="TitleChar"/>
    <w:uiPriority w:val="10"/>
    <w:qFormat/>
    <w:rsid w:val="001D6A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A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A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A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A79"/>
    <w:pPr>
      <w:spacing w:before="160"/>
      <w:jc w:val="center"/>
    </w:pPr>
    <w:rPr>
      <w:i/>
      <w:iCs/>
      <w:color w:val="404040" w:themeColor="text1" w:themeTint="BF"/>
    </w:rPr>
  </w:style>
  <w:style w:type="character" w:customStyle="1" w:styleId="QuoteChar">
    <w:name w:val="Quote Char"/>
    <w:basedOn w:val="DefaultParagraphFont"/>
    <w:link w:val="Quote"/>
    <w:uiPriority w:val="29"/>
    <w:rsid w:val="001D6A79"/>
    <w:rPr>
      <w:i/>
      <w:iCs/>
      <w:color w:val="404040" w:themeColor="text1" w:themeTint="BF"/>
    </w:rPr>
  </w:style>
  <w:style w:type="paragraph" w:styleId="ListParagraph">
    <w:name w:val="List Paragraph"/>
    <w:basedOn w:val="Normal"/>
    <w:uiPriority w:val="34"/>
    <w:qFormat/>
    <w:rsid w:val="001D6A79"/>
    <w:pPr>
      <w:ind w:left="720"/>
      <w:contextualSpacing/>
    </w:pPr>
  </w:style>
  <w:style w:type="character" w:styleId="IntenseEmphasis">
    <w:name w:val="Intense Emphasis"/>
    <w:basedOn w:val="DefaultParagraphFont"/>
    <w:uiPriority w:val="21"/>
    <w:qFormat/>
    <w:rsid w:val="001D6A79"/>
    <w:rPr>
      <w:i/>
      <w:iCs/>
      <w:color w:val="0F4761" w:themeColor="accent1" w:themeShade="BF"/>
    </w:rPr>
  </w:style>
  <w:style w:type="paragraph" w:styleId="IntenseQuote">
    <w:name w:val="Intense Quote"/>
    <w:basedOn w:val="Normal"/>
    <w:next w:val="Normal"/>
    <w:link w:val="IntenseQuoteChar"/>
    <w:uiPriority w:val="30"/>
    <w:qFormat/>
    <w:rsid w:val="001D6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A79"/>
    <w:rPr>
      <w:i/>
      <w:iCs/>
      <w:color w:val="0F4761" w:themeColor="accent1" w:themeShade="BF"/>
    </w:rPr>
  </w:style>
  <w:style w:type="character" w:styleId="IntenseReference">
    <w:name w:val="Intense Reference"/>
    <w:basedOn w:val="DefaultParagraphFont"/>
    <w:uiPriority w:val="32"/>
    <w:qFormat/>
    <w:rsid w:val="001D6A79"/>
    <w:rPr>
      <w:b/>
      <w:bCs/>
      <w:smallCaps/>
      <w:color w:val="0F4761" w:themeColor="accent1" w:themeShade="BF"/>
      <w:spacing w:val="5"/>
    </w:rPr>
  </w:style>
  <w:style w:type="paragraph" w:styleId="NormalWeb">
    <w:name w:val="Normal (Web)"/>
    <w:basedOn w:val="Normal"/>
    <w:uiPriority w:val="99"/>
    <w:unhideWhenUsed/>
    <w:rsid w:val="001D6A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1D6A79"/>
  </w:style>
  <w:style w:type="character" w:styleId="Strong">
    <w:name w:val="Strong"/>
    <w:basedOn w:val="DefaultParagraphFont"/>
    <w:uiPriority w:val="22"/>
    <w:qFormat/>
    <w:rsid w:val="00F978A9"/>
    <w:rPr>
      <w:b/>
      <w:bCs/>
    </w:rPr>
  </w:style>
  <w:style w:type="paragraph" w:styleId="Header">
    <w:name w:val="header"/>
    <w:basedOn w:val="Normal"/>
    <w:link w:val="HeaderChar"/>
    <w:uiPriority w:val="99"/>
    <w:unhideWhenUsed/>
    <w:rsid w:val="000F7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CF0"/>
  </w:style>
  <w:style w:type="paragraph" w:styleId="Footer">
    <w:name w:val="footer"/>
    <w:basedOn w:val="Normal"/>
    <w:link w:val="FooterChar"/>
    <w:uiPriority w:val="99"/>
    <w:unhideWhenUsed/>
    <w:rsid w:val="000F7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CF0"/>
  </w:style>
  <w:style w:type="table" w:styleId="GridTable3-Accent2">
    <w:name w:val="Grid Table 3 Accent 2"/>
    <w:basedOn w:val="TableNormal"/>
    <w:uiPriority w:val="48"/>
    <w:rsid w:val="004C357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2">
    <w:name w:val="Grid Table 4 Accent 2"/>
    <w:basedOn w:val="TableNormal"/>
    <w:uiPriority w:val="49"/>
    <w:rsid w:val="004C357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34538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34538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5">
    <w:name w:val="Grid Table 5 Dark Accent 5"/>
    <w:basedOn w:val="TableNormal"/>
    <w:uiPriority w:val="50"/>
    <w:rsid w:val="003453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4">
    <w:name w:val="Grid Table 5 Dark Accent 4"/>
    <w:basedOn w:val="TableNormal"/>
    <w:uiPriority w:val="50"/>
    <w:rsid w:val="00D302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1">
    <w:name w:val="Grid Table 4 Accent 1"/>
    <w:basedOn w:val="TableNormal"/>
    <w:uiPriority w:val="49"/>
    <w:rsid w:val="00C26AE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CE032D"/>
    <w:rPr>
      <w:color w:val="467886" w:themeColor="hyperlink"/>
      <w:u w:val="single"/>
    </w:rPr>
  </w:style>
  <w:style w:type="character" w:styleId="UnresolvedMention">
    <w:name w:val="Unresolved Mention"/>
    <w:basedOn w:val="DefaultParagraphFont"/>
    <w:uiPriority w:val="99"/>
    <w:semiHidden/>
    <w:unhideWhenUsed/>
    <w:rsid w:val="00CE032D"/>
    <w:rPr>
      <w:color w:val="605E5C"/>
      <w:shd w:val="clear" w:color="auto" w:fill="E1DFDD"/>
    </w:rPr>
  </w:style>
  <w:style w:type="paragraph" w:styleId="NoSpacing">
    <w:name w:val="No Spacing"/>
    <w:link w:val="NoSpacingChar"/>
    <w:uiPriority w:val="1"/>
    <w:qFormat/>
    <w:rsid w:val="00DE0F7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0F7B"/>
    <w:rPr>
      <w:rFonts w:eastAsiaTheme="minorEastAsia"/>
      <w:kern w:val="0"/>
      <w:sz w:val="22"/>
      <w:szCs w:val="22"/>
      <w:lang w:val="en-US"/>
      <w14:ligatures w14:val="none"/>
    </w:rPr>
  </w:style>
  <w:style w:type="paragraph" w:styleId="Caption">
    <w:name w:val="caption"/>
    <w:basedOn w:val="Normal"/>
    <w:next w:val="Normal"/>
    <w:uiPriority w:val="35"/>
    <w:unhideWhenUsed/>
    <w:qFormat/>
    <w:rsid w:val="00D4678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072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104E0"/>
    <w:pPr>
      <w:tabs>
        <w:tab w:val="right" w:leader="dot" w:pos="9016"/>
      </w:tabs>
      <w:spacing w:after="10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27A65-C9EE-4031-95DB-F90C5CCC6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11</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Masih</dc:creator>
  <cp:keywords/>
  <dc:description/>
  <cp:lastModifiedBy>James Masih</cp:lastModifiedBy>
  <cp:revision>79</cp:revision>
  <dcterms:created xsi:type="dcterms:W3CDTF">2026-03-20T20:11:00Z</dcterms:created>
  <dcterms:modified xsi:type="dcterms:W3CDTF">2026-03-22T10:18:00Z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bf2b8e27-4ce8-47c9-b59a-981f0cacddc0</vt:lpwstr>
  </property>
</Properties>
</file>