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Module Code &amp; Title: LCBB5004 Managing People</w:t>
      </w:r>
    </w:p>
    <w:p w:rsidR="00000000" w:rsidDel="00000000" w:rsidP="00000000" w:rsidRDefault="00000000" w:rsidRPr="00000000" w14:paraId="00000002">
      <w:pPr>
        <w:jc w:val="cente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03">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Report</w:t>
      </w:r>
    </w:p>
    <w:p w:rsidR="00000000" w:rsidDel="00000000" w:rsidP="00000000" w:rsidRDefault="00000000" w:rsidRPr="00000000" w14:paraId="00000004">
      <w:pP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05">
      <w:pP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06">
      <w:pP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07">
      <w:pP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08">
      <w:pP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09">
      <w:pP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0A">
      <w:pP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0B">
      <w:pP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0C">
      <w:pP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0D">
      <w:pP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0E">
      <w:pP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0F">
      <w:pP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10">
      <w:pP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11">
      <w:pP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12">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Student name : Ana-Maria Nastac</w:t>
      </w:r>
    </w:p>
    <w:p w:rsidR="00000000" w:rsidDel="00000000" w:rsidP="00000000" w:rsidRDefault="00000000" w:rsidRPr="00000000" w14:paraId="00000013">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Student ID: 2229153</w:t>
      </w:r>
    </w:p>
    <w:p w:rsidR="00000000" w:rsidDel="00000000" w:rsidP="00000000" w:rsidRDefault="00000000" w:rsidRPr="00000000" w14:paraId="00000014">
      <w:pP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15">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rFonts w:ascii="Times New Roman" w:cs="Times New Roman" w:eastAsia="Times New Roman" w:hAnsi="Times New Roman"/>
          <w:b w:val="0"/>
          <w:i w:val="0"/>
          <w:smallCaps w:val="0"/>
          <w:strike w:val="0"/>
          <w:color w:val="2f5496"/>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f5496"/>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Introduction</w:t>
              <w:tab/>
              <w:t xml:space="preserve">1</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30j0zll">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benefits of flexible working strategies</w:t>
              <w:tab/>
              <w:t xml:space="preserve">2</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2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Increased Employee Satisfaction</w:t>
              <w:tab/>
              <w:t xml:space="preserve">2</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2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Improved Work-Life Balance</w:t>
              <w:tab/>
              <w:t xml:space="preserve">2</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2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Better Job Performance</w:t>
              <w:tab/>
              <w:t xml:space="preserve">2</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Implementing Flexible Working Conditions</w:t>
              <w:tab/>
              <w:t xml:space="preserve">3</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2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Defining Flexible Working</w:t>
              <w:tab/>
              <w:t xml:space="preserve">3</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2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Developing Flexible Working Policies</w:t>
              <w:tab/>
              <w:t xml:space="preserve">3</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2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Assessing Job Requirements</w:t>
              <w:tab/>
              <w:t xml:space="preserve">3</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2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2s8eyo1">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Providing Adequate Training</w:t>
              <w:tab/>
              <w:t xml:space="preserve">4</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17dp8vu">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Strategies to Promote Employee Engagement</w:t>
              <w:tab/>
              <w:t xml:space="preserve">4</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2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3rdcrjn">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Communication</w:t>
              <w:tab/>
              <w:t xml:space="preserve">4</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2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26in1rg">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Provide Opportunities for Collaboration</w:t>
              <w:tab/>
              <w:t xml:space="preserve">4</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2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lnxbz9">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Encourage Social Interactions</w:t>
              <w:tab/>
              <w:t xml:space="preserve">5</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2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35nkun2">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Celebrate Achievements</w:t>
              <w:tab/>
              <w:t xml:space="preserve">5</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1ksv4uv">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Evaluating Employee Value Proposition</w:t>
              <w:tab/>
              <w:t xml:space="preserve">5</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2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44sinio">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Reviewing Current Compensation and Benefits</w:t>
              <w:tab/>
              <w:t xml:space="preserve">6</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2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2jxsxqh">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Identifying Employee Needs and Values</w:t>
              <w:tab/>
              <w:t xml:space="preserve">6</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2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z337ya">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Benchmarking Against Competitors</w:t>
              <w:tab/>
              <w:t xml:space="preserve">6</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3j2qqm3">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Conclusion</w:t>
              <w:tab/>
              <w:t xml:space="preserve">7</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1y810tw">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References</w:t>
              <w:tab/>
              <w:t xml:space="preserve">8</w:t>
            </w:r>
          </w:hyperlink>
          <w:r w:rsidDel="00000000" w:rsidR="00000000" w:rsidRPr="00000000">
            <w:rPr>
              <w:rtl w:val="0"/>
            </w:rPr>
          </w:r>
        </w:p>
        <w:p w:rsidR="00000000" w:rsidDel="00000000" w:rsidP="00000000" w:rsidRDefault="00000000" w:rsidRPr="00000000" w14:paraId="0000002B">
          <w:pPr>
            <w:spacing w:line="360" w:lineRule="auto"/>
            <w:jc w:val="both"/>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C">
      <w:pPr>
        <w:jc w:val="cente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2D">
      <w:pPr>
        <w:rPr>
          <w:rFonts w:ascii="Times New Roman" w:cs="Times New Roman" w:eastAsia="Times New Roman" w:hAnsi="Times New Roman"/>
          <w:sz w:val="40"/>
          <w:szCs w:val="40"/>
        </w:rPr>
        <w:sectPr>
          <w:footerReference r:id="rId6" w:type="default"/>
          <w:pgSz w:h="15840" w:w="12240" w:orient="portrait"/>
          <w:pgMar w:bottom="1440" w:top="1440" w:left="1440" w:right="1440" w:header="720" w:footer="720"/>
          <w:pgNumType w:start="1"/>
        </w:sectPr>
      </w:pPr>
      <w:r w:rsidDel="00000000" w:rsidR="00000000" w:rsidRPr="00000000">
        <w:br w:type="page"/>
      </w:r>
      <w:r w:rsidDel="00000000" w:rsidR="00000000" w:rsidRPr="00000000">
        <w:rPr>
          <w:rtl w:val="0"/>
        </w:rPr>
      </w:r>
    </w:p>
    <w:p w:rsidR="00000000" w:rsidDel="00000000" w:rsidP="00000000" w:rsidRDefault="00000000" w:rsidRPr="00000000" w14:paraId="0000002E">
      <w:pPr>
        <w:pStyle w:val="Heading1"/>
        <w:spacing w:line="360" w:lineRule="auto"/>
        <w:jc w:val="both"/>
        <w:rPr>
          <w:rFonts w:ascii="Times New Roman" w:cs="Times New Roman" w:eastAsia="Times New Roman" w:hAnsi="Times New Roman"/>
        </w:rPr>
      </w:pPr>
      <w:bookmarkStart w:colFirst="0" w:colLast="0" w:name="_gjdgxs" w:id="0"/>
      <w:bookmarkEnd w:id="0"/>
      <w:r w:rsidDel="00000000" w:rsidR="00000000" w:rsidRPr="00000000">
        <w:rPr>
          <w:rFonts w:ascii="Times New Roman" w:cs="Times New Roman" w:eastAsia="Times New Roman" w:hAnsi="Times New Roman"/>
          <w:rtl w:val="0"/>
        </w:rPr>
        <w:t xml:space="preserve">Introduction</w:t>
      </w:r>
    </w:p>
    <w:p w:rsidR="00000000" w:rsidDel="00000000" w:rsidP="00000000" w:rsidRDefault="00000000" w:rsidRPr="00000000" w14:paraId="0000002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Success requires the ability to adjust to a dynamic environment. As a result of the extraordinary change brought on by COVID-19, businesses are being pushed to the brink in their search for novel ways to ensure their operations continue uninterrupted. As the number of requests for flexible scheduling increases, businesses must figure out how to meet the requirements of their employees without sacrificing efficiency or profitability. As per Idris (2014), in the role of a Human Resources Manager, it is crucial that one recognises the value of allowing employees more leeway in their schedules and locations. The emphasis has shifted from "working harder" to "working smarter," and flexibility allows workers to strike a better balance between their professional and personal lives.</w:t>
      </w:r>
    </w:p>
    <w:p w:rsidR="00000000" w:rsidDel="00000000" w:rsidP="00000000" w:rsidRDefault="00000000" w:rsidRPr="00000000" w14:paraId="0000003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job satisfaction, a healthier work-life balance, and higher productivity are just some of the outcomes that will be examined in this paper on the advantages of flexible work arrangements. The report will also detail legal and ethical factors, communication practises, and employee consultation that the company should take into account when introducing flexible working to the employee workforce. The report will also assess training, recognition, and the creation of a positive work environment as methods to increase employee enthusiasm for flexible work schedules. In last, one will detail how an organisation might conduct an evaluation of its employees' value proposition in order to institute a compensation plan consistent with its beliefs and priorities.</w:t>
      </w:r>
    </w:p>
    <w:p w:rsidR="00000000" w:rsidDel="00000000" w:rsidP="00000000" w:rsidRDefault="00000000" w:rsidRPr="00000000" w14:paraId="00000031">
      <w:pPr>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32">
      <w:pPr>
        <w:pStyle w:val="Heading1"/>
        <w:spacing w:line="360" w:lineRule="auto"/>
        <w:jc w:val="both"/>
        <w:rPr>
          <w:rFonts w:ascii="Times New Roman" w:cs="Times New Roman" w:eastAsia="Times New Roman" w:hAnsi="Times New Roman"/>
        </w:rPr>
      </w:pPr>
      <w:bookmarkStart w:colFirst="0" w:colLast="0" w:name="_30j0zll" w:id="1"/>
      <w:bookmarkEnd w:id="1"/>
      <w:r w:rsidDel="00000000" w:rsidR="00000000" w:rsidRPr="00000000">
        <w:rPr>
          <w:rFonts w:ascii="Times New Roman" w:cs="Times New Roman" w:eastAsia="Times New Roman" w:hAnsi="Times New Roman"/>
          <w:rtl w:val="0"/>
        </w:rPr>
        <w:t xml:space="preserve">The benefits of flexible working strategies</w:t>
      </w:r>
    </w:p>
    <w:p w:rsidR="00000000" w:rsidDel="00000000" w:rsidP="00000000" w:rsidRDefault="00000000" w:rsidRPr="00000000" w14:paraId="0000003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Thomson (2008), strategies that provide employees more leeway in their schedules are gaining popularity in today's workplaces. One of the first things a new Human Resource Manager needs to do is familiarise themselves with the various advantages that a flexible work schedule can provide to both the company and its personnel. In the following paragraphs, we will discuss the advantages of employing flexible working solutions, such as higher employee satisfaction, improved work-life balance, and enhanced job performance.</w:t>
      </w:r>
    </w:p>
    <w:p w:rsidR="00000000" w:rsidDel="00000000" w:rsidP="00000000" w:rsidRDefault="00000000" w:rsidRPr="00000000" w14:paraId="00000034">
      <w:pPr>
        <w:pStyle w:val="Heading2"/>
        <w:spacing w:line="360" w:lineRule="auto"/>
        <w:jc w:val="both"/>
        <w:rPr>
          <w:rFonts w:ascii="Times New Roman" w:cs="Times New Roman" w:eastAsia="Times New Roman" w:hAnsi="Times New Roman"/>
        </w:rPr>
      </w:pPr>
      <w:bookmarkStart w:colFirst="0" w:colLast="0" w:name="_1fob9te" w:id="2"/>
      <w:bookmarkEnd w:id="2"/>
      <w:r w:rsidDel="00000000" w:rsidR="00000000" w:rsidRPr="00000000">
        <w:rPr>
          <w:rFonts w:ascii="Times New Roman" w:cs="Times New Roman" w:eastAsia="Times New Roman" w:hAnsi="Times New Roman"/>
          <w:rtl w:val="0"/>
        </w:rPr>
        <w:t xml:space="preserve">Increased Employee Satisfaction</w:t>
      </w:r>
    </w:p>
    <w:p w:rsidR="00000000" w:rsidDel="00000000" w:rsidP="00000000" w:rsidRDefault="00000000" w:rsidRPr="00000000" w14:paraId="0000003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flexible work arrangements, employees are able to set their own work hours and get their jobs done at their most productive times. When workers are no longer required to adhere to a tight work schedule that may not mesh with their home life, they report higher levels of job satisfaction as a result (Oseland, Webber and MacDonald, 2012). Employees report higher levels of job satisfaction when given more freedom to set their own work schedules.</w:t>
      </w:r>
    </w:p>
    <w:p w:rsidR="00000000" w:rsidDel="00000000" w:rsidP="00000000" w:rsidRDefault="00000000" w:rsidRPr="00000000" w14:paraId="00000036">
      <w:pPr>
        <w:pStyle w:val="Heading2"/>
        <w:spacing w:line="360" w:lineRule="auto"/>
        <w:jc w:val="both"/>
        <w:rPr>
          <w:rFonts w:ascii="Times New Roman" w:cs="Times New Roman" w:eastAsia="Times New Roman" w:hAnsi="Times New Roman"/>
        </w:rPr>
      </w:pPr>
      <w:bookmarkStart w:colFirst="0" w:colLast="0" w:name="_3znysh7" w:id="3"/>
      <w:bookmarkEnd w:id="3"/>
      <w:r w:rsidDel="00000000" w:rsidR="00000000" w:rsidRPr="00000000">
        <w:rPr>
          <w:rFonts w:ascii="Times New Roman" w:cs="Times New Roman" w:eastAsia="Times New Roman" w:hAnsi="Times New Roman"/>
          <w:rtl w:val="0"/>
        </w:rPr>
        <w:t xml:space="preserve">Improved Work-Life Balance</w:t>
      </w:r>
    </w:p>
    <w:p w:rsidR="00000000" w:rsidDel="00000000" w:rsidP="00000000" w:rsidRDefault="00000000" w:rsidRPr="00000000" w14:paraId="0000003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employee's ability to better manage their professional and personal lives is greatly enhanced when they are given more leeway in determining their work schedule. The implication is that workers will be better able to balance their employment and non-work obligations, such as caring for children or ailing family members. Because of this, there is less stress and more time for personal activities, which can boost morale, health, and happiness on the workplace (Wheatley, 2017).</w:t>
      </w:r>
    </w:p>
    <w:p w:rsidR="00000000" w:rsidDel="00000000" w:rsidP="00000000" w:rsidRDefault="00000000" w:rsidRPr="00000000" w14:paraId="00000038">
      <w:pPr>
        <w:pStyle w:val="Heading2"/>
        <w:spacing w:line="360" w:lineRule="auto"/>
        <w:jc w:val="both"/>
        <w:rPr>
          <w:rFonts w:ascii="Times New Roman" w:cs="Times New Roman" w:eastAsia="Times New Roman" w:hAnsi="Times New Roman"/>
        </w:rPr>
      </w:pPr>
      <w:bookmarkStart w:colFirst="0" w:colLast="0" w:name="_2et92p0" w:id="4"/>
      <w:bookmarkEnd w:id="4"/>
      <w:r w:rsidDel="00000000" w:rsidR="00000000" w:rsidRPr="00000000">
        <w:rPr>
          <w:rFonts w:ascii="Times New Roman" w:cs="Times New Roman" w:eastAsia="Times New Roman" w:hAnsi="Times New Roman"/>
          <w:rtl w:val="0"/>
        </w:rPr>
        <w:t xml:space="preserve">Better Job Performance</w:t>
      </w:r>
    </w:p>
    <w:p w:rsidR="00000000" w:rsidDel="00000000" w:rsidP="00000000" w:rsidRDefault="00000000" w:rsidRPr="00000000" w14:paraId="0000003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allowing workers to determine when they are at their most effective, flexible scheduling can boost productivity and efficiency. Workers benefit from having more control over their schedules because they are able to better balance their professional and personal lives. Also, individuals are able to work in settings that are most beneficial to their performance, which in turn benefits the firm as a whole.</w:t>
      </w:r>
    </w:p>
    <w:p w:rsidR="00000000" w:rsidDel="00000000" w:rsidP="00000000" w:rsidRDefault="00000000" w:rsidRPr="00000000" w14:paraId="0000003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Kaya, Ileri and Kara (2022), the advantages of flexible work schedules can be better understood if compared to those of a personal gym membership. In the same way that a gym subscription allows you to exercise whenever it's convenient for you, flexible working allows you to put in your time whenever it's most productive for you. It has been shown that a more flexible work schedule can benefit both physical and mental health, similar to the effects of exercise. Increasing employee satisfaction and boosting productivity are only two of the many potential outcomes of a company's adoption of flexible work practises. Organisations may foster a more committed, productive, and content staff by allowing workers to set their own schedules and work hours.</w:t>
      </w:r>
    </w:p>
    <w:p w:rsidR="00000000" w:rsidDel="00000000" w:rsidP="00000000" w:rsidRDefault="00000000" w:rsidRPr="00000000" w14:paraId="0000003B">
      <w:pPr>
        <w:pStyle w:val="Heading1"/>
        <w:spacing w:line="360" w:lineRule="auto"/>
        <w:jc w:val="both"/>
        <w:rPr>
          <w:rFonts w:ascii="Times New Roman" w:cs="Times New Roman" w:eastAsia="Times New Roman" w:hAnsi="Times New Roman"/>
        </w:rPr>
      </w:pPr>
      <w:bookmarkStart w:colFirst="0" w:colLast="0" w:name="_tyjcwt" w:id="5"/>
      <w:bookmarkEnd w:id="5"/>
      <w:r w:rsidDel="00000000" w:rsidR="00000000" w:rsidRPr="00000000">
        <w:rPr>
          <w:rFonts w:ascii="Times New Roman" w:cs="Times New Roman" w:eastAsia="Times New Roman" w:hAnsi="Times New Roman"/>
          <w:rtl w:val="0"/>
        </w:rPr>
        <w:t xml:space="preserve">Implementing Flexible Working Conditions</w:t>
      </w:r>
    </w:p>
    <w:p w:rsidR="00000000" w:rsidDel="00000000" w:rsidP="00000000" w:rsidRDefault="00000000" w:rsidRPr="00000000" w14:paraId="0000003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Putra et al., (2020), in order to ensure that the transition to a more flexible work schedule is both smooth and successful, the new manager of human resources of the firm in discussion has to take a number of variables into consideration. This section will explain the steps that the company ought to think about taking in order to adopt flexible working to the workforce of employees.</w:t>
      </w:r>
    </w:p>
    <w:p w:rsidR="00000000" w:rsidDel="00000000" w:rsidP="00000000" w:rsidRDefault="00000000" w:rsidRPr="00000000" w14:paraId="0000003D">
      <w:pPr>
        <w:pStyle w:val="Heading2"/>
        <w:spacing w:line="360" w:lineRule="auto"/>
        <w:jc w:val="both"/>
        <w:rPr>
          <w:rFonts w:ascii="Times New Roman" w:cs="Times New Roman" w:eastAsia="Times New Roman" w:hAnsi="Times New Roman"/>
        </w:rPr>
      </w:pPr>
      <w:bookmarkStart w:colFirst="0" w:colLast="0" w:name="_3dy6vkm" w:id="6"/>
      <w:bookmarkEnd w:id="6"/>
      <w:r w:rsidDel="00000000" w:rsidR="00000000" w:rsidRPr="00000000">
        <w:rPr>
          <w:rFonts w:ascii="Times New Roman" w:cs="Times New Roman" w:eastAsia="Times New Roman" w:hAnsi="Times New Roman"/>
          <w:rtl w:val="0"/>
        </w:rPr>
        <w:t xml:space="preserve">Defining Flexible Working</w:t>
      </w:r>
    </w:p>
    <w:p w:rsidR="00000000" w:rsidDel="00000000" w:rsidP="00000000" w:rsidRDefault="00000000" w:rsidRPr="00000000" w14:paraId="0000003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thing that has to be done in order to put flexible working into practise is to clarify what flexible working means for the business. It is essential to provide employees with a clear explanation of what flexible working includes, the types of flexibility that will be provided, and the outcomes that are anticipated from implementing flexible working (Marino and Capone, 2021). This will guarantee that all employees have a thorough understanding of what is expected of them and how they might benefit from the programme.</w:t>
      </w:r>
    </w:p>
    <w:p w:rsidR="00000000" w:rsidDel="00000000" w:rsidP="00000000" w:rsidRDefault="00000000" w:rsidRPr="00000000" w14:paraId="0000003F">
      <w:pPr>
        <w:pStyle w:val="Heading2"/>
        <w:spacing w:line="360" w:lineRule="auto"/>
        <w:jc w:val="both"/>
        <w:rPr>
          <w:rFonts w:ascii="Times New Roman" w:cs="Times New Roman" w:eastAsia="Times New Roman" w:hAnsi="Times New Roman"/>
        </w:rPr>
      </w:pPr>
      <w:bookmarkStart w:colFirst="0" w:colLast="0" w:name="_1t3h5sf" w:id="7"/>
      <w:bookmarkEnd w:id="7"/>
      <w:r w:rsidDel="00000000" w:rsidR="00000000" w:rsidRPr="00000000">
        <w:rPr>
          <w:rFonts w:ascii="Times New Roman" w:cs="Times New Roman" w:eastAsia="Times New Roman" w:hAnsi="Times New Roman"/>
          <w:rtl w:val="0"/>
        </w:rPr>
        <w:t xml:space="preserve">Developing Flexible Working Policies</w:t>
      </w:r>
    </w:p>
    <w:p w:rsidR="00000000" w:rsidDel="00000000" w:rsidP="00000000" w:rsidRDefault="00000000" w:rsidRPr="00000000" w14:paraId="0000004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order to guarantee the success of flexible working, it is essential to develop flexible work policies. The policies should describe the various forms of flexible employment, the process for applying for it, and the oversight structure in place (Azizi et al., 2021). That way, both employees and the company can run the flexible work programme smoothly.</w:t>
      </w:r>
    </w:p>
    <w:p w:rsidR="00000000" w:rsidDel="00000000" w:rsidP="00000000" w:rsidRDefault="00000000" w:rsidRPr="00000000" w14:paraId="00000041">
      <w:pPr>
        <w:pStyle w:val="Heading2"/>
        <w:spacing w:line="360" w:lineRule="auto"/>
        <w:jc w:val="both"/>
        <w:rPr>
          <w:rFonts w:ascii="Times New Roman" w:cs="Times New Roman" w:eastAsia="Times New Roman" w:hAnsi="Times New Roman"/>
        </w:rPr>
      </w:pPr>
      <w:bookmarkStart w:colFirst="0" w:colLast="0" w:name="_4d34og8" w:id="8"/>
      <w:bookmarkEnd w:id="8"/>
      <w:r w:rsidDel="00000000" w:rsidR="00000000" w:rsidRPr="00000000">
        <w:rPr>
          <w:rFonts w:ascii="Times New Roman" w:cs="Times New Roman" w:eastAsia="Times New Roman" w:hAnsi="Times New Roman"/>
          <w:rtl w:val="0"/>
        </w:rPr>
        <w:t xml:space="preserve">Assessing Job Requirements</w:t>
      </w:r>
    </w:p>
    <w:p w:rsidR="00000000" w:rsidDel="00000000" w:rsidP="00000000" w:rsidRDefault="00000000" w:rsidRPr="00000000" w14:paraId="0000004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Flexibility in the workplace should be implemented only after careful consideration of the needs of each individual position. According to Agba, Ocheni and Agba (2020), some jobs may necessitate regular in-person attendance, while others may be more flexible with regards to location. With the results of this analysis in hand, the company will be better able to determine how much leeway to provide employees while still maintaining quality work.</w:t>
      </w:r>
    </w:p>
    <w:p w:rsidR="00000000" w:rsidDel="00000000" w:rsidP="00000000" w:rsidRDefault="00000000" w:rsidRPr="00000000" w14:paraId="00000043">
      <w:pPr>
        <w:pStyle w:val="Heading2"/>
        <w:spacing w:line="360" w:lineRule="auto"/>
        <w:jc w:val="both"/>
        <w:rPr>
          <w:rFonts w:ascii="Times New Roman" w:cs="Times New Roman" w:eastAsia="Times New Roman" w:hAnsi="Times New Roman"/>
        </w:rPr>
      </w:pPr>
      <w:bookmarkStart w:colFirst="0" w:colLast="0" w:name="_2s8eyo1" w:id="9"/>
      <w:bookmarkEnd w:id="9"/>
      <w:r w:rsidDel="00000000" w:rsidR="00000000" w:rsidRPr="00000000">
        <w:rPr>
          <w:rFonts w:ascii="Times New Roman" w:cs="Times New Roman" w:eastAsia="Times New Roman" w:hAnsi="Times New Roman"/>
          <w:rtl w:val="0"/>
        </w:rPr>
        <w:t xml:space="preserve">Providing Adequate Training</w:t>
      </w:r>
    </w:p>
    <w:p w:rsidR="00000000" w:rsidDel="00000000" w:rsidP="00000000" w:rsidRDefault="00000000" w:rsidRPr="00000000" w14:paraId="0000004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critical to the success of flexible working arrangements to provide sufficient training not only for employees but also for managers. Both employees and supervisors need to have an understanding of how to properly operate in a flexible work environment and how to effectively manage and inspire remote teams (Forbes et al., 2020). Through participation in this programme, everyone will receive the skills and information that are essential to the successful implementation of flexible working arrangements.</w:t>
      </w:r>
    </w:p>
    <w:p w:rsidR="00000000" w:rsidDel="00000000" w:rsidP="00000000" w:rsidRDefault="00000000" w:rsidRPr="00000000" w14:paraId="0000004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Organising a flexible work schedule can be visualised as the beginning of a game of Tetris. Implementing flexible working is similar to preparing for a game: one needs to define the rules, create a strategy, evaluate the circumstances, and learn the skills one will need to play well.</w:t>
      </w:r>
    </w:p>
    <w:p w:rsidR="00000000" w:rsidDel="00000000" w:rsidP="00000000" w:rsidRDefault="00000000" w:rsidRPr="00000000" w14:paraId="00000046">
      <w:pPr>
        <w:pStyle w:val="Heading1"/>
        <w:spacing w:line="360" w:lineRule="auto"/>
        <w:jc w:val="both"/>
        <w:rPr>
          <w:rFonts w:ascii="Times New Roman" w:cs="Times New Roman" w:eastAsia="Times New Roman" w:hAnsi="Times New Roman"/>
        </w:rPr>
      </w:pPr>
      <w:bookmarkStart w:colFirst="0" w:colLast="0" w:name="_17dp8vu" w:id="10"/>
      <w:bookmarkEnd w:id="10"/>
      <w:r w:rsidDel="00000000" w:rsidR="00000000" w:rsidRPr="00000000">
        <w:rPr>
          <w:rFonts w:ascii="Times New Roman" w:cs="Times New Roman" w:eastAsia="Times New Roman" w:hAnsi="Times New Roman"/>
          <w:rtl w:val="0"/>
        </w:rPr>
        <w:t xml:space="preserve">Strategies to Promote Employee Engagement</w:t>
      </w:r>
    </w:p>
    <w:p w:rsidR="00000000" w:rsidDel="00000000" w:rsidP="00000000" w:rsidRDefault="00000000" w:rsidRPr="00000000" w14:paraId="0000004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implementation of techniques that allow for flexible working arrangements is a wonderful way to boost employee satisfaction as well as productivity. As per Koon and Ho (2021), engaged employees, on the other hand, are absolutely necessary for the successful implementation of flexible working arrangements. As part of the Human Resource Management for the company under consideration, this section will address measures to increase employee participation while also introducing flexible work schedules.</w:t>
      </w:r>
    </w:p>
    <w:p w:rsidR="00000000" w:rsidDel="00000000" w:rsidP="00000000" w:rsidRDefault="00000000" w:rsidRPr="00000000" w14:paraId="00000048">
      <w:pPr>
        <w:pStyle w:val="Heading2"/>
        <w:spacing w:line="360" w:lineRule="auto"/>
        <w:jc w:val="both"/>
        <w:rPr>
          <w:rFonts w:ascii="Times New Roman" w:cs="Times New Roman" w:eastAsia="Times New Roman" w:hAnsi="Times New Roman"/>
        </w:rPr>
      </w:pPr>
      <w:bookmarkStart w:colFirst="0" w:colLast="0" w:name="_3rdcrjn" w:id="11"/>
      <w:bookmarkEnd w:id="11"/>
      <w:r w:rsidDel="00000000" w:rsidR="00000000" w:rsidRPr="00000000">
        <w:rPr>
          <w:rFonts w:ascii="Times New Roman" w:cs="Times New Roman" w:eastAsia="Times New Roman" w:hAnsi="Times New Roman"/>
          <w:rtl w:val="0"/>
        </w:rPr>
        <w:t xml:space="preserve">Communication</w:t>
      </w:r>
    </w:p>
    <w:p w:rsidR="00000000" w:rsidDel="00000000" w:rsidP="00000000" w:rsidRDefault="00000000" w:rsidRPr="00000000" w14:paraId="0000004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Open and regular communication is one of the best strategies to increase participation in the workplace. The company needs to make sure its workers understand the program's objectives, their responsibilities, and the resources available to them (Sharma and Kumra, 2020). This will ensure that all employees are on the same page and contribute to the success of the company.</w:t>
      </w:r>
    </w:p>
    <w:p w:rsidR="00000000" w:rsidDel="00000000" w:rsidP="00000000" w:rsidRDefault="00000000" w:rsidRPr="00000000" w14:paraId="0000004A">
      <w:pPr>
        <w:pStyle w:val="Heading2"/>
        <w:spacing w:line="360" w:lineRule="auto"/>
        <w:jc w:val="both"/>
        <w:rPr>
          <w:rFonts w:ascii="Times New Roman" w:cs="Times New Roman" w:eastAsia="Times New Roman" w:hAnsi="Times New Roman"/>
        </w:rPr>
      </w:pPr>
      <w:bookmarkStart w:colFirst="0" w:colLast="0" w:name="_26in1rg" w:id="12"/>
      <w:bookmarkEnd w:id="12"/>
      <w:r w:rsidDel="00000000" w:rsidR="00000000" w:rsidRPr="00000000">
        <w:rPr>
          <w:rFonts w:ascii="Times New Roman" w:cs="Times New Roman" w:eastAsia="Times New Roman" w:hAnsi="Times New Roman"/>
          <w:rtl w:val="0"/>
        </w:rPr>
        <w:t xml:space="preserve">Provide Opportunities for Collaboration</w:t>
      </w:r>
    </w:p>
    <w:p w:rsidR="00000000" w:rsidDel="00000000" w:rsidP="00000000" w:rsidRDefault="00000000" w:rsidRPr="00000000" w14:paraId="0000004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essential to offer opportunities for employees to work together, even when flexible working arrangements may require individuals to do their jobs outside of the office. The act of working together might take place in a variety of settings, including video conferences, online forums, or shared workspaces. This will give the employees the impression that they are a member of a team and provide them with opportunity to collaborate, share ideas, and work towards achieving shared goals.</w:t>
      </w:r>
    </w:p>
    <w:p w:rsidR="00000000" w:rsidDel="00000000" w:rsidP="00000000" w:rsidRDefault="00000000" w:rsidRPr="00000000" w14:paraId="0000004C">
      <w:pPr>
        <w:pStyle w:val="Heading2"/>
        <w:spacing w:line="360" w:lineRule="auto"/>
        <w:jc w:val="both"/>
        <w:rPr>
          <w:rFonts w:ascii="Times New Roman" w:cs="Times New Roman" w:eastAsia="Times New Roman" w:hAnsi="Times New Roman"/>
        </w:rPr>
      </w:pPr>
      <w:bookmarkStart w:colFirst="0" w:colLast="0" w:name="_lnxbz9" w:id="13"/>
      <w:bookmarkEnd w:id="13"/>
      <w:r w:rsidDel="00000000" w:rsidR="00000000" w:rsidRPr="00000000">
        <w:rPr>
          <w:rFonts w:ascii="Times New Roman" w:cs="Times New Roman" w:eastAsia="Times New Roman" w:hAnsi="Times New Roman"/>
          <w:rtl w:val="0"/>
        </w:rPr>
        <w:t xml:space="preserve">Encourage Social Interactions</w:t>
      </w:r>
    </w:p>
    <w:p w:rsidR="00000000" w:rsidDel="00000000" w:rsidP="00000000" w:rsidRDefault="00000000" w:rsidRPr="00000000" w14:paraId="0000004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crucial to give possibilities for collaboration even if employees are working remotely due to flexible working arrangements (Men, O’Neil and Ewing, 2020). Video conferencing, online discussion boards, and shared desks are just a few examples of collaborative settings. This will provide workers a sense of community and give them chances to contribute to the company's success as a whole.</w:t>
      </w:r>
    </w:p>
    <w:p w:rsidR="00000000" w:rsidDel="00000000" w:rsidP="00000000" w:rsidRDefault="00000000" w:rsidRPr="00000000" w14:paraId="0000004E">
      <w:pPr>
        <w:pStyle w:val="Heading2"/>
        <w:spacing w:line="360" w:lineRule="auto"/>
        <w:jc w:val="both"/>
        <w:rPr>
          <w:rFonts w:ascii="Times New Roman" w:cs="Times New Roman" w:eastAsia="Times New Roman" w:hAnsi="Times New Roman"/>
        </w:rPr>
      </w:pPr>
      <w:bookmarkStart w:colFirst="0" w:colLast="0" w:name="_35nkun2" w:id="14"/>
      <w:bookmarkEnd w:id="14"/>
      <w:r w:rsidDel="00000000" w:rsidR="00000000" w:rsidRPr="00000000">
        <w:rPr>
          <w:rFonts w:ascii="Times New Roman" w:cs="Times New Roman" w:eastAsia="Times New Roman" w:hAnsi="Times New Roman"/>
          <w:rtl w:val="0"/>
        </w:rPr>
        <w:t xml:space="preserve">Celebrate Achievements</w:t>
      </w:r>
    </w:p>
    <w:p w:rsidR="00000000" w:rsidDel="00000000" w:rsidP="00000000" w:rsidRDefault="00000000" w:rsidRPr="00000000" w14:paraId="0000004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Recognising and rewarding staff for their efforts can greatly improve morale and productivity. Employees, whether they are at the office or not, who accomplish their goals should be recognised and rewarded. With this in place, the company can foster an environment where all employees feel respected and appreciated.</w:t>
      </w:r>
    </w:p>
    <w:p w:rsidR="00000000" w:rsidDel="00000000" w:rsidP="00000000" w:rsidRDefault="00000000" w:rsidRPr="00000000" w14:paraId="0000005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Promotion of employee engagement can be visualised as a game of Jenga. Failing to engage employees can lead to a breakdown in communication, teamwork, and motivation, just like removing the wrong block from a building could bring down the entire structure. That's why it's crucial for businesses to give the aforementioned tactics serious thought so they may foster a positive and stimulating workplace for their employees (Vu, 2020). Flexible work can only be successful if employees are actively involved in the process. Organisations may assure the success of their flexible working programme by fostering a culture of involvement among their staff through open lines of communication, opportunities for collaboration and social interaction, and recognition of accomplishments.</w:t>
      </w:r>
    </w:p>
    <w:p w:rsidR="00000000" w:rsidDel="00000000" w:rsidP="00000000" w:rsidRDefault="00000000" w:rsidRPr="00000000" w14:paraId="00000051">
      <w:pPr>
        <w:pStyle w:val="Heading1"/>
        <w:spacing w:line="360" w:lineRule="auto"/>
        <w:jc w:val="both"/>
        <w:rPr>
          <w:rFonts w:ascii="Times New Roman" w:cs="Times New Roman" w:eastAsia="Times New Roman" w:hAnsi="Times New Roman"/>
        </w:rPr>
      </w:pPr>
      <w:bookmarkStart w:colFirst="0" w:colLast="0" w:name="_1ksv4uv" w:id="15"/>
      <w:bookmarkEnd w:id="15"/>
      <w:r w:rsidDel="00000000" w:rsidR="00000000" w:rsidRPr="00000000">
        <w:rPr>
          <w:rFonts w:ascii="Times New Roman" w:cs="Times New Roman" w:eastAsia="Times New Roman" w:hAnsi="Times New Roman"/>
          <w:rtl w:val="0"/>
        </w:rPr>
        <w:t xml:space="preserve">Evaluating Employee Value Proposition</w:t>
      </w:r>
    </w:p>
    <w:p w:rsidR="00000000" w:rsidDel="00000000" w:rsidP="00000000" w:rsidRDefault="00000000" w:rsidRPr="00000000" w14:paraId="0000005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Considering the employee value proposition is crucial when designing a compensation plan. The employee value proposition refers to the sum of a company's compensation and benefits offered to workers in exchange for their expertise, dedication, and productivity (Ababneh, 2021). Here, this section will talk about how businesses should assess the EVP and put in place a compensation plan that serves both the company's objectives and the workers' desires.</w:t>
      </w:r>
    </w:p>
    <w:p w:rsidR="00000000" w:rsidDel="00000000" w:rsidP="00000000" w:rsidRDefault="00000000" w:rsidRPr="00000000" w14:paraId="00000053">
      <w:pPr>
        <w:pStyle w:val="Heading2"/>
        <w:spacing w:line="360" w:lineRule="auto"/>
        <w:jc w:val="both"/>
        <w:rPr>
          <w:rFonts w:ascii="Times New Roman" w:cs="Times New Roman" w:eastAsia="Times New Roman" w:hAnsi="Times New Roman"/>
        </w:rPr>
      </w:pPr>
      <w:bookmarkStart w:colFirst="0" w:colLast="0" w:name="_44sinio" w:id="16"/>
      <w:bookmarkEnd w:id="16"/>
      <w:r w:rsidDel="00000000" w:rsidR="00000000" w:rsidRPr="00000000">
        <w:rPr>
          <w:rFonts w:ascii="Times New Roman" w:cs="Times New Roman" w:eastAsia="Times New Roman" w:hAnsi="Times New Roman"/>
          <w:rtl w:val="0"/>
        </w:rPr>
        <w:t xml:space="preserve">Reviewing Current Compensation and Benefits</w:t>
      </w:r>
    </w:p>
    <w:p w:rsidR="00000000" w:rsidDel="00000000" w:rsidP="00000000" w:rsidRDefault="00000000" w:rsidRPr="00000000" w14:paraId="0000005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remuneration and benefits package currently being offered by the company should be the first consideration when assessing the EVP. As per Yacine (2021), this will serve as a starting point for assessing the present state of employee benefits and identifying areas for potential improvement. It's crucial to weigh monetary compensation alongside intangible benefits like a healthy work-life balance, ample room for professional growth, and a supportive team environment.</w:t>
      </w:r>
    </w:p>
    <w:p w:rsidR="00000000" w:rsidDel="00000000" w:rsidP="00000000" w:rsidRDefault="00000000" w:rsidRPr="00000000" w14:paraId="00000055">
      <w:pPr>
        <w:pStyle w:val="Heading2"/>
        <w:spacing w:line="360" w:lineRule="auto"/>
        <w:jc w:val="both"/>
        <w:rPr>
          <w:rFonts w:ascii="Times New Roman" w:cs="Times New Roman" w:eastAsia="Times New Roman" w:hAnsi="Times New Roman"/>
        </w:rPr>
      </w:pPr>
      <w:bookmarkStart w:colFirst="0" w:colLast="0" w:name="_2jxsxqh" w:id="17"/>
      <w:bookmarkEnd w:id="17"/>
      <w:r w:rsidDel="00000000" w:rsidR="00000000" w:rsidRPr="00000000">
        <w:rPr>
          <w:rFonts w:ascii="Times New Roman" w:cs="Times New Roman" w:eastAsia="Times New Roman" w:hAnsi="Times New Roman"/>
          <w:rtl w:val="0"/>
        </w:rPr>
        <w:t xml:space="preserve">Identifying Employee Needs and Values</w:t>
      </w:r>
    </w:p>
    <w:p w:rsidR="00000000" w:rsidDel="00000000" w:rsidP="00000000" w:rsidRDefault="00000000" w:rsidRPr="00000000" w14:paraId="0000005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thing to do is to take a look at what employees actually want and care about. Methods like surveys, focus groups, and individual interviews can help with this (Hefferman et al., 2022). The company should conduct an employee engagement survey to learn more about employees' hopes, values, and motivations in the workplace. With this data in hand, the company can create a compensation plan that is fair to all employees.</w:t>
      </w:r>
    </w:p>
    <w:p w:rsidR="00000000" w:rsidDel="00000000" w:rsidP="00000000" w:rsidRDefault="00000000" w:rsidRPr="00000000" w14:paraId="00000057">
      <w:pPr>
        <w:pStyle w:val="Heading2"/>
        <w:spacing w:line="360" w:lineRule="auto"/>
        <w:jc w:val="both"/>
        <w:rPr>
          <w:rFonts w:ascii="Times New Roman" w:cs="Times New Roman" w:eastAsia="Times New Roman" w:hAnsi="Times New Roman"/>
        </w:rPr>
      </w:pPr>
      <w:bookmarkStart w:colFirst="0" w:colLast="0" w:name="_z337ya" w:id="18"/>
      <w:bookmarkEnd w:id="18"/>
      <w:r w:rsidDel="00000000" w:rsidR="00000000" w:rsidRPr="00000000">
        <w:rPr>
          <w:rFonts w:ascii="Times New Roman" w:cs="Times New Roman" w:eastAsia="Times New Roman" w:hAnsi="Times New Roman"/>
          <w:rtl w:val="0"/>
        </w:rPr>
        <w:t xml:space="preserve">Benchmarking Against Competitors</w:t>
      </w:r>
    </w:p>
    <w:p w:rsidR="00000000" w:rsidDel="00000000" w:rsidP="00000000" w:rsidRDefault="00000000" w:rsidRPr="00000000" w14:paraId="0000005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crucial to compare the company's pay structure to that of its rivals to ensure continued success. You can do this by conducting market research or by comparing your company's pay and perks to those of others in the same field. In order to maintain a competitive edge in the market, the company may need to make certain changes to its compensation and benefits structure.</w:t>
      </w:r>
    </w:p>
    <w:p w:rsidR="00000000" w:rsidDel="00000000" w:rsidP="00000000" w:rsidRDefault="00000000" w:rsidRPr="00000000" w14:paraId="0000005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might compare assessing the EVP to the process of making a cake. The EVP should be evaluated after taking into account the salary and perks provided, the requirements and values of employees, competitive benchmarks, and the goals of the firm, much as the ingredients and measurements of a cake are important for its success. The organisation can develop a compensation plan that is equitable, market-competitive, and in line with its objectives if it takes these considerations into account (Likhitkar and Verma, 2020). While designing a compensation plan that satisfies both employees and the company's strategic objectives, it is essential to assess the EVP. Organisations can design a pay structure that incentivises performance and retains top talent by conducting a comprehensive review of existing compensation and benefits, conducting employee needs and values assessments, benchmarking against competitors, and aligning the pay structure with organisational goals.</w:t>
      </w:r>
    </w:p>
    <w:p w:rsidR="00000000" w:rsidDel="00000000" w:rsidP="00000000" w:rsidRDefault="00000000" w:rsidRPr="00000000" w14:paraId="0000005A">
      <w:pPr>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5B">
      <w:pPr>
        <w:pStyle w:val="Heading1"/>
        <w:spacing w:line="360" w:lineRule="auto"/>
        <w:jc w:val="both"/>
        <w:rPr>
          <w:rFonts w:ascii="Times New Roman" w:cs="Times New Roman" w:eastAsia="Times New Roman" w:hAnsi="Times New Roman"/>
        </w:rPr>
      </w:pPr>
      <w:bookmarkStart w:colFirst="0" w:colLast="0" w:name="_3j2qqm3" w:id="19"/>
      <w:bookmarkEnd w:id="19"/>
      <w:r w:rsidDel="00000000" w:rsidR="00000000" w:rsidRPr="00000000">
        <w:rPr>
          <w:rFonts w:ascii="Times New Roman" w:cs="Times New Roman" w:eastAsia="Times New Roman" w:hAnsi="Times New Roman"/>
          <w:rtl w:val="0"/>
        </w:rPr>
        <w:t xml:space="preserve">Conclusion</w:t>
      </w:r>
    </w:p>
    <w:p w:rsidR="00000000" w:rsidDel="00000000" w:rsidP="00000000" w:rsidRDefault="00000000" w:rsidRPr="00000000" w14:paraId="0000005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today's ever-evolving and ever-changing environment, a company's ability to provide its employees more options in how they go about their work day might be a game-changer. Many advantages can result from this, including happier and more productive workers and a more equitable work-life balance. However, proper implementation is crucial, as it must cater to the requirements of the business as well as the personnel. The company's success depends on its people; therefore, it must give them the tools they need to do their jobs well during the transition. Employee engagement can be increased through flexible working by using strategies including regular communication, training, and mentorship programmes. Factors including job satisfaction, professional advancement opportunities, work-life balance, and remuneration can all be used to gauge an employee's value to a business. The company must regularly assess and revise its policies in order to keep up with the changing requirements of its staff and the business as a whole. The company needs to keep its strategies malleable if it wants to keep its existing and future workforce interested in working for it.</w:t>
      </w:r>
    </w:p>
    <w:p w:rsidR="00000000" w:rsidDel="00000000" w:rsidP="00000000" w:rsidRDefault="00000000" w:rsidRPr="00000000" w14:paraId="0000005D">
      <w:pPr>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5E">
      <w:pPr>
        <w:pStyle w:val="Heading1"/>
        <w:spacing w:line="360" w:lineRule="auto"/>
        <w:jc w:val="both"/>
        <w:rPr>
          <w:rFonts w:ascii="Times New Roman" w:cs="Times New Roman" w:eastAsia="Times New Roman" w:hAnsi="Times New Roman"/>
        </w:rPr>
      </w:pPr>
      <w:bookmarkStart w:colFirst="0" w:colLast="0" w:name="_1y810tw" w:id="20"/>
      <w:bookmarkEnd w:id="20"/>
      <w:r w:rsidDel="00000000" w:rsidR="00000000" w:rsidRPr="00000000">
        <w:rPr>
          <w:rFonts w:ascii="Times New Roman" w:cs="Times New Roman" w:eastAsia="Times New Roman" w:hAnsi="Times New Roman"/>
          <w:rtl w:val="0"/>
        </w:rPr>
        <w:t xml:space="preserve">References</w:t>
      </w:r>
    </w:p>
    <w:p w:rsidR="00000000" w:rsidDel="00000000" w:rsidP="00000000" w:rsidRDefault="00000000" w:rsidRPr="00000000" w14:paraId="0000005F">
      <w:pPr>
        <w:spacing w:line="360" w:lineRule="auto"/>
        <w:ind w:left="72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Ababneh, O.M.A., 2021. How do green HRM practices affect employees’ green behaviors? The role of employee engagement and personality attributes. </w:t>
      </w:r>
      <w:r w:rsidDel="00000000" w:rsidR="00000000" w:rsidRPr="00000000">
        <w:rPr>
          <w:rFonts w:ascii="Times New Roman" w:cs="Times New Roman" w:eastAsia="Times New Roman" w:hAnsi="Times New Roman"/>
          <w:i w:val="1"/>
          <w:color w:val="222222"/>
          <w:sz w:val="24"/>
          <w:szCs w:val="24"/>
          <w:highlight w:val="white"/>
          <w:rtl w:val="0"/>
        </w:rPr>
        <w:t xml:space="preserve">Journal of Environmental Planning and Management</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64</w:t>
      </w:r>
      <w:r w:rsidDel="00000000" w:rsidR="00000000" w:rsidRPr="00000000">
        <w:rPr>
          <w:rFonts w:ascii="Times New Roman" w:cs="Times New Roman" w:eastAsia="Times New Roman" w:hAnsi="Times New Roman"/>
          <w:color w:val="222222"/>
          <w:sz w:val="24"/>
          <w:szCs w:val="24"/>
          <w:highlight w:val="white"/>
          <w:rtl w:val="0"/>
        </w:rPr>
        <w:t xml:space="preserve">(7), pp.1204-1226.</w:t>
      </w:r>
    </w:p>
    <w:p w:rsidR="00000000" w:rsidDel="00000000" w:rsidP="00000000" w:rsidRDefault="00000000" w:rsidRPr="00000000" w14:paraId="00000060">
      <w:pPr>
        <w:spacing w:line="360" w:lineRule="auto"/>
        <w:ind w:left="72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Agba, A.O., Ocheni, S.I. and Agba, M.S., 2020. COVID-19 and the world of work dynamics: A critical review. </w:t>
      </w:r>
      <w:r w:rsidDel="00000000" w:rsidR="00000000" w:rsidRPr="00000000">
        <w:rPr>
          <w:rFonts w:ascii="Times New Roman" w:cs="Times New Roman" w:eastAsia="Times New Roman" w:hAnsi="Times New Roman"/>
          <w:i w:val="1"/>
          <w:color w:val="222222"/>
          <w:sz w:val="24"/>
          <w:szCs w:val="24"/>
          <w:highlight w:val="white"/>
          <w:rtl w:val="0"/>
        </w:rPr>
        <w:t xml:space="preserve">Journal of Educational and Social Research</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10</w:t>
      </w:r>
      <w:r w:rsidDel="00000000" w:rsidR="00000000" w:rsidRPr="00000000">
        <w:rPr>
          <w:rFonts w:ascii="Times New Roman" w:cs="Times New Roman" w:eastAsia="Times New Roman" w:hAnsi="Times New Roman"/>
          <w:color w:val="222222"/>
          <w:sz w:val="24"/>
          <w:szCs w:val="24"/>
          <w:highlight w:val="white"/>
          <w:rtl w:val="0"/>
        </w:rPr>
        <w:t xml:space="preserve">(5), p.119.</w:t>
      </w:r>
    </w:p>
    <w:p w:rsidR="00000000" w:rsidDel="00000000" w:rsidP="00000000" w:rsidRDefault="00000000" w:rsidRPr="00000000" w14:paraId="00000061">
      <w:pPr>
        <w:spacing w:line="360" w:lineRule="auto"/>
        <w:ind w:left="72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Azizi, M.R., Atlasi, R., Ziapour, A., Abbas, J. and Naemi, R., 2021. Innovative human resource management strategies during the COVID-19 pandemic: A systematic narrative review approach. </w:t>
      </w:r>
      <w:r w:rsidDel="00000000" w:rsidR="00000000" w:rsidRPr="00000000">
        <w:rPr>
          <w:rFonts w:ascii="Times New Roman" w:cs="Times New Roman" w:eastAsia="Times New Roman" w:hAnsi="Times New Roman"/>
          <w:i w:val="1"/>
          <w:color w:val="222222"/>
          <w:sz w:val="24"/>
          <w:szCs w:val="24"/>
          <w:highlight w:val="white"/>
          <w:rtl w:val="0"/>
        </w:rPr>
        <w:t xml:space="preserve">Heliyon</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7</w:t>
      </w:r>
      <w:r w:rsidDel="00000000" w:rsidR="00000000" w:rsidRPr="00000000">
        <w:rPr>
          <w:rFonts w:ascii="Times New Roman" w:cs="Times New Roman" w:eastAsia="Times New Roman" w:hAnsi="Times New Roman"/>
          <w:color w:val="222222"/>
          <w:sz w:val="24"/>
          <w:szCs w:val="24"/>
          <w:highlight w:val="white"/>
          <w:rtl w:val="0"/>
        </w:rPr>
        <w:t xml:space="preserve">(6), p.e07233.</w:t>
      </w:r>
    </w:p>
    <w:p w:rsidR="00000000" w:rsidDel="00000000" w:rsidP="00000000" w:rsidRDefault="00000000" w:rsidRPr="00000000" w14:paraId="00000062">
      <w:pPr>
        <w:spacing w:line="360" w:lineRule="auto"/>
        <w:ind w:left="72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Forbes, S., Birkett, H., Evans, L., Chung, H. and Whiteman, J., 2020. Managing employees during the COVID-19 pandemic: Flexible working and the future of work.</w:t>
      </w:r>
    </w:p>
    <w:p w:rsidR="00000000" w:rsidDel="00000000" w:rsidP="00000000" w:rsidRDefault="00000000" w:rsidRPr="00000000" w14:paraId="00000063">
      <w:pPr>
        <w:spacing w:line="360" w:lineRule="auto"/>
        <w:ind w:left="72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Heffernan, M., Cafferkey, K., Harney, B., Townsend, K. and Dundon, T., 2022. HRM system strength and employee well‐being: the role of internal process and open systems. </w:t>
      </w:r>
      <w:r w:rsidDel="00000000" w:rsidR="00000000" w:rsidRPr="00000000">
        <w:rPr>
          <w:rFonts w:ascii="Times New Roman" w:cs="Times New Roman" w:eastAsia="Times New Roman" w:hAnsi="Times New Roman"/>
          <w:i w:val="1"/>
          <w:color w:val="222222"/>
          <w:sz w:val="24"/>
          <w:szCs w:val="24"/>
          <w:highlight w:val="white"/>
          <w:rtl w:val="0"/>
        </w:rPr>
        <w:t xml:space="preserve">Asia Pacific Journal of Human Resources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60</w:t>
      </w:r>
      <w:r w:rsidDel="00000000" w:rsidR="00000000" w:rsidRPr="00000000">
        <w:rPr>
          <w:rFonts w:ascii="Times New Roman" w:cs="Times New Roman" w:eastAsia="Times New Roman" w:hAnsi="Times New Roman"/>
          <w:color w:val="222222"/>
          <w:sz w:val="24"/>
          <w:szCs w:val="24"/>
          <w:highlight w:val="white"/>
          <w:rtl w:val="0"/>
        </w:rPr>
        <w:t xml:space="preserve">(1), pp.171-193.</w:t>
      </w:r>
    </w:p>
    <w:p w:rsidR="00000000" w:rsidDel="00000000" w:rsidP="00000000" w:rsidRDefault="00000000" w:rsidRPr="00000000" w14:paraId="00000064">
      <w:pPr>
        <w:spacing w:line="36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Idris, A., 2014. Flexible working as an employee retention strategy in developing countries. </w:t>
      </w:r>
      <w:r w:rsidDel="00000000" w:rsidR="00000000" w:rsidRPr="00000000">
        <w:rPr>
          <w:rFonts w:ascii="Times New Roman" w:cs="Times New Roman" w:eastAsia="Times New Roman" w:hAnsi="Times New Roman"/>
          <w:i w:val="1"/>
          <w:color w:val="222222"/>
          <w:sz w:val="24"/>
          <w:szCs w:val="24"/>
          <w:highlight w:val="white"/>
          <w:rtl w:val="0"/>
        </w:rPr>
        <w:t xml:space="preserve">Journal of Management Research</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14</w:t>
      </w:r>
      <w:r w:rsidDel="00000000" w:rsidR="00000000" w:rsidRPr="00000000">
        <w:rPr>
          <w:rFonts w:ascii="Times New Roman" w:cs="Times New Roman" w:eastAsia="Times New Roman" w:hAnsi="Times New Roman"/>
          <w:color w:val="222222"/>
          <w:sz w:val="24"/>
          <w:szCs w:val="24"/>
          <w:highlight w:val="white"/>
          <w:rtl w:val="0"/>
        </w:rPr>
        <w:t xml:space="preserve">(2), pp.71-86.</w:t>
      </w:r>
      <w:r w:rsidDel="00000000" w:rsidR="00000000" w:rsidRPr="00000000">
        <w:rPr>
          <w:rtl w:val="0"/>
        </w:rPr>
      </w:r>
    </w:p>
    <w:p w:rsidR="00000000" w:rsidDel="00000000" w:rsidP="00000000" w:rsidRDefault="00000000" w:rsidRPr="00000000" w14:paraId="00000065">
      <w:pPr>
        <w:spacing w:line="360" w:lineRule="auto"/>
        <w:ind w:left="72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Kaya, Ş.D., Íleri, Y.Y. and Kara, B., 2022. Benefits of Flexible Working System During Covid-19 Pandemic: A Field Study in Turkey. </w:t>
      </w:r>
      <w:r w:rsidDel="00000000" w:rsidR="00000000" w:rsidRPr="00000000">
        <w:rPr>
          <w:rFonts w:ascii="Times New Roman" w:cs="Times New Roman" w:eastAsia="Times New Roman" w:hAnsi="Times New Roman"/>
          <w:i w:val="1"/>
          <w:color w:val="222222"/>
          <w:sz w:val="24"/>
          <w:szCs w:val="24"/>
          <w:highlight w:val="white"/>
          <w:rtl w:val="0"/>
        </w:rPr>
        <w:t xml:space="preserve">Ege Academic Review</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22</w:t>
      </w:r>
      <w:r w:rsidDel="00000000" w:rsidR="00000000" w:rsidRPr="00000000">
        <w:rPr>
          <w:rFonts w:ascii="Times New Roman" w:cs="Times New Roman" w:eastAsia="Times New Roman" w:hAnsi="Times New Roman"/>
          <w:color w:val="222222"/>
          <w:sz w:val="24"/>
          <w:szCs w:val="24"/>
          <w:highlight w:val="white"/>
          <w:rtl w:val="0"/>
        </w:rPr>
        <w:t xml:space="preserve">(3).</w:t>
      </w:r>
    </w:p>
    <w:p w:rsidR="00000000" w:rsidDel="00000000" w:rsidP="00000000" w:rsidRDefault="00000000" w:rsidRPr="00000000" w14:paraId="00000066">
      <w:pPr>
        <w:spacing w:line="360" w:lineRule="auto"/>
        <w:ind w:left="72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Koon, V.Y. and Ho, T.S., 2021. Authentic leadership and employee engagement: The role of employee well-being. </w:t>
      </w:r>
      <w:r w:rsidDel="00000000" w:rsidR="00000000" w:rsidRPr="00000000">
        <w:rPr>
          <w:rFonts w:ascii="Times New Roman" w:cs="Times New Roman" w:eastAsia="Times New Roman" w:hAnsi="Times New Roman"/>
          <w:i w:val="1"/>
          <w:color w:val="222222"/>
          <w:sz w:val="24"/>
          <w:szCs w:val="24"/>
          <w:highlight w:val="white"/>
          <w:rtl w:val="0"/>
        </w:rPr>
        <w:t xml:space="preserve">Human Systems Management</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40</w:t>
      </w:r>
      <w:r w:rsidDel="00000000" w:rsidR="00000000" w:rsidRPr="00000000">
        <w:rPr>
          <w:rFonts w:ascii="Times New Roman" w:cs="Times New Roman" w:eastAsia="Times New Roman" w:hAnsi="Times New Roman"/>
          <w:color w:val="222222"/>
          <w:sz w:val="24"/>
          <w:szCs w:val="24"/>
          <w:highlight w:val="white"/>
          <w:rtl w:val="0"/>
        </w:rPr>
        <w:t xml:space="preserve">(1), pp.81-92.</w:t>
      </w:r>
    </w:p>
    <w:p w:rsidR="00000000" w:rsidDel="00000000" w:rsidP="00000000" w:rsidRDefault="00000000" w:rsidRPr="00000000" w14:paraId="00000067">
      <w:pPr>
        <w:spacing w:line="360" w:lineRule="auto"/>
        <w:ind w:left="72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Likhitkar, P. and Verma, P., 2020. HR value proposition using predictive analytics: an overview. </w:t>
      </w:r>
      <w:r w:rsidDel="00000000" w:rsidR="00000000" w:rsidRPr="00000000">
        <w:rPr>
          <w:rFonts w:ascii="Times New Roman" w:cs="Times New Roman" w:eastAsia="Times New Roman" w:hAnsi="Times New Roman"/>
          <w:i w:val="1"/>
          <w:color w:val="222222"/>
          <w:sz w:val="24"/>
          <w:szCs w:val="24"/>
          <w:highlight w:val="white"/>
          <w:rtl w:val="0"/>
        </w:rPr>
        <w:t xml:space="preserve">New Paradigm in Decision Science and Management: Proceedings of ICDSM 2018</w:t>
      </w:r>
      <w:r w:rsidDel="00000000" w:rsidR="00000000" w:rsidRPr="00000000">
        <w:rPr>
          <w:rFonts w:ascii="Times New Roman" w:cs="Times New Roman" w:eastAsia="Times New Roman" w:hAnsi="Times New Roman"/>
          <w:color w:val="222222"/>
          <w:sz w:val="24"/>
          <w:szCs w:val="24"/>
          <w:highlight w:val="white"/>
          <w:rtl w:val="0"/>
        </w:rPr>
        <w:t xml:space="preserve">, pp.165-171.</w:t>
      </w:r>
    </w:p>
    <w:p w:rsidR="00000000" w:rsidDel="00000000" w:rsidP="00000000" w:rsidRDefault="00000000" w:rsidRPr="00000000" w14:paraId="00000068">
      <w:pPr>
        <w:spacing w:line="360" w:lineRule="auto"/>
        <w:ind w:left="72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Marino, L. and Capone, V., 2021. Smart working and well-being before and during the COVID-19 pandemic: A scoping review. </w:t>
      </w:r>
      <w:r w:rsidDel="00000000" w:rsidR="00000000" w:rsidRPr="00000000">
        <w:rPr>
          <w:rFonts w:ascii="Times New Roman" w:cs="Times New Roman" w:eastAsia="Times New Roman" w:hAnsi="Times New Roman"/>
          <w:i w:val="1"/>
          <w:color w:val="222222"/>
          <w:sz w:val="24"/>
          <w:szCs w:val="24"/>
          <w:highlight w:val="white"/>
          <w:rtl w:val="0"/>
        </w:rPr>
        <w:t xml:space="preserve">European journal of investigation in health, psychology and education</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11</w:t>
      </w:r>
      <w:r w:rsidDel="00000000" w:rsidR="00000000" w:rsidRPr="00000000">
        <w:rPr>
          <w:rFonts w:ascii="Times New Roman" w:cs="Times New Roman" w:eastAsia="Times New Roman" w:hAnsi="Times New Roman"/>
          <w:color w:val="222222"/>
          <w:sz w:val="24"/>
          <w:szCs w:val="24"/>
          <w:highlight w:val="white"/>
          <w:rtl w:val="0"/>
        </w:rPr>
        <w:t xml:space="preserve">(4), pp.1516-1536.</w:t>
      </w:r>
    </w:p>
    <w:p w:rsidR="00000000" w:rsidDel="00000000" w:rsidP="00000000" w:rsidRDefault="00000000" w:rsidRPr="00000000" w14:paraId="00000069">
      <w:pPr>
        <w:spacing w:line="360" w:lineRule="auto"/>
        <w:ind w:left="72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Men, L.R., O’Neil, J. and Ewing, M., 2020. Examining the effects of internal social media usage on employee engagement. </w:t>
      </w:r>
      <w:r w:rsidDel="00000000" w:rsidR="00000000" w:rsidRPr="00000000">
        <w:rPr>
          <w:rFonts w:ascii="Times New Roman" w:cs="Times New Roman" w:eastAsia="Times New Roman" w:hAnsi="Times New Roman"/>
          <w:i w:val="1"/>
          <w:color w:val="222222"/>
          <w:sz w:val="24"/>
          <w:szCs w:val="24"/>
          <w:highlight w:val="white"/>
          <w:rtl w:val="0"/>
        </w:rPr>
        <w:t xml:space="preserve">Public Relations Review</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46</w:t>
      </w:r>
      <w:r w:rsidDel="00000000" w:rsidR="00000000" w:rsidRPr="00000000">
        <w:rPr>
          <w:rFonts w:ascii="Times New Roman" w:cs="Times New Roman" w:eastAsia="Times New Roman" w:hAnsi="Times New Roman"/>
          <w:color w:val="222222"/>
          <w:sz w:val="24"/>
          <w:szCs w:val="24"/>
          <w:highlight w:val="white"/>
          <w:rtl w:val="0"/>
        </w:rPr>
        <w:t xml:space="preserve">(2), p.101880.</w:t>
      </w:r>
    </w:p>
    <w:p w:rsidR="00000000" w:rsidDel="00000000" w:rsidP="00000000" w:rsidRDefault="00000000" w:rsidRPr="00000000" w14:paraId="0000006A">
      <w:pPr>
        <w:spacing w:line="360" w:lineRule="auto"/>
        <w:ind w:left="72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Oseland, N., Webber, C. and MacDonald, M., 2012. Flexible working benefits. </w:t>
      </w:r>
      <w:r w:rsidDel="00000000" w:rsidR="00000000" w:rsidRPr="00000000">
        <w:rPr>
          <w:rFonts w:ascii="Times New Roman" w:cs="Times New Roman" w:eastAsia="Times New Roman" w:hAnsi="Times New Roman"/>
          <w:i w:val="1"/>
          <w:color w:val="222222"/>
          <w:sz w:val="24"/>
          <w:szCs w:val="24"/>
          <w:highlight w:val="white"/>
          <w:rtl w:val="0"/>
        </w:rPr>
        <w:t xml:space="preserve">Occasional Paper</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3</w:t>
      </w:r>
      <w:r w:rsidDel="00000000" w:rsidR="00000000" w:rsidRPr="00000000">
        <w:rPr>
          <w:rFonts w:ascii="Times New Roman" w:cs="Times New Roman" w:eastAsia="Times New Roman" w:hAnsi="Times New Roman"/>
          <w:color w:val="222222"/>
          <w:sz w:val="24"/>
          <w:szCs w:val="24"/>
          <w:highlight w:val="white"/>
          <w:rtl w:val="0"/>
        </w:rPr>
        <w:t xml:space="preserve">(1).</w:t>
      </w:r>
    </w:p>
    <w:p w:rsidR="00000000" w:rsidDel="00000000" w:rsidP="00000000" w:rsidRDefault="00000000" w:rsidRPr="00000000" w14:paraId="0000006B">
      <w:pPr>
        <w:spacing w:line="360" w:lineRule="auto"/>
        <w:ind w:left="72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Putra, K.C., Pratama, T.A., Linggautama, R.A. and Prasetyaningtyas, S.W., 2020. The impact of flexible working hours, remote working, and work life balance to employee satisfaction in banking industry during covid-19 pandemic period. </w:t>
      </w:r>
      <w:r w:rsidDel="00000000" w:rsidR="00000000" w:rsidRPr="00000000">
        <w:rPr>
          <w:rFonts w:ascii="Times New Roman" w:cs="Times New Roman" w:eastAsia="Times New Roman" w:hAnsi="Times New Roman"/>
          <w:i w:val="1"/>
          <w:color w:val="222222"/>
          <w:sz w:val="24"/>
          <w:szCs w:val="24"/>
          <w:highlight w:val="white"/>
          <w:rtl w:val="0"/>
        </w:rPr>
        <w:t xml:space="preserve">Journal of Business and Management Review</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w:t>
      </w:r>
      <w:r w:rsidDel="00000000" w:rsidR="00000000" w:rsidRPr="00000000">
        <w:rPr>
          <w:rFonts w:ascii="Times New Roman" w:cs="Times New Roman" w:eastAsia="Times New Roman" w:hAnsi="Times New Roman"/>
          <w:color w:val="222222"/>
          <w:sz w:val="24"/>
          <w:szCs w:val="24"/>
          <w:highlight w:val="white"/>
          <w:rtl w:val="0"/>
        </w:rPr>
        <w:t xml:space="preserve">(5), pp.341-353.</w:t>
      </w:r>
    </w:p>
    <w:p w:rsidR="00000000" w:rsidDel="00000000" w:rsidP="00000000" w:rsidRDefault="00000000" w:rsidRPr="00000000" w14:paraId="0000006C">
      <w:pPr>
        <w:spacing w:line="360" w:lineRule="auto"/>
        <w:ind w:left="72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Sharma, P.K. and Kumra, R., 2020. Relationship between workplace spirituality, organizational justice and mental health: mediation role of employee engagement. </w:t>
      </w:r>
      <w:r w:rsidDel="00000000" w:rsidR="00000000" w:rsidRPr="00000000">
        <w:rPr>
          <w:rFonts w:ascii="Times New Roman" w:cs="Times New Roman" w:eastAsia="Times New Roman" w:hAnsi="Times New Roman"/>
          <w:i w:val="1"/>
          <w:color w:val="222222"/>
          <w:sz w:val="24"/>
          <w:szCs w:val="24"/>
          <w:highlight w:val="white"/>
          <w:rtl w:val="0"/>
        </w:rPr>
        <w:t xml:space="preserve">Journal of Advances in Management Research</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17</w:t>
      </w:r>
      <w:r w:rsidDel="00000000" w:rsidR="00000000" w:rsidRPr="00000000">
        <w:rPr>
          <w:rFonts w:ascii="Times New Roman" w:cs="Times New Roman" w:eastAsia="Times New Roman" w:hAnsi="Times New Roman"/>
          <w:color w:val="222222"/>
          <w:sz w:val="24"/>
          <w:szCs w:val="24"/>
          <w:highlight w:val="white"/>
          <w:rtl w:val="0"/>
        </w:rPr>
        <w:t xml:space="preserve">(5), pp.627-650.</w:t>
      </w:r>
    </w:p>
    <w:p w:rsidR="00000000" w:rsidDel="00000000" w:rsidP="00000000" w:rsidRDefault="00000000" w:rsidRPr="00000000" w14:paraId="0000006D">
      <w:pPr>
        <w:spacing w:line="360" w:lineRule="auto"/>
        <w:ind w:left="72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Thomson, P., 2008. The business benefits of flexible working. </w:t>
      </w:r>
      <w:r w:rsidDel="00000000" w:rsidR="00000000" w:rsidRPr="00000000">
        <w:rPr>
          <w:rFonts w:ascii="Times New Roman" w:cs="Times New Roman" w:eastAsia="Times New Roman" w:hAnsi="Times New Roman"/>
          <w:i w:val="1"/>
          <w:color w:val="222222"/>
          <w:sz w:val="24"/>
          <w:szCs w:val="24"/>
          <w:highlight w:val="white"/>
          <w:rtl w:val="0"/>
        </w:rPr>
        <w:t xml:space="preserve">Strategic HR Review</w:t>
      </w:r>
      <w:r w:rsidDel="00000000" w:rsidR="00000000" w:rsidRPr="00000000">
        <w:rPr>
          <w:rFonts w:ascii="Times New Roman" w:cs="Times New Roman" w:eastAsia="Times New Roman" w:hAnsi="Times New Roman"/>
          <w:color w:val="222222"/>
          <w:sz w:val="24"/>
          <w:szCs w:val="24"/>
          <w:highlight w:val="white"/>
          <w:rtl w:val="0"/>
        </w:rPr>
        <w:t xml:space="preserve">.</w:t>
      </w:r>
    </w:p>
    <w:p w:rsidR="00000000" w:rsidDel="00000000" w:rsidP="00000000" w:rsidRDefault="00000000" w:rsidRPr="00000000" w14:paraId="0000006E">
      <w:pPr>
        <w:spacing w:line="360" w:lineRule="auto"/>
        <w:ind w:left="72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VU, H.M., 2020. Relationship between work-life balance, religiosity and employee engagement: A proposed moderated mediation model. </w:t>
      </w:r>
      <w:r w:rsidDel="00000000" w:rsidR="00000000" w:rsidRPr="00000000">
        <w:rPr>
          <w:rFonts w:ascii="Times New Roman" w:cs="Times New Roman" w:eastAsia="Times New Roman" w:hAnsi="Times New Roman"/>
          <w:i w:val="1"/>
          <w:color w:val="222222"/>
          <w:sz w:val="24"/>
          <w:szCs w:val="24"/>
          <w:highlight w:val="white"/>
          <w:rtl w:val="0"/>
        </w:rPr>
        <w:t xml:space="preserve">The Journal of Asian Finance, Economics and Business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7</w:t>
      </w:r>
      <w:r w:rsidDel="00000000" w:rsidR="00000000" w:rsidRPr="00000000">
        <w:rPr>
          <w:rFonts w:ascii="Times New Roman" w:cs="Times New Roman" w:eastAsia="Times New Roman" w:hAnsi="Times New Roman"/>
          <w:color w:val="222222"/>
          <w:sz w:val="24"/>
          <w:szCs w:val="24"/>
          <w:highlight w:val="white"/>
          <w:rtl w:val="0"/>
        </w:rPr>
        <w:t xml:space="preserve">(10), pp.339-345.</w:t>
      </w:r>
    </w:p>
    <w:p w:rsidR="00000000" w:rsidDel="00000000" w:rsidP="00000000" w:rsidRDefault="00000000" w:rsidRPr="00000000" w14:paraId="0000006F">
      <w:pPr>
        <w:spacing w:line="360" w:lineRule="auto"/>
        <w:ind w:left="72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Wheatley, D., 2017. Employee satisfaction and use of flexible working arrangements. </w:t>
      </w:r>
      <w:r w:rsidDel="00000000" w:rsidR="00000000" w:rsidRPr="00000000">
        <w:rPr>
          <w:rFonts w:ascii="Times New Roman" w:cs="Times New Roman" w:eastAsia="Times New Roman" w:hAnsi="Times New Roman"/>
          <w:i w:val="1"/>
          <w:color w:val="222222"/>
          <w:sz w:val="24"/>
          <w:szCs w:val="24"/>
          <w:highlight w:val="white"/>
          <w:rtl w:val="0"/>
        </w:rPr>
        <w:t xml:space="preserve">Work, employment and society</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31</w:t>
      </w:r>
      <w:r w:rsidDel="00000000" w:rsidR="00000000" w:rsidRPr="00000000">
        <w:rPr>
          <w:rFonts w:ascii="Times New Roman" w:cs="Times New Roman" w:eastAsia="Times New Roman" w:hAnsi="Times New Roman"/>
          <w:color w:val="222222"/>
          <w:sz w:val="24"/>
          <w:szCs w:val="24"/>
          <w:highlight w:val="white"/>
          <w:rtl w:val="0"/>
        </w:rPr>
        <w:t xml:space="preserve">(4), pp.567-585.</w:t>
      </w:r>
    </w:p>
    <w:p w:rsidR="00000000" w:rsidDel="00000000" w:rsidP="00000000" w:rsidRDefault="00000000" w:rsidRPr="00000000" w14:paraId="00000070">
      <w:pPr>
        <w:spacing w:line="360" w:lineRule="auto"/>
        <w:ind w:left="720" w:hanging="72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Yacine, L., 2021. </w:t>
      </w:r>
      <w:r w:rsidDel="00000000" w:rsidR="00000000" w:rsidRPr="00000000">
        <w:rPr>
          <w:rFonts w:ascii="Times New Roman" w:cs="Times New Roman" w:eastAsia="Times New Roman" w:hAnsi="Times New Roman"/>
          <w:i w:val="1"/>
          <w:color w:val="222222"/>
          <w:sz w:val="24"/>
          <w:szCs w:val="24"/>
          <w:highlight w:val="white"/>
          <w:rtl w:val="0"/>
        </w:rPr>
        <w:t xml:space="preserve">Employees-as-customers: Coupling the employee value proposition and millennials' experience in the construction of the internal brand</w:t>
      </w:r>
      <w:r w:rsidDel="00000000" w:rsidR="00000000" w:rsidRPr="00000000">
        <w:rPr>
          <w:rFonts w:ascii="Times New Roman" w:cs="Times New Roman" w:eastAsia="Times New Roman" w:hAnsi="Times New Roman"/>
          <w:color w:val="222222"/>
          <w:sz w:val="24"/>
          <w:szCs w:val="24"/>
          <w:highlight w:val="white"/>
          <w:rtl w:val="0"/>
        </w:rPr>
        <w:t xml:space="preserve"> (Master's thesis).</w:t>
      </w:r>
    </w:p>
    <w:sectPr>
      <w:footerReference r:id="rId7" w:type="default"/>
      <w:type w:val="nextPage"/>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2.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