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jc w:val="center"/>
        <w:rPr>
          <w:rFonts w:ascii="Arial" w:cs="Arial" w:eastAsia="Arial" w:hAnsi="Arial"/>
          <w:u w:val="single"/>
        </w:rPr>
      </w:pPr>
      <w:r w:rsidDel="00000000" w:rsidR="00000000" w:rsidRPr="00000000">
        <w:rPr>
          <w:rFonts w:ascii="Arial" w:cs="Arial" w:eastAsia="Arial" w:hAnsi="Arial"/>
          <w:u w:val="single"/>
          <w:rtl w:val="0"/>
        </w:rPr>
        <w:t xml:space="preserve">Reference List</w:t>
      </w:r>
    </w:p>
    <w:p w:rsidR="00000000" w:rsidDel="00000000" w:rsidP="00000000" w:rsidRDefault="00000000" w:rsidRPr="00000000" w14:paraId="00000002">
      <w:pPr>
        <w:spacing w:after="0" w:line="276" w:lineRule="auto"/>
        <w:rPr>
          <w:rFonts w:ascii="Arial" w:cs="Arial" w:eastAsia="Arial" w:hAnsi="Arial"/>
          <w:u w:val="single"/>
        </w:rPr>
      </w:pPr>
      <w:r w:rsidDel="00000000" w:rsidR="00000000" w:rsidRPr="00000000">
        <w:rPr>
          <w:rtl w:val="0"/>
        </w:rPr>
      </w:r>
    </w:p>
    <w:p w:rsidR="00000000" w:rsidDel="00000000" w:rsidP="00000000" w:rsidRDefault="00000000" w:rsidRPr="00000000" w14:paraId="00000003">
      <w:pPr>
        <w:spacing w:after="0" w:line="276" w:lineRule="auto"/>
        <w:rPr>
          <w:rFonts w:ascii="Arial" w:cs="Arial" w:eastAsia="Arial" w:hAnsi="Arial"/>
          <w:color w:val="212b32"/>
          <w:sz w:val="29"/>
          <w:szCs w:val="29"/>
        </w:rPr>
      </w:pPr>
      <w:r w:rsidDel="00000000" w:rsidR="00000000" w:rsidRPr="00000000">
        <w:rPr>
          <w:rFonts w:ascii="Times New Roman" w:cs="Times New Roman" w:eastAsia="Times New Roman" w:hAnsi="Times New Roman"/>
          <w:color w:val="05103e"/>
          <w:sz w:val="24"/>
          <w:szCs w:val="24"/>
          <w:rtl w:val="0"/>
        </w:rPr>
        <w:t xml:space="preserve">National Health Service. (2026) </w:t>
      </w:r>
      <w:r w:rsidDel="00000000" w:rsidR="00000000" w:rsidRPr="00000000">
        <w:rPr>
          <w:rFonts w:ascii="Times New Roman" w:cs="Times New Roman" w:eastAsia="Times New Roman" w:hAnsi="Times New Roman"/>
          <w:i w:val="1"/>
          <w:iCs w:val="1"/>
          <w:color w:val="05103e"/>
          <w:sz w:val="24"/>
          <w:szCs w:val="24"/>
          <w:rtl w:val="0"/>
        </w:rPr>
        <w:t xml:space="preserve">Assessing capacity</w:t>
      </w:r>
      <w:r w:rsidDel="00000000" w:rsidR="00000000" w:rsidRPr="00000000">
        <w:rPr>
          <w:rFonts w:ascii="Times New Roman" w:cs="Times New Roman" w:eastAsia="Times New Roman" w:hAnsi="Times New Roman"/>
          <w:color w:val="05103e"/>
          <w:sz w:val="24"/>
          <w:szCs w:val="24"/>
          <w:rtl w:val="0"/>
        </w:rPr>
        <w:t xml:space="preserve">. https://www.nhs.uk/tests-and-treatments/consent-to-treatment/capacity/.</w:t>
      </w:r>
      <w:r w:rsidDel="00000000" w:rsidR="00000000" w:rsidRPr="00000000">
        <w:rPr>
          <w:rtl w:val="0"/>
        </w:rPr>
      </w:r>
    </w:p>
    <w:p w:rsidR="00000000" w:rsidDel="00000000" w:rsidP="00000000" w:rsidRDefault="00000000" w:rsidRPr="00000000" w14:paraId="00000004">
      <w:pPr>
        <w:spacing w:after="0" w:line="276" w:lineRule="auto"/>
        <w:rPr>
          <w:rFonts w:ascii="Arial" w:cs="Arial" w:eastAsia="Arial" w:hAnsi="Arial"/>
          <w:color w:val="212b32"/>
          <w:sz w:val="29"/>
          <w:szCs w:val="29"/>
        </w:rPr>
      </w:pPr>
      <w:r w:rsidDel="00000000" w:rsidR="00000000" w:rsidRPr="00000000">
        <w:rPr>
          <w:rtl w:val="0"/>
        </w:rPr>
      </w:r>
    </w:p>
    <w:p w:rsidR="00000000" w:rsidDel="00000000" w:rsidP="00000000" w:rsidRDefault="00000000" w:rsidRPr="00000000" w14:paraId="00000005">
      <w:pPr>
        <w:spacing w:after="0" w:line="276" w:lineRule="auto"/>
        <w:rPr>
          <w:rFonts w:ascii="Times New Roman" w:cs="Times New Roman" w:eastAsia="Times New Roman" w:hAnsi="Times New Roman"/>
          <w:color w:val="212b32"/>
          <w:sz w:val="24"/>
          <w:szCs w:val="24"/>
        </w:rPr>
      </w:pPr>
      <w:r w:rsidDel="00000000" w:rsidR="00000000" w:rsidRPr="00000000">
        <w:rPr>
          <w:rFonts w:ascii="Times New Roman" w:cs="Times New Roman" w:eastAsia="Times New Roman" w:hAnsi="Times New Roman"/>
          <w:color w:val="212b32"/>
          <w:sz w:val="24"/>
          <w:szCs w:val="24"/>
          <w:rtl w:val="0"/>
        </w:rPr>
        <w:t xml:space="preserve">“All adults are presumed to have sufficient capacity to decide on their own medical treatment, unless there's significant evidence to suggest otherwise”.</w:t>
      </w:r>
    </w:p>
    <w:p w:rsidR="00000000" w:rsidDel="00000000" w:rsidP="00000000" w:rsidRDefault="00000000" w:rsidRPr="00000000" w14:paraId="00000006">
      <w:pPr>
        <w:spacing w:after="0" w:line="276" w:lineRule="auto"/>
        <w:rPr>
          <w:rFonts w:ascii="Arial" w:cs="Arial" w:eastAsia="Arial" w:hAnsi="Arial"/>
          <w:color w:val="212b32"/>
          <w:sz w:val="29"/>
          <w:szCs w:val="29"/>
        </w:rPr>
      </w:pPr>
      <w:r w:rsidDel="00000000" w:rsidR="00000000" w:rsidRPr="00000000">
        <w:rPr>
          <w:rtl w:val="0"/>
        </w:rPr>
      </w:r>
    </w:p>
    <w:p w:rsidR="00000000" w:rsidDel="00000000" w:rsidP="00000000" w:rsidRDefault="00000000" w:rsidRPr="00000000" w14:paraId="00000007">
      <w:pPr>
        <w:spacing w:after="0" w:line="276" w:lineRule="auto"/>
        <w:rPr>
          <w:rFonts w:ascii="Arial" w:cs="Arial" w:eastAsia="Arial" w:hAnsi="Arial"/>
          <w:color w:val="212b32"/>
          <w:sz w:val="29"/>
          <w:szCs w:val="29"/>
        </w:rPr>
      </w:pPr>
      <w:r w:rsidDel="00000000" w:rsidR="00000000" w:rsidRPr="00000000">
        <w:rPr>
          <w:rtl w:val="0"/>
        </w:rPr>
      </w:r>
    </w:p>
    <w:p w:rsidR="00000000" w:rsidDel="00000000" w:rsidP="00000000" w:rsidRDefault="00000000" w:rsidRPr="00000000" w14:paraId="00000008">
      <w:pPr>
        <w:spacing w:after="0" w:line="276" w:lineRule="auto"/>
        <w:rPr>
          <w:rFonts w:ascii="Arial" w:cs="Arial" w:eastAsia="Arial" w:hAnsi="Arial"/>
          <w:color w:val="212b32"/>
          <w:sz w:val="29"/>
          <w:szCs w:val="29"/>
        </w:rPr>
      </w:pPr>
      <w:r w:rsidDel="00000000" w:rsidR="00000000" w:rsidRPr="00000000">
        <w:rPr>
          <w:rtl w:val="0"/>
        </w:rPr>
      </w:r>
    </w:p>
    <w:p w:rsidR="00000000" w:rsidDel="00000000" w:rsidP="00000000" w:rsidRDefault="00000000" w:rsidRPr="00000000" w14:paraId="00000009">
      <w:pPr>
        <w:spacing w:after="0" w:line="276" w:lineRule="auto"/>
        <w:rPr>
          <w:rFonts w:ascii="Arial" w:cs="Arial" w:eastAsia="Arial" w:hAnsi="Arial"/>
          <w:color w:val="212b32"/>
          <w:sz w:val="29"/>
          <w:szCs w:val="29"/>
        </w:rPr>
      </w:pPr>
      <w:r w:rsidDel="00000000" w:rsidR="00000000" w:rsidRPr="00000000">
        <w:rPr>
          <w:rtl w:val="0"/>
        </w:rPr>
      </w:r>
    </w:p>
    <w:p w:rsidR="00000000" w:rsidDel="00000000" w:rsidP="00000000" w:rsidRDefault="00000000" w:rsidRPr="00000000" w14:paraId="0000000A">
      <w:pPr>
        <w:spacing w:after="0" w:line="276" w:lineRule="auto"/>
        <w:rPr>
          <w:rFonts w:ascii="Arial" w:cs="Arial" w:eastAsia="Arial" w:hAnsi="Arial"/>
          <w:color w:val="212b32"/>
          <w:sz w:val="29"/>
          <w:szCs w:val="29"/>
        </w:rPr>
      </w:pPr>
      <w:r w:rsidDel="00000000" w:rsidR="00000000" w:rsidRPr="00000000">
        <w:rPr>
          <w:rFonts w:ascii="Times New Roman" w:cs="Times New Roman" w:eastAsia="Times New Roman" w:hAnsi="Times New Roman"/>
          <w:color w:val="05103e"/>
          <w:sz w:val="24"/>
          <w:szCs w:val="24"/>
          <w:rtl w:val="0"/>
        </w:rPr>
        <w:t xml:space="preserve">National Health Service. (2022) </w:t>
      </w:r>
      <w:r w:rsidDel="00000000" w:rsidR="00000000" w:rsidRPr="00000000">
        <w:rPr>
          <w:rFonts w:ascii="Times New Roman" w:cs="Times New Roman" w:eastAsia="Times New Roman" w:hAnsi="Times New Roman"/>
          <w:i w:val="1"/>
          <w:iCs w:val="1"/>
          <w:color w:val="05103e"/>
          <w:sz w:val="24"/>
          <w:szCs w:val="24"/>
          <w:rtl w:val="0"/>
        </w:rPr>
        <w:t xml:space="preserve">Consent to treatment</w:t>
      </w:r>
      <w:r w:rsidDel="00000000" w:rsidR="00000000" w:rsidRPr="00000000">
        <w:rPr>
          <w:rFonts w:ascii="Times New Roman" w:cs="Times New Roman" w:eastAsia="Times New Roman" w:hAnsi="Times New Roman"/>
          <w:color w:val="05103e"/>
          <w:sz w:val="24"/>
          <w:szCs w:val="24"/>
          <w:rtl w:val="0"/>
        </w:rPr>
        <w:t xml:space="preserve">. https://www.nhs.uk/tests-and-treatments/consent-to-treatment/.</w:t>
      </w:r>
      <w:r w:rsidDel="00000000" w:rsidR="00000000" w:rsidRPr="00000000">
        <w:rPr>
          <w:rtl w:val="0"/>
        </w:rPr>
      </w:r>
    </w:p>
    <w:p w:rsidR="00000000" w:rsidDel="00000000" w:rsidP="00000000" w:rsidRDefault="00000000" w:rsidRPr="00000000" w14:paraId="0000000B">
      <w:pPr>
        <w:spacing w:after="0" w:line="276" w:lineRule="auto"/>
        <w:rPr>
          <w:rFonts w:ascii="Arial" w:cs="Arial" w:eastAsia="Arial" w:hAnsi="Arial"/>
          <w:color w:val="212b32"/>
          <w:sz w:val="29"/>
          <w:szCs w:val="29"/>
        </w:rPr>
      </w:pPr>
      <w:r w:rsidDel="00000000" w:rsidR="00000000" w:rsidRPr="00000000">
        <w:rPr>
          <w:rtl w:val="0"/>
        </w:rPr>
      </w:r>
    </w:p>
    <w:p w:rsidR="00000000" w:rsidDel="00000000" w:rsidP="00000000" w:rsidRDefault="00000000" w:rsidRPr="00000000" w14:paraId="0000000C">
      <w:pPr>
        <w:pStyle w:val="Heading2"/>
        <w:keepNext w:val="0"/>
        <w:keepLines w:val="0"/>
        <w:pBdr>
          <w:top w:color="auto" w:space="12" w:sz="0" w:val="none"/>
        </w:pBdr>
        <w:shd w:fill="f0f4f5" w:val="clear"/>
        <w:spacing w:after="360" w:before="0" w:line="280.0008" w:lineRule="auto"/>
        <w:rPr>
          <w:rFonts w:ascii="Times New Roman" w:cs="Times New Roman" w:eastAsia="Times New Roman" w:hAnsi="Times New Roman"/>
          <w:b w:val="0"/>
          <w:bCs w:val="0"/>
          <w:color w:val="212b32"/>
          <w:sz w:val="24"/>
          <w:szCs w:val="24"/>
        </w:rPr>
      </w:pPr>
      <w:bookmarkStart w:colFirst="0" w:colLast="0" w:name="_heading=h.6eehudoaniz1" w:id="0"/>
      <w:bookmarkEnd w:id="0"/>
      <w:r w:rsidDel="00000000" w:rsidR="00000000" w:rsidRPr="00000000">
        <w:rPr>
          <w:rFonts w:ascii="Times New Roman" w:cs="Times New Roman" w:eastAsia="Times New Roman" w:hAnsi="Times New Roman"/>
          <w:b w:val="0"/>
          <w:bCs w:val="0"/>
          <w:color w:val="212b32"/>
          <w:sz w:val="24"/>
          <w:szCs w:val="24"/>
          <w:rtl w:val="0"/>
        </w:rPr>
        <w:t xml:space="preserve">Defining consent</w:t>
      </w:r>
    </w:p>
    <w:p w:rsidR="00000000" w:rsidDel="00000000" w:rsidP="00000000" w:rsidRDefault="00000000" w:rsidRPr="00000000" w14:paraId="0000000D">
      <w:pPr>
        <w:numPr>
          <w:ilvl w:val="0"/>
          <w:numId w:val="1"/>
        </w:numPr>
        <w:shd w:fill="f0f4f5" w:val="clear"/>
        <w:spacing w:after="0" w:afterAutospacing="0" w:line="353.68320000000006" w:lineRule="auto"/>
        <w:ind w:left="720" w:hanging="360"/>
        <w:rPr>
          <w:rFonts w:ascii="Times New Roman" w:cs="Times New Roman" w:eastAsia="Times New Roman" w:hAnsi="Times New Roman"/>
          <w:color w:val="212b32"/>
          <w:sz w:val="24"/>
          <w:szCs w:val="24"/>
        </w:rPr>
      </w:pPr>
      <w:r w:rsidDel="00000000" w:rsidR="00000000" w:rsidRPr="00000000">
        <w:rPr>
          <w:rFonts w:ascii="Times New Roman" w:cs="Times New Roman" w:eastAsia="Times New Roman" w:hAnsi="Times New Roman"/>
          <w:color w:val="212b32"/>
          <w:sz w:val="24"/>
          <w:szCs w:val="24"/>
          <w:rtl w:val="0"/>
        </w:rPr>
        <w:t xml:space="preserve">voluntary – the decision to either consent or not to consent to treatment must be made by the person, and must not be influenced by pressure from medical staff, friends or family</w:t>
      </w:r>
    </w:p>
    <w:p w:rsidR="00000000" w:rsidDel="00000000" w:rsidP="00000000" w:rsidRDefault="00000000" w:rsidRPr="00000000" w14:paraId="0000000E">
      <w:pPr>
        <w:numPr>
          <w:ilvl w:val="0"/>
          <w:numId w:val="1"/>
        </w:numPr>
        <w:shd w:fill="f0f4f5" w:val="clear"/>
        <w:spacing w:after="0" w:afterAutospacing="0" w:line="353.68320000000006" w:lineRule="auto"/>
        <w:ind w:left="720" w:hanging="360"/>
        <w:rPr>
          <w:rFonts w:ascii="Times New Roman" w:cs="Times New Roman" w:eastAsia="Times New Roman" w:hAnsi="Times New Roman"/>
          <w:color w:val="212b32"/>
          <w:sz w:val="24"/>
          <w:szCs w:val="24"/>
        </w:rPr>
      </w:pPr>
      <w:r w:rsidDel="00000000" w:rsidR="00000000" w:rsidRPr="00000000">
        <w:rPr>
          <w:rFonts w:ascii="Times New Roman" w:cs="Times New Roman" w:eastAsia="Times New Roman" w:hAnsi="Times New Roman"/>
          <w:color w:val="212b32"/>
          <w:sz w:val="24"/>
          <w:szCs w:val="24"/>
          <w:rtl w:val="0"/>
        </w:rPr>
        <w:t xml:space="preserve">informed – the person must be given all of the information about what the treatment involves, including the benefits and risks, whether there are reasonable alternative treatments, and what will happen if treatment does not go ahead</w:t>
      </w:r>
    </w:p>
    <w:p w:rsidR="00000000" w:rsidDel="00000000" w:rsidP="00000000" w:rsidRDefault="00000000" w:rsidRPr="00000000" w14:paraId="0000000F">
      <w:pPr>
        <w:numPr>
          <w:ilvl w:val="0"/>
          <w:numId w:val="1"/>
        </w:numPr>
        <w:shd w:fill="f0f4f5" w:val="clear"/>
        <w:spacing w:after="360" w:line="353.68320000000006" w:lineRule="auto"/>
        <w:ind w:left="720" w:hanging="360"/>
        <w:rPr>
          <w:rFonts w:ascii="Times New Roman" w:cs="Times New Roman" w:eastAsia="Times New Roman" w:hAnsi="Times New Roman"/>
          <w:color w:val="212b32"/>
          <w:sz w:val="24"/>
          <w:szCs w:val="24"/>
        </w:rPr>
      </w:pPr>
      <w:r w:rsidDel="00000000" w:rsidR="00000000" w:rsidRPr="00000000">
        <w:rPr>
          <w:rFonts w:ascii="Times New Roman" w:cs="Times New Roman" w:eastAsia="Times New Roman" w:hAnsi="Times New Roman"/>
          <w:color w:val="212b32"/>
          <w:sz w:val="24"/>
          <w:szCs w:val="24"/>
          <w:rtl w:val="0"/>
        </w:rPr>
        <w:t xml:space="preserve">capacity – the person must be capable of giving consent, which means they understand the information given to them and can use it to make an informed decision</w:t>
      </w:r>
    </w:p>
    <w:p w:rsidR="00000000" w:rsidDel="00000000" w:rsidP="00000000" w:rsidRDefault="00000000" w:rsidRPr="00000000" w14:paraId="00000010">
      <w:pPr>
        <w:spacing w:after="0" w:line="276" w:lineRule="auto"/>
        <w:rPr>
          <w:rFonts w:ascii="Arial" w:cs="Arial" w:eastAsia="Arial" w:hAnsi="Arial"/>
          <w:color w:val="0c2340"/>
          <w:sz w:val="24"/>
          <w:szCs w:val="24"/>
        </w:rPr>
      </w:pPr>
      <w:r w:rsidDel="00000000" w:rsidR="00000000" w:rsidRPr="00000000">
        <w:rPr>
          <w:rtl w:val="0"/>
        </w:rPr>
      </w:r>
    </w:p>
    <w:sectPr>
      <w:head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1">
    <w:pPr>
      <w:rPr>
        <w:sz w:val="40"/>
        <w:szCs w:val="40"/>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5F184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4-Accent5">
    <w:name w:val="Grid Table 4 Accent 5"/>
    <w:basedOn w:val="TableNormal"/>
    <w:uiPriority w:val="49"/>
    <w:rsid w:val="005C5458"/>
    <w:pPr>
      <w:spacing w:after="0"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color w:val="ffffff" w:themeColor="background1"/>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insideH w:space="0" w:sz="0" w:val="nil"/>
          <w:insideV w:space="0" w:sz="0" w:val="nil"/>
        </w:tcBorders>
        <w:shd w:color="auto" w:fill="5b9bd5" w:themeFill="accent5" w:val="clear"/>
      </w:tcPr>
    </w:tblStylePr>
    <w:tblStylePr w:type="lastRow">
      <w:rPr>
        <w:b w:val="1"/>
        <w:bCs w:val="1"/>
      </w:rPr>
      <w:tblPr/>
      <w:tcPr>
        <w:tcBorders>
          <w:top w:color="5b9bd5" w:space="0" w:sz="4" w:themeColor="accent5"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paragraph" w:styleId="Header">
    <w:name w:val="header"/>
    <w:basedOn w:val="Normal"/>
    <w:link w:val="HeaderChar"/>
    <w:uiPriority w:val="99"/>
    <w:unhideWhenUsed w:val="1"/>
    <w:rsid w:val="0063115B"/>
    <w:pPr>
      <w:tabs>
        <w:tab w:val="center" w:pos="4513"/>
        <w:tab w:val="right" w:pos="9026"/>
      </w:tabs>
      <w:spacing w:after="0" w:line="240" w:lineRule="auto"/>
    </w:pPr>
  </w:style>
  <w:style w:type="character" w:styleId="HeaderChar" w:customStyle="1">
    <w:name w:val="Header Char"/>
    <w:basedOn w:val="DefaultParagraphFont"/>
    <w:link w:val="Header"/>
    <w:uiPriority w:val="99"/>
    <w:rsid w:val="0063115B"/>
  </w:style>
  <w:style w:type="paragraph" w:styleId="Footer">
    <w:name w:val="footer"/>
    <w:basedOn w:val="Normal"/>
    <w:link w:val="FooterChar"/>
    <w:uiPriority w:val="99"/>
    <w:unhideWhenUsed w:val="1"/>
    <w:rsid w:val="0063115B"/>
    <w:pPr>
      <w:tabs>
        <w:tab w:val="center" w:pos="4513"/>
        <w:tab w:val="right" w:pos="9026"/>
      </w:tabs>
      <w:spacing w:after="0" w:line="240" w:lineRule="auto"/>
    </w:pPr>
  </w:style>
  <w:style w:type="character" w:styleId="FooterChar" w:customStyle="1">
    <w:name w:val="Footer Char"/>
    <w:basedOn w:val="DefaultParagraphFont"/>
    <w:link w:val="Footer"/>
    <w:uiPriority w:val="99"/>
    <w:rsid w:val="0063115B"/>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D5P4ycsPQYfUZloACdXZSsJxew==">CgMxLjAyDmguNmVlaHVkb2FuaXoxOAByITEycUczN0h4M3Jjcm5Ga1ZkM2szdmFhcGRacVlvY1V5ZQ==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2023-10-04T10:29:00Z</dcterms:created>
  <dc:creator>Donna Morgan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