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rPr>
          <w:rFonts w:ascii="Arial" w:hAnsi="Arial"/>
        </w:rPr>
      </w:pPr>
    </w:p>
    <w:p>
      <w:pPr>
        <w:pStyle w:val="Body"/>
        <w:spacing w:line="360" w:lineRule="auto"/>
        <w:rPr>
          <w:rFonts w:ascii="Arial" w:hAnsi="Arial"/>
        </w:rPr>
      </w:pPr>
      <w:r>
        <w:rPr>
          <w:rFonts w:ascii="Arial" w:hAnsi="Arial"/>
        </w:rPr>
        <w:drawing xmlns:a="http://schemas.openxmlformats.org/drawingml/2006/main">
          <wp:anchor distT="57150" distB="57150" distL="57150" distR="57150" simplePos="0" relativeHeight="251659264" behindDoc="0" locked="0" layoutInCell="1" allowOverlap="1">
            <wp:simplePos x="0" y="0"/>
            <wp:positionH relativeFrom="column">
              <wp:posOffset>0</wp:posOffset>
            </wp:positionH>
            <wp:positionV relativeFrom="line">
              <wp:posOffset>292100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p>
    <w:p>
      <w:pPr>
        <w:pStyle w:val="Body"/>
        <w:spacing w:line="360" w:lineRule="auto"/>
        <w:rPr>
          <w:rFonts w:ascii="Arial" w:hAnsi="Arial"/>
        </w:rPr>
      </w:pPr>
    </w:p>
    <w:p>
      <w:pPr>
        <w:pStyle w:val="Body"/>
        <w:spacing w:line="360" w:lineRule="auto"/>
        <w:rPr>
          <w:rFonts w:ascii="Arial" w:hAnsi="Arial"/>
        </w:rPr>
      </w:pPr>
    </w:p>
    <w:p>
      <w:pPr>
        <w:pStyle w:val="Body"/>
        <w:spacing w:line="360" w:lineRule="auto"/>
        <w:rPr>
          <w:rFonts w:ascii="Arial" w:hAnsi="Arial"/>
        </w:rPr>
      </w:pPr>
    </w:p>
    <w:p>
      <w:pPr>
        <w:pStyle w:val="Body"/>
        <w:tabs>
          <w:tab w:val="left" w:pos="6540"/>
        </w:tabs>
        <w:spacing w:line="360" w:lineRule="auto"/>
        <w:rPr>
          <w:rFonts w:ascii="Arial" w:hAnsi="Arial"/>
          <w:sz w:val="28"/>
          <w:szCs w:val="28"/>
        </w:rPr>
      </w:pPr>
    </w:p>
    <w:p>
      <w:pPr>
        <w:pStyle w:val="Body"/>
        <w:tabs>
          <w:tab w:val="left" w:pos="6540"/>
        </w:tabs>
        <w:spacing w:line="360" w:lineRule="auto"/>
        <w:rPr>
          <w:rFonts w:ascii="Arial" w:cs="Arial" w:hAnsi="Arial" w:eastAsia="Arial"/>
          <w:sz w:val="28"/>
          <w:szCs w:val="28"/>
        </w:rPr>
      </w:pPr>
      <w:r>
        <w:rPr>
          <w:rFonts w:ascii="Arial" w:hAnsi="Arial"/>
          <w:b w:val="1"/>
          <w:bCs w:val="1"/>
          <w:sz w:val="28"/>
          <w:szCs w:val="28"/>
          <w:rtl w:val="0"/>
          <w:lang w:val="nl-NL"/>
        </w:rPr>
        <w:t>Student name</w:t>
      </w:r>
      <w:r>
        <w:rPr>
          <w:rFonts w:ascii="Arial" w:hAnsi="Arial"/>
          <w:sz w:val="28"/>
          <w:szCs w:val="28"/>
          <w:rtl w:val="0"/>
          <w:lang w:val="nl-NL"/>
        </w:rPr>
        <w:t>:</w:t>
      </w:r>
      <w:r>
        <w:rPr>
          <w:rFonts w:ascii="Arial" w:hAnsi="Arial"/>
          <w:sz w:val="28"/>
          <w:szCs w:val="28"/>
          <w:rtl w:val="0"/>
          <w:lang w:val="nl-NL"/>
        </w:rPr>
        <w:t xml:space="preserve"> Luize Kludzina</w:t>
      </w:r>
    </w:p>
    <w:p>
      <w:pPr>
        <w:pStyle w:val="Body"/>
        <w:tabs>
          <w:tab w:val="left" w:pos="6540"/>
        </w:tabs>
        <w:spacing w:line="360" w:lineRule="auto"/>
        <w:rPr>
          <w:rFonts w:ascii="Arial" w:cs="Arial" w:hAnsi="Arial" w:eastAsia="Arial"/>
          <w:b w:val="1"/>
          <w:bCs w:val="1"/>
          <w:sz w:val="28"/>
          <w:szCs w:val="28"/>
        </w:rPr>
      </w:pPr>
      <w:r>
        <w:rPr>
          <w:rFonts w:ascii="Arial" w:hAnsi="Arial"/>
          <w:b w:val="1"/>
          <w:bCs w:val="1"/>
          <w:sz w:val="28"/>
          <w:szCs w:val="28"/>
          <w:rtl w:val="0"/>
          <w:lang w:val="nl-NL"/>
        </w:rPr>
        <w:t>Student ID</w:t>
      </w:r>
      <w:r>
        <w:rPr>
          <w:rFonts w:ascii="Arial" w:hAnsi="Arial"/>
          <w:sz w:val="28"/>
          <w:szCs w:val="28"/>
          <w:rtl w:val="0"/>
          <w:lang w:val="nl-NL"/>
        </w:rPr>
        <w:t>:</w:t>
      </w:r>
      <w:r>
        <w:rPr>
          <w:rFonts w:ascii="Arial" w:hAnsi="Arial"/>
          <w:sz w:val="28"/>
          <w:szCs w:val="28"/>
          <w:rtl w:val="0"/>
          <w:lang w:val="nl-NL"/>
        </w:rPr>
        <w:t xml:space="preserve"> </w:t>
      </w:r>
      <w:r>
        <w:rPr>
          <w:rFonts w:ascii="Arial" w:hAnsi="Arial"/>
          <w:b w:val="1"/>
          <w:bCs w:val="1"/>
          <w:sz w:val="28"/>
          <w:szCs w:val="28"/>
          <w:rtl w:val="0"/>
          <w:lang w:val="nl-NL"/>
        </w:rPr>
        <w:t>2422963</w:t>
      </w:r>
    </w:p>
    <w:p>
      <w:pPr>
        <w:pStyle w:val="Body"/>
        <w:tabs>
          <w:tab w:val="left" w:pos="6540"/>
        </w:tabs>
        <w:spacing w:line="360" w:lineRule="auto"/>
        <w:rPr>
          <w:rFonts w:ascii="Arial" w:cs="Arial" w:hAnsi="Arial" w:eastAsia="Arial"/>
          <w:sz w:val="28"/>
          <w:szCs w:val="28"/>
          <w:lang w:val="nl-NL"/>
        </w:rPr>
      </w:pPr>
    </w:p>
    <w:p>
      <w:pPr>
        <w:pStyle w:val="Body"/>
        <w:tabs>
          <w:tab w:val="left" w:pos="6540"/>
        </w:tabs>
        <w:spacing w:line="360" w:lineRule="auto"/>
        <w:rPr>
          <w:rFonts w:ascii="Arial" w:cs="Arial" w:hAnsi="Arial" w:eastAsia="Arial"/>
          <w:sz w:val="28"/>
          <w:szCs w:val="28"/>
        </w:rPr>
      </w:pPr>
      <w:r>
        <w:rPr>
          <w:rFonts w:ascii="Arial" w:hAnsi="Arial"/>
          <w:b w:val="1"/>
          <w:bCs w:val="1"/>
          <w:sz w:val="28"/>
          <w:szCs w:val="28"/>
          <w:rtl w:val="0"/>
          <w:lang w:val="nl-NL"/>
        </w:rPr>
        <w:t>Module name</w:t>
      </w:r>
      <w:r>
        <w:rPr>
          <w:rFonts w:ascii="Arial" w:hAnsi="Arial"/>
          <w:sz w:val="28"/>
          <w:szCs w:val="28"/>
          <w:rtl w:val="0"/>
          <w:lang w:val="nl-NL"/>
        </w:rPr>
        <w:t>: Protecting and Supporting Families in Health and Care</w:t>
      </w:r>
    </w:p>
    <w:p>
      <w:pPr>
        <w:pStyle w:val="Body"/>
        <w:tabs>
          <w:tab w:val="left" w:pos="6540"/>
        </w:tabs>
        <w:spacing w:line="360" w:lineRule="auto"/>
        <w:rPr>
          <w:rFonts w:ascii="Arial" w:cs="Arial" w:hAnsi="Arial" w:eastAsia="Arial"/>
          <w:b w:val="1"/>
          <w:bCs w:val="1"/>
          <w:sz w:val="28"/>
          <w:szCs w:val="28"/>
        </w:rPr>
      </w:pPr>
      <w:r>
        <w:rPr>
          <w:rFonts w:ascii="Arial" w:hAnsi="Arial"/>
          <w:b w:val="1"/>
          <w:bCs w:val="1"/>
          <w:sz w:val="28"/>
          <w:szCs w:val="28"/>
          <w:rtl w:val="0"/>
          <w:lang w:val="en-US"/>
        </w:rPr>
        <w:t>Module code</w:t>
      </w:r>
      <w:r>
        <w:rPr>
          <w:rFonts w:ascii="Arial" w:hAnsi="Arial"/>
          <w:sz w:val="28"/>
          <w:szCs w:val="28"/>
          <w:rtl w:val="0"/>
        </w:rPr>
        <w:t>:</w:t>
      </w:r>
      <w:r>
        <w:rPr>
          <w:rFonts w:ascii="Arial" w:hAnsi="Arial"/>
          <w:sz w:val="28"/>
          <w:szCs w:val="28"/>
          <w:rtl w:val="0"/>
        </w:rPr>
        <w:t xml:space="preserve"> </w:t>
      </w:r>
      <w:r>
        <w:rPr>
          <w:rFonts w:ascii="Arial" w:hAnsi="Arial"/>
          <w:b w:val="1"/>
          <w:bCs w:val="1"/>
          <w:sz w:val="28"/>
          <w:szCs w:val="28"/>
          <w:rtl w:val="0"/>
        </w:rPr>
        <w:t xml:space="preserve">BMHP5021 </w:t>
      </w:r>
    </w:p>
    <w:p>
      <w:pPr>
        <w:pStyle w:val="Body"/>
        <w:tabs>
          <w:tab w:val="left" w:pos="6540"/>
        </w:tabs>
        <w:spacing w:line="360" w:lineRule="auto"/>
        <w:rPr>
          <w:rFonts w:ascii="Arial" w:cs="Arial" w:hAnsi="Arial" w:eastAsia="Arial"/>
          <w:sz w:val="28"/>
          <w:szCs w:val="28"/>
        </w:rPr>
      </w:pPr>
      <w:r>
        <w:rPr>
          <w:rFonts w:ascii="Arial" w:hAnsi="Arial"/>
          <w:b w:val="1"/>
          <w:bCs w:val="1"/>
          <w:sz w:val="28"/>
          <w:szCs w:val="28"/>
          <w:rtl w:val="0"/>
          <w:lang w:val="fr-FR"/>
        </w:rPr>
        <w:t>Lecturer name</w:t>
      </w:r>
      <w:r>
        <w:rPr>
          <w:rFonts w:ascii="Arial" w:hAnsi="Arial"/>
          <w:sz w:val="28"/>
          <w:szCs w:val="28"/>
          <w:rtl w:val="0"/>
        </w:rPr>
        <w:t>:</w:t>
      </w:r>
      <w:r>
        <w:rPr>
          <w:rFonts w:ascii="Arial" w:hAnsi="Arial"/>
          <w:sz w:val="28"/>
          <w:szCs w:val="28"/>
          <w:rtl w:val="0"/>
        </w:rPr>
        <w:t xml:space="preserve"> Amanda Jones</w:t>
      </w:r>
    </w:p>
    <w:p>
      <w:pPr>
        <w:pStyle w:val="Body"/>
        <w:tabs>
          <w:tab w:val="left" w:pos="6540"/>
        </w:tabs>
        <w:spacing w:line="360" w:lineRule="auto"/>
        <w:rPr>
          <w:rFonts w:ascii="Arial" w:cs="Arial" w:hAnsi="Arial" w:eastAsia="Arial"/>
          <w:b w:val="1"/>
          <w:bCs w:val="1"/>
          <w:sz w:val="28"/>
          <w:szCs w:val="28"/>
        </w:rPr>
      </w:pPr>
    </w:p>
    <w:p>
      <w:pPr>
        <w:pStyle w:val="Body"/>
        <w:tabs>
          <w:tab w:val="left" w:pos="6540"/>
        </w:tabs>
        <w:spacing w:line="360" w:lineRule="auto"/>
        <w:rPr>
          <w:rFonts w:ascii="Arial" w:cs="Arial" w:hAnsi="Arial" w:eastAsia="Arial"/>
          <w:b w:val="1"/>
          <w:bCs w:val="1"/>
          <w:sz w:val="28"/>
          <w:szCs w:val="28"/>
        </w:rPr>
      </w:pPr>
      <w:r>
        <w:rPr>
          <w:rFonts w:ascii="Arial" w:hAnsi="Arial"/>
          <w:b w:val="1"/>
          <w:bCs w:val="1"/>
          <w:sz w:val="28"/>
          <w:szCs w:val="28"/>
          <w:rtl w:val="0"/>
          <w:lang w:val="en-US"/>
        </w:rPr>
        <w:t xml:space="preserve">Assessment (REPORT): </w:t>
      </w:r>
      <w:r>
        <w:rPr>
          <w:rFonts w:ascii="Arial" w:hAnsi="Arial"/>
          <w:sz w:val="28"/>
          <w:szCs w:val="28"/>
          <w:rtl w:val="0"/>
          <w:lang w:val="en-US"/>
        </w:rPr>
        <w:t xml:space="preserve">An examination and analysis of how the </w:t>
      </w:r>
      <w:r>
        <w:rPr>
          <w:rFonts w:ascii="Arial" w:hAnsi="Arial" w:hint="default"/>
          <w:sz w:val="28"/>
          <w:szCs w:val="28"/>
          <w:rtl w:val="0"/>
          <w:lang w:val="en-US"/>
        </w:rPr>
        <w:t>‘</w:t>
      </w:r>
      <w:r>
        <w:rPr>
          <w:rFonts w:ascii="Arial" w:hAnsi="Arial"/>
          <w:sz w:val="28"/>
          <w:szCs w:val="28"/>
          <w:rtl w:val="0"/>
          <w:lang w:val="en-US"/>
        </w:rPr>
        <w:t>Early Help</w:t>
      </w:r>
      <w:r>
        <w:rPr>
          <w:rFonts w:ascii="Arial" w:hAnsi="Arial" w:hint="default"/>
          <w:sz w:val="28"/>
          <w:szCs w:val="28"/>
          <w:rtl w:val="0"/>
          <w:lang w:val="en-US"/>
        </w:rPr>
        <w:t xml:space="preserve">’ </w:t>
      </w:r>
      <w:r>
        <w:rPr>
          <w:rFonts w:ascii="Arial" w:hAnsi="Arial"/>
          <w:sz w:val="28"/>
          <w:szCs w:val="28"/>
          <w:rtl w:val="0"/>
          <w:lang w:val="en-US"/>
        </w:rPr>
        <w:t>system is signposted to UK families by their local authority website.</w:t>
      </w:r>
    </w:p>
    <w:p>
      <w:pPr>
        <w:pStyle w:val="Body"/>
        <w:tabs>
          <w:tab w:val="left" w:pos="6540"/>
        </w:tabs>
        <w:spacing w:line="360" w:lineRule="auto"/>
        <w:rPr>
          <w:rFonts w:ascii="Arial" w:cs="Arial" w:hAnsi="Arial" w:eastAsia="Arial"/>
          <w:sz w:val="28"/>
          <w:szCs w:val="28"/>
        </w:rPr>
      </w:pPr>
    </w:p>
    <w:p>
      <w:pPr>
        <w:pStyle w:val="Body"/>
        <w:spacing w:line="360" w:lineRule="auto"/>
      </w:pPr>
      <w:r>
        <w:rPr>
          <w:rFonts w:ascii="Arial Unicode MS" w:cs="Arial Unicode MS" w:hAnsi="Arial Unicode MS" w:eastAsia="Arial Unicode MS"/>
          <w:b w:val="0"/>
          <w:bCs w:val="0"/>
          <w:i w:val="0"/>
          <w:iCs w:val="0"/>
          <w:sz w:val="28"/>
          <w:szCs w:val="28"/>
        </w:rPr>
        <w:br w:type="page"/>
      </w:r>
    </w:p>
    <w:p>
      <w:pPr>
        <w:pStyle w:val="Heading"/>
        <w:spacing w:line="360" w:lineRule="auto"/>
      </w:pPr>
      <w:r>
        <w:rPr>
          <w:rFonts w:ascii="Arial Unicode MS" w:cs="Arial Unicode MS" w:hAnsi="Arial Unicode MS" w:eastAsia="Arial Unicode MS"/>
          <w:b w:val="0"/>
          <w:bCs w:val="0"/>
          <w:i w:val="0"/>
          <w:iCs w:val="0"/>
          <w:sz w:val="28"/>
          <w:szCs w:val="28"/>
        </w:rPr>
        <w:br w:type="page"/>
      </w:r>
    </w:p>
    <w:p>
      <w:pPr>
        <w:pStyle w:val="Body"/>
        <w:rPr>
          <w:rFonts w:ascii="Arial" w:cs="Arial" w:hAnsi="Arial" w:eastAsia="Arial"/>
          <w:sz w:val="28"/>
          <w:szCs w:val="28"/>
        </w:rPr>
      </w:pPr>
    </w:p>
    <w:p>
      <w:pPr>
        <w:pStyle w:val="Heading"/>
        <w:spacing w:line="360" w:lineRule="auto"/>
        <w:rPr>
          <w:sz w:val="28"/>
          <w:szCs w:val="28"/>
        </w:rPr>
      </w:pPr>
    </w:p>
    <w:p>
      <w:pPr>
        <w:pStyle w:val="Heading"/>
        <w:spacing w:line="360" w:lineRule="auto"/>
      </w:pPr>
      <w:r>
        <w:rPr>
          <w:rtl w:val="0"/>
          <w:lang w:val="fr-FR"/>
        </w:rPr>
        <w:t xml:space="preserve">1. Introduction </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Early Help System operates as a network of services and professionals rather than as one individual service. It aims to provide timely support to children, young people, and their families by recognising their needs at an early stage and providing appropriate interventions before these develop into more serious safeguarding concerns, such as abuse or neglect. A key element of Early Help is multi-agency partnership working, where different professionals and organisations work together to coordinate support based on the individual needs of children and families.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examine how the Early Help System connects with wider strategic multi-agency safeguarding practice, this report will focus on the approaches presented by three local authorities: Norfolk County Council, Leeds City Council, and Tower Hamlets Council. Their safeguarding frameworks and online information will be analysed to consider how effectively each local authority coordinates multi-agency support and addresses emerging safeguarding concerns.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report will begin by exploring the role of the Early Help System within wider safeguarding practice. It will then discuss the significance of multi-agency and interdisciplinary working in delivering effective support. Finally, the approaches of the three local authorities will be compared and critically evaluated to identify their main strengths and weaknesses.</w:t>
      </w:r>
    </w:p>
    <w:p>
      <w:pPr>
        <w:pStyle w:val="Default"/>
        <w:bidi w:val="0"/>
        <w:spacing w:before="0" w:after="213" w:line="240" w:lineRule="auto"/>
        <w:ind w:left="0" w:right="0" w:firstLine="0"/>
        <w:jc w:val="left"/>
        <w:rPr>
          <w:rFonts w:ascii="Arial" w:cs="Arial" w:hAnsi="Arial" w:eastAsia="Arial"/>
          <w:outline w:val="0"/>
          <w:color w:val="8eaadb"/>
          <w:sz w:val="22"/>
          <w:szCs w:val="22"/>
          <w:u w:color="8eaadb"/>
          <w:shd w:val="clear" w:color="auto" w:fill="c5c5c5"/>
          <w:rtl w:val="0"/>
          <w14:textFill>
            <w14:solidFill>
              <w14:srgbClr w14:val="8EAADB"/>
            </w14:solidFill>
          </w14:textFill>
        </w:rPr>
      </w:pPr>
    </w:p>
    <w:p>
      <w:pPr>
        <w:pStyle w:val="Body"/>
        <w:tabs>
          <w:tab w:val="left" w:pos="6540"/>
        </w:tabs>
        <w:spacing w:line="360" w:lineRule="auto"/>
        <w:rPr>
          <w:rFonts w:ascii="Arial" w:cs="Arial" w:hAnsi="Arial" w:eastAsia="Arial"/>
          <w:outline w:val="0"/>
          <w:color w:val="8eaadb"/>
          <w:sz w:val="22"/>
          <w:szCs w:val="22"/>
          <w:u w:color="8eaadb"/>
          <w14:textFill>
            <w14:solidFill>
              <w14:srgbClr w14:val="8EAADB"/>
            </w14:solidFill>
          </w14:textFill>
        </w:rPr>
      </w:pPr>
    </w:p>
    <w:p>
      <w:pPr>
        <w:pStyle w:val="Heading"/>
        <w:spacing w:line="360" w:lineRule="auto"/>
      </w:pPr>
      <w:r>
        <w:rPr>
          <w:rtl w:val="0"/>
          <w:lang w:val="en-US"/>
        </w:rPr>
        <w:t>2. Main body</w:t>
      </w:r>
    </w:p>
    <w:p>
      <w:pPr>
        <w:pStyle w:val="Body"/>
      </w:pPr>
    </w:p>
    <w:p>
      <w:pPr>
        <w:pStyle w:val="Heading 2"/>
      </w:pPr>
      <w:r>
        <w:rPr>
          <w:rtl w:val="0"/>
        </w:rPr>
        <w:t xml:space="preserve"> The Early  Help System</w:t>
      </w:r>
    </w:p>
    <w:p>
      <w:pPr>
        <w:pStyle w:val="Body"/>
        <w:tabs>
          <w:tab w:val="left" w:pos="6540"/>
        </w:tabs>
        <w:spacing w:line="360" w:lineRule="auto"/>
        <w:rPr>
          <w:rFonts w:ascii="Arial" w:cs="Arial" w:hAnsi="Arial" w:eastAsia="Arial"/>
          <w:i w:val="1"/>
          <w:iCs w:val="1"/>
        </w:rPr>
      </w:pP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c5c5c5"/>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The Early Help System is a network of services designed to provide early intervention for children, young people, and families experiencing emerging safeguarding concerns. It is a broad and complex system that aims to ensure families receive appropriate support before their needs escalate and require more intensive or statutory intervention. Early Help brings together a range of services, including housing associations, crisis helplines, and GPs, which may contribute to identifying and responding to families</w:t>
      </w:r>
      <w:r>
        <w:rPr>
          <w:rFonts w:ascii="Times New Roman" w:hAnsi="Times New Roman" w:hint="default"/>
          <w:outline w:val="0"/>
          <w:color w:val="000000"/>
          <w:sz w:val="22"/>
          <w:szCs w:val="22"/>
          <w:shd w:val="clear" w:color="auto" w:fill="ffffff"/>
          <w:rtl w:val="1"/>
          <w14:textFill>
            <w14:solidFill>
              <w14:srgbClr w14:val="000000">
                <w14:alpha w14:val="15293"/>
              </w14:srgbClr>
            </w14:solidFill>
          </w14:textFill>
        </w:rPr>
        <w:t xml:space="preserve">’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needs at an early stage (Selwyn, 2022).</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A central principle of the Early Help framework is the involvement of families in decisions about the support they receive. Although supporting families and preventing crises are important aspects of Early Help, maintaining a</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child-centred approach</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is equally essential. The Department for Education (2026) emphasises the importance of considering the child's voice when decisions or changes affecting the family are being made. Listening to children can provide professionals with a more comprehensive understanding of their experiences and needs, while also helping to identify safeguarding concerns that might otherwise be overlooked.</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This approach is supported by the</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Children Act 1989, which provides an important legal foundation for supporting children and families. Section 17 places a duty on local authorities to safeguard and</w:t>
      </w:r>
      <w:r>
        <w:rPr>
          <w:rFonts w:ascii="Times New Roman" w:hAnsi="Times New Roman"/>
          <w:outline w:val="0"/>
          <w:color w:val="000000"/>
          <w:sz w:val="22"/>
          <w:szCs w:val="22"/>
          <w:shd w:val="clear" w:color="auto" w:fill="ffffff"/>
          <w:rtl w:val="0"/>
          <w14:textFill>
            <w14:solidFill>
              <w14:srgbClr w14:val="000000">
                <w14:alpha w14:val="15293"/>
              </w14:srgbClr>
            </w14:solidFill>
          </w14:textFill>
        </w:rPr>
        <w:t xml:space="preserve">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promote the welfare of children in need and, where appropriate, provide services to meet those needs.</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An effective Early Help System also depends on clear leadership and appropriate information-sharing between professionals and organisations. Sharing relevant information can help services identify families</w:t>
      </w:r>
      <w:r>
        <w:rPr>
          <w:rFonts w:ascii="Times New Roman" w:hAnsi="Times New Roman" w:hint="default"/>
          <w:outline w:val="0"/>
          <w:color w:val="000000"/>
          <w:sz w:val="22"/>
          <w:szCs w:val="22"/>
          <w:shd w:val="clear" w:color="auto" w:fill="ffffff"/>
          <w:rtl w:val="1"/>
          <w14:textFill>
            <w14:solidFill>
              <w14:srgbClr w14:val="000000">
                <w14:alpha w14:val="15293"/>
              </w14:srgbClr>
            </w14:solidFill>
          </w14:textFill>
        </w:rPr>
        <w:t xml:space="preserve">’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emerging needs, coordinate appropriate interventions, and evaluate outcomes. Consequently, effective coordination can contribute to improved outcomes for children and families while enabling support to be provided before more intensive statutory intervention becomes necessary (Department for Education, 2022).</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Rather than individual services working separately with a child or family, Early Help relies on professionals working collaboratively towards shared outcomes. This requires effective</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multi-agency and interdisciplinary working, recognising that safeguarding is a shared responsibility rather than the responsibility of one organisation. Professionals across health, social care, education, and other relevant services can therefore contribute their different areas of expertise to develop a more comprehensive understanding of the needs of children and their families.</w:t>
      </w:r>
    </w:p>
    <w:p>
      <w:pPr>
        <w:pStyle w:val="Default"/>
        <w:bidi w:val="0"/>
        <w:spacing w:before="0" w:after="320" w:line="360" w:lineRule="auto"/>
        <w:ind w:left="0" w:right="0" w:firstLine="0"/>
        <w:jc w:val="left"/>
        <w:rPr>
          <w:rFonts w:ascii="Arial" w:cs="Arial" w:hAnsi="Arial" w:eastAsia="Arial"/>
          <w:outline w:val="0"/>
          <w:color w:val="000000"/>
          <w:sz w:val="24"/>
          <w:szCs w:val="24"/>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As The Early Help System focuses on providing support to children and families before concerns become more serious and require intervention. However, the ability to provide early support may be affected by limited funding, resources and staff availability, which can create delays in accessing appropriate services. As a result, children's and families' needs may become more complex before support is provided, potentially increasing the need for more intensive intervention later. (Ofsted, 2023)</w:t>
      </w:r>
    </w:p>
    <w:p>
      <w:pPr>
        <w:pStyle w:val="Default"/>
        <w:bidi w:val="0"/>
        <w:spacing w:before="0" w:after="320" w:line="240" w:lineRule="auto"/>
        <w:ind w:left="0" w:right="0" w:firstLine="0"/>
        <w:jc w:val="left"/>
        <w:rPr>
          <w:outline w:val="0"/>
          <w:color w:val="000000"/>
          <w:sz w:val="32"/>
          <w:szCs w:val="32"/>
          <w:shd w:val="clear" w:color="auto" w:fill="c5c5c5"/>
          <w:rtl w:val="0"/>
          <w14:textFill>
            <w14:solidFill>
              <w14:srgbClr w14:val="000000">
                <w14:alpha w14:val="15293"/>
              </w14:srgbClr>
            </w14:solidFill>
          </w14:textFill>
        </w:rPr>
      </w:pPr>
      <w:r>
        <w:rPr>
          <w:outline w:val="0"/>
          <w:color w:val="000000"/>
          <w:sz w:val="32"/>
          <w:szCs w:val="32"/>
          <w:shd w:val="clear" w:color="auto" w:fill="c5c5c5"/>
          <w:rtl w:val="0"/>
          <w14:textFill>
            <w14:solidFill>
              <w14:srgbClr w14:val="000000">
                <w14:alpha w14:val="15293"/>
              </w14:srgbClr>
            </w14:solidFill>
          </w14:textFill>
        </w:rPr>
        <w:t> </w:t>
      </w:r>
    </w:p>
    <w:p>
      <w:pPr>
        <w:pStyle w:val="Heading 2"/>
      </w:pPr>
      <w:r>
        <w:rPr>
          <w:rtl w:val="0"/>
        </w:rPr>
        <w:t>Multi-agency working and interdisciplinary working:</w:t>
      </w:r>
    </w:p>
    <w:p>
      <w:pPr>
        <w:pStyle w:val="Body"/>
      </w:pPr>
    </w:p>
    <w:p>
      <w:pPr>
        <w:pStyle w:val="Default"/>
        <w:bidi w:val="0"/>
        <w:spacing w:before="0" w:after="213"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Multi- agency working is a crucial part of the Early Help System, as it allows different organisations and professionals work in partnership to support children and families. This approach creates a network of support, including, social workers, health professionals and if the safeguarding danger arises, police. By merging different professionals, multi-agency working can provide a more comprehensive understanding of a family's circumstances and allow appropriate support to be provided when a crisis arrives. </w:t>
      </w:r>
    </w:p>
    <w:p>
      <w:pPr>
        <w:pStyle w:val="Default"/>
        <w:bidi w:val="0"/>
        <w:spacing w:before="0" w:after="213"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Information sharing is essential part of the multi-agency working. Not every practitioner or involved in a case has an extensive understanding of all what is happening within a child's lives. Therefore, it is essential communication between practitioners and services, which ensures all the concerns have been taken into consideration. Furthermore, information sharing allows to identify behavioural patterns and emerging safeguarding risks, which may not be apparent to another practitioner or service. As for example, it may reveal repeated incidents of child running away from home, absence from class and or a victim of organised crime. Collaboration and information sharing allow to develop a broader understanding of the emerging crisis and respond appropriately. There might be information sharing concerns and privacy laws, however, The Data Protection Act 2018 and UK GDPR ensures that data can be shared appropriately, if it involves safety of a child. (Department for Education, 2026)</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Effective leadership is fundamental to successful multi-agency safeguarding, as it ensures that different organisations work towards shared safeguarding priorities. Lead Safeguarding Partners (LSPs), including senior leaders from local authorities, Integrated Care Boards and the police, have the authority to make decisions concerning policy, resources and professional practice on behalf of their organisations. They are also responsible for holding their individual agencies accountable for their contribution to local safeguarding arrangements.</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de-DE"/>
          <w14:textFill>
            <w14:solidFill>
              <w14:srgbClr w14:val="000000">
                <w14:alpha w14:val="15293"/>
              </w14:srgbClr>
            </w14:solidFill>
          </w14:textFill>
        </w:rPr>
        <w:t>(CPTUKA, 2015)</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Although each LSP retains responsibility for meeting their organisation's statutory safeguarding duties, effective leadership requires partners to work collectively rather than solely representing the interests of their individual agencies. This joint responsibility allows safeguarding partners to oversee local arrangements, involve relevant agencies and evaluate whether existing systems are effectively protecting children. Therefore, regular communication and shared accountability between senior leaders can contribute to greater consistency and coordination across the safeguarding system. </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However, the effectiveness of this leadership structure depends on the willingness of individual organisations to share responsibility and challenge one another. If agencies prioritise their own organisational interests, multi-agency decision-making may become fragmented and undermine the coordinated approach that the safeguarding system is intended to provide. (Department for Education, 2026)</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c5c5c5"/>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Alongside effective multi-agency leadership, interdisciplinary working is important within the Early Help System, particularly when children and families have complex needs requiring different forms of professional expertise. Lennox-Chhugani (2023) explains the</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interdisciplinary working involves integrating the knowledge and expertise of different professionals to address complex problems and achieve shared goals. This can be particularly valuable within Early Help, as professionals from social care, healthcare, education and other disciplines may have different knowledge of a child's circumstances. Combining these perspectives can contribute to a </w:t>
      </w:r>
      <w:r>
        <w:rPr>
          <w:rFonts w:ascii="Times New Roman" w:hAnsi="Times New Roman"/>
          <w:outline w:val="0"/>
          <w:color w:val="000000"/>
          <w:sz w:val="22"/>
          <w:szCs w:val="22"/>
          <w:shd w:val="clear" w:color="auto" w:fill="ffffff"/>
          <w:rtl w:val="0"/>
          <w14:textFill>
            <w14:solidFill>
              <w14:srgbClr w14:val="000000">
                <w14:alpha w14:val="15293"/>
              </w14:srgbClr>
            </w14:solidFill>
          </w14:textFill>
        </w:rPr>
        <w:t>better</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understanding of the child and family's needs and support more informed decision-making.</w:t>
      </w:r>
      <w:r>
        <w:rPr>
          <w:rFonts w:ascii="Times New Roman" w:hAnsi="Times New Roman" w:hint="default"/>
          <w:outline w:val="0"/>
          <w:color w:val="000000"/>
          <w:sz w:val="22"/>
          <w:szCs w:val="22"/>
          <w:shd w:val="clear" w:color="auto" w:fill="c5c5c5"/>
          <w:rtl w:val="0"/>
          <w14:textFill>
            <w14:solidFill>
              <w14:srgbClr w14:val="000000">
                <w14:alpha w14:val="15293"/>
              </w14:srgbClr>
            </w14:solidFill>
          </w14:textFill>
        </w:rPr>
        <w:t> </w:t>
      </w:r>
    </w:p>
    <w:p>
      <w:pPr>
        <w:pStyle w:val="Heading 2"/>
      </w:pPr>
      <w:r>
        <w:rPr>
          <w:rtl w:val="0"/>
        </w:rPr>
        <w:t>Evaluation of 3 council websites:</w:t>
      </w:r>
    </w:p>
    <w:p>
      <w:pPr>
        <w:pStyle w:val="Body"/>
        <w:rPr>
          <w:shd w:val="clear" w:color="auto" w:fill="c5c5c5"/>
        </w:rPr>
      </w:pPr>
    </w:p>
    <w:p>
      <w:pPr>
        <w:pStyle w:val="Default"/>
        <w:bidi w:val="0"/>
        <w:spacing w:before="0" w:after="213"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Local authorities play a significant role in ensuring that the</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children and families are aware of the Early Help and support services available within their local area. However, the effectiveness of these services may also depend on how clearly and accessibly information is communicated to families. (GOV.UK, 2023)</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This section will compare the three local council websites - Norfolk County Council, Leeds City Council and lastly Tower Hamlets council, considering the accessibility of Early Help System, ease of navigation, clarity and referral ways. By identifying strengths and weaknesses of each website. This gives an effective viewpoint they enable families to locate and access appropriate support at an early stage. </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Norfolk County Council provides a wide range of information about Early Help and other support available to children and families. A significant strength is the accessibility of this information, as Early Help can be located through the Children and Families section or through the website's search function. The council also provides extensive guidance explaining preventative support and different levels of need, which can help families understand what assistance is available and when additional support may be required. Furthermore, Norfolk provides a separate online resource where families can explore available services and identify support relevant to their circumstances. This is particularly beneficial as it provides families with both information about Early Help and a practical route towards accessing appropriate services.</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In addition to information provided for families, the</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Norfolk Safeguarding Children Partnership (NSCP)</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provides a dedicated collection of Early Help resources for professionals working with children. These include guidance relating to Early Help assessments and plans, practical tools and resources designed to support practitioners in recognising and responding to the needs of children and families (Norfolk Safeguarding Children Partnership, n.d.). This is a particular strength because effective Early Help depends not only on families being able to locate appropriate services, but also on practitioners having clear guidance to support consistent practice and appropriate intervention.</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Overall, the combination of clear navigation, detailed guidance and dedicated resources for both families and professionals makes Norfolk online Early Help provision relatively user-friendly. However, the amount of information available across the main council website and separate support resources may require users to move between different platforms, which could potentially affect continuity of navigation.</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In comparison with Norfolk County Council, the support services available through the Leeds City Council website may be less immediately visible when first accessing the website. Although a wide range of Early Help and family support is available, users may need to navigate through different sections or use the search function to identify the appropriate services. This could create difficulties for families who know that they require support but are unsure which service would be most suitable for their circumstances.</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However, a significant strength of the Leeds website is its</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interactive and user-focused interface</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once the relevant family information section is accessed. Information is organised according to different needs and circumstances, allowing families to explore services rather than requiring them to already know the name of a particular service. Leeds also provides detailed</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One-Minute Guides, which explain Early Help, Family Hubs and other forms of support in an accessible format. This provides families with further information about what different services offer and how support can be accessed. Therefore, although Norfolk provides a clearer initial route to family support services, Leeds offers a more interactive and comprehensive experience once the relevant information has been located.</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In comparison with Norfolk County Council and Leeds City Council, the Tower Hamlets Council website may be more difficult for families to navigate when searching for Early Help and other support services. A significant weakness is the organisation and presentation of information, as relevant support is located across several sections and webpages. The number of different service names, such as</w:t>
      </w:r>
      <w:r>
        <w:rPr>
          <w:rFonts w:ascii="Times New Roman" w:hAnsi="Times New Roman"/>
          <w:outline w:val="0"/>
          <w:color w:val="000000"/>
          <w:sz w:val="22"/>
          <w:szCs w:val="22"/>
          <w:shd w:val="clear" w:color="auto" w:fill="ffffff"/>
          <w:rtl w:val="0"/>
          <w14:textFill>
            <w14:solidFill>
              <w14:srgbClr w14:val="000000">
                <w14:alpha w14:val="15293"/>
              </w14:srgbClr>
            </w14:solidFill>
          </w14:textFill>
        </w:rPr>
        <w:t>,</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Early Help, MAST, Best Start Family Hubs and the Family Information Service, may also make it difficult for users who are unfamiliar with the local support system to understand which service is most appropriate for their needs.</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p>
    <w:p>
      <w:pPr>
        <w:pStyle w:val="Default"/>
        <w:bidi w:val="0"/>
        <w:spacing w:before="0" w:line="360" w:lineRule="auto"/>
        <w:ind w:left="0" w:right="0" w:firstLine="0"/>
        <w:jc w:val="left"/>
        <w:rPr>
          <w:rFonts w:ascii="Times New Roman" w:cs="Times New Roman" w:hAnsi="Times New Roman" w:eastAsia="Times New Roman"/>
          <w:sz w:val="22"/>
          <w:szCs w:val="22"/>
          <w:rtl w:val="0"/>
        </w:rPr>
      </w:pPr>
      <w:r>
        <w:rPr>
          <w:rFonts w:ascii="Times New Roman" w:hAnsi="Times New Roman"/>
          <w:sz w:val="22"/>
          <w:szCs w:val="22"/>
          <w:rtl w:val="0"/>
          <w:lang w:val="en-US"/>
        </w:rPr>
        <w:t>Once located, Tower Hamlets provides detailed information about universal and targeted support, including mental health, housing, financial difficulties and SEND. However, the main weakness is the organisation of this information, as a clearer and more user-friendly interface could make services easier for families to find and access.</w:t>
      </w:r>
    </w:p>
    <w:p>
      <w:pPr>
        <w:pStyle w:val="Default"/>
        <w:bidi w:val="0"/>
        <w:spacing w:before="0" w:after="320" w:line="240" w:lineRule="auto"/>
        <w:ind w:left="0" w:right="0" w:firstLine="0"/>
        <w:jc w:val="left"/>
        <w:rPr>
          <w:rFonts w:ascii="Arial" w:cs="Arial" w:hAnsi="Arial" w:eastAsia="Arial"/>
          <w:outline w:val="0"/>
          <w:color w:val="000000"/>
          <w:sz w:val="32"/>
          <w:szCs w:val="32"/>
          <w:shd w:val="clear" w:color="auto" w:fill="c5c5c5"/>
          <w:rtl w:val="0"/>
          <w14:textFill>
            <w14:solidFill>
              <w14:srgbClr w14:val="000000">
                <w14:alpha w14:val="15293"/>
              </w14:srgbClr>
            </w14:solidFill>
          </w14:textFill>
        </w:rPr>
      </w:pPr>
    </w:p>
    <w:p>
      <w:pPr>
        <w:pStyle w:val="Heading"/>
      </w:pPr>
      <w:r>
        <w:rPr>
          <w:rFonts w:cs="Arial Unicode MS" w:eastAsia="Arial Unicode MS"/>
          <w:rtl w:val="0"/>
          <w:lang w:val="it-IT"/>
        </w:rPr>
        <w:t>3. Conclusion</w:t>
      </w:r>
    </w:p>
    <w:p>
      <w:pPr>
        <w:pStyle w:val="Body"/>
        <w:spacing w:line="360" w:lineRule="auto"/>
        <w:rPr>
          <w:sz w:val="22"/>
          <w:szCs w:val="22"/>
        </w:rPr>
      </w:pPr>
      <w:r>
        <w:rPr>
          <w:sz w:val="22"/>
          <w:szCs w:val="22"/>
          <w:rtl w:val="0"/>
          <w:lang w:val="en-US"/>
        </w:rPr>
        <w:t>In conclusion, the Early Help System provides preventative support to children and families before their needs escalate and require statutory intervention. Its effectiveness depends on multi-agency and interdisciplinary working, effective information sharing and strong leadership to ensure that children and families receive appropriate and coordinated support.</w:t>
      </w:r>
    </w:p>
    <w:p>
      <w:pPr>
        <w:pStyle w:val="Body"/>
        <w:spacing w:line="360" w:lineRule="auto"/>
        <w:rPr>
          <w:sz w:val="22"/>
          <w:szCs w:val="22"/>
        </w:rPr>
      </w:pPr>
      <w:r>
        <w:rPr>
          <w:sz w:val="22"/>
          <w:szCs w:val="22"/>
          <w:rtl w:val="0"/>
          <w:lang w:val="en-US"/>
        </w:rPr>
        <w:t>The comparison of the three local authorities identified different strengths and weaknesses. Leeds provides detailed guidance and interactive resources, although some services can be difficult to find. Tower Hamlets provides extensive support information, but its website can be more difficult to navigate due to information being spread across different sections. In comparison, Norfolk provides clearer navigation alongside detailed Early Help guidance and resources for both families and professionals.</w:t>
      </w:r>
    </w:p>
    <w:p>
      <w:pPr>
        <w:pStyle w:val="Body"/>
        <w:spacing w:line="360" w:lineRule="auto"/>
        <w:rPr>
          <w:rFonts w:ascii="Arial" w:cs="Arial" w:hAnsi="Arial" w:eastAsia="Arial"/>
          <w:sz w:val="22"/>
          <w:szCs w:val="22"/>
        </w:rPr>
      </w:pPr>
      <w:r>
        <w:rPr>
          <w:sz w:val="22"/>
          <w:szCs w:val="22"/>
          <w:rtl w:val="0"/>
          <w:lang w:val="en-US"/>
        </w:rPr>
        <w:t>Overall, Norfolk County Council provides the most effective information, as its Early Help services are relatively easy to locate, clearly explained and supported by additional resources. This makes it easier for families to understand the support available and identify services appropriate to their needs.</w:t>
      </w:r>
    </w:p>
    <w:p>
      <w:pPr>
        <w:pStyle w:val="Heading"/>
        <w:spacing w:line="360" w:lineRule="auto"/>
      </w:pPr>
      <w:r>
        <w:rPr>
          <w:rtl w:val="0"/>
          <w:lang w:val="en-US"/>
        </w:rPr>
        <w:t xml:space="preserve">4. Recommendations </w:t>
      </w:r>
    </w:p>
    <w:p>
      <w:pPr>
        <w:pStyle w:val="Body"/>
        <w:spacing w:line="360" w:lineRule="auto"/>
        <w:rPr>
          <w:rFonts w:ascii="Arial" w:cs="Arial" w:hAnsi="Arial" w:eastAsia="Arial"/>
          <w:sz w:val="22"/>
          <w:szCs w:val="22"/>
        </w:rPr>
      </w:pPr>
      <w:r>
        <w:rPr>
          <w:sz w:val="22"/>
          <w:szCs w:val="22"/>
          <w:rtl w:val="0"/>
          <w:lang w:val="en-US"/>
        </w:rPr>
        <w:t>Services should strengthen multi-agency communication, provide clearer pathways to support and ensure children and families are actively involved in decision-making. Regular feedback should also be collected to identify gaps and improve service effectiveness.</w:t>
      </w:r>
    </w:p>
    <w:p>
      <w:pPr>
        <w:pStyle w:val="Heading"/>
      </w:pPr>
      <w:r>
        <w:rPr>
          <w:rFonts w:cs="Arial Unicode MS" w:eastAsia="Arial Unicode MS"/>
          <w:rtl w:val="0"/>
        </w:rPr>
        <w:t>5. References</w:t>
      </w:r>
    </w:p>
    <w:p>
      <w:pPr>
        <w:pStyle w:val="Body"/>
        <w:rPr>
          <w:rFonts w:ascii="Arial" w:cs="Arial" w:hAnsi="Arial" w:eastAsia="Arial"/>
        </w:rPr>
      </w:pP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pt-PT"/>
          <w14:textFill>
            <w14:solidFill>
              <w14:srgbClr w14:val="000000">
                <w14:alpha w14:val="15293"/>
              </w14:srgbClr>
            </w14:solidFill>
          </w14:textFill>
        </w:rPr>
        <w:t>CPTUKAdmin (2015).</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i w:val="1"/>
          <w:iCs w:val="1"/>
          <w:outline w:val="0"/>
          <w:color w:val="000000"/>
          <w:sz w:val="22"/>
          <w:szCs w:val="22"/>
          <w:shd w:val="clear" w:color="auto" w:fill="ffffff"/>
          <w:rtl w:val="0"/>
          <w:lang w:val="en-US"/>
          <w14:textFill>
            <w14:solidFill>
              <w14:srgbClr w14:val="000000">
                <w14:alpha w14:val="15293"/>
              </w14:srgbClr>
            </w14:solidFill>
          </w14:textFill>
        </w:rPr>
        <w:t>What Are Local Safeguarding Partnerships?</w:t>
      </w:r>
      <w:r>
        <w:rPr>
          <w:rFonts w:ascii="Times New Roman" w:hAnsi="Times New Roman" w:hint="default"/>
          <w:i w:val="1"/>
          <w:iCs w:val="1"/>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[online] Childprotectionuk.co.uk. Available at: </w: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begin" w:fldLock="0"/>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instrText xml:space="preserve"> HYPERLINK "https://childprotectionuk.co.uk/blog/?p=2405&amp;post=what-are-local-safeguarding-partnerships"</w:instrTex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separate" w:fldLock="0"/>
      </w:r>
      <w:r>
        <w:rPr>
          <w:rStyle w:val="Hyperlink.0"/>
          <w:rFonts w:ascii="Times New Roman" w:hAnsi="Times New Roman"/>
          <w:outline w:val="0"/>
          <w:color w:val="467885"/>
          <w:sz w:val="22"/>
          <w:szCs w:val="22"/>
          <w:u w:val="single" w:color="467885"/>
          <w:shd w:val="clear" w:color="auto" w:fill="ffffff"/>
          <w:rtl w:val="0"/>
          <w:lang w:val="en-US"/>
          <w14:textFill>
            <w14:solidFill>
              <w14:srgbClr w14:val="467886"/>
            </w14:solidFill>
          </w14:textFill>
        </w:rPr>
        <w:t>https://childprotectionuk.co.uk/blog/?p=2405&amp;post=what-are-local-safeguarding-partnerships</w:t>
      </w:r>
      <w:r>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fldChar w:fldCharType="end" w:fldLock="0"/>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[Accessed 14 Aug. 2026].</w:t>
      </w:r>
      <w:r>
        <w:rPr>
          <w:rStyle w:val="None"/>
          <w:rFonts w:ascii="Times New Roman" w:hAnsi="Times New Roman" w:hint="default"/>
          <w:outline w:val="0"/>
          <w:color w:val="000000"/>
          <w:sz w:val="22"/>
          <w:szCs w:val="22"/>
          <w:shd w:val="clear" w:color="auto" w:fill="c5c5c5"/>
          <w:rtl w:val="0"/>
          <w14:textFill>
            <w14:solidFill>
              <w14:srgbClr w14:val="000000">
                <w14:alpha w14:val="15293"/>
              </w14:srgbClr>
            </w14:solidFill>
          </w14:textFill>
        </w:rPr>
        <w:t> </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Department for Education (2022). Early help system guide A toolkit to assist local strategic partnerships responsible for their early help system. [online] Available at: </w: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begin" w:fldLock="0"/>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instrText xml:space="preserve"> HYPERLINK "https://assets.publishing.service.gov.uk/media/628de13be90e071f5f7e1bd2/Early_Help_System_Guide.pdf"</w:instrTex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separate" w:fldLock="0"/>
      </w:r>
      <w:r>
        <w:rPr>
          <w:rStyle w:val="Hyperlink.0"/>
          <w:rFonts w:ascii="Times New Roman" w:hAnsi="Times New Roman"/>
          <w:outline w:val="0"/>
          <w:color w:val="467885"/>
          <w:sz w:val="22"/>
          <w:szCs w:val="22"/>
          <w:u w:val="single" w:color="467885"/>
          <w:shd w:val="clear" w:color="auto" w:fill="ffffff"/>
          <w:rtl w:val="0"/>
          <w:lang w:val="en-US"/>
          <w14:textFill>
            <w14:solidFill>
              <w14:srgbClr w14:val="467886"/>
            </w14:solidFill>
          </w14:textFill>
        </w:rPr>
        <w:t>https://assets.publishing.service.gov.uk/media/628de13be90e071f5f7e1bd2/Early_Help_System_Guide.pdf</w:t>
      </w:r>
      <w:r>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fldChar w:fldCharType="end" w:fldLock="0"/>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[Accessed 10 Aug. 2026].</w:t>
      </w:r>
      <w:r>
        <w:rPr>
          <w:rStyle w:val="None"/>
          <w:rFonts w:ascii="Times New Roman" w:hAnsi="Times New Roman" w:hint="default"/>
          <w:outline w:val="0"/>
          <w:color w:val="000000"/>
          <w:sz w:val="22"/>
          <w:szCs w:val="22"/>
          <w:shd w:val="clear" w:color="auto" w:fill="c5c5c5"/>
          <w:rtl w:val="0"/>
          <w14:textFill>
            <w14:solidFill>
              <w14:srgbClr w14:val="000000">
                <w14:alpha w14:val="15293"/>
              </w14:srgbClr>
            </w14:solidFill>
          </w14:textFill>
        </w:rPr>
        <w:t> </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Department for Education (2026). Working together to safeguard children 2026. In:</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shd w:val="clear" w:color="auto" w:fill="ffffff"/>
          <w:rtl w:val="0"/>
          <w:lang w:val="en-US"/>
          <w14:textFill>
            <w14:solidFill>
              <w14:srgbClr w14:val="000000">
                <w14:alpha w14:val="15293"/>
              </w14:srgbClr>
            </w14:solidFill>
          </w14:textFill>
        </w:rPr>
        <w:t>A guide to multi-agency working to help, protect and promote the welfare of children</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[online] Available at: </w: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begin" w:fldLock="0"/>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instrText xml:space="preserve"> HYPERLINK "https://assets.publishing.service.gov.uk/media/69fb1c28d0e316a40f269a5b/Working_together_to_safeguard_children_2026_a_guide_to_multi_agency_working.pdf"</w:instrTex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separate" w:fldLock="0"/>
      </w:r>
      <w:r>
        <w:rPr>
          <w:rStyle w:val="Hyperlink.0"/>
          <w:rFonts w:ascii="Times New Roman" w:hAnsi="Times New Roman"/>
          <w:outline w:val="0"/>
          <w:color w:val="467885"/>
          <w:sz w:val="22"/>
          <w:szCs w:val="22"/>
          <w:u w:val="single" w:color="467885"/>
          <w:shd w:val="clear" w:color="auto" w:fill="ffffff"/>
          <w:rtl w:val="0"/>
          <w:lang w:val="en-US"/>
          <w14:textFill>
            <w14:solidFill>
              <w14:srgbClr w14:val="467886"/>
            </w14:solidFill>
          </w14:textFill>
        </w:rPr>
        <w:t>https://assets.publishing.service.gov.uk/media/69fb1c28d0e316a40f269a5b/Working_together_to_safeguard_children_2026_a_guide_to_multi_agency_working.pdf</w:t>
      </w:r>
      <w:r>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fldChar w:fldCharType="end" w:fldLock="0"/>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[Accessed 12 Aug. 2026].</w:t>
      </w:r>
      <w:r>
        <w:rPr>
          <w:rStyle w:val="None"/>
          <w:rFonts w:ascii="Times New Roman" w:hAnsi="Times New Roman" w:hint="default"/>
          <w:outline w:val="0"/>
          <w:color w:val="000000"/>
          <w:sz w:val="22"/>
          <w:szCs w:val="22"/>
          <w:shd w:val="clear" w:color="auto" w:fill="c5c5c5"/>
          <w:rtl w:val="0"/>
          <w14:textFill>
            <w14:solidFill>
              <w14:srgbClr w14:val="000000">
                <w14:alpha w14:val="15293"/>
              </w14:srgbClr>
            </w14:solidFill>
          </w14:textFill>
        </w:rPr>
        <w:t> </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Dixon, S., Kendall, B., Driscoll, J. and Pope, C. (2022). Supporting the </w:t>
      </w:r>
      <w:r>
        <w:rPr>
          <w:rFonts w:ascii="Times New Roman" w:hAnsi="Times New Roman" w:hint="default"/>
          <w:outline w:val="0"/>
          <w:color w:val="000000"/>
          <w:sz w:val="22"/>
          <w:szCs w:val="22"/>
          <w:shd w:val="clear" w:color="auto" w:fill="ffffff"/>
          <w:rtl w:val="1"/>
          <w14:textFill>
            <w14:solidFill>
              <w14:srgbClr w14:val="000000">
                <w14:alpha w14:val="15293"/>
              </w14:srgbClr>
            </w14:solidFill>
          </w14:textFill>
        </w:rPr>
        <w:t>‘</w:t>
      </w:r>
      <w:r>
        <w:rPr>
          <w:rFonts w:ascii="Times New Roman" w:hAnsi="Times New Roman"/>
          <w:outline w:val="0"/>
          <w:color w:val="000000"/>
          <w:sz w:val="22"/>
          <w:szCs w:val="22"/>
          <w:shd w:val="clear" w:color="auto" w:fill="ffffff"/>
          <w:rtl w:val="0"/>
          <w14:textFill>
            <w14:solidFill>
              <w14:srgbClr w14:val="000000">
                <w14:alpha w14:val="15293"/>
              </w14:srgbClr>
            </w14:solidFill>
          </w14:textFill>
        </w:rPr>
        <w:t>multi</w:t>
      </w:r>
      <w:r>
        <w:rPr>
          <w:rFonts w:ascii="Times New Roman" w:hAnsi="Times New Roman" w:hint="default"/>
          <w:outline w:val="0"/>
          <w:color w:val="000000"/>
          <w:sz w:val="22"/>
          <w:szCs w:val="22"/>
          <w:shd w:val="clear" w:color="auto" w:fill="ffffff"/>
          <w:rtl w:val="1"/>
          <w14:textFill>
            <w14:solidFill>
              <w14:srgbClr w14:val="000000">
                <w14:alpha w14:val="15293"/>
              </w14:srgbClr>
            </w14:solidFill>
          </w14:textFill>
        </w:rPr>
        <w:t xml:space="preserve">’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in multi-agency working: Learning with and from each other could enable multi-agency safeguarding.</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shd w:val="clear" w:color="auto" w:fill="ffffff"/>
          <w:rtl w:val="0"/>
          <w:lang w:val="en-US"/>
          <w14:textFill>
            <w14:solidFill>
              <w14:srgbClr w14:val="000000">
                <w14:alpha w14:val="15293"/>
              </w14:srgbClr>
            </w14:solidFill>
          </w14:textFill>
        </w:rPr>
        <w:t>British Journal of General Practice</w:t>
      </w:r>
      <w:r>
        <w:rPr>
          <w:rFonts w:ascii="Times New Roman" w:hAnsi="Times New Roman"/>
          <w:outline w:val="0"/>
          <w:color w:val="000000"/>
          <w:sz w:val="22"/>
          <w:szCs w:val="22"/>
          <w:shd w:val="clear" w:color="auto" w:fill="ffffff"/>
          <w:rtl w:val="0"/>
          <w:lang w:val="pt-PT"/>
          <w14:textFill>
            <w14:solidFill>
              <w14:srgbClr w14:val="000000">
                <w14:alpha w14:val="15293"/>
              </w14:srgbClr>
            </w14:solidFill>
          </w14:textFill>
        </w:rPr>
        <w:t>, [online] 72(722), pp.438</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w:t>
      </w:r>
      <w:r>
        <w:rPr>
          <w:rFonts w:ascii="Times New Roman" w:hAnsi="Times New Roman"/>
          <w:outline w:val="0"/>
          <w:color w:val="000000"/>
          <w:sz w:val="22"/>
          <w:szCs w:val="22"/>
          <w:shd w:val="clear" w:color="auto" w:fill="ffffff"/>
          <w:rtl w:val="0"/>
          <w14:textFill>
            <w14:solidFill>
              <w14:srgbClr w14:val="000000">
                <w14:alpha w14:val="15293"/>
              </w14:srgbClr>
            </w14:solidFill>
          </w14:textFill>
        </w:rPr>
        <w:t>439. doi:10.3399/bjgp22x720617.</w:t>
      </w:r>
      <w:r>
        <w:rPr>
          <w:rStyle w:val="None"/>
          <w:rFonts w:ascii="Times New Roman" w:hAnsi="Times New Roman" w:hint="default"/>
          <w:outline w:val="0"/>
          <w:color w:val="000000"/>
          <w:sz w:val="22"/>
          <w:szCs w:val="22"/>
          <w:shd w:val="clear" w:color="auto" w:fill="c5c5c5"/>
          <w:rtl w:val="0"/>
          <w14:textFill>
            <w14:solidFill>
              <w14:srgbClr w14:val="000000">
                <w14:alpha w14:val="15293"/>
              </w14:srgbClr>
            </w14:solidFill>
          </w14:textFill>
        </w:rPr>
        <w:t> </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Early Help Resources (2023).</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shd w:val="clear" w:color="auto" w:fill="ffffff"/>
          <w:rtl w:val="0"/>
          <w:lang w:val="en-US"/>
          <w14:textFill>
            <w14:solidFill>
              <w14:srgbClr w14:val="000000">
                <w14:alpha w14:val="15293"/>
              </w14:srgbClr>
            </w14:solidFill>
          </w14:textFill>
        </w:rPr>
        <w:t>Early help resources</w:t>
      </w:r>
      <w:r>
        <w:rPr>
          <w:rFonts w:ascii="Times New Roman" w:hAnsi="Times New Roman"/>
          <w:outline w:val="0"/>
          <w:color w:val="000000"/>
          <w:sz w:val="22"/>
          <w:szCs w:val="22"/>
          <w:shd w:val="clear" w:color="auto" w:fill="ffffff"/>
          <w:rtl w:val="0"/>
          <w:lang w:val="pt-PT"/>
          <w14:textFill>
            <w14:solidFill>
              <w14:srgbClr w14:val="000000">
                <w14:alpha w14:val="15293"/>
              </w14:srgbClr>
            </w14:solidFill>
          </w14:textFill>
        </w:rPr>
        <w:t>. [online]</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shd w:val="clear" w:color="auto" w:fill="ffffff"/>
          <w:rtl w:val="0"/>
          <w:lang w:val="en-US"/>
          <w14:textFill>
            <w14:solidFill>
              <w14:srgbClr w14:val="000000">
                <w14:alpha w14:val="15293"/>
              </w14:srgbClr>
            </w14:solidFill>
          </w14:textFill>
        </w:rPr>
        <w:t>Norfolk Safeguarding Children Partnership</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Available at: </w: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begin" w:fldLock="0"/>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instrText xml:space="preserve"> HYPERLINK "https://norfolklscp.org.uk/people-working-with-children/early-help/early-help-resources"</w:instrTex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separate" w:fldLock="0"/>
      </w:r>
      <w:r>
        <w:rPr>
          <w:rStyle w:val="Hyperlink.0"/>
          <w:rFonts w:ascii="Times New Roman" w:hAnsi="Times New Roman"/>
          <w:outline w:val="0"/>
          <w:color w:val="467885"/>
          <w:sz w:val="22"/>
          <w:szCs w:val="22"/>
          <w:u w:val="single" w:color="467885"/>
          <w:shd w:val="clear" w:color="auto" w:fill="ffffff"/>
          <w:rtl w:val="0"/>
          <w:lang w:val="en-US"/>
          <w14:textFill>
            <w14:solidFill>
              <w14:srgbClr w14:val="467886"/>
            </w14:solidFill>
          </w14:textFill>
        </w:rPr>
        <w:t>https://norfolklscp.org.uk/people-working-with-children/early-help/early-help-resources</w:t>
      </w:r>
      <w:r>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fldChar w:fldCharType="end" w:fldLock="0"/>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[Accessed 12 Aug. 2026].</w:t>
      </w:r>
      <w:r>
        <w:rPr>
          <w:rStyle w:val="None"/>
          <w:rFonts w:ascii="Times New Roman" w:hAnsi="Times New Roman" w:hint="default"/>
          <w:outline w:val="0"/>
          <w:color w:val="000000"/>
          <w:sz w:val="22"/>
          <w:szCs w:val="22"/>
          <w:shd w:val="clear" w:color="auto" w:fill="c5c5c5"/>
          <w:rtl w:val="0"/>
          <w14:textFill>
            <w14:solidFill>
              <w14:srgbClr w14:val="000000">
                <w14:alpha w14:val="15293"/>
              </w14:srgbClr>
            </w14:solidFill>
          </w14:textFill>
        </w:rPr>
        <w:t> </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14:textFill>
            <w14:solidFill>
              <w14:srgbClr w14:val="000000">
                <w14:alpha w14:val="15293"/>
              </w14:srgbClr>
            </w14:solidFill>
          </w14:textFill>
        </w:rPr>
        <w:t>GOV.UK (1989).</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shd w:val="clear" w:color="auto" w:fill="ffffff"/>
          <w:rtl w:val="0"/>
          <w:lang w:val="en-US"/>
          <w14:textFill>
            <w14:solidFill>
              <w14:srgbClr w14:val="000000">
                <w14:alpha w14:val="15293"/>
              </w14:srgbClr>
            </w14:solidFill>
          </w14:textFill>
        </w:rPr>
        <w:t>Children act 1989 section 17</w:t>
      </w:r>
      <w:r>
        <w:rPr>
          <w:rFonts w:ascii="Times New Roman" w:hAnsi="Times New Roman"/>
          <w:outline w:val="0"/>
          <w:color w:val="000000"/>
          <w:sz w:val="22"/>
          <w:szCs w:val="22"/>
          <w:shd w:val="clear" w:color="auto" w:fill="ffffff"/>
          <w:rtl w:val="0"/>
          <w:lang w:val="pt-PT"/>
          <w14:textFill>
            <w14:solidFill>
              <w14:srgbClr w14:val="000000">
                <w14:alpha w14:val="15293"/>
              </w14:srgbClr>
            </w14:solidFill>
          </w14:textFill>
        </w:rPr>
        <w:t>. [online]</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shd w:val="clear" w:color="auto" w:fill="ffffff"/>
          <w:rtl w:val="0"/>
          <w14:textFill>
            <w14:solidFill>
              <w14:srgbClr w14:val="000000">
                <w14:alpha w14:val="15293"/>
              </w14:srgbClr>
            </w14:solidFill>
          </w14:textFill>
        </w:rPr>
        <w:t>Legislation.gov.uk</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Available at: </w: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begin" w:fldLock="0"/>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instrText xml:space="preserve"> HYPERLINK "https://www.legislation.gov.uk/ukpga/1989/41/section/17"</w:instrTex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separate" w:fldLock="0"/>
      </w:r>
      <w:r>
        <w:rPr>
          <w:rStyle w:val="Hyperlink.0"/>
          <w:rFonts w:ascii="Times New Roman" w:hAnsi="Times New Roman"/>
          <w:outline w:val="0"/>
          <w:color w:val="467885"/>
          <w:sz w:val="22"/>
          <w:szCs w:val="22"/>
          <w:u w:val="single" w:color="467885"/>
          <w:shd w:val="clear" w:color="auto" w:fill="ffffff"/>
          <w:rtl w:val="0"/>
          <w:lang w:val="en-US"/>
          <w14:textFill>
            <w14:solidFill>
              <w14:srgbClr w14:val="467886"/>
            </w14:solidFill>
          </w14:textFill>
        </w:rPr>
        <w:t>https://www.legislation.gov.uk/ukpga/1989/41/section/17</w:t>
      </w:r>
      <w:r>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fldChar w:fldCharType="end" w:fldLock="0"/>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[Accessed 12 Aug. 2026].</w:t>
      </w:r>
      <w:r>
        <w:rPr>
          <w:rStyle w:val="None"/>
          <w:rFonts w:ascii="Times New Roman" w:hAnsi="Times New Roman" w:hint="default"/>
          <w:outline w:val="0"/>
          <w:color w:val="000000"/>
          <w:sz w:val="22"/>
          <w:szCs w:val="22"/>
          <w:shd w:val="clear" w:color="auto" w:fill="c5c5c5"/>
          <w:rtl w:val="0"/>
          <w14:textFill>
            <w14:solidFill>
              <w14:srgbClr w14:val="000000">
                <w14:alpha w14:val="15293"/>
              </w14:srgbClr>
            </w14:solidFill>
          </w14:textFill>
        </w:rPr>
        <w:t> </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14:textFill>
            <w14:solidFill>
              <w14:srgbClr w14:val="000000">
                <w14:alpha w14:val="15293"/>
              </w14:srgbClr>
            </w14:solidFill>
          </w14:textFill>
        </w:rPr>
        <w:t>GOVUK (2023).</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shd w:val="clear" w:color="auto" w:fill="ffffff"/>
          <w:rtl w:val="0"/>
          <w:lang w:val="en-US"/>
          <w14:textFill>
            <w14:solidFill>
              <w14:srgbClr w14:val="000000">
                <w14:alpha w14:val="15293"/>
              </w14:srgbClr>
            </w14:solidFill>
          </w14:textFill>
        </w:rPr>
        <w:t>Local agencies struggle to prioritise early help for children and families</w:t>
      </w:r>
      <w:r>
        <w:rPr>
          <w:rFonts w:ascii="Times New Roman" w:hAnsi="Times New Roman"/>
          <w:outline w:val="0"/>
          <w:color w:val="000000"/>
          <w:sz w:val="22"/>
          <w:szCs w:val="22"/>
          <w:shd w:val="clear" w:color="auto" w:fill="ffffff"/>
          <w:rtl w:val="0"/>
          <w:lang w:val="pt-PT"/>
          <w14:textFill>
            <w14:solidFill>
              <w14:srgbClr w14:val="000000">
                <w14:alpha w14:val="15293"/>
              </w14:srgbClr>
            </w14:solidFill>
          </w14:textFill>
        </w:rPr>
        <w:t>. [online]</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shd w:val="clear" w:color="auto" w:fill="ffffff"/>
          <w:rtl w:val="0"/>
          <w:lang w:val="nl-NL"/>
          <w14:textFill>
            <w14:solidFill>
              <w14:srgbClr w14:val="000000">
                <w14:alpha w14:val="15293"/>
              </w14:srgbClr>
            </w14:solidFill>
          </w14:textFill>
        </w:rPr>
        <w:t>GOV.UK</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Available at: </w: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begin" w:fldLock="0"/>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instrText xml:space="preserve"> HYPERLINK "https://www.gov.uk/government/news/local-agencies-struggle-to-prioritise-early-help-for-children-and-families"</w:instrText>
      </w:r>
      <w:r>
        <w:rPr>
          <w:rStyle w:val="Hyperlink.0"/>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separate" w:fldLock="0"/>
      </w:r>
      <w:r>
        <w:rPr>
          <w:rStyle w:val="Hyperlink.0"/>
          <w:rFonts w:ascii="Times New Roman" w:hAnsi="Times New Roman"/>
          <w:outline w:val="0"/>
          <w:color w:val="467885"/>
          <w:sz w:val="22"/>
          <w:szCs w:val="22"/>
          <w:u w:val="single" w:color="467885"/>
          <w:shd w:val="clear" w:color="auto" w:fill="ffffff"/>
          <w:rtl w:val="0"/>
          <w:lang w:val="en-US"/>
          <w14:textFill>
            <w14:solidFill>
              <w14:srgbClr w14:val="467886"/>
            </w14:solidFill>
          </w14:textFill>
        </w:rPr>
        <w:t>https://www.gov.uk/government/news/local-agencies-struggle-to-prioritise-early-help-for-children-and-families</w:t>
      </w:r>
      <w:r>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fldChar w:fldCharType="end" w:fldLock="0"/>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 [Accessed 12 Aug. 2026].</w:t>
      </w:r>
      <w:r>
        <w:rPr>
          <w:rStyle w:val="None"/>
          <w:rFonts w:ascii="Times New Roman" w:hAnsi="Times New Roman" w:hint="default"/>
          <w:outline w:val="0"/>
          <w:color w:val="000000"/>
          <w:sz w:val="22"/>
          <w:szCs w:val="22"/>
          <w:shd w:val="clear" w:color="auto" w:fill="c5c5c5"/>
          <w:rtl w:val="0"/>
          <w14:textFill>
            <w14:solidFill>
              <w14:srgbClr w14:val="000000">
                <w14:alpha w14:val="15293"/>
              </w14:srgbClr>
            </w14:solidFill>
          </w14:textFill>
        </w:rPr>
        <w:t> </w:t>
      </w:r>
    </w:p>
    <w:p>
      <w:pPr>
        <w:pStyle w:val="Default"/>
        <w:bidi w:val="0"/>
        <w:spacing w:before="0" w:after="320" w:line="360" w:lineRule="auto"/>
        <w:ind w:left="0" w:right="0" w:firstLine="0"/>
        <w:jc w:val="left"/>
        <w:rPr>
          <w:rFonts w:ascii="Times New Roman" w:cs="Times New Roman" w:hAnsi="Times New Roman" w:eastAsia="Times New Roman"/>
          <w:outline w:val="0"/>
          <w:color w:val="000000"/>
          <w:sz w:val="22"/>
          <w:szCs w:val="22"/>
          <w:shd w:val="clear" w:color="auto" w:fill="ffffff"/>
          <w:rtl w:val="0"/>
          <w14:textFill>
            <w14:solidFill>
              <w14:srgbClr w14:val="000000">
                <w14:alpha w14:val="15293"/>
              </w14:srgbClr>
            </w14:solidFill>
          </w14:textFill>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xml:space="preserve">Lennox-Chhugani, N. (2023). Inter-disciplinary work in the context of integrated care </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xml:space="preserve">–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a theoretical and methodological framework.</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shd w:val="clear" w:color="auto" w:fill="ffffff"/>
          <w:rtl w:val="0"/>
          <w:lang w:val="en-US"/>
          <w14:textFill>
            <w14:solidFill>
              <w14:srgbClr w14:val="000000">
                <w14:alpha w14:val="15293"/>
              </w14:srgbClr>
            </w14:solidFill>
          </w14:textFill>
        </w:rPr>
        <w:t xml:space="preserve">Inter-Disciplinary Work in the Context of Integrated Care </w:t>
      </w:r>
      <w:r>
        <w:rPr>
          <w:rStyle w:val="None"/>
          <w:rFonts w:ascii="Times New Roman" w:hAnsi="Times New Roman" w:hint="default"/>
          <w:i w:val="1"/>
          <w:iCs w:val="1"/>
          <w:outline w:val="0"/>
          <w:color w:val="000000"/>
          <w:sz w:val="22"/>
          <w:szCs w:val="22"/>
          <w:shd w:val="clear" w:color="auto" w:fill="ffffff"/>
          <w:rtl w:val="0"/>
          <w14:textFill>
            <w14:solidFill>
              <w14:srgbClr w14:val="000000">
                <w14:alpha w14:val="15293"/>
              </w14:srgbClr>
            </w14:solidFill>
          </w14:textFill>
        </w:rPr>
        <w:t xml:space="preserve">– </w:t>
      </w:r>
      <w:r>
        <w:rPr>
          <w:rStyle w:val="None"/>
          <w:rFonts w:ascii="Times New Roman" w:hAnsi="Times New Roman"/>
          <w:i w:val="1"/>
          <w:iCs w:val="1"/>
          <w:outline w:val="0"/>
          <w:color w:val="000000"/>
          <w:sz w:val="22"/>
          <w:szCs w:val="22"/>
          <w:shd w:val="clear" w:color="auto" w:fill="ffffff"/>
          <w:rtl w:val="0"/>
          <w:lang w:val="en-US"/>
          <w14:textFill>
            <w14:solidFill>
              <w14:srgbClr w14:val="000000">
                <w14:alpha w14:val="15293"/>
              </w14:srgbClr>
            </w14:solidFill>
          </w14:textFill>
        </w:rPr>
        <w:t>a Theoretical and Methodological Framework</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 [online] 23(2). doi:10.5334/ijic.7544. [Accessed 11 Aug. 2026]</w:t>
      </w:r>
      <w:r>
        <w:rPr>
          <w:rStyle w:val="None"/>
          <w:rFonts w:ascii="Times New Roman" w:hAnsi="Times New Roman" w:hint="default"/>
          <w:outline w:val="0"/>
          <w:color w:val="000000"/>
          <w:sz w:val="22"/>
          <w:szCs w:val="22"/>
          <w:shd w:val="clear" w:color="auto" w:fill="c5c5c5"/>
          <w:rtl w:val="0"/>
          <w14:textFill>
            <w14:solidFill>
              <w14:srgbClr w14:val="000000">
                <w14:alpha w14:val="15293"/>
              </w14:srgbClr>
            </w14:solidFill>
          </w14:textFill>
        </w:rPr>
        <w:t> </w:t>
      </w:r>
    </w:p>
    <w:p>
      <w:pPr>
        <w:pStyle w:val="Default"/>
        <w:bidi w:val="0"/>
        <w:spacing w:before="0" w:after="320" w:line="360" w:lineRule="auto"/>
        <w:ind w:left="0" w:right="0" w:firstLine="0"/>
        <w:jc w:val="left"/>
        <w:rPr>
          <w:rStyle w:val="None"/>
          <w:rFonts w:ascii="Times New Roman" w:cs="Times New Roman" w:hAnsi="Times New Roman" w:eastAsia="Times New Roman"/>
          <w:outline w:val="0"/>
          <w:color w:val="000000"/>
          <w:sz w:val="22"/>
          <w:szCs w:val="22"/>
          <w:u w:val="none" w:color="467885"/>
          <w:shd w:val="clear" w:color="auto" w:fill="ffffff"/>
          <w:rtl w:val="0"/>
          <w14:textFill>
            <w14:solidFill>
              <w14:srgbClr w14:val="000000">
                <w14:alpha w14:val="15293"/>
              </w14:srgbClr>
            </w14:solidFill>
          </w14:textFill>
        </w:rPr>
      </w:pPr>
      <w:r>
        <w:rPr>
          <w:rStyle w:val="None"/>
          <w:rFonts w:ascii="Times New Roman" w:hAnsi="Times New Roman"/>
          <w:outline w:val="0"/>
          <w:color w:val="000000"/>
          <w:sz w:val="22"/>
          <w:szCs w:val="22"/>
          <w:u w:val="none" w:color="467885"/>
          <w:shd w:val="clear" w:color="auto" w:fill="ffffff"/>
          <w:rtl w:val="0"/>
          <w14:textFill>
            <w14:solidFill>
              <w14:srgbClr w14:val="000000">
                <w14:alpha w14:val="15293"/>
              </w14:srgbClr>
            </w14:solidFill>
          </w14:textFill>
        </w:rPr>
        <w:t>NSPCC (2023).</w:t>
      </w:r>
      <w:r>
        <w:rPr>
          <w:rStyle w:val="None"/>
          <w:rFonts w:ascii="Times New Roman" w:hAnsi="Times New Roman" w:hint="default"/>
          <w:outline w:val="0"/>
          <w:color w:val="000000"/>
          <w:sz w:val="22"/>
          <w:szCs w:val="22"/>
          <w:u w:val="none" w:color="467885"/>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u w:val="none" w:color="467885"/>
          <w:shd w:val="clear" w:color="auto" w:fill="ffffff"/>
          <w:rtl w:val="0"/>
          <w:lang w:val="en-US"/>
          <w14:textFill>
            <w14:solidFill>
              <w14:srgbClr w14:val="000000">
                <w14:alpha w14:val="15293"/>
              </w14:srgbClr>
            </w14:solidFill>
          </w14:textFill>
        </w:rPr>
        <w:t>Early help and early intervention</w:t>
      </w:r>
      <w:r>
        <w:rPr>
          <w:rStyle w:val="None"/>
          <w:rFonts w:ascii="Times New Roman" w:hAnsi="Times New Roman"/>
          <w:outline w:val="0"/>
          <w:color w:val="000000"/>
          <w:sz w:val="22"/>
          <w:szCs w:val="22"/>
          <w:u w:val="none" w:color="467885"/>
          <w:shd w:val="clear" w:color="auto" w:fill="ffffff"/>
          <w:rtl w:val="0"/>
          <w:lang w:val="pt-PT"/>
          <w14:textFill>
            <w14:solidFill>
              <w14:srgbClr w14:val="000000">
                <w14:alpha w14:val="15293"/>
              </w14:srgbClr>
            </w14:solidFill>
          </w14:textFill>
        </w:rPr>
        <w:t>. [online]</w:t>
      </w:r>
      <w:r>
        <w:rPr>
          <w:rStyle w:val="None"/>
          <w:rFonts w:ascii="Times New Roman" w:hAnsi="Times New Roman" w:hint="default"/>
          <w:outline w:val="0"/>
          <w:color w:val="000000"/>
          <w:sz w:val="22"/>
          <w:szCs w:val="22"/>
          <w:u w:val="none" w:color="467885"/>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u w:val="none" w:color="467885"/>
          <w:shd w:val="clear" w:color="auto" w:fill="ffffff"/>
          <w:rtl w:val="0"/>
          <w:lang w:val="en-US"/>
          <w14:textFill>
            <w14:solidFill>
              <w14:srgbClr w14:val="000000">
                <w14:alpha w14:val="15293"/>
              </w14:srgbClr>
            </w14:solidFill>
          </w14:textFill>
        </w:rPr>
        <w:t>NSPCC Learning</w:t>
      </w:r>
      <w:r>
        <w:rPr>
          <w:rStyle w:val="None"/>
          <w:rFonts w:ascii="Times New Roman" w:hAnsi="Times New Roman"/>
          <w:outline w:val="0"/>
          <w:color w:val="000000"/>
          <w:sz w:val="22"/>
          <w:szCs w:val="22"/>
          <w:u w:val="none" w:color="467885"/>
          <w:shd w:val="clear" w:color="auto" w:fill="ffffff"/>
          <w:rtl w:val="0"/>
          <w:lang w:val="en-US"/>
          <w14:textFill>
            <w14:solidFill>
              <w14:srgbClr w14:val="000000">
                <w14:alpha w14:val="15293"/>
              </w14:srgbClr>
            </w14:solidFill>
          </w14:textFill>
        </w:rPr>
        <w:t xml:space="preserve">. Available at: </w:t>
      </w:r>
      <w:r>
        <w:rPr>
          <w:rStyle w:val="Hyperlink.1"/>
          <w:rFonts w:ascii="Times New Roman" w:cs="Times New Roman" w:hAnsi="Times New Roman" w:eastAsia="Times New Roman"/>
          <w:outline w:val="0"/>
          <w:color w:val="0563c1"/>
          <w:sz w:val="22"/>
          <w:szCs w:val="22"/>
          <w:u w:val="single" w:color="0563c1"/>
          <w:shd w:val="clear" w:color="auto" w:fill="ffffff"/>
          <w:rtl w:val="0"/>
          <w14:textFill>
            <w14:solidFill>
              <w14:srgbClr w14:val="0563C1"/>
            </w14:solidFill>
          </w14:textFill>
        </w:rPr>
        <w:fldChar w:fldCharType="begin" w:fldLock="0"/>
      </w:r>
      <w:r>
        <w:rPr>
          <w:rStyle w:val="Hyperlink.1"/>
          <w:rFonts w:ascii="Times New Roman" w:cs="Times New Roman" w:hAnsi="Times New Roman" w:eastAsia="Times New Roman"/>
          <w:outline w:val="0"/>
          <w:color w:val="0563c1"/>
          <w:sz w:val="22"/>
          <w:szCs w:val="22"/>
          <w:u w:val="single" w:color="0563c1"/>
          <w:shd w:val="clear" w:color="auto" w:fill="ffffff"/>
          <w:rtl w:val="0"/>
          <w14:textFill>
            <w14:solidFill>
              <w14:srgbClr w14:val="0563C1"/>
            </w14:solidFill>
          </w14:textFill>
        </w:rPr>
        <w:instrText xml:space="preserve"> HYPERLINK "https://learning.nspcc.org.uk/safeguarding-child-protection/early-help-and-early-intervention"</w:instrText>
      </w:r>
      <w:r>
        <w:rPr>
          <w:rStyle w:val="Hyperlink.1"/>
          <w:rFonts w:ascii="Times New Roman" w:cs="Times New Roman" w:hAnsi="Times New Roman" w:eastAsia="Times New Roman"/>
          <w:outline w:val="0"/>
          <w:color w:val="0563c1"/>
          <w:sz w:val="22"/>
          <w:szCs w:val="22"/>
          <w:u w:val="single" w:color="0563c1"/>
          <w:shd w:val="clear" w:color="auto" w:fill="ffffff"/>
          <w:rtl w:val="0"/>
          <w14:textFill>
            <w14:solidFill>
              <w14:srgbClr w14:val="0563C1"/>
            </w14:solidFill>
          </w14:textFill>
        </w:rPr>
        <w:fldChar w:fldCharType="separate" w:fldLock="0"/>
      </w:r>
      <w:r>
        <w:rPr>
          <w:rStyle w:val="Hyperlink.1"/>
          <w:rFonts w:ascii="Times New Roman" w:hAnsi="Times New Roman"/>
          <w:outline w:val="0"/>
          <w:color w:val="0563c1"/>
          <w:sz w:val="22"/>
          <w:szCs w:val="22"/>
          <w:u w:val="single" w:color="0563c1"/>
          <w:shd w:val="clear" w:color="auto" w:fill="ffffff"/>
          <w:rtl w:val="0"/>
          <w:lang w:val="en-US"/>
          <w14:textFill>
            <w14:solidFill>
              <w14:srgbClr w14:val="0563C1"/>
            </w14:solidFill>
          </w14:textFill>
        </w:rPr>
        <w:t>https://learning.nspcc.org.uk/safeguarding-child-protection/early-help-and-early-intervention</w:t>
      </w:r>
      <w:r>
        <w:rPr>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end" w:fldLock="0"/>
      </w:r>
      <w:r>
        <w:rPr>
          <w:rStyle w:val="None"/>
          <w:rFonts w:ascii="Times New Roman" w:hAnsi="Times New Roman"/>
          <w:outline w:val="0"/>
          <w:color w:val="000000"/>
          <w:sz w:val="22"/>
          <w:szCs w:val="22"/>
          <w:u w:val="none" w:color="467885"/>
          <w:shd w:val="clear" w:color="auto" w:fill="ffffff"/>
          <w:rtl w:val="0"/>
          <w:lang w:val="en-US"/>
          <w14:textFill>
            <w14:solidFill>
              <w14:srgbClr w14:val="000000">
                <w14:alpha w14:val="15293"/>
              </w14:srgbClr>
            </w14:solidFill>
          </w14:textFill>
        </w:rPr>
        <w:t xml:space="preserve"> [Accessed 11 Aug. 2026].</w:t>
      </w:r>
      <w:r>
        <w:rPr>
          <w:rStyle w:val="None"/>
          <w:rFonts w:ascii="Times New Roman" w:hAnsi="Times New Roman" w:hint="default"/>
          <w:outline w:val="0"/>
          <w:color w:val="000000"/>
          <w:sz w:val="22"/>
          <w:szCs w:val="22"/>
          <w:u w:val="none" w:color="467885"/>
          <w:shd w:val="clear" w:color="auto" w:fill="c5c5c5"/>
          <w:rtl w:val="0"/>
          <w14:textFill>
            <w14:solidFill>
              <w14:srgbClr w14:val="000000">
                <w14:alpha w14:val="15293"/>
              </w14:srgbClr>
            </w14:solidFill>
          </w14:textFill>
        </w:rPr>
        <w:t> </w:t>
      </w:r>
    </w:p>
    <w:p>
      <w:pPr>
        <w:pStyle w:val="Default"/>
        <w:bidi w:val="0"/>
        <w:spacing w:before="0" w:after="320" w:line="360" w:lineRule="auto"/>
        <w:ind w:left="0" w:right="0" w:firstLine="0"/>
        <w:jc w:val="left"/>
        <w:rPr>
          <w:rStyle w:val="None"/>
          <w:rFonts w:ascii="Times New Roman" w:cs="Times New Roman" w:hAnsi="Times New Roman" w:eastAsia="Times New Roman"/>
          <w:outline w:val="0"/>
          <w:color w:val="000000"/>
          <w:sz w:val="22"/>
          <w:szCs w:val="22"/>
          <w:u w:val="none" w:color="467885"/>
          <w:shd w:val="clear" w:color="auto" w:fill="ffffff"/>
          <w:rtl w:val="0"/>
          <w14:textFill>
            <w14:solidFill>
              <w14:srgbClr w14:val="000000">
                <w14:alpha w14:val="15293"/>
              </w14:srgbClr>
            </w14:solidFill>
          </w14:textFill>
        </w:rPr>
      </w:pPr>
      <w:r>
        <w:rPr>
          <w:rStyle w:val="None"/>
          <w:rFonts w:ascii="Times New Roman" w:hAnsi="Times New Roman"/>
          <w:outline w:val="0"/>
          <w:color w:val="000000"/>
          <w:sz w:val="22"/>
          <w:szCs w:val="22"/>
          <w:u w:val="none" w:color="467885"/>
          <w:shd w:val="clear" w:color="auto" w:fill="ffffff"/>
          <w:rtl w:val="0"/>
          <w14:textFill>
            <w14:solidFill>
              <w14:srgbClr w14:val="000000">
                <w14:alpha w14:val="15293"/>
              </w14:srgbClr>
            </w14:solidFill>
          </w14:textFill>
        </w:rPr>
        <w:t>Ofsted (2023).</w:t>
      </w:r>
      <w:r>
        <w:rPr>
          <w:rStyle w:val="None"/>
          <w:rFonts w:ascii="Times New Roman" w:hAnsi="Times New Roman" w:hint="default"/>
          <w:outline w:val="0"/>
          <w:color w:val="000000"/>
          <w:sz w:val="22"/>
          <w:szCs w:val="22"/>
          <w:u w:val="none" w:color="467885"/>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u w:val="none" w:color="467885"/>
          <w:shd w:val="clear" w:color="auto" w:fill="ffffff"/>
          <w:rtl w:val="0"/>
          <w:lang w:val="en-US"/>
          <w14:textFill>
            <w14:solidFill>
              <w14:srgbClr w14:val="000000">
                <w14:alpha w14:val="15293"/>
              </w14:srgbClr>
            </w14:solidFill>
          </w14:textFill>
        </w:rPr>
        <w:t>The multi-agency response to children and families who need help</w:t>
      </w:r>
      <w:r>
        <w:rPr>
          <w:rStyle w:val="None"/>
          <w:rFonts w:ascii="Times New Roman" w:hAnsi="Times New Roman"/>
          <w:outline w:val="0"/>
          <w:color w:val="000000"/>
          <w:sz w:val="22"/>
          <w:szCs w:val="22"/>
          <w:u w:val="none" w:color="467885"/>
          <w:shd w:val="clear" w:color="auto" w:fill="ffffff"/>
          <w:rtl w:val="0"/>
          <w:lang w:val="pt-PT"/>
          <w14:textFill>
            <w14:solidFill>
              <w14:srgbClr w14:val="000000">
                <w14:alpha w14:val="15293"/>
              </w14:srgbClr>
            </w14:solidFill>
          </w14:textFill>
        </w:rPr>
        <w:t>. [online]</w:t>
      </w:r>
      <w:r>
        <w:rPr>
          <w:rStyle w:val="None"/>
          <w:rFonts w:ascii="Times New Roman" w:hAnsi="Times New Roman" w:hint="default"/>
          <w:outline w:val="0"/>
          <w:color w:val="000000"/>
          <w:sz w:val="22"/>
          <w:szCs w:val="22"/>
          <w:u w:val="none" w:color="467885"/>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u w:val="none" w:color="467885"/>
          <w:shd w:val="clear" w:color="auto" w:fill="ffffff"/>
          <w:rtl w:val="0"/>
          <w:lang w:val="nl-NL"/>
          <w14:textFill>
            <w14:solidFill>
              <w14:srgbClr w14:val="000000">
                <w14:alpha w14:val="15293"/>
              </w14:srgbClr>
            </w14:solidFill>
          </w14:textFill>
        </w:rPr>
        <w:t>GOV.UK</w:t>
      </w:r>
      <w:r>
        <w:rPr>
          <w:rStyle w:val="None"/>
          <w:rFonts w:ascii="Times New Roman" w:hAnsi="Times New Roman"/>
          <w:outline w:val="0"/>
          <w:color w:val="000000"/>
          <w:sz w:val="22"/>
          <w:szCs w:val="22"/>
          <w:u w:val="none" w:color="467885"/>
          <w:shd w:val="clear" w:color="auto" w:fill="ffffff"/>
          <w:rtl w:val="0"/>
          <w:lang w:val="en-US"/>
          <w14:textFill>
            <w14:solidFill>
              <w14:srgbClr w14:val="000000">
                <w14:alpha w14:val="15293"/>
              </w14:srgbClr>
            </w14:solidFill>
          </w14:textFill>
        </w:rPr>
        <w:t xml:space="preserve">. Available at: </w:t>
      </w:r>
      <w:r>
        <w:rPr>
          <w:rStyle w:val="Hyperlink.1"/>
          <w:rFonts w:ascii="Times New Roman" w:cs="Times New Roman" w:hAnsi="Times New Roman" w:eastAsia="Times New Roman"/>
          <w:outline w:val="0"/>
          <w:color w:val="0563c1"/>
          <w:sz w:val="22"/>
          <w:szCs w:val="22"/>
          <w:u w:val="single" w:color="0563c1"/>
          <w:shd w:val="clear" w:color="auto" w:fill="ffffff"/>
          <w:rtl w:val="0"/>
          <w14:textFill>
            <w14:solidFill>
              <w14:srgbClr w14:val="0563C1"/>
            </w14:solidFill>
          </w14:textFill>
        </w:rPr>
        <w:fldChar w:fldCharType="begin" w:fldLock="0"/>
      </w:r>
      <w:r>
        <w:rPr>
          <w:rStyle w:val="Hyperlink.1"/>
          <w:rFonts w:ascii="Times New Roman" w:cs="Times New Roman" w:hAnsi="Times New Roman" w:eastAsia="Times New Roman"/>
          <w:outline w:val="0"/>
          <w:color w:val="0563c1"/>
          <w:sz w:val="22"/>
          <w:szCs w:val="22"/>
          <w:u w:val="single" w:color="0563c1"/>
          <w:shd w:val="clear" w:color="auto" w:fill="ffffff"/>
          <w:rtl w:val="0"/>
          <w14:textFill>
            <w14:solidFill>
              <w14:srgbClr w14:val="0563C1"/>
            </w14:solidFill>
          </w14:textFill>
        </w:rPr>
        <w:instrText xml:space="preserve"> HYPERLINK "https://www.gov.uk/government/publications/the-multi-agency-response-to-children-and-families-who-need-help/the-multi-agency-response-to-children-and-families-who-need-help"</w:instrText>
      </w:r>
      <w:r>
        <w:rPr>
          <w:rStyle w:val="Hyperlink.1"/>
          <w:rFonts w:ascii="Times New Roman" w:cs="Times New Roman" w:hAnsi="Times New Roman" w:eastAsia="Times New Roman"/>
          <w:outline w:val="0"/>
          <w:color w:val="0563c1"/>
          <w:sz w:val="22"/>
          <w:szCs w:val="22"/>
          <w:u w:val="single" w:color="0563c1"/>
          <w:shd w:val="clear" w:color="auto" w:fill="ffffff"/>
          <w:rtl w:val="0"/>
          <w14:textFill>
            <w14:solidFill>
              <w14:srgbClr w14:val="0563C1"/>
            </w14:solidFill>
          </w14:textFill>
        </w:rPr>
        <w:fldChar w:fldCharType="separate" w:fldLock="0"/>
      </w:r>
      <w:r>
        <w:rPr>
          <w:rStyle w:val="Hyperlink.1"/>
          <w:rFonts w:ascii="Times New Roman" w:hAnsi="Times New Roman"/>
          <w:outline w:val="0"/>
          <w:color w:val="0563c1"/>
          <w:sz w:val="22"/>
          <w:szCs w:val="22"/>
          <w:u w:val="single" w:color="0563c1"/>
          <w:shd w:val="clear" w:color="auto" w:fill="ffffff"/>
          <w:rtl w:val="0"/>
          <w:lang w:val="en-US"/>
          <w14:textFill>
            <w14:solidFill>
              <w14:srgbClr w14:val="0563C1"/>
            </w14:solidFill>
          </w14:textFill>
        </w:rPr>
        <w:t>https://www.gov.uk/government/publications/the-multi-agency-response-to-children-and-families-who-need-help/the-multi-agency-response-to-children-and-families-who-need-help</w:t>
      </w:r>
      <w:r>
        <w:rPr>
          <w:rFonts w:ascii="Times New Roman" w:cs="Times New Roman" w:hAnsi="Times New Roman" w:eastAsia="Times New Roman"/>
          <w:outline w:val="0"/>
          <w:color w:val="467885"/>
          <w:sz w:val="22"/>
          <w:szCs w:val="22"/>
          <w:u w:val="single" w:color="467885"/>
          <w:shd w:val="clear" w:color="auto" w:fill="ffffff"/>
          <w:rtl w:val="0"/>
          <w14:textFill>
            <w14:solidFill>
              <w14:srgbClr w14:val="467886"/>
            </w14:solidFill>
          </w14:textFill>
        </w:rPr>
        <w:fldChar w:fldCharType="end" w:fldLock="0"/>
      </w:r>
      <w:r>
        <w:rPr>
          <w:rStyle w:val="None"/>
          <w:rFonts w:ascii="Times New Roman" w:hAnsi="Times New Roman"/>
          <w:outline w:val="0"/>
          <w:color w:val="000000"/>
          <w:sz w:val="22"/>
          <w:szCs w:val="22"/>
          <w:u w:val="none" w:color="467885"/>
          <w:shd w:val="clear" w:color="auto" w:fill="ffffff"/>
          <w:rtl w:val="0"/>
          <w:lang w:val="en-US"/>
          <w14:textFill>
            <w14:solidFill>
              <w14:srgbClr w14:val="000000">
                <w14:alpha w14:val="15293"/>
              </w14:srgbClr>
            </w14:solidFill>
          </w14:textFill>
        </w:rPr>
        <w:t xml:space="preserve"> [Accessed 13 Aug. 2026].</w:t>
      </w:r>
      <w:r>
        <w:rPr>
          <w:rStyle w:val="None"/>
          <w:rFonts w:ascii="Times New Roman" w:hAnsi="Times New Roman" w:hint="default"/>
          <w:outline w:val="0"/>
          <w:color w:val="000000"/>
          <w:sz w:val="22"/>
          <w:szCs w:val="22"/>
          <w:u w:val="none" w:color="467885"/>
          <w:shd w:val="clear" w:color="auto" w:fill="c5c5c5"/>
          <w:rtl w:val="0"/>
          <w14:textFill>
            <w14:solidFill>
              <w14:srgbClr w14:val="000000">
                <w14:alpha w14:val="15293"/>
              </w14:srgbClr>
            </w14:solidFill>
          </w14:textFill>
        </w:rPr>
        <w:t> </w:t>
      </w:r>
    </w:p>
    <w:p>
      <w:pPr>
        <w:pStyle w:val="Default"/>
        <w:bidi w:val="0"/>
        <w:spacing w:before="0" w:after="320" w:line="360" w:lineRule="auto"/>
        <w:ind w:left="0" w:right="0" w:firstLine="0"/>
        <w:jc w:val="left"/>
        <w:rPr>
          <w:rtl w:val="0"/>
        </w:rPr>
      </w:pP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Selwyn, R. (2022). Early help for children and families.</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Style w:val="None"/>
          <w:rFonts w:ascii="Times New Roman" w:hAnsi="Times New Roman"/>
          <w:i w:val="1"/>
          <w:iCs w:val="1"/>
          <w:outline w:val="0"/>
          <w:color w:val="000000"/>
          <w:sz w:val="22"/>
          <w:szCs w:val="22"/>
          <w:shd w:val="clear" w:color="auto" w:fill="ffffff"/>
          <w:rtl w:val="0"/>
          <w:lang w:val="en-US"/>
          <w14:textFill>
            <w14:solidFill>
              <w14:srgbClr w14:val="000000">
                <w14:alpha w14:val="15293"/>
              </w14:srgbClr>
            </w14:solidFill>
          </w14:textFill>
        </w:rPr>
        <w:t>Paediatrics and Child Health</w:t>
      </w:r>
      <w:r>
        <w:rPr>
          <w:rFonts w:ascii="Times New Roman" w:hAnsi="Times New Roman"/>
          <w:outline w:val="0"/>
          <w:color w:val="000000"/>
          <w:sz w:val="22"/>
          <w:szCs w:val="22"/>
          <w:shd w:val="clear" w:color="auto" w:fill="ffffff"/>
          <w:rtl w:val="0"/>
          <w14:textFill>
            <w14:solidFill>
              <w14:srgbClr w14:val="000000">
                <w14:alpha w14:val="15293"/>
              </w14:srgbClr>
            </w14:solidFill>
          </w14:textFill>
        </w:rPr>
        <w:t>, 32(3). doi:10.1016/j.paed.2021.12.002</w:t>
      </w:r>
      <w:r>
        <w:rPr>
          <w:rFonts w:ascii="Times New Roman" w:hAnsi="Times New Roman" w:hint="default"/>
          <w:outline w:val="0"/>
          <w:color w:val="000000"/>
          <w:sz w:val="22"/>
          <w:szCs w:val="22"/>
          <w:shd w:val="clear" w:color="auto" w:fill="ffffff"/>
          <w:rtl w:val="0"/>
          <w14:textFill>
            <w14:solidFill>
              <w14:srgbClr w14:val="000000">
                <w14:alpha w14:val="15293"/>
              </w14:srgbClr>
            </w14:solidFill>
          </w14:textFill>
        </w:rPr>
        <w:t> </w:t>
      </w:r>
      <w:r>
        <w:rPr>
          <w:rFonts w:ascii="Times New Roman" w:hAnsi="Times New Roman"/>
          <w:outline w:val="0"/>
          <w:color w:val="000000"/>
          <w:sz w:val="22"/>
          <w:szCs w:val="22"/>
          <w:shd w:val="clear" w:color="auto" w:fill="ffffff"/>
          <w:rtl w:val="0"/>
          <w:lang w:val="en-US"/>
          <w14:textFill>
            <w14:solidFill>
              <w14:srgbClr w14:val="000000">
                <w14:alpha w14:val="15293"/>
              </w14:srgbClr>
            </w14:solidFill>
          </w14:textFill>
        </w:rPr>
        <w:t>[Accessed 12 Aug 2026]</w:t>
      </w:r>
      <w:r>
        <w:rPr>
          <w:rStyle w:val="None"/>
          <w:rFonts w:ascii="Times New Roman" w:hAnsi="Times New Roman" w:hint="default"/>
          <w:outline w:val="0"/>
          <w:color w:val="000000"/>
          <w:sz w:val="22"/>
          <w:szCs w:val="22"/>
          <w:shd w:val="clear" w:color="auto" w:fill="c5c5c5"/>
          <w:rtl w:val="0"/>
          <w14:textFill>
            <w14:solidFill>
              <w14:srgbClr w14:val="000000">
                <w14:alpha w14:val="15293"/>
              </w14:srgbClr>
            </w14:solidFill>
          </w14:textFill>
        </w:rPr>
        <w:t> </w:t>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center"/>
    </w:pPr>
    <w:r>
      <w:rPr>
        <w:rFonts w:ascii="Arial" w:hAnsi="Arial"/>
        <w:sz w:val="22"/>
        <w:szCs w:val="22"/>
        <w:rtl w:val="0"/>
      </w:rPr>
      <w:fldChar w:fldCharType="begin" w:fldLock="0"/>
    </w:r>
    <w:r>
      <w:rPr>
        <w:rFonts w:ascii="Arial" w:hAnsi="Arial"/>
        <w:sz w:val="22"/>
        <w:szCs w:val="22"/>
        <w:rtl w:val="0"/>
      </w:rPr>
      <w:instrText xml:space="preserve"> PAGE </w:instrText>
    </w:r>
    <w:r>
      <w:rPr>
        <w:rFonts w:ascii="Arial" w:hAnsi="Arial"/>
        <w:sz w:val="22"/>
        <w:szCs w:val="22"/>
        <w:rtl w:val="0"/>
      </w:rPr>
      <w:fldChar w:fldCharType="separate" w:fldLock="0"/>
    </w:r>
    <w:r>
      <w:rPr>
        <w:rFonts w:ascii="Arial" w:hAnsi="Arial"/>
        <w:sz w:val="22"/>
        <w:szCs w:val="22"/>
        <w:rtl w:val="0"/>
      </w:rPr>
    </w:r>
    <w:r>
      <w:rPr>
        <w:rFonts w:ascii="Arial" w:hAnsi="Arial"/>
        <w:sz w:val="22"/>
        <w:szCs w:val="22"/>
        <w:rtl w:val="0"/>
      </w:rPr>
      <w:fldChar w:fldCharType="end" w:fldLock="0"/>
    </w:r>
    <w:r>
      <w:rPr>
        <w:rFonts w:ascii="Arial" w:hAnsi="Arial"/>
        <w:sz w:val="22"/>
        <w:szCs w:val="22"/>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Arial" w:cs="Arial" w:hAnsi="Arial" w:eastAsia="Arial"/>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Arial" w:cs="Arial Unicode MS" w:hAnsi="Arial" w:eastAsia="Arial Unicode MS"/>
      <w:b w:val="1"/>
      <w:bCs w:val="1"/>
      <w:i w:val="1"/>
      <w:iCs w:val="1"/>
      <w:caps w:val="0"/>
      <w:smallCaps w:val="0"/>
      <w:strike w:val="0"/>
      <w:dstrike w:val="0"/>
      <w:outline w:val="0"/>
      <w:color w:val="2f5496"/>
      <w:spacing w:val="0"/>
      <w:kern w:val="0"/>
      <w:position w:val="0"/>
      <w:sz w:val="26"/>
      <w:szCs w:val="26"/>
      <w:u w:val="none" w:color="2f5496"/>
      <w:shd w:val="nil" w:color="auto" w:fill="auto"/>
      <w:vertAlign w:val="baseline"/>
      <w14:textOutline>
        <w14:noFill/>
      </w14:textOutline>
      <w14:textFill>
        <w14:solidFill>
          <w14:srgbClr w14:val="2F5496"/>
        </w14:solidFill>
      </w14:textFill>
    </w:rPr>
  </w:style>
  <w:style w:type="character" w:styleId="None">
    <w:name w:val="None"/>
  </w:style>
  <w:style w:type="character" w:styleId="Hyperlink.0">
    <w:name w:val="Hyperlink.0"/>
    <w:basedOn w:val="None"/>
    <w:next w:val="Hyperlink.0"/>
    <w:rPr>
      <w:outline w:val="0"/>
      <w:color w:val="467885"/>
      <w:u w:val="single" w:color="467885"/>
      <w14:textFill>
        <w14:solidFill>
          <w14:srgbClr w14:val="467886"/>
        </w14:solidFill>
      </w14:textFill>
    </w:rPr>
  </w:style>
  <w:style w:type="character" w:styleId="Hyperlink.1">
    <w:name w:val="Hyperlink.1"/>
    <w:basedOn w:val="Hyperlink"/>
    <w:next w:val="Hyperlink.1"/>
    <w:rPr>
      <w:outline w:val="0"/>
      <w:color w:val="0563c1"/>
      <w:u w:val="single" w:color="0563c1"/>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