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281AEB6" w14:textId="77777777" w:rsidR="00421F35" w:rsidRPr="003C0248" w:rsidRDefault="00421F35" w:rsidP="00421F35">
      <w:pPr>
        <w:spacing w:after="0" w:line="240" w:lineRule="auto"/>
        <w:jc w:val="center"/>
        <w:rPr>
          <w:rFonts w:cstheme="minorHAnsi"/>
          <w:sz w:val="32"/>
          <w:szCs w:val="32"/>
        </w:rPr>
      </w:pPr>
      <w:r w:rsidRPr="003C0248">
        <w:rPr>
          <w:rFonts w:cstheme="minorHAnsi"/>
          <w:sz w:val="32"/>
          <w:szCs w:val="32"/>
        </w:rPr>
        <w:t>Qualification: CIPD Diploma in Applied Human Resources</w:t>
      </w:r>
    </w:p>
    <w:p w14:paraId="14184374" w14:textId="77777777" w:rsidR="00421F35" w:rsidRPr="003C0248" w:rsidRDefault="00421F35" w:rsidP="00421F35">
      <w:pPr>
        <w:spacing w:after="0" w:line="240" w:lineRule="auto"/>
        <w:jc w:val="center"/>
        <w:rPr>
          <w:rFonts w:cstheme="minorHAnsi"/>
          <w:sz w:val="32"/>
          <w:szCs w:val="32"/>
        </w:rPr>
      </w:pPr>
    </w:p>
    <w:p w14:paraId="01E069A0" w14:textId="2324CA1C" w:rsidR="00421F35" w:rsidRPr="003C0248" w:rsidRDefault="00421F35" w:rsidP="00421F35">
      <w:pPr>
        <w:spacing w:after="0" w:line="240" w:lineRule="auto"/>
        <w:jc w:val="center"/>
        <w:rPr>
          <w:rFonts w:cstheme="minorHAnsi"/>
          <w:sz w:val="32"/>
          <w:szCs w:val="32"/>
        </w:rPr>
      </w:pPr>
      <w:r w:rsidRPr="003C0248">
        <w:rPr>
          <w:rFonts w:cstheme="minorHAnsi"/>
          <w:sz w:val="32"/>
          <w:szCs w:val="32"/>
        </w:rPr>
        <w:t xml:space="preserve">Module Name: </w:t>
      </w:r>
      <w:r>
        <w:rPr>
          <w:rFonts w:cstheme="minorHAnsi"/>
          <w:sz w:val="32"/>
          <w:szCs w:val="32"/>
        </w:rPr>
        <w:t>5K</w:t>
      </w:r>
      <w:r w:rsidR="00DB6145">
        <w:rPr>
          <w:rFonts w:cstheme="minorHAnsi"/>
          <w:sz w:val="32"/>
          <w:szCs w:val="32"/>
        </w:rPr>
        <w:t>EEG</w:t>
      </w:r>
    </w:p>
    <w:p w14:paraId="1940C03F" w14:textId="77777777" w:rsidR="00421F35" w:rsidRPr="003C0248" w:rsidRDefault="00421F35" w:rsidP="00421F35">
      <w:pPr>
        <w:spacing w:after="0" w:line="240" w:lineRule="auto"/>
        <w:jc w:val="center"/>
        <w:rPr>
          <w:rFonts w:cstheme="minorHAnsi"/>
          <w:sz w:val="32"/>
          <w:szCs w:val="32"/>
        </w:rPr>
      </w:pPr>
    </w:p>
    <w:p w14:paraId="641BEF4D" w14:textId="77777777" w:rsidR="00421F35" w:rsidRPr="003C0248" w:rsidRDefault="00421F35" w:rsidP="00421F35">
      <w:pPr>
        <w:spacing w:after="0" w:line="240" w:lineRule="auto"/>
        <w:jc w:val="center"/>
        <w:rPr>
          <w:rFonts w:cstheme="minorHAnsi"/>
          <w:sz w:val="32"/>
          <w:szCs w:val="32"/>
        </w:rPr>
      </w:pPr>
      <w:r w:rsidRPr="003C0248">
        <w:rPr>
          <w:rFonts w:cstheme="minorHAnsi"/>
          <w:sz w:val="32"/>
          <w:szCs w:val="32"/>
        </w:rPr>
        <w:t xml:space="preserve">Assessment: </w:t>
      </w:r>
      <w:r>
        <w:rPr>
          <w:rFonts w:eastAsia="Times New Roman" w:cstheme="minorHAnsi"/>
          <w:bCs/>
          <w:color w:val="000000"/>
          <w:sz w:val="32"/>
          <w:szCs w:val="32"/>
          <w:lang w:eastAsia="en-GB"/>
        </w:rPr>
        <w:t xml:space="preserve">On the job training </w:t>
      </w:r>
    </w:p>
    <w:p w14:paraId="1EB85995" w14:textId="77777777" w:rsidR="00421F35" w:rsidRPr="003C0248" w:rsidRDefault="00421F35" w:rsidP="00421F35">
      <w:pPr>
        <w:spacing w:after="0" w:line="240" w:lineRule="auto"/>
        <w:jc w:val="center"/>
        <w:rPr>
          <w:rFonts w:cstheme="minorHAnsi"/>
          <w:sz w:val="32"/>
          <w:szCs w:val="32"/>
        </w:rPr>
      </w:pPr>
    </w:p>
    <w:p w14:paraId="21515F3B" w14:textId="438763A6" w:rsidR="00421F35" w:rsidRPr="003C0248" w:rsidRDefault="00421F35" w:rsidP="00421F35">
      <w:pPr>
        <w:spacing w:after="0" w:line="240" w:lineRule="auto"/>
        <w:jc w:val="center"/>
        <w:rPr>
          <w:rFonts w:cstheme="minorHAnsi"/>
          <w:sz w:val="32"/>
          <w:szCs w:val="32"/>
        </w:rPr>
      </w:pPr>
      <w:r w:rsidRPr="003C0248">
        <w:rPr>
          <w:rFonts w:cstheme="minorHAnsi"/>
          <w:sz w:val="32"/>
          <w:szCs w:val="32"/>
        </w:rPr>
        <w:t xml:space="preserve">Word Count: </w:t>
      </w:r>
      <w:r w:rsidR="00DB6145">
        <w:rPr>
          <w:rFonts w:cstheme="minorHAnsi"/>
          <w:sz w:val="32"/>
          <w:szCs w:val="32"/>
        </w:rPr>
        <w:t>1251</w:t>
      </w:r>
    </w:p>
    <w:p w14:paraId="49BF1374" w14:textId="77777777" w:rsidR="00421F35" w:rsidRDefault="00421F35" w:rsidP="00421F35">
      <w:pPr>
        <w:spacing w:after="0" w:line="240" w:lineRule="auto"/>
        <w:jc w:val="center"/>
        <w:rPr>
          <w:rFonts w:cstheme="minorHAnsi"/>
          <w:sz w:val="32"/>
          <w:szCs w:val="32"/>
        </w:rPr>
      </w:pPr>
    </w:p>
    <w:p w14:paraId="425A2BBF" w14:textId="77777777" w:rsidR="00421F35" w:rsidRPr="003C0248" w:rsidRDefault="00421F35" w:rsidP="00421F35">
      <w:pPr>
        <w:spacing w:after="0" w:line="240" w:lineRule="auto"/>
        <w:jc w:val="center"/>
        <w:rPr>
          <w:rFonts w:cstheme="minorHAnsi"/>
          <w:sz w:val="32"/>
          <w:szCs w:val="32"/>
        </w:rPr>
      </w:pPr>
    </w:p>
    <w:p w14:paraId="184D19BA" w14:textId="77777777" w:rsidR="00421F35" w:rsidRPr="003C0248" w:rsidRDefault="00421F35" w:rsidP="00421F35">
      <w:pPr>
        <w:spacing w:after="0" w:line="240" w:lineRule="auto"/>
        <w:jc w:val="center"/>
        <w:rPr>
          <w:rFonts w:cstheme="minorHAnsi"/>
          <w:sz w:val="32"/>
          <w:szCs w:val="32"/>
        </w:rPr>
      </w:pPr>
    </w:p>
    <w:p w14:paraId="60E0B827" w14:textId="77777777" w:rsidR="00421F35" w:rsidRPr="003C0248" w:rsidRDefault="00421F35" w:rsidP="00421F35">
      <w:pPr>
        <w:spacing w:after="0" w:line="240" w:lineRule="auto"/>
        <w:jc w:val="center"/>
        <w:rPr>
          <w:rFonts w:cstheme="minorHAnsi"/>
          <w:sz w:val="32"/>
          <w:szCs w:val="32"/>
        </w:rPr>
      </w:pPr>
    </w:p>
    <w:p w14:paraId="2805AA3A" w14:textId="77777777" w:rsidR="00421F35" w:rsidRPr="003C0248" w:rsidRDefault="00421F35" w:rsidP="00421F35">
      <w:pPr>
        <w:spacing w:after="0" w:line="240" w:lineRule="auto"/>
        <w:jc w:val="center"/>
        <w:rPr>
          <w:rFonts w:cstheme="minorHAnsi"/>
          <w:sz w:val="32"/>
          <w:szCs w:val="32"/>
        </w:rPr>
      </w:pPr>
      <w:r w:rsidRPr="003C0248">
        <w:rPr>
          <w:rFonts w:cstheme="minorHAnsi"/>
          <w:sz w:val="32"/>
          <w:szCs w:val="32"/>
        </w:rPr>
        <w:t>Student Name: Carla Roberts</w:t>
      </w:r>
    </w:p>
    <w:p w14:paraId="7C6048C9" w14:textId="77777777" w:rsidR="00421F35" w:rsidRPr="003C0248" w:rsidRDefault="00421F35" w:rsidP="00421F35">
      <w:pPr>
        <w:spacing w:after="0" w:line="240" w:lineRule="auto"/>
        <w:jc w:val="center"/>
        <w:rPr>
          <w:rFonts w:cstheme="minorHAnsi"/>
          <w:sz w:val="32"/>
          <w:szCs w:val="32"/>
        </w:rPr>
      </w:pPr>
    </w:p>
    <w:p w14:paraId="14D53F6F" w14:textId="77777777" w:rsidR="00421F35" w:rsidRPr="003C0248" w:rsidRDefault="00421F35" w:rsidP="00421F35">
      <w:pPr>
        <w:spacing w:after="0" w:line="240" w:lineRule="auto"/>
        <w:jc w:val="center"/>
        <w:rPr>
          <w:rFonts w:cstheme="minorHAnsi"/>
          <w:sz w:val="32"/>
          <w:szCs w:val="32"/>
        </w:rPr>
      </w:pPr>
      <w:r w:rsidRPr="003C0248">
        <w:rPr>
          <w:rFonts w:cstheme="minorHAnsi"/>
          <w:sz w:val="32"/>
          <w:szCs w:val="32"/>
        </w:rPr>
        <w:t>Student Number: 1810259</w:t>
      </w:r>
    </w:p>
    <w:p w14:paraId="53EF34E7" w14:textId="77777777" w:rsidR="00421F35" w:rsidRPr="003C0248" w:rsidRDefault="00421F35" w:rsidP="00421F35">
      <w:pPr>
        <w:spacing w:after="0" w:line="240" w:lineRule="auto"/>
        <w:jc w:val="center"/>
        <w:rPr>
          <w:rFonts w:cstheme="minorHAnsi"/>
          <w:sz w:val="32"/>
          <w:szCs w:val="32"/>
        </w:rPr>
      </w:pPr>
    </w:p>
    <w:p w14:paraId="1ACD68DF" w14:textId="77777777" w:rsidR="00421F35" w:rsidRPr="003C0248" w:rsidRDefault="00421F35" w:rsidP="00421F35">
      <w:pPr>
        <w:spacing w:after="0" w:line="240" w:lineRule="auto"/>
        <w:jc w:val="center"/>
        <w:rPr>
          <w:sz w:val="32"/>
          <w:szCs w:val="32"/>
        </w:rPr>
      </w:pPr>
      <w:r w:rsidRPr="003C0248">
        <w:rPr>
          <w:rFonts w:cstheme="minorHAnsi"/>
          <w:sz w:val="32"/>
          <w:szCs w:val="32"/>
        </w:rPr>
        <w:t xml:space="preserve">CIPD Membership Number: </w:t>
      </w:r>
      <w:r w:rsidRPr="00DE5AB7">
        <w:rPr>
          <w:rFonts w:cstheme="minorHAnsi"/>
          <w:sz w:val="32"/>
          <w:szCs w:val="32"/>
        </w:rPr>
        <w:t>53274210</w:t>
      </w:r>
    </w:p>
    <w:p w14:paraId="7E16DF48" w14:textId="2ED0C7DD" w:rsidR="00421F35" w:rsidRDefault="00421F35">
      <w:r>
        <w:br w:type="page"/>
      </w:r>
    </w:p>
    <w:p w14:paraId="1A90400E" w14:textId="5B96B2E9" w:rsidR="008144A3" w:rsidRDefault="00421F35">
      <w:r>
        <w:lastRenderedPageBreak/>
        <w:t>1.</w:t>
      </w:r>
    </w:p>
    <w:p w14:paraId="6DC34904" w14:textId="6EDEBA99" w:rsidR="00BE1A84" w:rsidRDefault="00BE1A84" w:rsidP="00BE1A84">
      <w:r>
        <w:t>CIPD (2019</w:t>
      </w:r>
      <w:r w:rsidR="00FF1C61">
        <w:t>a</w:t>
      </w:r>
      <w:r>
        <w:t xml:space="preserve">) define employee engagement as ‘a combination of commitment to the organisation and its values plus a willingness to </w:t>
      </w:r>
      <w:proofErr w:type="gramStart"/>
      <w:r>
        <w:t>help out</w:t>
      </w:r>
      <w:proofErr w:type="gramEnd"/>
      <w:r>
        <w:t xml:space="preserve"> colleagues’, which is known as organisational citizenship. It is stated that it is about more than motivation, as it is something the employee has to offer and not required as part of their contract.</w:t>
      </w:r>
    </w:p>
    <w:p w14:paraId="7E24002C" w14:textId="3D8A042E" w:rsidR="00BE1A84" w:rsidRDefault="00421F35">
      <w:r>
        <w:t xml:space="preserve">Bluestone aims to be an employer of choice, and due to the tight labour market within the area it is imperative to retain and attract the best talent. </w:t>
      </w:r>
      <w:r w:rsidR="00FF1C61">
        <w:t xml:space="preserve">There are a range of staff benefits including discounts on accommodation, free use some of the facilities, subsidised childcare, a wellbeing programme, and free transport for the Housekeeping department on changeover days. I therefore believe that our benefits package is quite extensive. However, it is mainly aimed at those with children so we could extend our employee benefits to be inclusive of those without children; for example, more offers in the spa, vouchers or ‘time back’ incentives as rewards. </w:t>
      </w:r>
    </w:p>
    <w:p w14:paraId="3F5A7DB2" w14:textId="2CEF9A22" w:rsidR="00421F35" w:rsidRDefault="00BE1A84">
      <w:r>
        <w:t xml:space="preserve">At Bluestone, the HR department strive to increase engagement levels to improve overall business performance. </w:t>
      </w:r>
      <w:r w:rsidR="00FF1C61">
        <w:t>R</w:t>
      </w:r>
      <w:r>
        <w:t xml:space="preserve">esearch conducted by the team has given an insight into how the business is affected by disengaged </w:t>
      </w:r>
      <w:r>
        <w:t>employees,</w:t>
      </w:r>
      <w:r>
        <w:t xml:space="preserve"> through recruitment, retention, </w:t>
      </w:r>
      <w:proofErr w:type="gramStart"/>
      <w:r>
        <w:t>productivity</w:t>
      </w:r>
      <w:proofErr w:type="gramEnd"/>
      <w:r>
        <w:t xml:space="preserve"> and absence levels.</w:t>
      </w:r>
      <w:r>
        <w:t xml:space="preserve"> </w:t>
      </w:r>
      <w:r>
        <w:t>Employees can lack engagement due to unfairness in pay and reward systems</w:t>
      </w:r>
      <w:r>
        <w:t xml:space="preserve">, as </w:t>
      </w:r>
      <w:r>
        <w:t>employees don’t feel valued if they don’t believe their pay is fair, whether that be compared to other roles in the business or compared to industry and national pay scales.</w:t>
      </w:r>
      <w:r>
        <w:t xml:space="preserve"> </w:t>
      </w:r>
      <w:r w:rsidR="00FF1C61">
        <w:t xml:space="preserve">Therefore, Bluestone’s approach to pay could be improved to increase employee engagement. A suggestion would be to increase the pay of minimum wage roles once their probation has been passed. </w:t>
      </w:r>
    </w:p>
    <w:p w14:paraId="51757FC1" w14:textId="7EF8E250" w:rsidR="00FF1C61" w:rsidRDefault="00FF1C61">
      <w:pPr>
        <w:rPr>
          <w:rFonts w:cs="Arial"/>
          <w:color w:val="000000" w:themeColor="text1"/>
        </w:rPr>
      </w:pPr>
      <w:r>
        <w:rPr>
          <w:rFonts w:cs="Arial"/>
          <w:color w:val="000000" w:themeColor="text1"/>
        </w:rPr>
        <w:t>As stated in CIPD (2019</w:t>
      </w:r>
      <w:r>
        <w:rPr>
          <w:rFonts w:cs="Arial"/>
          <w:color w:val="000000" w:themeColor="text1"/>
        </w:rPr>
        <w:t>b</w:t>
      </w:r>
      <w:r>
        <w:rPr>
          <w:rFonts w:cs="Arial"/>
          <w:color w:val="000000" w:themeColor="text1"/>
        </w:rPr>
        <w:t>) effective resourcing can have an impact on the long-term success of the organisation, and therefore it should be planned effectively to ensure the understanding of what skills and attributes are required.</w:t>
      </w:r>
      <w:r>
        <w:rPr>
          <w:rFonts w:cs="Arial"/>
          <w:color w:val="000000" w:themeColor="text1"/>
        </w:rPr>
        <w:t xml:space="preserve"> Therefore, recruitment is planned </w:t>
      </w:r>
      <w:proofErr w:type="gramStart"/>
      <w:r>
        <w:rPr>
          <w:rFonts w:cs="Arial"/>
          <w:color w:val="000000" w:themeColor="text1"/>
        </w:rPr>
        <w:t>effectively</w:t>
      </w:r>
      <w:proofErr w:type="gramEnd"/>
      <w:r>
        <w:rPr>
          <w:rFonts w:cs="Arial"/>
          <w:color w:val="000000" w:themeColor="text1"/>
        </w:rPr>
        <w:t xml:space="preserve"> and the candidates are selected based upon set criteria. However, there are times when managers recruit in a reactive manner and therefore select non-suitable candidates to quickly fill a gap. Managers could benefit with further recruitment training to make them more proactive and prevent quick and easy recruitment. </w:t>
      </w:r>
    </w:p>
    <w:p w14:paraId="2D0F20B5" w14:textId="18422DBC" w:rsidR="00FF1C61" w:rsidRDefault="00FF1C61">
      <w:pPr>
        <w:rPr>
          <w:rFonts w:cs="Arial"/>
          <w:color w:val="000000" w:themeColor="text1"/>
        </w:rPr>
      </w:pPr>
      <w:r>
        <w:rPr>
          <w:rFonts w:cs="Arial"/>
          <w:color w:val="000000" w:themeColor="text1"/>
        </w:rPr>
        <w:t xml:space="preserve">Approximately 10% of leavers </w:t>
      </w:r>
      <w:r w:rsidR="00DE2EFF">
        <w:rPr>
          <w:rFonts w:cs="Arial"/>
          <w:color w:val="000000" w:themeColor="text1"/>
        </w:rPr>
        <w:t xml:space="preserve">leave Bluestone because </w:t>
      </w:r>
      <w:proofErr w:type="gramStart"/>
      <w:r w:rsidR="00DE2EFF">
        <w:rPr>
          <w:rFonts w:cs="Arial"/>
          <w:color w:val="000000" w:themeColor="text1"/>
        </w:rPr>
        <w:t>they’ve</w:t>
      </w:r>
      <w:proofErr w:type="gramEnd"/>
      <w:r w:rsidR="00DE2EFF">
        <w:rPr>
          <w:rFonts w:cs="Arial"/>
          <w:color w:val="000000" w:themeColor="text1"/>
        </w:rPr>
        <w:t xml:space="preserve"> found work elsewhere with more suitable hours. Therefore, Bluestone could offer additional hours in other departments to ensure these staff are retained. To do this, the internal application process needs to be made more accessible and all vacancies could have a </w:t>
      </w:r>
      <w:proofErr w:type="gramStart"/>
      <w:r w:rsidR="00DE2EFF">
        <w:rPr>
          <w:rFonts w:cs="Arial"/>
          <w:color w:val="000000" w:themeColor="text1"/>
        </w:rPr>
        <w:t>two week</w:t>
      </w:r>
      <w:proofErr w:type="gramEnd"/>
      <w:r w:rsidR="00DE2EFF">
        <w:rPr>
          <w:rFonts w:cs="Arial"/>
          <w:color w:val="000000" w:themeColor="text1"/>
        </w:rPr>
        <w:t xml:space="preserve"> window before they are advertised externally. </w:t>
      </w:r>
    </w:p>
    <w:p w14:paraId="3DE14A88" w14:textId="675B059C" w:rsidR="00DE2EFF" w:rsidRDefault="00DE2EFF">
      <w:pPr>
        <w:rPr>
          <w:rFonts w:cs="Arial"/>
          <w:color w:val="000000" w:themeColor="text1"/>
        </w:rPr>
      </w:pPr>
      <w:r>
        <w:rPr>
          <w:rFonts w:cs="Arial"/>
          <w:color w:val="000000" w:themeColor="text1"/>
        </w:rPr>
        <w:t xml:space="preserve">Communication also needs to be improved, as this is one of the lower scores within recent engagement survey results. This involves being more open and honest, which is part of what the Bluestone culture is. Therefore, managers need to live by these values </w:t>
      </w:r>
      <w:proofErr w:type="gramStart"/>
      <w:r>
        <w:rPr>
          <w:rFonts w:cs="Arial"/>
          <w:color w:val="000000" w:themeColor="text1"/>
        </w:rPr>
        <w:t>in order to</w:t>
      </w:r>
      <w:proofErr w:type="gramEnd"/>
      <w:r>
        <w:rPr>
          <w:rFonts w:cs="Arial"/>
          <w:color w:val="000000" w:themeColor="text1"/>
        </w:rPr>
        <w:t xml:space="preserve"> gain more respect from employees. </w:t>
      </w:r>
    </w:p>
    <w:p w14:paraId="58DFEEAD" w14:textId="0B88C033" w:rsidR="00DE2EFF" w:rsidRPr="00FF1C61" w:rsidRDefault="00DE2EFF">
      <w:pPr>
        <w:rPr>
          <w:rFonts w:cs="Arial"/>
          <w:color w:val="000000" w:themeColor="text1"/>
        </w:rPr>
      </w:pPr>
      <w:r>
        <w:rPr>
          <w:rFonts w:cs="Arial"/>
          <w:color w:val="000000" w:themeColor="text1"/>
        </w:rPr>
        <w:t xml:space="preserve">Overall, I believe that Bluestone has a great approach to employee engagement but some of the policies could be amended to be more inclusive of different groups of people and to be </w:t>
      </w:r>
      <w:proofErr w:type="gramStart"/>
      <w:r>
        <w:rPr>
          <w:rFonts w:cs="Arial"/>
          <w:color w:val="000000" w:themeColor="text1"/>
        </w:rPr>
        <w:t>more fair</w:t>
      </w:r>
      <w:proofErr w:type="gramEnd"/>
      <w:r>
        <w:rPr>
          <w:rFonts w:cs="Arial"/>
          <w:color w:val="000000" w:themeColor="text1"/>
        </w:rPr>
        <w:t xml:space="preserve"> in terms of pay and reward. </w:t>
      </w:r>
    </w:p>
    <w:p w14:paraId="09A0708C" w14:textId="6B0A6D18" w:rsidR="00421F35" w:rsidRDefault="00421F35"/>
    <w:p w14:paraId="0A082171" w14:textId="3D8C12A4" w:rsidR="00421F35" w:rsidRDefault="00421F35">
      <w:r>
        <w:lastRenderedPageBreak/>
        <w:t>2.</w:t>
      </w:r>
    </w:p>
    <w:p w14:paraId="41B3FF23" w14:textId="3DA1E3FD" w:rsidR="00421F35" w:rsidRDefault="00341B6F">
      <w:r>
        <w:t xml:space="preserve">It is important for organisations to have an employee handbook as it introduces new employees to the culture and values, communicates the expectations, ensures policies are communicated, outlines employee benefits, provides guidance for managers, and helps defend against employee claims (Personnel Today, 2018). </w:t>
      </w:r>
      <w:r w:rsidR="00421F35">
        <w:t xml:space="preserve">The Bluestone Employee Handbook has recently been made into an electronic </w:t>
      </w:r>
      <w:r w:rsidR="00BE1A84">
        <w:t>version</w:t>
      </w:r>
      <w:r w:rsidR="00DE2EFF">
        <w:t xml:space="preserve"> to save on printing costs. Although this saves money, the handbook </w:t>
      </w:r>
      <w:proofErr w:type="gramStart"/>
      <w:r w:rsidR="00DE2EFF">
        <w:t>doesn’t</w:t>
      </w:r>
      <w:proofErr w:type="gramEnd"/>
      <w:r w:rsidR="00DE2EFF">
        <w:t xml:space="preserve"> look as professional or welcoming as the previous hard-copy handbook did. The content focuses on policies and a background to Bluestone which gives a good insight into the background of the business and what the values and culture look like. To improve, it could maybe have some more profiles on managers to make them more known and approachable. </w:t>
      </w:r>
    </w:p>
    <w:p w14:paraId="2BCCA8FE" w14:textId="1CD43167" w:rsidR="00DE2EFF" w:rsidRDefault="00341B6F">
      <w:r>
        <w:t xml:space="preserve">Hussein (2014) notes that effective internal communication is key to employee engagement, which in turn leads to high performance, </w:t>
      </w:r>
      <w:proofErr w:type="gramStart"/>
      <w:r>
        <w:t>loyalty</w:t>
      </w:r>
      <w:proofErr w:type="gramEnd"/>
      <w:r>
        <w:t xml:space="preserve"> and retention. </w:t>
      </w:r>
      <w:r w:rsidR="00DE2EFF">
        <w:t>Flow is the online learning and development platform that Bluestone uses for its staff communications. Every fortnight a newsletter is sent out called ‘the comms brief’</w:t>
      </w:r>
      <w:r>
        <w:t>,</w:t>
      </w:r>
      <w:r w:rsidR="00DE2EFF">
        <w:t xml:space="preserve"> this features stars of the week, resort news, wellbeing information, volunteering opportunities and competitions. Th</w:t>
      </w:r>
      <w:r>
        <w:t>e comms brief</w:t>
      </w:r>
      <w:r w:rsidR="00DE2EFF">
        <w:t xml:space="preserve"> has recently been improved by adding the competitions element, giving it more of a ‘fun factor’. It also has increased the amount of people who read it as employees want a chance to win prizes. Although there are some features that are included every week so could seem a bit intensive, </w:t>
      </w:r>
      <w:r w:rsidR="004E0692">
        <w:t xml:space="preserve">I believe that the balance is right. </w:t>
      </w:r>
      <w:proofErr w:type="spellStart"/>
      <w:r w:rsidR="004E0692">
        <w:t>Macloed</w:t>
      </w:r>
      <w:proofErr w:type="spellEnd"/>
      <w:r w:rsidR="004E0692">
        <w:t xml:space="preserve"> and Clarke (2009)</w:t>
      </w:r>
      <w:r w:rsidR="004E0692">
        <w:t xml:space="preserve"> note that employee voice is essential to achieve high levels of employee engagement, therefore organisations should involve employees in decision-making and allow them to voice their opinions. Therefore, the comms bri</w:t>
      </w:r>
      <w:r>
        <w:t xml:space="preserve">ef could be used to include staff in decisions and encourage them to share their ideas. </w:t>
      </w:r>
    </w:p>
    <w:p w14:paraId="3509882B" w14:textId="0C1E7643" w:rsidR="004E0692" w:rsidRDefault="004E0692">
      <w:r>
        <w:t xml:space="preserve">Bluestone has a staff intranet where departments can add information and shared resources, ranging from health and safety risk assessments through to the core activity planners. HR has recently added all job descriptions to the ‘HR Hub’ on the intranet which is a great addition, and there are also some useful links and all HR policies. However, it would be beneficial to separate ‘manager guidance’ onto a separate page where managers can access guidance documents. It could also feature more staff profiles and up-to-date information.  </w:t>
      </w:r>
    </w:p>
    <w:p w14:paraId="07AB9E84" w14:textId="39A41FF2" w:rsidR="00341B6F" w:rsidRDefault="005D2517">
      <w:r>
        <w:t xml:space="preserve">Overall, I believe internal staff communication works well within Bluestone. However, to embed the Bluestone culture into this further there are opportunities to extend this into being open and honest with upcoming changes, and to ask employees for their suggestions. </w:t>
      </w:r>
    </w:p>
    <w:p w14:paraId="686A5DC1" w14:textId="539BA2F5" w:rsidR="005D2517" w:rsidRDefault="005D2517"/>
    <w:p w14:paraId="14C775C9" w14:textId="4D92A750" w:rsidR="005D2517" w:rsidRDefault="005D2517">
      <w:r>
        <w:t>3.</w:t>
      </w:r>
    </w:p>
    <w:p w14:paraId="0E298DE5" w14:textId="1D36CC1A" w:rsidR="005D2517" w:rsidRDefault="005D2517">
      <w:r>
        <w:t>On the new CIPD Profession map, employee engagement has been renamed ‘employee experience’ (CIPD, 2020). My main role as a Senior HR Officer is looking after recruitment and onboarding, which is tightly linked to the employee experience. It is imperative for new starters to feel welcomed and feel engaged during their first few months in their new job</w:t>
      </w:r>
      <w:r w:rsidR="008134CD">
        <w:t xml:space="preserve"> (CIPD, 2019c)</w:t>
      </w:r>
      <w:r>
        <w:t>; from understanding the benefits through to having a well-designed competence framework so that they understand what is expected of them. It is also important for my role for existing employees to be engaged, as word of mouth is an effective form of recruitment</w:t>
      </w:r>
      <w:r w:rsidR="008134CD">
        <w:t xml:space="preserve"> (CIPD, 2019b)</w:t>
      </w:r>
      <w:r>
        <w:t xml:space="preserve">. </w:t>
      </w:r>
    </w:p>
    <w:p w14:paraId="5DB10AF4" w14:textId="5EE88216" w:rsidR="008134CD" w:rsidRDefault="008134CD">
      <w:r>
        <w:lastRenderedPageBreak/>
        <w:t xml:space="preserve">Due to being part of a small HR team, I also get involved in other aspects of HR which includes some engagement initiatives. For example, we all have an input into the questions asked within the engagement surveys and discuss employee benefits. We also all get involved in employee relations issues, which must be handled sensitively to ensure there </w:t>
      </w:r>
      <w:proofErr w:type="gramStart"/>
      <w:r>
        <w:t>isn’t</w:t>
      </w:r>
      <w:proofErr w:type="gramEnd"/>
      <w:r>
        <w:t xml:space="preserve"> a negative impact on the individual or the team morale. </w:t>
      </w:r>
    </w:p>
    <w:p w14:paraId="21DA44EB" w14:textId="71F29102" w:rsidR="005D2517" w:rsidRDefault="008134CD">
      <w:r>
        <w:t>However, looking at the CIPD standards (CIPD, 2020) there are some areas that I could expand my knowledge of and gain more experience in. I would like to spend more time understanding how to design approaches to employee engagement and how to implement new initiatives. I have a good understanding of the importance of trust within an organisation but would require more experience in building a culture of trust. I could also help deliver training to line managers in how to engage their employees and could arrange regular meetings with them to discuss their initiatives and the impact it is having.</w:t>
      </w:r>
    </w:p>
    <w:p w14:paraId="46E58F2A" w14:textId="5CF01CB5" w:rsidR="008134CD" w:rsidRDefault="008134CD">
      <w:r>
        <w:t xml:space="preserve">Overall, I believe I have a good understanding of employee </w:t>
      </w:r>
      <w:proofErr w:type="gramStart"/>
      <w:r>
        <w:t>engagement</w:t>
      </w:r>
      <w:proofErr w:type="gramEnd"/>
      <w:r>
        <w:t xml:space="preserve"> but </w:t>
      </w:r>
      <w:r w:rsidR="00DB6145">
        <w:t xml:space="preserve">it could be further developed through guidance from the Director of HR and being more involved in new initiatives to improve the employee experience. </w:t>
      </w:r>
    </w:p>
    <w:p w14:paraId="45762B3F" w14:textId="73CC5AB0" w:rsidR="00BE1A84" w:rsidRDefault="00BE1A84"/>
    <w:p w14:paraId="01BFF4FF" w14:textId="530AE97F" w:rsidR="00BE1A84" w:rsidRPr="00BE1A84" w:rsidRDefault="00BE1A84">
      <w:pPr>
        <w:rPr>
          <w:u w:val="single"/>
        </w:rPr>
      </w:pPr>
      <w:r w:rsidRPr="00BE1A84">
        <w:rPr>
          <w:u w:val="single"/>
        </w:rPr>
        <w:t>Reference List</w:t>
      </w:r>
    </w:p>
    <w:p w14:paraId="393CFD40" w14:textId="76E934A7" w:rsidR="00BE1A84" w:rsidRDefault="00BE1A84" w:rsidP="00BE1A84">
      <w:r>
        <w:t>CIPD. (2019</w:t>
      </w:r>
      <w:r w:rsidR="00FF1C61">
        <w:t>a</w:t>
      </w:r>
      <w:r>
        <w:t xml:space="preserve">). </w:t>
      </w:r>
      <w:r>
        <w:rPr>
          <w:i/>
          <w:iCs/>
        </w:rPr>
        <w:t xml:space="preserve">UK Working Lives. </w:t>
      </w:r>
      <w:r>
        <w:t xml:space="preserve">[online]. Available at: https://www.cipd.co.uk/knowledge/work/trends/uk-working-lives. [Accessed </w:t>
      </w:r>
      <w:r w:rsidR="00FF1C61">
        <w:t>24</w:t>
      </w:r>
      <w:r w:rsidR="00FF1C61">
        <w:rPr>
          <w:vertAlign w:val="superscript"/>
        </w:rPr>
        <w:t xml:space="preserve"> </w:t>
      </w:r>
      <w:r w:rsidR="00FF1C61">
        <w:t>May 2020</w:t>
      </w:r>
      <w:r>
        <w:t>].</w:t>
      </w:r>
    </w:p>
    <w:p w14:paraId="58CD07A0" w14:textId="18D36AD9" w:rsidR="00FF1C61" w:rsidRDefault="00FF1C61" w:rsidP="00FF1C61">
      <w:r>
        <w:t>CIPD. (2019</w:t>
      </w:r>
      <w:r>
        <w:t>b</w:t>
      </w:r>
      <w:r>
        <w:t xml:space="preserve">). </w:t>
      </w:r>
      <w:r>
        <w:rPr>
          <w:i/>
        </w:rPr>
        <w:t xml:space="preserve">Recruitment: an introduction. </w:t>
      </w:r>
      <w:r>
        <w:t>[online] Available at: https://www.cipd.co.uk/knowledge/fundamentals/people/recruitment/factsheet. [Accessed 24</w:t>
      </w:r>
      <w:r>
        <w:t xml:space="preserve"> May</w:t>
      </w:r>
      <w:r>
        <w:t xml:space="preserve"> 20</w:t>
      </w:r>
      <w:r>
        <w:t>20</w:t>
      </w:r>
      <w:r>
        <w:t>].</w:t>
      </w:r>
    </w:p>
    <w:p w14:paraId="01B6CD0B" w14:textId="58819707" w:rsidR="008134CD" w:rsidRPr="008134CD" w:rsidRDefault="008134CD" w:rsidP="00FF1C61">
      <w:r>
        <w:t xml:space="preserve">CIPD. (2019c). </w:t>
      </w:r>
      <w:r>
        <w:rPr>
          <w:i/>
          <w:iCs/>
        </w:rPr>
        <w:t>Employee engagement and motivation.</w:t>
      </w:r>
      <w:r>
        <w:t xml:space="preserve"> [online] Available at: </w:t>
      </w:r>
      <w:r w:rsidRPr="008134CD">
        <w:t>https://www.cipd.co.uk/knowledge/fundamentals/relations/engagement/factsheet</w:t>
      </w:r>
      <w:r>
        <w:t>. [Accessed 24 May 2020].</w:t>
      </w:r>
    </w:p>
    <w:p w14:paraId="7F67AFF3" w14:textId="148EEFE7" w:rsidR="005D2517" w:rsidRPr="005D2517" w:rsidRDefault="005D2517" w:rsidP="00FF1C61">
      <w:r>
        <w:t xml:space="preserve">CIPD. (2020). </w:t>
      </w:r>
      <w:r>
        <w:rPr>
          <w:i/>
          <w:iCs/>
        </w:rPr>
        <w:t>Specialist knowledge: employee experience.</w:t>
      </w:r>
      <w:r>
        <w:t xml:space="preserve"> [online] Available at: </w:t>
      </w:r>
      <w:r w:rsidRPr="005D2517">
        <w:t>https://peopleprofession.cipd.org/profession-map/specialist-knowledge/employee-experience</w:t>
      </w:r>
      <w:r>
        <w:t>. [Accessed 24 May 2020].</w:t>
      </w:r>
    </w:p>
    <w:p w14:paraId="7B26D6C4" w14:textId="7FAF88C2" w:rsidR="00341B6F" w:rsidRPr="00341B6F" w:rsidRDefault="00341B6F" w:rsidP="00FF1C61">
      <w:r>
        <w:t xml:space="preserve">HUSSEIN, S. (2014). </w:t>
      </w:r>
      <w:r>
        <w:rPr>
          <w:i/>
          <w:iCs/>
        </w:rPr>
        <w:t>Employee engagement ideas: top 11 internal communication channels for today’s workplace.</w:t>
      </w:r>
      <w:r>
        <w:t xml:space="preserve"> [online] Available at: </w:t>
      </w:r>
      <w:r w:rsidRPr="00341B6F">
        <w:t>https://www.linkedin.com/pulse/20140718235719-13146364-internal-communication-channels-for-today-s-workplace/</w:t>
      </w:r>
      <w:r>
        <w:t>. [Accessed 24 May 2020].</w:t>
      </w:r>
    </w:p>
    <w:p w14:paraId="00BC33EF" w14:textId="06B44312" w:rsidR="00341B6F" w:rsidRDefault="00341B6F" w:rsidP="00341B6F">
      <w:r>
        <w:t xml:space="preserve">MACLOED, D. and CLARKE, N. (2009). </w:t>
      </w:r>
      <w:r>
        <w:rPr>
          <w:i/>
          <w:iCs/>
        </w:rPr>
        <w:t xml:space="preserve">Engaging for success: enhancing performance through employee engagement. A report to government. </w:t>
      </w:r>
      <w:r>
        <w:t xml:space="preserve">London: Department for Business, Innovation and Skills. </w:t>
      </w:r>
    </w:p>
    <w:p w14:paraId="4C7DBB11" w14:textId="1FD635AF" w:rsidR="00341B6F" w:rsidRPr="00341B6F" w:rsidRDefault="00341B6F" w:rsidP="00341B6F">
      <w:r>
        <w:t xml:space="preserve">PERSONNEL TODAY. (2018). </w:t>
      </w:r>
      <w:r>
        <w:rPr>
          <w:i/>
          <w:iCs/>
        </w:rPr>
        <w:t xml:space="preserve">Why should your organisation have an employee </w:t>
      </w:r>
      <w:proofErr w:type="gramStart"/>
      <w:r>
        <w:rPr>
          <w:i/>
          <w:iCs/>
        </w:rPr>
        <w:t>handbook.</w:t>
      </w:r>
      <w:proofErr w:type="gramEnd"/>
      <w:r>
        <w:t xml:space="preserve"> [online] Available at: </w:t>
      </w:r>
      <w:r w:rsidRPr="00341B6F">
        <w:t>https://www.personneltoday.com/pr/2018/01/why-should-your-organisation-have-an-employee-handbook/</w:t>
      </w:r>
      <w:r>
        <w:t xml:space="preserve">. [Accessed 24 May 2020]. </w:t>
      </w:r>
    </w:p>
    <w:p w14:paraId="639D19E1" w14:textId="77777777" w:rsidR="00341B6F" w:rsidRDefault="00341B6F" w:rsidP="00FF1C61"/>
    <w:p w14:paraId="4FB1D4BC" w14:textId="77777777" w:rsidR="00FF1C61" w:rsidRDefault="00FF1C61" w:rsidP="00BE1A84"/>
    <w:p w14:paraId="3450CCC9" w14:textId="77777777" w:rsidR="00BE1A84" w:rsidRDefault="00BE1A84"/>
    <w:sectPr w:rsidR="00BE1A8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1F35"/>
    <w:rsid w:val="00132943"/>
    <w:rsid w:val="00341B6F"/>
    <w:rsid w:val="00421F35"/>
    <w:rsid w:val="004E0692"/>
    <w:rsid w:val="005D2517"/>
    <w:rsid w:val="008134CD"/>
    <w:rsid w:val="00B430AC"/>
    <w:rsid w:val="00BE1A84"/>
    <w:rsid w:val="00DB0FE0"/>
    <w:rsid w:val="00DB6145"/>
    <w:rsid w:val="00DE2EFF"/>
    <w:rsid w:val="00FF1C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E37BBE"/>
  <w15:chartTrackingRefBased/>
  <w15:docId w15:val="{3CB2AC68-CA39-4281-82A9-5760CB0E9A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1F3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41B6F"/>
    <w:rPr>
      <w:color w:val="0000FF" w:themeColor="hyperlink"/>
      <w:u w:val="single"/>
    </w:rPr>
  </w:style>
  <w:style w:type="character" w:styleId="UnresolvedMention">
    <w:name w:val="Unresolved Mention"/>
    <w:basedOn w:val="DefaultParagraphFont"/>
    <w:uiPriority w:val="99"/>
    <w:semiHidden/>
    <w:unhideWhenUsed/>
    <w:rsid w:val="00341B6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6536672">
      <w:bodyDiv w:val="1"/>
      <w:marLeft w:val="0"/>
      <w:marRight w:val="0"/>
      <w:marTop w:val="0"/>
      <w:marBottom w:val="0"/>
      <w:divBdr>
        <w:top w:val="none" w:sz="0" w:space="0" w:color="auto"/>
        <w:left w:val="none" w:sz="0" w:space="0" w:color="auto"/>
        <w:bottom w:val="none" w:sz="0" w:space="0" w:color="auto"/>
        <w:right w:val="none" w:sz="0" w:space="0" w:color="auto"/>
      </w:divBdr>
    </w:div>
    <w:div w:id="559437081">
      <w:bodyDiv w:val="1"/>
      <w:marLeft w:val="0"/>
      <w:marRight w:val="0"/>
      <w:marTop w:val="0"/>
      <w:marBottom w:val="0"/>
      <w:divBdr>
        <w:top w:val="none" w:sz="0" w:space="0" w:color="auto"/>
        <w:left w:val="none" w:sz="0" w:space="0" w:color="auto"/>
        <w:bottom w:val="none" w:sz="0" w:space="0" w:color="auto"/>
        <w:right w:val="none" w:sz="0" w:space="0" w:color="auto"/>
      </w:divBdr>
    </w:div>
    <w:div w:id="1119951574">
      <w:bodyDiv w:val="1"/>
      <w:marLeft w:val="0"/>
      <w:marRight w:val="0"/>
      <w:marTop w:val="0"/>
      <w:marBottom w:val="0"/>
      <w:divBdr>
        <w:top w:val="none" w:sz="0" w:space="0" w:color="auto"/>
        <w:left w:val="none" w:sz="0" w:space="0" w:color="auto"/>
        <w:bottom w:val="none" w:sz="0" w:space="0" w:color="auto"/>
        <w:right w:val="none" w:sz="0" w:space="0" w:color="auto"/>
      </w:divBdr>
    </w:div>
    <w:div w:id="15125234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79</TotalTime>
  <Pages>5</Pages>
  <Words>1412</Words>
  <Characters>8055</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Carla Roberts</dc:creator>
  <cp:keywords/>
  <dc:description/>
  <cp:lastModifiedBy>Carla Roberts</cp:lastModifiedBy>
  <cp:revision>1</cp:revision>
  <dcterms:created xsi:type="dcterms:W3CDTF">2020-05-24T15:20:00Z</dcterms:created>
  <dcterms:modified xsi:type="dcterms:W3CDTF">2020-05-24T16:53:00Z</dcterms:modified>
</cp:coreProperties>
</file>