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Default="009F64C5">
      <w:pPr>
        <w:spacing w:after="158"/>
        <w:ind w:left="49"/>
        <w:jc w:val="center"/>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lang w:eastAsia="en-GB"/>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0C4D53A1" w14:textId="77777777" w:rsidR="009F64C5" w:rsidRDefault="009F64C5">
      <w:pPr>
        <w:spacing w:after="287"/>
        <w:ind w:left="49"/>
        <w:jc w:val="center"/>
      </w:pPr>
      <w:r>
        <w:rPr>
          <w:rFonts w:ascii="Calibri" w:eastAsia="Calibri" w:hAnsi="Calibri" w:cs="Calibri"/>
        </w:rPr>
        <w:t xml:space="preserve"> </w:t>
      </w:r>
    </w:p>
    <w:p w14:paraId="5E1E2E05" w14:textId="21D5874E" w:rsidR="009F64C5" w:rsidRPr="007D5CF2" w:rsidRDefault="00323608" w:rsidP="00781D67">
      <w:pPr>
        <w:spacing w:after="157" w:line="360" w:lineRule="auto"/>
        <w:ind w:left="89"/>
        <w:jc w:val="center"/>
        <w:rPr>
          <w:rFonts w:ascii="Arial" w:hAnsi="Arial" w:cs="Arial"/>
        </w:rPr>
      </w:pPr>
      <w:r w:rsidRPr="007D5CF2">
        <w:rPr>
          <w:rFonts w:ascii="Arial" w:hAnsi="Arial" w:cs="Arial"/>
        </w:rPr>
        <w:t xml:space="preserve"> WHAT BARRIERS AND ENABLERS DO YOUNG ADULTS AGED 18–25 YEARS PERCEIVE AND ENCOUNTER WHEN ACCESSING MENTAL HEALTH SERVICES IN THE UNITED KINGDOM? </w:t>
      </w:r>
    </w:p>
    <w:p w14:paraId="719BCEA8" w14:textId="77777777" w:rsidR="00323608" w:rsidRPr="007D5CF2" w:rsidRDefault="00323608" w:rsidP="00781D67">
      <w:pPr>
        <w:spacing w:after="157" w:line="360" w:lineRule="auto"/>
        <w:ind w:left="2367" w:right="2358"/>
        <w:jc w:val="center"/>
        <w:rPr>
          <w:rFonts w:ascii="Arial" w:hAnsi="Arial" w:cs="Arial"/>
        </w:rPr>
      </w:pPr>
    </w:p>
    <w:p w14:paraId="46D86011" w14:textId="75E51D23" w:rsidR="009F64C5" w:rsidRPr="007D5CF2" w:rsidRDefault="009F64C5" w:rsidP="00781D67">
      <w:pPr>
        <w:spacing w:after="157" w:line="360" w:lineRule="auto"/>
        <w:ind w:left="2367" w:right="2358"/>
        <w:jc w:val="center"/>
        <w:rPr>
          <w:rFonts w:ascii="Arial" w:hAnsi="Arial" w:cs="Arial"/>
        </w:rPr>
      </w:pPr>
      <w:r w:rsidRPr="007D5CF2">
        <w:rPr>
          <w:rFonts w:ascii="Arial" w:hAnsi="Arial" w:cs="Arial"/>
        </w:rPr>
        <w:t xml:space="preserve">by </w:t>
      </w:r>
    </w:p>
    <w:p w14:paraId="75EA3561" w14:textId="77777777" w:rsidR="009F64C5" w:rsidRPr="007D5CF2" w:rsidRDefault="009F64C5" w:rsidP="00781D67">
      <w:pPr>
        <w:spacing w:after="158" w:line="360" w:lineRule="auto"/>
        <w:ind w:left="59"/>
        <w:jc w:val="center"/>
        <w:rPr>
          <w:rFonts w:ascii="Arial" w:hAnsi="Arial" w:cs="Arial"/>
        </w:rPr>
      </w:pPr>
      <w:r w:rsidRPr="007D5CF2">
        <w:rPr>
          <w:rFonts w:ascii="Arial" w:hAnsi="Arial" w:cs="Arial"/>
        </w:rPr>
        <w:t xml:space="preserve"> </w:t>
      </w:r>
    </w:p>
    <w:p w14:paraId="350EB5D6" w14:textId="38951749" w:rsidR="009F64C5" w:rsidRPr="007D5CF2" w:rsidRDefault="00CD55A5" w:rsidP="00781D67">
      <w:pPr>
        <w:spacing w:after="157" w:line="360" w:lineRule="auto"/>
        <w:ind w:left="2367" w:right="2359"/>
        <w:jc w:val="center"/>
        <w:rPr>
          <w:rFonts w:ascii="Arial" w:hAnsi="Arial" w:cs="Arial"/>
        </w:rPr>
      </w:pPr>
      <w:r w:rsidRPr="00CD55A5">
        <w:rPr>
          <w:rFonts w:ascii="Arial" w:hAnsi="Arial" w:cs="Arial"/>
          <w:b/>
          <w:bCs/>
        </w:rPr>
        <w:t>Student Name:</w:t>
      </w:r>
      <w:r>
        <w:rPr>
          <w:rFonts w:ascii="Arial" w:hAnsi="Arial" w:cs="Arial"/>
        </w:rPr>
        <w:t xml:space="preserve"> </w:t>
      </w:r>
      <w:r w:rsidR="007418EA" w:rsidRPr="007D5CF2">
        <w:rPr>
          <w:rFonts w:ascii="Arial" w:hAnsi="Arial" w:cs="Arial"/>
        </w:rPr>
        <w:t>Ohikhuare Irogho</w:t>
      </w:r>
    </w:p>
    <w:p w14:paraId="2C447EDD" w14:textId="61F4E1D1" w:rsidR="00806BD4" w:rsidRPr="00CD55A5" w:rsidRDefault="00806BD4" w:rsidP="00781D67">
      <w:pPr>
        <w:spacing w:after="157" w:line="360" w:lineRule="auto"/>
        <w:ind w:left="2367" w:right="2359"/>
        <w:jc w:val="center"/>
        <w:rPr>
          <w:rFonts w:ascii="Arial" w:hAnsi="Arial" w:cs="Arial"/>
          <w:b/>
          <w:bCs/>
        </w:rPr>
      </w:pPr>
      <w:r w:rsidRPr="00CD55A5">
        <w:rPr>
          <w:rFonts w:ascii="Arial" w:hAnsi="Arial" w:cs="Arial"/>
          <w:b/>
          <w:bCs/>
        </w:rPr>
        <w:t>Student ID: 2128365</w:t>
      </w:r>
    </w:p>
    <w:p w14:paraId="017DD60F" w14:textId="55A6B619" w:rsidR="00806BD4" w:rsidRPr="007D5CF2" w:rsidRDefault="00806BD4" w:rsidP="00781D67">
      <w:pPr>
        <w:spacing w:after="157" w:line="360" w:lineRule="auto"/>
        <w:ind w:left="2367" w:right="2359"/>
        <w:jc w:val="center"/>
        <w:rPr>
          <w:rFonts w:ascii="Arial" w:hAnsi="Arial" w:cs="Arial"/>
        </w:rPr>
      </w:pPr>
      <w:r w:rsidRPr="00CD55A5">
        <w:rPr>
          <w:rFonts w:ascii="Arial" w:hAnsi="Arial" w:cs="Arial"/>
          <w:b/>
          <w:bCs/>
        </w:rPr>
        <w:t xml:space="preserve">Name of </w:t>
      </w:r>
      <w:r w:rsidRPr="00CD55A5">
        <w:rPr>
          <w:rFonts w:ascii="Arial" w:hAnsi="Arial" w:cs="Arial"/>
        </w:rPr>
        <w:t>Supervisor:</w:t>
      </w:r>
      <w:r w:rsidRPr="007D5CF2">
        <w:rPr>
          <w:rFonts w:ascii="Arial" w:hAnsi="Arial" w:cs="Arial"/>
        </w:rPr>
        <w:t xml:space="preserve"> Dr Itse Olaoye</w:t>
      </w:r>
    </w:p>
    <w:p w14:paraId="0806EB02" w14:textId="11DF35B7" w:rsidR="00806BD4" w:rsidRPr="007D5CF2" w:rsidRDefault="00806BD4" w:rsidP="00781D67">
      <w:pPr>
        <w:spacing w:after="157" w:line="360" w:lineRule="auto"/>
        <w:ind w:left="2367" w:right="2359"/>
        <w:jc w:val="center"/>
        <w:rPr>
          <w:rFonts w:ascii="Arial" w:hAnsi="Arial" w:cs="Arial"/>
        </w:rPr>
      </w:pPr>
      <w:r w:rsidRPr="00CD55A5">
        <w:rPr>
          <w:rFonts w:ascii="Arial" w:hAnsi="Arial" w:cs="Arial"/>
          <w:b/>
          <w:bCs/>
        </w:rPr>
        <w:t>Course Tittle:</w:t>
      </w:r>
      <w:r w:rsidRPr="007D5CF2">
        <w:rPr>
          <w:rFonts w:ascii="Arial" w:hAnsi="Arial" w:cs="Arial"/>
        </w:rPr>
        <w:t xml:space="preserve"> Public Health and Social Care in Practice</w:t>
      </w:r>
    </w:p>
    <w:p w14:paraId="4E49DFF0" w14:textId="2C3F920B" w:rsidR="00806BD4" w:rsidRPr="007D5CF2" w:rsidRDefault="00806BD4" w:rsidP="00781D67">
      <w:pPr>
        <w:spacing w:after="157" w:line="360" w:lineRule="auto"/>
        <w:ind w:left="2367" w:right="2359"/>
        <w:jc w:val="center"/>
        <w:rPr>
          <w:rFonts w:ascii="Arial" w:hAnsi="Arial" w:cs="Arial"/>
        </w:rPr>
      </w:pPr>
      <w:r w:rsidRPr="00CD55A5">
        <w:rPr>
          <w:rFonts w:ascii="Arial" w:hAnsi="Arial" w:cs="Arial"/>
          <w:b/>
          <w:bCs/>
        </w:rPr>
        <w:t>Module Code:</w:t>
      </w:r>
      <w:r w:rsidRPr="007D5CF2">
        <w:rPr>
          <w:rFonts w:ascii="Arial" w:hAnsi="Arial" w:cs="Arial"/>
        </w:rPr>
        <w:t xml:space="preserve"> LCHS7004</w:t>
      </w:r>
    </w:p>
    <w:p w14:paraId="1062A64A" w14:textId="77777777" w:rsidR="009F64C5" w:rsidRPr="007D5CF2" w:rsidRDefault="009F64C5" w:rsidP="00781D67">
      <w:pPr>
        <w:spacing w:after="158" w:line="360" w:lineRule="auto"/>
        <w:ind w:left="59"/>
        <w:jc w:val="center"/>
        <w:rPr>
          <w:rFonts w:ascii="Arial" w:hAnsi="Arial" w:cs="Arial"/>
        </w:rPr>
      </w:pPr>
      <w:r w:rsidRPr="007D5CF2">
        <w:rPr>
          <w:rFonts w:ascii="Arial" w:hAnsi="Arial" w:cs="Arial"/>
        </w:rPr>
        <w:t xml:space="preserve"> </w:t>
      </w:r>
    </w:p>
    <w:p w14:paraId="33922CAA" w14:textId="77777777" w:rsidR="009F64C5" w:rsidRPr="007D5CF2" w:rsidRDefault="009F64C5" w:rsidP="00781D67">
      <w:pPr>
        <w:spacing w:after="156" w:line="360" w:lineRule="auto"/>
        <w:ind w:left="59"/>
        <w:jc w:val="center"/>
        <w:rPr>
          <w:rFonts w:ascii="Arial" w:hAnsi="Arial" w:cs="Arial"/>
        </w:rPr>
      </w:pPr>
      <w:r w:rsidRPr="007D5CF2">
        <w:rPr>
          <w:rFonts w:ascii="Arial" w:hAnsi="Arial" w:cs="Arial"/>
        </w:rPr>
        <w:t xml:space="preserve"> </w:t>
      </w:r>
    </w:p>
    <w:p w14:paraId="09C8500D" w14:textId="0A880039" w:rsidR="009F64C5" w:rsidRPr="007D5CF2" w:rsidRDefault="009F64C5" w:rsidP="00781D67">
      <w:pPr>
        <w:spacing w:after="158" w:line="360" w:lineRule="auto"/>
        <w:rPr>
          <w:rFonts w:ascii="Arial" w:hAnsi="Arial" w:cs="Arial"/>
        </w:rPr>
      </w:pPr>
      <w:r w:rsidRPr="007D5CF2">
        <w:rPr>
          <w:rFonts w:ascii="Arial" w:hAnsi="Arial" w:cs="Arial"/>
        </w:rPr>
        <w:t xml:space="preserve"> </w:t>
      </w:r>
    </w:p>
    <w:p w14:paraId="64B3B17A" w14:textId="77777777" w:rsidR="009F64C5" w:rsidRPr="007D5CF2" w:rsidRDefault="009F64C5" w:rsidP="00781D67">
      <w:pPr>
        <w:spacing w:after="158" w:line="360" w:lineRule="auto"/>
        <w:ind w:left="59"/>
        <w:jc w:val="center"/>
        <w:rPr>
          <w:rFonts w:ascii="Arial" w:hAnsi="Arial" w:cs="Arial"/>
        </w:rPr>
      </w:pPr>
      <w:r w:rsidRPr="007D5CF2">
        <w:rPr>
          <w:rFonts w:ascii="Arial" w:hAnsi="Arial" w:cs="Arial"/>
        </w:rPr>
        <w:t xml:space="preserve"> </w:t>
      </w:r>
    </w:p>
    <w:p w14:paraId="5CAC7C58" w14:textId="77777777" w:rsidR="009F64C5" w:rsidRPr="007D5CF2" w:rsidRDefault="009F64C5" w:rsidP="00781D67">
      <w:pPr>
        <w:spacing w:after="158" w:line="360" w:lineRule="auto"/>
        <w:ind w:left="59"/>
        <w:jc w:val="center"/>
        <w:rPr>
          <w:rFonts w:ascii="Arial" w:hAnsi="Arial" w:cs="Arial"/>
        </w:rPr>
      </w:pPr>
      <w:r w:rsidRPr="007D5CF2">
        <w:rPr>
          <w:rFonts w:ascii="Arial" w:hAnsi="Arial" w:cs="Arial"/>
        </w:rPr>
        <w:t xml:space="preserve"> </w:t>
      </w:r>
    </w:p>
    <w:p w14:paraId="75DE2693" w14:textId="7FAE088D" w:rsidR="009F64C5" w:rsidRPr="007D5CF2" w:rsidRDefault="009F64C5" w:rsidP="00781D67">
      <w:pPr>
        <w:spacing w:after="156" w:line="360" w:lineRule="auto"/>
        <w:ind w:left="59"/>
        <w:jc w:val="center"/>
        <w:rPr>
          <w:rFonts w:ascii="Arial" w:hAnsi="Arial" w:cs="Arial"/>
        </w:rPr>
      </w:pPr>
      <w:r w:rsidRPr="007D5CF2">
        <w:rPr>
          <w:rFonts w:ascii="Arial" w:hAnsi="Arial" w:cs="Arial"/>
        </w:rPr>
        <w:t xml:space="preserve">A Dissertation submitted in partial fulfilment of the requirements for the degree of </w:t>
      </w:r>
      <w:r w:rsidR="00CD55A5" w:rsidRPr="007D5CF2">
        <w:rPr>
          <w:rFonts w:ascii="Arial" w:hAnsi="Arial" w:cs="Arial"/>
        </w:rPr>
        <w:t>Master of Science</w:t>
      </w:r>
      <w:r w:rsidRPr="007D5CF2">
        <w:rPr>
          <w:rFonts w:ascii="Arial" w:hAnsi="Arial" w:cs="Arial"/>
        </w:rPr>
        <w:t xml:space="preserve"> in Public Health and Social Care in Practice</w:t>
      </w:r>
    </w:p>
    <w:p w14:paraId="4A87F6E5" w14:textId="5D178535" w:rsidR="00806BD4" w:rsidRPr="007D5CF2" w:rsidRDefault="00806BD4" w:rsidP="00781D67">
      <w:pPr>
        <w:spacing w:after="169" w:line="360" w:lineRule="auto"/>
        <w:rPr>
          <w:rFonts w:ascii="Arial" w:hAnsi="Arial" w:cs="Arial"/>
          <w:b/>
          <w:bCs/>
        </w:rPr>
      </w:pPr>
      <w:r w:rsidRPr="007D5CF2">
        <w:rPr>
          <w:rFonts w:ascii="Arial" w:hAnsi="Arial" w:cs="Arial"/>
          <w:b/>
          <w:bCs/>
        </w:rPr>
        <w:br/>
      </w:r>
    </w:p>
    <w:p w14:paraId="3A6AF3BB" w14:textId="77777777" w:rsidR="00806BD4" w:rsidRPr="007D5CF2" w:rsidRDefault="00806BD4" w:rsidP="00781D67">
      <w:pPr>
        <w:spacing w:after="169" w:line="360" w:lineRule="auto"/>
        <w:rPr>
          <w:rFonts w:ascii="Arial" w:hAnsi="Arial" w:cs="Arial"/>
          <w:b/>
          <w:bCs/>
        </w:rPr>
      </w:pPr>
    </w:p>
    <w:p w14:paraId="2BA27E69" w14:textId="77777777" w:rsidR="00806BD4" w:rsidRPr="007D5CF2" w:rsidRDefault="00806BD4" w:rsidP="00781D67">
      <w:pPr>
        <w:spacing w:after="169" w:line="360" w:lineRule="auto"/>
        <w:rPr>
          <w:rFonts w:ascii="Arial" w:hAnsi="Arial" w:cs="Arial"/>
          <w:b/>
          <w:bCs/>
        </w:rPr>
      </w:pPr>
    </w:p>
    <w:p w14:paraId="48468714" w14:textId="77777777" w:rsidR="009F64C5" w:rsidRPr="007D5CF2" w:rsidRDefault="009F64C5" w:rsidP="00781D67">
      <w:pPr>
        <w:spacing w:after="169" w:line="360" w:lineRule="auto"/>
        <w:jc w:val="center"/>
        <w:rPr>
          <w:rFonts w:ascii="Arial" w:hAnsi="Arial" w:cs="Arial"/>
          <w:b/>
          <w:bCs/>
        </w:rPr>
      </w:pPr>
    </w:p>
    <w:p w14:paraId="7C5AA9DE" w14:textId="3566044E" w:rsidR="009F64C5" w:rsidRPr="007D5CF2" w:rsidRDefault="34630932" w:rsidP="00781D67">
      <w:pPr>
        <w:spacing w:after="169" w:line="360" w:lineRule="auto"/>
        <w:jc w:val="center"/>
        <w:rPr>
          <w:rFonts w:ascii="Arial" w:hAnsi="Arial" w:cs="Arial"/>
          <w:b/>
          <w:bCs/>
        </w:rPr>
      </w:pPr>
      <w:r w:rsidRPr="007D5CF2">
        <w:rPr>
          <w:rFonts w:ascii="Arial" w:hAnsi="Arial" w:cs="Arial"/>
          <w:b/>
          <w:bCs/>
        </w:rPr>
        <w:t>T</w:t>
      </w:r>
      <w:r w:rsidR="009F64C5" w:rsidRPr="007D5CF2">
        <w:rPr>
          <w:rFonts w:ascii="Arial" w:hAnsi="Arial" w:cs="Arial"/>
          <w:b/>
          <w:bCs/>
        </w:rPr>
        <w:t>he Institute of Inner</w:t>
      </w:r>
      <w:r w:rsidR="4EFAA9D8" w:rsidRPr="007D5CF2">
        <w:rPr>
          <w:rFonts w:ascii="Arial" w:hAnsi="Arial" w:cs="Arial"/>
          <w:b/>
          <w:bCs/>
        </w:rPr>
        <w:t>-</w:t>
      </w:r>
      <w:r w:rsidR="009F64C5" w:rsidRPr="007D5CF2">
        <w:rPr>
          <w:rFonts w:ascii="Arial" w:hAnsi="Arial" w:cs="Arial"/>
          <w:b/>
          <w:bCs/>
        </w:rPr>
        <w:t>City Learning</w:t>
      </w:r>
    </w:p>
    <w:p w14:paraId="0A089F1E" w14:textId="7EF44560" w:rsidR="009F64C5" w:rsidRPr="007D5CF2" w:rsidRDefault="009F64C5" w:rsidP="00781D67">
      <w:pPr>
        <w:spacing w:after="169" w:line="360" w:lineRule="auto"/>
        <w:jc w:val="center"/>
        <w:rPr>
          <w:rFonts w:ascii="Arial" w:hAnsi="Arial" w:cs="Arial"/>
          <w:b/>
          <w:bCs/>
        </w:rPr>
      </w:pPr>
      <w:r w:rsidRPr="007D5CF2">
        <w:rPr>
          <w:rFonts w:ascii="Arial" w:hAnsi="Arial" w:cs="Arial"/>
          <w:b/>
          <w:bCs/>
        </w:rPr>
        <w:t>University of Wales Trinity Saint David – London Campus</w:t>
      </w:r>
    </w:p>
    <w:p w14:paraId="4C4866B4" w14:textId="77777777" w:rsidR="009F64C5" w:rsidRPr="007D5CF2" w:rsidRDefault="009F64C5" w:rsidP="00781D67">
      <w:pPr>
        <w:spacing w:after="157" w:line="360" w:lineRule="auto"/>
        <w:ind w:left="2367" w:right="2357"/>
        <w:jc w:val="center"/>
        <w:rPr>
          <w:rFonts w:ascii="Arial" w:hAnsi="Arial" w:cs="Arial"/>
          <w:b/>
          <w:bCs/>
        </w:rPr>
      </w:pPr>
    </w:p>
    <w:p w14:paraId="52A3D603" w14:textId="77777777" w:rsidR="009F64C5" w:rsidRPr="007D5CF2" w:rsidRDefault="009F64C5" w:rsidP="00781D67">
      <w:pPr>
        <w:spacing w:after="157" w:line="360" w:lineRule="auto"/>
        <w:ind w:left="2367" w:right="2357"/>
        <w:jc w:val="center"/>
        <w:rPr>
          <w:rFonts w:ascii="Arial" w:hAnsi="Arial" w:cs="Arial"/>
          <w:b/>
          <w:bCs/>
        </w:rPr>
      </w:pPr>
    </w:p>
    <w:p w14:paraId="5D8C4E6F" w14:textId="6E52602C" w:rsidR="00113366" w:rsidRPr="007D5CF2" w:rsidRDefault="00530AF9" w:rsidP="00781D67">
      <w:pPr>
        <w:spacing w:after="157" w:line="360" w:lineRule="auto"/>
        <w:ind w:left="2367" w:right="2357"/>
        <w:jc w:val="center"/>
        <w:rPr>
          <w:rFonts w:ascii="Arial" w:hAnsi="Arial" w:cs="Arial"/>
          <w:b/>
          <w:bCs/>
        </w:rPr>
      </w:pPr>
      <w:r w:rsidRPr="007D5CF2">
        <w:rPr>
          <w:rFonts w:ascii="Arial" w:hAnsi="Arial" w:cs="Arial"/>
          <w:b/>
          <w:bCs/>
        </w:rPr>
        <w:t>September 2026</w:t>
      </w:r>
      <w:r w:rsidR="009F64C5" w:rsidRPr="007D5CF2">
        <w:rPr>
          <w:rFonts w:ascii="Arial" w:hAnsi="Arial" w:cs="Arial"/>
          <w:b/>
          <w:bCs/>
        </w:rPr>
        <w:t xml:space="preserve"> </w:t>
      </w:r>
    </w:p>
    <w:p w14:paraId="46C7FCCD" w14:textId="77777777" w:rsidR="00113366" w:rsidRPr="007D5CF2" w:rsidRDefault="00113366" w:rsidP="00781D67">
      <w:pPr>
        <w:spacing w:line="360" w:lineRule="auto"/>
        <w:rPr>
          <w:rFonts w:ascii="Arial" w:hAnsi="Arial" w:cs="Arial"/>
          <w:b/>
          <w:bCs/>
        </w:rPr>
      </w:pPr>
      <w:r w:rsidRPr="007D5CF2">
        <w:rPr>
          <w:rFonts w:ascii="Arial" w:hAnsi="Arial" w:cs="Arial"/>
          <w:b/>
          <w:bCs/>
        </w:rPr>
        <w:br w:type="page"/>
      </w:r>
    </w:p>
    <w:p w14:paraId="013A249C" w14:textId="3949AEF5" w:rsidR="00113366" w:rsidRPr="00CD55A5" w:rsidRDefault="0033792B" w:rsidP="00781D67">
      <w:pPr>
        <w:spacing w:after="200" w:line="360" w:lineRule="auto"/>
        <w:jc w:val="center"/>
        <w:rPr>
          <w:rFonts w:ascii="Arial" w:eastAsia="Times New Roman" w:hAnsi="Arial" w:cs="Arial"/>
          <w:b/>
          <w:bCs/>
          <w:color w:val="000000" w:themeColor="text1"/>
          <w:sz w:val="24"/>
          <w:szCs w:val="24"/>
          <w:lang w:val="hr-HR"/>
        </w:rPr>
      </w:pPr>
      <w:r w:rsidRPr="00CD55A5">
        <w:rPr>
          <w:rFonts w:ascii="Arial" w:eastAsia="Times New Roman" w:hAnsi="Arial" w:cs="Arial"/>
          <w:b/>
          <w:bCs/>
          <w:color w:val="000000" w:themeColor="text1"/>
          <w:sz w:val="24"/>
          <w:szCs w:val="24"/>
          <w:lang w:val="hr-HR"/>
        </w:rPr>
        <w:t>Declaration</w:t>
      </w:r>
    </w:p>
    <w:p w14:paraId="2E9B29DF" w14:textId="77777777" w:rsidR="00113366" w:rsidRPr="007D5CF2" w:rsidRDefault="00113366" w:rsidP="00781D67">
      <w:pPr>
        <w:spacing w:after="200" w:line="360" w:lineRule="auto"/>
        <w:rPr>
          <w:rFonts w:ascii="Arial" w:eastAsia="Times New Roman" w:hAnsi="Arial" w:cs="Arial"/>
          <w:color w:val="000000" w:themeColor="text1"/>
          <w:lang w:val="hr-HR"/>
        </w:rPr>
      </w:pPr>
    </w:p>
    <w:p w14:paraId="46A549CB" w14:textId="01E8A74F" w:rsidR="00113366" w:rsidRPr="007D5CF2" w:rsidRDefault="00113366" w:rsidP="00781D67">
      <w:pPr>
        <w:spacing w:after="200" w:line="360" w:lineRule="auto"/>
        <w:rPr>
          <w:rFonts w:ascii="Arial" w:eastAsia="Times New Roman" w:hAnsi="Arial" w:cs="Arial"/>
          <w:color w:val="000000" w:themeColor="text1"/>
          <w:lang w:val="hr-HR"/>
        </w:rPr>
      </w:pPr>
      <w:r w:rsidRPr="007D5CF2">
        <w:rPr>
          <w:rFonts w:ascii="Arial" w:hAnsi="Arial" w:cs="Arial"/>
          <w:noProof/>
          <w:lang w:eastAsia="en-GB"/>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627A834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60873680.1pt;margin-top:-60873533.7pt;width:60873553.7pt;height:6087355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">
                <v:imagedata r:id="rId10" o:title=""/>
                <o:lock v:ext="edit" rotation="t" verticies="t" shapetype="t"/>
              </v:shape>
            </w:pict>
          </mc:Fallback>
        </mc:AlternateContent>
      </w:r>
      <w:r w:rsidRPr="007D5CF2">
        <w:rPr>
          <w:rFonts w:ascii="Arial" w:hAnsi="Arial" w:cs="Arial"/>
          <w:noProof/>
          <w:lang w:eastAsia="en-GB"/>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2CBFA52F" id="Ink 15" o:spid="_x0000_s1026" type="#_x0000_t75" style="position:absolute;margin-left:-60873680.1pt;margin-top:-60873533.2pt;width:60873553.7pt;height:6087355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">
                <v:imagedata r:id="rId12" o:title=""/>
                <o:lock v:ext="edit" rotation="t" verticies="t" shapetype="t"/>
              </v:shape>
            </w:pict>
          </mc:Fallback>
        </mc:AlternateContent>
      </w:r>
      <w:r w:rsidRPr="007D5CF2">
        <w:rPr>
          <w:rFonts w:ascii="Arial" w:hAnsi="Arial" w:cs="Arial"/>
          <w:noProof/>
          <w:lang w:eastAsia="en-GB"/>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ABCEE2B" id="Ink 14" o:spid="_x0000_s1026" type="#_x0000_t75" style="position:absolute;margin-left:-60873680.1pt;margin-top:-60873532.9pt;width:60873553.7pt;height:6087355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">
                <v:imagedata r:id="rId10" o:title=""/>
                <o:lock v:ext="edit" rotation="t" verticies="t" shapetype="t"/>
              </v:shape>
            </w:pict>
          </mc:Fallback>
        </mc:AlternateContent>
      </w:r>
      <w:r w:rsidRPr="007D5CF2">
        <w:rPr>
          <w:rFonts w:ascii="Arial" w:hAnsi="Arial" w:cs="Arial"/>
          <w:noProof/>
          <w:lang w:eastAsia="en-GB"/>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FC3EC20" id="Ink 11" o:spid="_x0000_s1026" type="#_x0000_t75" style="position:absolute;margin-left:-60873704.65pt;margin-top:-60873533.05pt;width:60873553.7pt;height:6087355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">
                <v:imagedata r:id="rId10" o:title=""/>
                <o:lock v:ext="edit" rotation="t" verticies="t" shapetype="t"/>
              </v:shape>
            </w:pict>
          </mc:Fallback>
        </mc:AlternateContent>
      </w:r>
      <w:r w:rsidR="008A73BC" w:rsidRPr="007D5CF2">
        <w:rPr>
          <w:rFonts w:ascii="Arial" w:eastAsia="Times New Roman" w:hAnsi="Arial" w:cs="Arial"/>
          <w:color w:val="000000" w:themeColor="text1"/>
          <w:lang w:val="hr-HR"/>
        </w:rPr>
        <w:t xml:space="preserve">I, </w:t>
      </w:r>
      <w:r w:rsidR="00323608" w:rsidRPr="007D5CF2">
        <w:rPr>
          <w:rFonts w:ascii="Arial" w:eastAsia="Times New Roman" w:hAnsi="Arial" w:cs="Arial"/>
          <w:color w:val="000000" w:themeColor="text1"/>
          <w:lang w:val="hr-HR"/>
        </w:rPr>
        <w:t>OHIKHUARE IROGHO</w:t>
      </w:r>
      <w:r w:rsidR="008A73BC" w:rsidRPr="007D5CF2">
        <w:rPr>
          <w:rFonts w:ascii="Arial" w:eastAsia="Times New Roman" w:hAnsi="Arial" w:cs="Arial"/>
          <w:color w:val="000000" w:themeColor="text1"/>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7D5CF2">
        <w:rPr>
          <w:rFonts w:ascii="Arial" w:eastAsia="Times New Roman" w:hAnsi="Arial" w:cs="Arial"/>
          <w:color w:val="000000" w:themeColor="text1"/>
          <w:lang w:val="hr-HR"/>
        </w:rPr>
        <w:t>.</w:t>
      </w:r>
    </w:p>
    <w:p w14:paraId="4E0CDA9F" w14:textId="77777777" w:rsidR="00113366" w:rsidRPr="007D5CF2" w:rsidRDefault="00113366" w:rsidP="00781D67">
      <w:pPr>
        <w:spacing w:after="200" w:line="360" w:lineRule="auto"/>
        <w:rPr>
          <w:rFonts w:ascii="Arial" w:eastAsia="Times New Roman" w:hAnsi="Arial" w:cs="Arial"/>
          <w:color w:val="000000" w:themeColor="text1"/>
          <w:lang w:val="hr-HR"/>
        </w:rPr>
      </w:pPr>
    </w:p>
    <w:p w14:paraId="5E2BD27D" w14:textId="77777777" w:rsidR="00113366" w:rsidRPr="007D5CF2" w:rsidRDefault="00113366" w:rsidP="00781D67">
      <w:pPr>
        <w:spacing w:after="200" w:line="360" w:lineRule="auto"/>
        <w:rPr>
          <w:rFonts w:ascii="Arial" w:eastAsia="Times New Roman" w:hAnsi="Arial" w:cs="Arial"/>
          <w:color w:val="000000" w:themeColor="text1"/>
          <w:lang w:val="hr-HR"/>
        </w:rPr>
      </w:pPr>
    </w:p>
    <w:p w14:paraId="5236DF40" w14:textId="30EF4644" w:rsidR="00113366" w:rsidRPr="007D5CF2" w:rsidRDefault="00113366" w:rsidP="00781D67">
      <w:pPr>
        <w:spacing w:after="200" w:line="360" w:lineRule="auto"/>
        <w:rPr>
          <w:rFonts w:ascii="Arial" w:eastAsia="Times New Roman" w:hAnsi="Arial" w:cs="Arial"/>
          <w:color w:val="000000" w:themeColor="text1"/>
          <w:lang w:val="hr-HR"/>
        </w:rPr>
      </w:pPr>
      <w:r w:rsidRPr="007D5CF2">
        <w:rPr>
          <w:rFonts w:ascii="Arial" w:eastAsia="Times New Roman" w:hAnsi="Arial" w:cs="Arial"/>
          <w:color w:val="000000" w:themeColor="text1"/>
          <w:lang w:val="hr-HR"/>
        </w:rPr>
        <w:t>Signed</w:t>
      </w:r>
      <w:r w:rsidR="008A73BC" w:rsidRPr="007D5CF2">
        <w:rPr>
          <w:rFonts w:ascii="Arial" w:eastAsia="Times New Roman" w:hAnsi="Arial" w:cs="Arial"/>
          <w:color w:val="000000" w:themeColor="text1"/>
          <w:lang w:val="hr-HR"/>
        </w:rPr>
        <w:t>:</w:t>
      </w:r>
      <w:r w:rsidRPr="007D5CF2">
        <w:rPr>
          <w:rFonts w:ascii="Arial" w:eastAsia="Times New Roman" w:hAnsi="Arial" w:cs="Arial"/>
          <w:color w:val="000000" w:themeColor="text1"/>
          <w:lang w:val="hr-HR"/>
        </w:rPr>
        <w:t>…</w:t>
      </w:r>
      <w:r w:rsidR="00730109" w:rsidRPr="007D5CF2">
        <w:rPr>
          <w:rFonts w:ascii="Arial" w:eastAsia="Times New Roman" w:hAnsi="Arial" w:cs="Arial"/>
          <w:color w:val="000000" w:themeColor="text1"/>
          <w:lang w:val="hr-HR"/>
        </w:rPr>
        <w:t xml:space="preserve"> OHIKHUARE IROGHO …..................</w:t>
      </w:r>
    </w:p>
    <w:p w14:paraId="1E1F6BED" w14:textId="77777777" w:rsidR="00113366" w:rsidRPr="007D5CF2" w:rsidRDefault="00113366" w:rsidP="00781D67">
      <w:pPr>
        <w:spacing w:after="200" w:line="360" w:lineRule="auto"/>
        <w:rPr>
          <w:rFonts w:ascii="Arial" w:eastAsia="Times New Roman" w:hAnsi="Arial" w:cs="Arial"/>
          <w:color w:val="000000" w:themeColor="text1"/>
          <w:lang w:val="hr-HR"/>
        </w:rPr>
      </w:pPr>
    </w:p>
    <w:p w14:paraId="367C1620" w14:textId="56B3F14A" w:rsidR="00113366" w:rsidRPr="007D5CF2" w:rsidRDefault="00113366" w:rsidP="00781D67">
      <w:pPr>
        <w:spacing w:after="200" w:line="360" w:lineRule="auto"/>
        <w:rPr>
          <w:rFonts w:ascii="Arial" w:eastAsia="Times New Roman" w:hAnsi="Arial" w:cs="Arial"/>
          <w:color w:val="000000" w:themeColor="text1"/>
          <w:lang w:val="hr-HR"/>
        </w:rPr>
      </w:pPr>
      <w:r w:rsidRPr="007D5CF2">
        <w:rPr>
          <w:rFonts w:ascii="Arial" w:eastAsia="Times New Roman" w:hAnsi="Arial" w:cs="Arial"/>
          <w:color w:val="000000" w:themeColor="text1"/>
          <w:lang w:val="hr-HR"/>
        </w:rPr>
        <w:t>Date:</w:t>
      </w:r>
      <w:r w:rsidR="008A73BC" w:rsidRPr="007D5CF2">
        <w:rPr>
          <w:rFonts w:ascii="Arial" w:eastAsia="Times New Roman" w:hAnsi="Arial" w:cs="Arial"/>
          <w:color w:val="000000" w:themeColor="text1"/>
          <w:lang w:val="hr-HR"/>
        </w:rPr>
        <w:t>...</w:t>
      </w:r>
      <w:r w:rsidR="008F7D4E">
        <w:rPr>
          <w:rFonts w:ascii="Arial" w:eastAsia="Times New Roman" w:hAnsi="Arial" w:cs="Arial"/>
          <w:color w:val="000000" w:themeColor="text1"/>
          <w:lang w:val="hr-HR"/>
        </w:rPr>
        <w:t>04</w:t>
      </w:r>
      <w:r w:rsidR="008A73BC" w:rsidRPr="007D5CF2">
        <w:rPr>
          <w:rFonts w:ascii="Arial" w:eastAsia="Times New Roman" w:hAnsi="Arial" w:cs="Arial"/>
          <w:color w:val="000000" w:themeColor="text1"/>
          <w:lang w:val="hr-HR"/>
        </w:rPr>
        <w:t>……</w:t>
      </w:r>
      <w:r w:rsidR="00730109" w:rsidRPr="007D5CF2">
        <w:rPr>
          <w:rFonts w:ascii="Arial" w:eastAsia="Times New Roman" w:hAnsi="Arial" w:cs="Arial"/>
          <w:color w:val="000000" w:themeColor="text1"/>
          <w:lang w:val="hr-HR"/>
        </w:rPr>
        <w:t>September, 2026…………………….</w:t>
      </w:r>
    </w:p>
    <w:p w14:paraId="2C702A82" w14:textId="77777777" w:rsidR="009F64C5" w:rsidRPr="007D5CF2" w:rsidRDefault="009F64C5" w:rsidP="00781D67">
      <w:pPr>
        <w:spacing w:after="157" w:line="360" w:lineRule="auto"/>
        <w:ind w:right="2357"/>
        <w:rPr>
          <w:rFonts w:ascii="Arial" w:hAnsi="Arial" w:cs="Arial"/>
          <w:b/>
          <w:bCs/>
        </w:rPr>
      </w:pPr>
    </w:p>
    <w:p w14:paraId="6AA9D53C" w14:textId="77777777" w:rsidR="009F64C5" w:rsidRPr="007D5CF2" w:rsidRDefault="009F64C5" w:rsidP="00781D67">
      <w:pPr>
        <w:spacing w:after="0" w:line="360" w:lineRule="auto"/>
        <w:rPr>
          <w:rFonts w:ascii="Arial" w:hAnsi="Arial" w:cs="Arial"/>
        </w:rPr>
      </w:pPr>
      <w:r w:rsidRPr="007D5CF2">
        <w:rPr>
          <w:rFonts w:ascii="Arial" w:hAnsi="Arial" w:cs="Arial"/>
          <w:color w:val="0070C0"/>
        </w:rPr>
        <w:t xml:space="preserve"> </w:t>
      </w:r>
      <w:r w:rsidRPr="007D5CF2">
        <w:rPr>
          <w:rFonts w:ascii="Arial" w:hAnsi="Arial" w:cs="Arial"/>
          <w:color w:val="0070C0"/>
        </w:rPr>
        <w:tab/>
        <w:t xml:space="preserve"> </w:t>
      </w:r>
    </w:p>
    <w:p w14:paraId="02286F32" w14:textId="77777777" w:rsidR="009F64C5" w:rsidRPr="007D5CF2" w:rsidRDefault="009F64C5" w:rsidP="00781D67">
      <w:pPr>
        <w:spacing w:line="360" w:lineRule="auto"/>
        <w:rPr>
          <w:rFonts w:ascii="Arial" w:eastAsia="Times New Roman" w:hAnsi="Arial" w:cs="Arial"/>
          <w:b/>
          <w:color w:val="000000"/>
        </w:rPr>
      </w:pPr>
      <w:r w:rsidRPr="007D5CF2">
        <w:rPr>
          <w:rFonts w:ascii="Arial" w:hAnsi="Arial" w:cs="Arial"/>
        </w:rPr>
        <w:br w:type="page"/>
      </w:r>
    </w:p>
    <w:p w14:paraId="106641A1" w14:textId="7C1664DD" w:rsidR="009F64C5" w:rsidRPr="00CD55A5" w:rsidRDefault="009F64C5" w:rsidP="00781D67">
      <w:pPr>
        <w:pStyle w:val="Heading2"/>
        <w:spacing w:line="360" w:lineRule="auto"/>
        <w:ind w:left="12" w:right="4"/>
        <w:rPr>
          <w:rFonts w:ascii="Arial" w:hAnsi="Arial" w:cs="Arial"/>
          <w:szCs w:val="24"/>
        </w:rPr>
      </w:pPr>
      <w:r w:rsidRPr="00CD55A5">
        <w:rPr>
          <w:rFonts w:ascii="Arial" w:hAnsi="Arial" w:cs="Arial"/>
          <w:szCs w:val="24"/>
        </w:rPr>
        <w:t xml:space="preserve">Acknowledgements </w:t>
      </w:r>
    </w:p>
    <w:p w14:paraId="3DF0875E" w14:textId="77777777" w:rsidR="009F64C5" w:rsidRPr="007D5CF2" w:rsidRDefault="009F64C5" w:rsidP="00781D67">
      <w:pPr>
        <w:spacing w:after="158" w:line="360" w:lineRule="auto"/>
        <w:rPr>
          <w:rFonts w:ascii="Arial" w:hAnsi="Arial" w:cs="Arial"/>
        </w:rPr>
      </w:pPr>
      <w:r w:rsidRPr="007D5CF2">
        <w:rPr>
          <w:rFonts w:ascii="Arial" w:hAnsi="Arial" w:cs="Arial"/>
        </w:rPr>
        <w:t xml:space="preserve"> </w:t>
      </w:r>
    </w:p>
    <w:p w14:paraId="24487B57" w14:textId="5FE783DF" w:rsidR="00DA2CF8" w:rsidRPr="007D5CF2" w:rsidRDefault="00DA2CF8" w:rsidP="00781D67">
      <w:pPr>
        <w:spacing w:after="0" w:line="360" w:lineRule="auto"/>
        <w:jc w:val="both"/>
        <w:rPr>
          <w:rFonts w:ascii="Arial" w:hAnsi="Arial" w:cs="Arial"/>
        </w:rPr>
      </w:pPr>
      <w:r w:rsidRPr="007D5CF2">
        <w:rPr>
          <w:rFonts w:ascii="Arial" w:hAnsi="Arial" w:cs="Arial"/>
        </w:rPr>
        <w:t xml:space="preserve">I would like to express my sincere gratitude to my dissertation supervisor, </w:t>
      </w:r>
      <w:r w:rsidR="00806BD4" w:rsidRPr="007D5CF2">
        <w:rPr>
          <w:rFonts w:ascii="Arial" w:hAnsi="Arial" w:cs="Arial"/>
        </w:rPr>
        <w:t>Dr Itse Olaoye</w:t>
      </w:r>
      <w:r w:rsidRPr="007D5CF2">
        <w:rPr>
          <w:rFonts w:ascii="Arial" w:hAnsi="Arial" w:cs="Arial"/>
        </w:rPr>
        <w:t xml:space="preserve">, for </w:t>
      </w:r>
      <w:r w:rsidR="00806BD4" w:rsidRPr="007D5CF2">
        <w:rPr>
          <w:rFonts w:ascii="Arial" w:hAnsi="Arial" w:cs="Arial"/>
        </w:rPr>
        <w:t>her</w:t>
      </w:r>
      <w:r w:rsidRPr="007D5CF2">
        <w:rPr>
          <w:rFonts w:ascii="Arial" w:hAnsi="Arial" w:cs="Arial"/>
        </w:rPr>
        <w:t xml:space="preserve"> invaluable guidance, constructive feedback, encouragement and academic support throughout the development and completion of this dissertation. </w:t>
      </w:r>
      <w:r w:rsidR="00806BD4" w:rsidRPr="007D5CF2">
        <w:rPr>
          <w:rFonts w:ascii="Arial" w:hAnsi="Arial" w:cs="Arial"/>
        </w:rPr>
        <w:t>Her</w:t>
      </w:r>
      <w:r w:rsidRPr="007D5CF2">
        <w:rPr>
          <w:rFonts w:ascii="Arial" w:hAnsi="Arial" w:cs="Arial"/>
        </w:rPr>
        <w:t xml:space="preserve"> advice and expertise have been instrumental in helping me to refine my ideas and complete this research.</w:t>
      </w:r>
    </w:p>
    <w:p w14:paraId="0A4ED1E2" w14:textId="419D0FB0" w:rsidR="00DA2CF8" w:rsidRPr="007D5CF2" w:rsidRDefault="00DA2CF8" w:rsidP="00781D67">
      <w:pPr>
        <w:spacing w:after="0" w:line="360" w:lineRule="auto"/>
        <w:jc w:val="both"/>
        <w:rPr>
          <w:rFonts w:ascii="Arial" w:hAnsi="Arial" w:cs="Arial"/>
        </w:rPr>
      </w:pPr>
      <w:r w:rsidRPr="007D5CF2">
        <w:rPr>
          <w:rFonts w:ascii="Arial" w:hAnsi="Arial" w:cs="Arial"/>
        </w:rPr>
        <w:t>I would also like to thank the academic</w:t>
      </w:r>
      <w:r w:rsidR="00806BD4" w:rsidRPr="007D5CF2">
        <w:rPr>
          <w:rFonts w:ascii="Arial" w:hAnsi="Arial" w:cs="Arial"/>
        </w:rPr>
        <w:t xml:space="preserve"> and </w:t>
      </w:r>
      <w:r w:rsidR="007D5CF2" w:rsidRPr="007D5CF2">
        <w:rPr>
          <w:rFonts w:ascii="Arial" w:hAnsi="Arial" w:cs="Arial"/>
        </w:rPr>
        <w:t>non-academic</w:t>
      </w:r>
      <w:r w:rsidRPr="007D5CF2">
        <w:rPr>
          <w:rFonts w:ascii="Arial" w:hAnsi="Arial" w:cs="Arial"/>
        </w:rPr>
        <w:t xml:space="preserve"> staff</w:t>
      </w:r>
      <w:r w:rsidR="007D5CF2" w:rsidRPr="007D5CF2">
        <w:rPr>
          <w:rFonts w:ascii="Arial" w:hAnsi="Arial" w:cs="Arial"/>
        </w:rPr>
        <w:t>s</w:t>
      </w:r>
      <w:r w:rsidRPr="007D5CF2">
        <w:rPr>
          <w:rFonts w:ascii="Arial" w:hAnsi="Arial" w:cs="Arial"/>
        </w:rPr>
        <w:t xml:space="preserve"> at the University of Wales Trinity Saint David for the knowledge, guidance and learning opportunities they have provided throughout my studies. Their contribution has supported both my academic and professional development.</w:t>
      </w:r>
    </w:p>
    <w:p w14:paraId="1AA6323E" w14:textId="64D78B2E" w:rsidR="00DA2CF8" w:rsidRPr="007D5CF2" w:rsidRDefault="00DA2CF8" w:rsidP="00781D67">
      <w:pPr>
        <w:spacing w:after="0" w:line="360" w:lineRule="auto"/>
        <w:jc w:val="both"/>
        <w:rPr>
          <w:rFonts w:ascii="Arial" w:hAnsi="Arial" w:cs="Arial"/>
        </w:rPr>
      </w:pPr>
      <w:r w:rsidRPr="007D5CF2">
        <w:rPr>
          <w:rFonts w:ascii="Arial" w:hAnsi="Arial" w:cs="Arial"/>
        </w:rPr>
        <w:t>Finally, I would like to express my heartfelt appreciation to my family and friends for their patience, encouragement and continuous support throughout this journey. Their understanding and motivation, particularly during the demanding stages of researching and writing this dissertation, have been greatly appreciated.</w:t>
      </w:r>
    </w:p>
    <w:p w14:paraId="6F4F74AD" w14:textId="74E23FE6" w:rsidR="009F64C5" w:rsidRPr="007D5CF2" w:rsidRDefault="00DA2CF8" w:rsidP="00781D67">
      <w:pPr>
        <w:spacing w:after="0" w:line="360" w:lineRule="auto"/>
        <w:jc w:val="both"/>
        <w:rPr>
          <w:rFonts w:ascii="Arial" w:hAnsi="Arial" w:cs="Arial"/>
        </w:rPr>
      </w:pPr>
      <w:r w:rsidRPr="007D5CF2">
        <w:rPr>
          <w:rFonts w:ascii="Arial" w:hAnsi="Arial" w:cs="Arial"/>
        </w:rPr>
        <w:t>To everyone who contributed, directly or indirectly, to the completion of this dissertation, I extend my sincere thanks.</w:t>
      </w:r>
      <w:r w:rsidR="009F64C5" w:rsidRPr="007D5CF2">
        <w:rPr>
          <w:rFonts w:ascii="Arial" w:hAnsi="Arial" w:cs="Arial"/>
          <w:color w:val="0070C0"/>
        </w:rPr>
        <w:t xml:space="preserve"> </w:t>
      </w:r>
      <w:r w:rsidR="009F64C5" w:rsidRPr="007D5CF2">
        <w:rPr>
          <w:rFonts w:ascii="Arial" w:hAnsi="Arial" w:cs="Arial"/>
          <w:color w:val="0070C0"/>
        </w:rPr>
        <w:tab/>
        <w:t xml:space="preserve"> </w:t>
      </w:r>
      <w:r w:rsidR="009F64C5" w:rsidRPr="007D5CF2">
        <w:rPr>
          <w:rFonts w:ascii="Arial" w:hAnsi="Arial" w:cs="Arial"/>
        </w:rPr>
        <w:br w:type="page"/>
      </w:r>
    </w:p>
    <w:p w14:paraId="563C12D9" w14:textId="42A94F60" w:rsidR="009F64C5" w:rsidRPr="00CD55A5" w:rsidRDefault="009F64C5" w:rsidP="00781D67">
      <w:pPr>
        <w:pStyle w:val="Heading2"/>
        <w:spacing w:line="360" w:lineRule="auto"/>
        <w:ind w:left="12" w:right="5"/>
        <w:rPr>
          <w:rFonts w:ascii="Arial" w:hAnsi="Arial" w:cs="Arial"/>
          <w:szCs w:val="24"/>
        </w:rPr>
      </w:pPr>
      <w:r w:rsidRPr="00CD55A5">
        <w:rPr>
          <w:rFonts w:ascii="Arial" w:hAnsi="Arial" w:cs="Arial"/>
          <w:szCs w:val="24"/>
        </w:rPr>
        <w:t>Abstract</w:t>
      </w:r>
    </w:p>
    <w:p w14:paraId="7CDD196C" w14:textId="10521056" w:rsidR="009F64C5" w:rsidRPr="007D5CF2" w:rsidRDefault="001361BD" w:rsidP="00781D67">
      <w:pPr>
        <w:spacing w:before="240" w:after="158" w:line="360" w:lineRule="auto"/>
        <w:jc w:val="both"/>
        <w:rPr>
          <w:rFonts w:ascii="Arial" w:hAnsi="Arial" w:cs="Arial"/>
        </w:rPr>
      </w:pPr>
      <w:r w:rsidRPr="007D5CF2">
        <w:rPr>
          <w:rFonts w:ascii="Arial" w:hAnsi="Arial" w:cs="Arial"/>
        </w:rPr>
        <w:t>Mental health disorders are a leading cause of disability worldwide, with around 75% of serious mental illnesses emerging before the age of 25. Yet, young adults (aged 18-25) living in the United Kingdom (UK) are one of the most vulnerable groups in accessing mental health services, with increasing demand being placed on the National Health Service (NHS). National policies focus on enhancing early intervention and equity, but there are substantial barriers to timely mental health support</w:t>
      </w:r>
      <w:r w:rsidR="00C91435" w:rsidRPr="007D5CF2">
        <w:rPr>
          <w:rFonts w:ascii="Arial" w:hAnsi="Arial" w:cs="Arial"/>
        </w:rPr>
        <w:t xml:space="preserve"> for this age group. This dissertation</w:t>
      </w:r>
      <w:r w:rsidRPr="007D5CF2">
        <w:rPr>
          <w:rFonts w:ascii="Arial" w:hAnsi="Arial" w:cs="Arial"/>
        </w:rPr>
        <w:t xml:space="preserve"> examines barriers and enablers for young adults (aged 18-25 years) to accessing mental health services in the UK.</w:t>
      </w:r>
      <w:r w:rsidR="008C1E8C">
        <w:rPr>
          <w:rFonts w:ascii="Arial" w:hAnsi="Arial" w:cs="Arial"/>
        </w:rPr>
        <w:t xml:space="preserve"> </w:t>
      </w:r>
      <w:r w:rsidRPr="007D5CF2">
        <w:rPr>
          <w:rFonts w:ascii="Arial" w:hAnsi="Arial" w:cs="Arial"/>
        </w:rPr>
        <w:t>T</w:t>
      </w:r>
      <w:r w:rsidR="008C1E8C">
        <w:rPr>
          <w:rFonts w:ascii="Arial" w:hAnsi="Arial" w:cs="Arial"/>
        </w:rPr>
        <w:t>he</w:t>
      </w:r>
      <w:r w:rsidRPr="007D5CF2">
        <w:rPr>
          <w:rFonts w:ascii="Arial" w:hAnsi="Arial" w:cs="Arial"/>
        </w:rPr>
        <w:t xml:space="preserve"> design employed was a qualitative secondary research design, which was based on interpretivist philosophy and was an inductive approach. A systematic search of electronic databases and grey literature resulted in 12 qualitative studies being identified as meeting predefined eligibility criteria for inclusion in the study, </w:t>
      </w:r>
      <w:r w:rsidR="00D36B6A" w:rsidRPr="007D5CF2">
        <w:rPr>
          <w:rFonts w:ascii="Arial" w:hAnsi="Arial" w:cs="Arial"/>
        </w:rPr>
        <w:t xml:space="preserve">the included studies were critically appraised using criteria appropriate to their methodological designs and synthesised using Braun and Clarke’s (2022) reflexive thematic </w:t>
      </w:r>
      <w:r w:rsidR="008C1E8C" w:rsidRPr="007D5CF2">
        <w:rPr>
          <w:rFonts w:ascii="Arial" w:hAnsi="Arial" w:cs="Arial"/>
        </w:rPr>
        <w:t>analysis. Themes</w:t>
      </w:r>
      <w:r w:rsidRPr="007D5CF2">
        <w:rPr>
          <w:rFonts w:ascii="Arial" w:hAnsi="Arial" w:cs="Arial"/>
        </w:rPr>
        <w:t xml:space="preserve"> emerged from the four inter-related areas of individual barriers (stigma, fears of judgement, low mental health literacy and self-reliance), structural/organisational barriers (long waiting times, service fragmentation and workforce shortages (particularly i</w:t>
      </w:r>
      <w:r w:rsidR="00CC55C1" w:rsidRPr="007D5CF2">
        <w:rPr>
          <w:rFonts w:ascii="Arial" w:hAnsi="Arial" w:cs="Arial"/>
        </w:rPr>
        <w:t>n transition from CAMHS to AMHS</w:t>
      </w:r>
      <w:r w:rsidRPr="007D5CF2">
        <w:rPr>
          <w:rFonts w:ascii="Arial" w:hAnsi="Arial" w:cs="Arial"/>
        </w:rPr>
        <w:t xml:space="preserve">), socioeconomic/cultural barriers (financial hardship, cultural beliefs and family expectations) and enablers (person-centred care, therapeutic relationships, flexible and coordinated services, community involvement/digital support).Results demonstrate that a range of individual, organisational and social factors are relevant and work together to influence access to mental health services, not just one. This dissertation calls for youth-responsive, culturally competent and integrated models of care. Some limitations </w:t>
      </w:r>
      <w:r w:rsidR="00CD55A5" w:rsidRPr="007D5CF2">
        <w:rPr>
          <w:rFonts w:ascii="Arial" w:hAnsi="Arial" w:cs="Arial"/>
        </w:rPr>
        <w:t>are</w:t>
      </w:r>
      <w:r w:rsidRPr="007D5CF2">
        <w:rPr>
          <w:rFonts w:ascii="Arial" w:hAnsi="Arial" w:cs="Arial"/>
        </w:rPr>
        <w:t xml:space="preserve"> small samples of primary research and reliance on secondary qualitative data, which restricts generalisability; further primary research with diverse and underrepresented groups is recommended.</w:t>
      </w:r>
    </w:p>
    <w:p w14:paraId="223B0B0D" w14:textId="2B41A129" w:rsidR="001361BD" w:rsidRPr="007D5CF2" w:rsidRDefault="001361BD" w:rsidP="00781D67">
      <w:pPr>
        <w:spacing w:before="240" w:after="14" w:line="360" w:lineRule="auto"/>
        <w:ind w:left="705"/>
        <w:jc w:val="both"/>
        <w:rPr>
          <w:rFonts w:ascii="Arial" w:hAnsi="Arial" w:cs="Arial"/>
        </w:rPr>
      </w:pPr>
    </w:p>
    <w:p w14:paraId="0FD070A6" w14:textId="69ADC740" w:rsidR="001361BD" w:rsidRPr="007D5CF2" w:rsidRDefault="001361BD" w:rsidP="00781D67">
      <w:pPr>
        <w:spacing w:after="14" w:line="360" w:lineRule="auto"/>
        <w:ind w:left="705"/>
        <w:rPr>
          <w:rFonts w:ascii="Arial" w:hAnsi="Arial" w:cs="Arial"/>
        </w:rPr>
      </w:pPr>
    </w:p>
    <w:p w14:paraId="4AC1E094" w14:textId="7E7C33BC" w:rsidR="00C91435" w:rsidRPr="007D5CF2" w:rsidRDefault="00C91435" w:rsidP="00781D67">
      <w:pPr>
        <w:spacing w:after="14" w:line="360" w:lineRule="auto"/>
        <w:ind w:left="705"/>
        <w:rPr>
          <w:rFonts w:ascii="Arial" w:hAnsi="Arial" w:cs="Arial"/>
        </w:rPr>
      </w:pPr>
    </w:p>
    <w:p w14:paraId="7DD99D04" w14:textId="7DE40887" w:rsidR="00C91435" w:rsidRPr="007D5CF2" w:rsidRDefault="00C91435" w:rsidP="00781D67">
      <w:pPr>
        <w:spacing w:after="14" w:line="360" w:lineRule="auto"/>
        <w:ind w:left="705"/>
        <w:rPr>
          <w:rFonts w:ascii="Arial" w:hAnsi="Arial" w:cs="Arial"/>
        </w:rPr>
      </w:pPr>
    </w:p>
    <w:p w14:paraId="3028317C" w14:textId="64A66762" w:rsidR="00C91435" w:rsidRPr="007D5CF2" w:rsidRDefault="00C91435" w:rsidP="00781D67">
      <w:pPr>
        <w:spacing w:after="14" w:line="360" w:lineRule="auto"/>
        <w:ind w:left="705"/>
        <w:rPr>
          <w:rFonts w:ascii="Arial" w:hAnsi="Arial" w:cs="Arial"/>
        </w:rPr>
      </w:pPr>
    </w:p>
    <w:p w14:paraId="5ED9188E" w14:textId="0D5D8CD7" w:rsidR="00C91435" w:rsidRPr="007D5CF2" w:rsidRDefault="00C91435" w:rsidP="00781D67">
      <w:pPr>
        <w:spacing w:after="14" w:line="360" w:lineRule="auto"/>
        <w:ind w:left="705"/>
        <w:rPr>
          <w:rFonts w:ascii="Arial" w:hAnsi="Arial" w:cs="Arial"/>
        </w:rPr>
      </w:pPr>
    </w:p>
    <w:p w14:paraId="58F0D704" w14:textId="77777777" w:rsidR="00C91435" w:rsidRPr="007D5CF2" w:rsidRDefault="00C91435" w:rsidP="00781D67">
      <w:pPr>
        <w:spacing w:after="14" w:line="360" w:lineRule="auto"/>
        <w:ind w:left="705"/>
        <w:rPr>
          <w:rFonts w:ascii="Arial" w:hAnsi="Arial" w:cs="Arial"/>
        </w:rPr>
      </w:pPr>
    </w:p>
    <w:p w14:paraId="708A0A2F" w14:textId="6B83AACE" w:rsidR="001361BD" w:rsidRPr="007D5CF2" w:rsidRDefault="001361BD" w:rsidP="00781D67">
      <w:pPr>
        <w:spacing w:after="14" w:line="360" w:lineRule="auto"/>
        <w:ind w:left="705"/>
        <w:rPr>
          <w:rFonts w:ascii="Arial" w:hAnsi="Arial" w:cs="Arial"/>
        </w:rPr>
      </w:pPr>
    </w:p>
    <w:p w14:paraId="061C2A1E" w14:textId="364D59E3" w:rsidR="001361BD" w:rsidRPr="007D5CF2" w:rsidRDefault="001361BD" w:rsidP="00781D67">
      <w:pPr>
        <w:spacing w:after="14" w:line="360" w:lineRule="auto"/>
        <w:rPr>
          <w:rFonts w:ascii="Arial" w:hAnsi="Arial" w:cs="Arial"/>
        </w:rPr>
      </w:pPr>
    </w:p>
    <w:sdt>
      <w:sdtPr>
        <w:rPr>
          <w:rFonts w:ascii="Arial" w:eastAsiaTheme="minorEastAsia" w:hAnsi="Arial" w:cs="Arial"/>
          <w:b w:val="0"/>
          <w:color w:val="auto"/>
          <w:sz w:val="22"/>
        </w:rPr>
        <w:id w:val="1513028152"/>
        <w:docPartObj>
          <w:docPartGallery w:val="Table of Contents"/>
        </w:docPartObj>
      </w:sdtPr>
      <w:sdtEndPr/>
      <w:sdtContent>
        <w:p w14:paraId="076AAA75" w14:textId="7845CE6B" w:rsidR="009F64C5" w:rsidRPr="00CD55A5" w:rsidRDefault="009F64C5" w:rsidP="00781D67">
          <w:pPr>
            <w:pStyle w:val="Heading2"/>
            <w:spacing w:line="360" w:lineRule="auto"/>
            <w:ind w:left="12"/>
            <w:rPr>
              <w:rFonts w:ascii="Arial" w:hAnsi="Arial" w:cs="Arial"/>
              <w:szCs w:val="24"/>
            </w:rPr>
          </w:pPr>
          <w:r w:rsidRPr="00CD55A5">
            <w:rPr>
              <w:rFonts w:ascii="Arial" w:hAnsi="Arial" w:cs="Arial"/>
              <w:szCs w:val="24"/>
            </w:rPr>
            <w:t xml:space="preserve">Table of contents  </w:t>
          </w:r>
        </w:p>
        <w:p w14:paraId="221A0793" w14:textId="5FD5C305" w:rsidR="009F64C5" w:rsidRPr="007D5CF2" w:rsidRDefault="009F64C5" w:rsidP="00781D67">
          <w:pPr>
            <w:pStyle w:val="TOC1"/>
            <w:tabs>
              <w:tab w:val="right" w:leader="dot" w:pos="9026"/>
            </w:tabs>
            <w:spacing w:line="360" w:lineRule="auto"/>
            <w:rPr>
              <w:rFonts w:ascii="Arial" w:hAnsi="Arial" w:cs="Arial"/>
              <w:sz w:val="22"/>
            </w:rPr>
          </w:pPr>
          <w:r w:rsidRPr="007D5CF2">
            <w:rPr>
              <w:rFonts w:ascii="Arial" w:hAnsi="Arial" w:cs="Arial"/>
              <w:sz w:val="22"/>
            </w:rPr>
            <w:fldChar w:fldCharType="begin"/>
          </w:r>
          <w:r w:rsidRPr="007D5CF2">
            <w:rPr>
              <w:rFonts w:ascii="Arial" w:hAnsi="Arial" w:cs="Arial"/>
              <w:sz w:val="22"/>
            </w:rPr>
            <w:instrText xml:space="preserve"> TOC \o "1-1" \h \z \u </w:instrText>
          </w:r>
          <w:r w:rsidRPr="007D5CF2">
            <w:rPr>
              <w:rFonts w:ascii="Arial" w:hAnsi="Arial" w:cs="Arial"/>
              <w:sz w:val="22"/>
            </w:rPr>
            <w:fldChar w:fldCharType="separate"/>
          </w:r>
          <w:hyperlink w:anchor="_Toc12212">
            <w:r w:rsidRPr="007D5CF2">
              <w:rPr>
                <w:rFonts w:ascii="Arial" w:hAnsi="Arial" w:cs="Arial"/>
                <w:sz w:val="22"/>
              </w:rPr>
              <w:t>List of figures</w:t>
            </w:r>
            <w:r w:rsidRPr="007D5CF2">
              <w:rPr>
                <w:rFonts w:ascii="Arial" w:hAnsi="Arial" w:cs="Arial"/>
                <w:sz w:val="22"/>
              </w:rPr>
              <w:tab/>
            </w:r>
            <w:r w:rsidR="003776F1" w:rsidRPr="007D5CF2">
              <w:rPr>
                <w:rFonts w:ascii="Arial" w:hAnsi="Arial" w:cs="Arial"/>
                <w:sz w:val="22"/>
              </w:rPr>
              <w:t>6</w:t>
            </w:r>
          </w:hyperlink>
        </w:p>
        <w:p w14:paraId="5BA15E4B" w14:textId="438504D1" w:rsidR="009F64C5" w:rsidRPr="007D5CF2" w:rsidRDefault="009F64C5" w:rsidP="00781D67">
          <w:pPr>
            <w:pStyle w:val="TOC1"/>
            <w:tabs>
              <w:tab w:val="right" w:leader="dot" w:pos="9026"/>
            </w:tabs>
            <w:spacing w:line="360" w:lineRule="auto"/>
            <w:rPr>
              <w:rFonts w:ascii="Arial" w:hAnsi="Arial" w:cs="Arial"/>
              <w:sz w:val="22"/>
            </w:rPr>
          </w:pPr>
          <w:hyperlink w:anchor="_Toc12213">
            <w:r w:rsidRPr="007D5CF2">
              <w:rPr>
                <w:rFonts w:ascii="Arial" w:hAnsi="Arial" w:cs="Arial"/>
                <w:sz w:val="22"/>
              </w:rPr>
              <w:t>List of tables</w:t>
            </w:r>
            <w:r w:rsidRPr="007D5CF2">
              <w:rPr>
                <w:rFonts w:ascii="Arial" w:hAnsi="Arial" w:cs="Arial"/>
                <w:sz w:val="22"/>
              </w:rPr>
              <w:tab/>
            </w:r>
            <w:r w:rsidR="003776F1" w:rsidRPr="007D5CF2">
              <w:rPr>
                <w:rFonts w:ascii="Arial" w:hAnsi="Arial" w:cs="Arial"/>
                <w:sz w:val="22"/>
              </w:rPr>
              <w:t>7</w:t>
            </w:r>
          </w:hyperlink>
        </w:p>
        <w:p w14:paraId="58AB5446" w14:textId="0AA026F7" w:rsidR="009F64C5" w:rsidRPr="007D5CF2" w:rsidRDefault="009F64C5" w:rsidP="00781D67">
          <w:pPr>
            <w:pStyle w:val="TOC1"/>
            <w:tabs>
              <w:tab w:val="right" w:leader="dot" w:pos="9026"/>
            </w:tabs>
            <w:spacing w:line="360" w:lineRule="auto"/>
            <w:rPr>
              <w:rFonts w:ascii="Arial" w:hAnsi="Arial" w:cs="Arial"/>
              <w:sz w:val="22"/>
            </w:rPr>
          </w:pPr>
          <w:hyperlink w:anchor="_Toc12214">
            <w:r w:rsidRPr="007D5CF2">
              <w:rPr>
                <w:rFonts w:ascii="Arial" w:hAnsi="Arial" w:cs="Arial"/>
                <w:sz w:val="22"/>
              </w:rPr>
              <w:t>List of abbreviations</w:t>
            </w:r>
            <w:r w:rsidRPr="007D5CF2">
              <w:rPr>
                <w:rFonts w:ascii="Arial" w:hAnsi="Arial" w:cs="Arial"/>
                <w:sz w:val="22"/>
              </w:rPr>
              <w:tab/>
            </w:r>
            <w:r w:rsidR="003776F1" w:rsidRPr="007D5CF2">
              <w:rPr>
                <w:rFonts w:ascii="Arial" w:hAnsi="Arial" w:cs="Arial"/>
                <w:sz w:val="22"/>
              </w:rPr>
              <w:t>8</w:t>
            </w:r>
          </w:hyperlink>
        </w:p>
        <w:p w14:paraId="33ED363E" w14:textId="6DB42B92"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One: </w:t>
          </w:r>
          <w:hyperlink w:anchor="_Toc12216">
            <w:r w:rsidR="009F64C5" w:rsidRPr="007D5CF2">
              <w:rPr>
                <w:rFonts w:ascii="Arial" w:hAnsi="Arial" w:cs="Arial"/>
                <w:sz w:val="22"/>
              </w:rPr>
              <w:t>Introduction</w:t>
            </w:r>
            <w:r w:rsidR="009F64C5" w:rsidRPr="007D5CF2">
              <w:rPr>
                <w:rFonts w:ascii="Arial" w:hAnsi="Arial" w:cs="Arial"/>
                <w:sz w:val="22"/>
              </w:rPr>
              <w:tab/>
            </w:r>
            <w:r w:rsidR="0053706B" w:rsidRPr="007D5CF2">
              <w:rPr>
                <w:rFonts w:ascii="Arial" w:hAnsi="Arial" w:cs="Arial"/>
                <w:sz w:val="22"/>
              </w:rPr>
              <w:t>9</w:t>
            </w:r>
          </w:hyperlink>
        </w:p>
        <w:p w14:paraId="2E46C8BC" w14:textId="3CA7E051"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Two: </w:t>
          </w:r>
          <w:hyperlink w:anchor="_Toc12217">
            <w:r w:rsidR="00757895" w:rsidRPr="007D5CF2">
              <w:rPr>
                <w:rFonts w:ascii="Arial" w:hAnsi="Arial" w:cs="Arial"/>
                <w:sz w:val="22"/>
              </w:rPr>
              <w:t>Literature Review</w:t>
            </w:r>
            <w:r w:rsidR="009F64C5" w:rsidRPr="007D5CF2">
              <w:rPr>
                <w:rFonts w:ascii="Arial" w:hAnsi="Arial" w:cs="Arial"/>
                <w:sz w:val="22"/>
              </w:rPr>
              <w:tab/>
            </w:r>
            <w:r w:rsidR="009C2B6E" w:rsidRPr="007D5CF2">
              <w:rPr>
                <w:rFonts w:ascii="Arial" w:hAnsi="Arial" w:cs="Arial"/>
                <w:sz w:val="22"/>
              </w:rPr>
              <w:t>1</w:t>
            </w:r>
            <w:r w:rsidR="0053706B" w:rsidRPr="007D5CF2">
              <w:rPr>
                <w:rFonts w:ascii="Arial" w:hAnsi="Arial" w:cs="Arial"/>
                <w:sz w:val="22"/>
              </w:rPr>
              <w:t>5</w:t>
            </w:r>
          </w:hyperlink>
          <w:r w:rsidR="003776F1" w:rsidRPr="007D5CF2">
            <w:rPr>
              <w:rFonts w:ascii="Arial" w:hAnsi="Arial" w:cs="Arial"/>
              <w:sz w:val="22"/>
            </w:rPr>
            <w:t xml:space="preserve">    </w:t>
          </w:r>
        </w:p>
        <w:p w14:paraId="6C8F9076" w14:textId="2AFDB8DA"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Three: </w:t>
          </w:r>
          <w:hyperlink w:anchor="_Toc12218">
            <w:r w:rsidR="009F64C5" w:rsidRPr="007D5CF2">
              <w:rPr>
                <w:rFonts w:ascii="Arial" w:hAnsi="Arial" w:cs="Arial"/>
                <w:sz w:val="22"/>
              </w:rPr>
              <w:t>Methodology</w:t>
            </w:r>
            <w:r w:rsidR="009F64C5" w:rsidRPr="007D5CF2">
              <w:rPr>
                <w:rFonts w:ascii="Arial" w:hAnsi="Arial" w:cs="Arial"/>
                <w:sz w:val="22"/>
              </w:rPr>
              <w:tab/>
            </w:r>
            <w:r w:rsidR="0053706B" w:rsidRPr="007D5CF2">
              <w:rPr>
                <w:rFonts w:ascii="Arial" w:hAnsi="Arial" w:cs="Arial"/>
                <w:sz w:val="22"/>
              </w:rPr>
              <w:t>2</w:t>
            </w:r>
            <w:r w:rsidR="00757895" w:rsidRPr="007D5CF2">
              <w:rPr>
                <w:rFonts w:ascii="Arial" w:hAnsi="Arial" w:cs="Arial"/>
                <w:sz w:val="22"/>
              </w:rPr>
              <w:t>7</w:t>
            </w:r>
          </w:hyperlink>
        </w:p>
        <w:p w14:paraId="5AA5F999" w14:textId="24C45DBA"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Four: </w:t>
          </w:r>
          <w:hyperlink w:anchor="_Toc12219">
            <w:r w:rsidR="009F64C5" w:rsidRPr="007D5CF2">
              <w:rPr>
                <w:rFonts w:ascii="Arial" w:hAnsi="Arial" w:cs="Arial"/>
                <w:sz w:val="22"/>
              </w:rPr>
              <w:t>Results</w:t>
            </w:r>
            <w:r w:rsidR="009F64C5" w:rsidRPr="007D5CF2">
              <w:rPr>
                <w:rFonts w:ascii="Arial" w:hAnsi="Arial" w:cs="Arial"/>
                <w:sz w:val="22"/>
              </w:rPr>
              <w:tab/>
            </w:r>
            <w:r w:rsidR="0053706B" w:rsidRPr="007D5CF2">
              <w:rPr>
                <w:rFonts w:ascii="Arial" w:hAnsi="Arial" w:cs="Arial"/>
                <w:sz w:val="22"/>
              </w:rPr>
              <w:t>3</w:t>
            </w:r>
            <w:r w:rsidR="00757895" w:rsidRPr="007D5CF2">
              <w:rPr>
                <w:rFonts w:ascii="Arial" w:hAnsi="Arial" w:cs="Arial"/>
                <w:sz w:val="22"/>
              </w:rPr>
              <w:t>6</w:t>
            </w:r>
          </w:hyperlink>
        </w:p>
        <w:p w14:paraId="2C6550CE" w14:textId="344C4CAD"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Five: </w:t>
          </w:r>
          <w:hyperlink w:anchor="_Toc12220">
            <w:r w:rsidR="009F64C5" w:rsidRPr="007D5CF2">
              <w:rPr>
                <w:rFonts w:ascii="Arial" w:hAnsi="Arial" w:cs="Arial"/>
                <w:sz w:val="22"/>
              </w:rPr>
              <w:t>Discussion</w:t>
            </w:r>
            <w:r w:rsidR="009F64C5" w:rsidRPr="007D5CF2">
              <w:rPr>
                <w:rFonts w:ascii="Arial" w:hAnsi="Arial" w:cs="Arial"/>
                <w:sz w:val="22"/>
              </w:rPr>
              <w:tab/>
            </w:r>
            <w:r w:rsidR="00E84A34" w:rsidRPr="007D5CF2">
              <w:rPr>
                <w:rFonts w:ascii="Arial" w:hAnsi="Arial" w:cs="Arial"/>
                <w:sz w:val="22"/>
              </w:rPr>
              <w:t>55</w:t>
            </w:r>
          </w:hyperlink>
        </w:p>
        <w:p w14:paraId="45D9A9BB" w14:textId="798E4808" w:rsidR="009F64C5" w:rsidRPr="007D5CF2" w:rsidRDefault="00E65432" w:rsidP="00781D67">
          <w:pPr>
            <w:pStyle w:val="TOC1"/>
            <w:tabs>
              <w:tab w:val="right" w:leader="dot" w:pos="9026"/>
            </w:tabs>
            <w:spacing w:line="360" w:lineRule="auto"/>
            <w:rPr>
              <w:rFonts w:ascii="Arial" w:hAnsi="Arial" w:cs="Arial"/>
              <w:sz w:val="22"/>
            </w:rPr>
          </w:pPr>
          <w:r w:rsidRPr="007D5CF2">
            <w:rPr>
              <w:rFonts w:ascii="Arial" w:hAnsi="Arial" w:cs="Arial"/>
              <w:sz w:val="22"/>
            </w:rPr>
            <w:t xml:space="preserve">Chapter Six: </w:t>
          </w:r>
          <w:hyperlink w:anchor="_Toc12221">
            <w:r w:rsidR="009F64C5" w:rsidRPr="007D5CF2">
              <w:rPr>
                <w:rFonts w:ascii="Arial" w:hAnsi="Arial" w:cs="Arial"/>
                <w:sz w:val="22"/>
              </w:rPr>
              <w:t>Conclusion</w:t>
            </w:r>
            <w:r w:rsidR="009F64C5" w:rsidRPr="007D5CF2">
              <w:rPr>
                <w:rFonts w:ascii="Arial" w:hAnsi="Arial" w:cs="Arial"/>
                <w:sz w:val="22"/>
              </w:rPr>
              <w:tab/>
            </w:r>
            <w:r w:rsidR="00E84A34" w:rsidRPr="007D5CF2">
              <w:rPr>
                <w:rFonts w:ascii="Arial" w:hAnsi="Arial" w:cs="Arial"/>
                <w:sz w:val="22"/>
              </w:rPr>
              <w:t>63</w:t>
            </w:r>
          </w:hyperlink>
        </w:p>
        <w:p w14:paraId="4A513BEE" w14:textId="253C31DF" w:rsidR="009F64C5" w:rsidRPr="007D5CF2" w:rsidRDefault="009F64C5" w:rsidP="00781D67">
          <w:pPr>
            <w:pStyle w:val="TOC1"/>
            <w:tabs>
              <w:tab w:val="right" w:leader="dot" w:pos="9026"/>
            </w:tabs>
            <w:spacing w:line="360" w:lineRule="auto"/>
            <w:rPr>
              <w:rFonts w:ascii="Arial" w:hAnsi="Arial" w:cs="Arial"/>
              <w:sz w:val="22"/>
            </w:rPr>
          </w:pPr>
          <w:hyperlink w:anchor="_Toc12222">
            <w:r w:rsidRPr="007D5CF2">
              <w:rPr>
                <w:rFonts w:ascii="Arial" w:hAnsi="Arial" w:cs="Arial"/>
                <w:sz w:val="22"/>
              </w:rPr>
              <w:t>Reference list</w:t>
            </w:r>
            <w:r w:rsidRPr="007D5CF2">
              <w:rPr>
                <w:rFonts w:ascii="Arial" w:hAnsi="Arial" w:cs="Arial"/>
                <w:sz w:val="22"/>
              </w:rPr>
              <w:tab/>
            </w:r>
            <w:r w:rsidR="00E84A34" w:rsidRPr="007D5CF2">
              <w:rPr>
                <w:rFonts w:ascii="Arial" w:hAnsi="Arial" w:cs="Arial"/>
                <w:sz w:val="22"/>
              </w:rPr>
              <w:t>68</w:t>
            </w:r>
          </w:hyperlink>
        </w:p>
        <w:p w14:paraId="39834B8B" w14:textId="17588C46" w:rsidR="009F64C5" w:rsidRPr="007D5CF2" w:rsidRDefault="009F64C5" w:rsidP="00781D67">
          <w:pPr>
            <w:spacing w:line="360" w:lineRule="auto"/>
            <w:rPr>
              <w:rFonts w:ascii="Arial" w:hAnsi="Arial" w:cs="Arial"/>
            </w:rPr>
          </w:pPr>
          <w:r w:rsidRPr="007D5CF2">
            <w:rPr>
              <w:rFonts w:ascii="Arial" w:hAnsi="Arial" w:cs="Arial"/>
            </w:rPr>
            <w:fldChar w:fldCharType="end"/>
          </w:r>
        </w:p>
      </w:sdtContent>
    </w:sdt>
    <w:p w14:paraId="617F822A" w14:textId="77777777" w:rsidR="000555DE" w:rsidRPr="007D5CF2" w:rsidRDefault="000555DE" w:rsidP="00781D67">
      <w:pPr>
        <w:spacing w:line="360" w:lineRule="auto"/>
        <w:rPr>
          <w:rFonts w:ascii="Arial" w:eastAsia="Times New Roman" w:hAnsi="Arial" w:cs="Arial"/>
          <w:b/>
          <w:color w:val="000000"/>
        </w:rPr>
      </w:pPr>
      <w:bookmarkStart w:id="0" w:name="_Toc12212"/>
      <w:r w:rsidRPr="007D5CF2">
        <w:rPr>
          <w:rFonts w:ascii="Arial" w:hAnsi="Arial" w:cs="Arial"/>
        </w:rPr>
        <w:br w:type="page"/>
      </w:r>
    </w:p>
    <w:p w14:paraId="069A36CD" w14:textId="0D590B89" w:rsidR="009F64C5" w:rsidRPr="00CD55A5" w:rsidRDefault="009F64C5" w:rsidP="00781D67">
      <w:pPr>
        <w:pStyle w:val="Heading1"/>
        <w:spacing w:after="158" w:line="360" w:lineRule="auto"/>
        <w:ind w:left="0" w:right="0" w:firstLine="0"/>
        <w:rPr>
          <w:rFonts w:ascii="Arial" w:hAnsi="Arial" w:cs="Arial"/>
          <w:szCs w:val="24"/>
        </w:rPr>
      </w:pPr>
      <w:r w:rsidRPr="00CD55A5">
        <w:rPr>
          <w:rFonts w:ascii="Arial" w:hAnsi="Arial" w:cs="Arial"/>
          <w:szCs w:val="24"/>
        </w:rPr>
        <w:t>List of figures</w:t>
      </w:r>
      <w:bookmarkEnd w:id="0"/>
    </w:p>
    <w:p w14:paraId="653508AC" w14:textId="6FCED5D0" w:rsidR="009F64C5" w:rsidRPr="007D5CF2" w:rsidRDefault="009F64C5" w:rsidP="00781D67">
      <w:pPr>
        <w:spacing w:after="206" w:line="360" w:lineRule="auto"/>
        <w:rPr>
          <w:rFonts w:ascii="Arial" w:hAnsi="Arial" w:cs="Arial"/>
        </w:rPr>
      </w:pPr>
      <w:r w:rsidRPr="007D5CF2">
        <w:rPr>
          <w:rFonts w:ascii="Arial" w:hAnsi="Arial" w:cs="Arial"/>
        </w:rPr>
        <w:t xml:space="preserve">Figure </w:t>
      </w:r>
      <w:r w:rsidR="00507625" w:rsidRPr="007D5CF2">
        <w:rPr>
          <w:rFonts w:ascii="Arial" w:hAnsi="Arial" w:cs="Arial"/>
        </w:rPr>
        <w:t>4.</w:t>
      </w:r>
      <w:r w:rsidRPr="007D5CF2">
        <w:rPr>
          <w:rFonts w:ascii="Arial" w:hAnsi="Arial" w:cs="Arial"/>
        </w:rPr>
        <w:t xml:space="preserve">1: </w:t>
      </w:r>
      <w:r w:rsidR="00507625" w:rsidRPr="007D5CF2">
        <w:rPr>
          <w:rFonts w:ascii="Arial" w:hAnsi="Arial" w:cs="Arial"/>
        </w:rPr>
        <w:t xml:space="preserve">The </w:t>
      </w:r>
      <w:r w:rsidR="00511DBE" w:rsidRPr="007D5CF2">
        <w:rPr>
          <w:rFonts w:ascii="Arial" w:hAnsi="Arial" w:cs="Arial"/>
        </w:rPr>
        <w:t>PRISMA</w:t>
      </w:r>
      <w:r w:rsidR="00507625" w:rsidRPr="007D5CF2">
        <w:rPr>
          <w:rFonts w:ascii="Arial" w:hAnsi="Arial" w:cs="Arial"/>
        </w:rPr>
        <w:t xml:space="preserve"> flowchart showing the selection of articles………...</w:t>
      </w:r>
      <w:r w:rsidR="00511DBE" w:rsidRPr="007D5CF2">
        <w:rPr>
          <w:rFonts w:ascii="Arial" w:hAnsi="Arial" w:cs="Arial"/>
        </w:rPr>
        <w:t>…….</w:t>
      </w:r>
      <w:r w:rsidR="00161111" w:rsidRPr="007D5CF2">
        <w:rPr>
          <w:rFonts w:ascii="Arial" w:hAnsi="Arial" w:cs="Arial"/>
        </w:rPr>
        <w:t>…………40</w:t>
      </w:r>
      <w:r w:rsidRPr="007D5CF2">
        <w:rPr>
          <w:rFonts w:ascii="Arial" w:hAnsi="Arial" w:cs="Arial"/>
        </w:rPr>
        <w:t xml:space="preserve"> </w:t>
      </w:r>
    </w:p>
    <w:p w14:paraId="4D71BB86" w14:textId="270BB38D" w:rsidR="009F64C5" w:rsidRPr="007D5CF2" w:rsidRDefault="009F64C5" w:rsidP="00781D67">
      <w:pPr>
        <w:spacing w:after="158" w:line="360" w:lineRule="auto"/>
        <w:rPr>
          <w:rFonts w:ascii="Arial" w:hAnsi="Arial" w:cs="Arial"/>
        </w:rPr>
      </w:pPr>
    </w:p>
    <w:p w14:paraId="1F33F1E7" w14:textId="77777777" w:rsidR="009F64C5" w:rsidRPr="007D5CF2" w:rsidRDefault="009F64C5" w:rsidP="00781D67">
      <w:pPr>
        <w:spacing w:after="156" w:line="360" w:lineRule="auto"/>
        <w:ind w:left="59"/>
        <w:jc w:val="center"/>
        <w:rPr>
          <w:rFonts w:ascii="Arial" w:hAnsi="Arial" w:cs="Arial"/>
        </w:rPr>
      </w:pPr>
      <w:r w:rsidRPr="007D5CF2">
        <w:rPr>
          <w:rFonts w:ascii="Arial" w:eastAsia="Times New Roman" w:hAnsi="Arial" w:cs="Arial"/>
          <w:b/>
        </w:rPr>
        <w:t xml:space="preserve"> </w:t>
      </w:r>
    </w:p>
    <w:p w14:paraId="1028A266" w14:textId="77777777" w:rsidR="000555DE" w:rsidRPr="007D5CF2" w:rsidRDefault="000555DE" w:rsidP="00781D67">
      <w:pPr>
        <w:spacing w:line="360" w:lineRule="auto"/>
        <w:rPr>
          <w:rFonts w:ascii="Arial" w:eastAsia="Times New Roman" w:hAnsi="Arial" w:cs="Arial"/>
          <w:b/>
          <w:color w:val="000000"/>
        </w:rPr>
      </w:pPr>
      <w:bookmarkStart w:id="1" w:name="_Toc12213"/>
      <w:r w:rsidRPr="007D5CF2">
        <w:rPr>
          <w:rFonts w:ascii="Arial" w:hAnsi="Arial" w:cs="Arial"/>
        </w:rPr>
        <w:br w:type="page"/>
      </w:r>
    </w:p>
    <w:p w14:paraId="6DD17FA5" w14:textId="707D52CB" w:rsidR="009F64C5" w:rsidRPr="00CD55A5" w:rsidRDefault="009F64C5" w:rsidP="00781D67">
      <w:pPr>
        <w:pStyle w:val="Heading1"/>
        <w:spacing w:line="360" w:lineRule="auto"/>
        <w:ind w:left="12" w:right="4"/>
        <w:rPr>
          <w:rFonts w:ascii="Arial" w:hAnsi="Arial" w:cs="Arial"/>
          <w:szCs w:val="24"/>
        </w:rPr>
      </w:pPr>
      <w:r w:rsidRPr="00CD55A5">
        <w:rPr>
          <w:rFonts w:ascii="Arial" w:hAnsi="Arial" w:cs="Arial"/>
          <w:szCs w:val="24"/>
        </w:rPr>
        <w:t xml:space="preserve">List of tables </w:t>
      </w:r>
      <w:bookmarkEnd w:id="1"/>
    </w:p>
    <w:p w14:paraId="191ACBB0" w14:textId="75591176" w:rsidR="009F64C5" w:rsidRPr="007D5CF2" w:rsidRDefault="009F64C5" w:rsidP="00781D67">
      <w:pPr>
        <w:spacing w:after="214" w:line="360" w:lineRule="auto"/>
        <w:rPr>
          <w:rFonts w:ascii="Arial" w:hAnsi="Arial" w:cs="Arial"/>
        </w:rPr>
      </w:pPr>
      <w:r w:rsidRPr="007D5CF2">
        <w:rPr>
          <w:rFonts w:ascii="Arial" w:hAnsi="Arial" w:cs="Arial"/>
        </w:rPr>
        <w:t>T</w:t>
      </w:r>
      <w:r w:rsidR="00161111" w:rsidRPr="007D5CF2">
        <w:rPr>
          <w:rFonts w:ascii="Arial" w:hAnsi="Arial" w:cs="Arial"/>
        </w:rPr>
        <w:t>able 3.1</w:t>
      </w:r>
      <w:r w:rsidRPr="007D5CF2">
        <w:rPr>
          <w:rFonts w:ascii="Arial" w:hAnsi="Arial" w:cs="Arial"/>
        </w:rPr>
        <w:t xml:space="preserve">: </w:t>
      </w:r>
      <w:r w:rsidR="00574CA1" w:rsidRPr="007D5CF2">
        <w:rPr>
          <w:rFonts w:ascii="Arial" w:hAnsi="Arial" w:cs="Arial"/>
        </w:rPr>
        <w:t>Inclusion and Exclusion C</w:t>
      </w:r>
      <w:r w:rsidR="00161111" w:rsidRPr="007D5CF2">
        <w:rPr>
          <w:rFonts w:ascii="Arial" w:hAnsi="Arial" w:cs="Arial"/>
        </w:rPr>
        <w:t>riteria</w:t>
      </w:r>
      <w:r w:rsidR="00574CA1" w:rsidRPr="007D5CF2">
        <w:rPr>
          <w:rFonts w:ascii="Arial" w:hAnsi="Arial" w:cs="Arial"/>
        </w:rPr>
        <w:t>……………………………</w:t>
      </w:r>
      <w:r w:rsidR="00A20F98" w:rsidRPr="007D5CF2">
        <w:rPr>
          <w:rFonts w:ascii="Arial" w:hAnsi="Arial" w:cs="Arial"/>
        </w:rPr>
        <w:t>….</w:t>
      </w:r>
      <w:r w:rsidRPr="007D5CF2">
        <w:rPr>
          <w:rFonts w:ascii="Arial" w:hAnsi="Arial" w:cs="Arial"/>
        </w:rPr>
        <w:t>……………</w:t>
      </w:r>
      <w:r w:rsidR="00AA1579" w:rsidRPr="007D5CF2">
        <w:rPr>
          <w:rFonts w:ascii="Arial" w:hAnsi="Arial" w:cs="Arial"/>
        </w:rPr>
        <w:t>……</w:t>
      </w:r>
      <w:r w:rsidR="00A20F98" w:rsidRPr="007D5CF2">
        <w:rPr>
          <w:rFonts w:ascii="Arial" w:hAnsi="Arial" w:cs="Arial"/>
        </w:rPr>
        <w:t>….</w:t>
      </w:r>
      <w:r w:rsidR="00AA1579" w:rsidRPr="007D5CF2">
        <w:rPr>
          <w:rFonts w:ascii="Arial" w:hAnsi="Arial" w:cs="Arial"/>
        </w:rPr>
        <w:t>3</w:t>
      </w:r>
      <w:r w:rsidR="00757895" w:rsidRPr="007D5CF2">
        <w:rPr>
          <w:rFonts w:ascii="Arial" w:hAnsi="Arial" w:cs="Arial"/>
        </w:rPr>
        <w:t>1</w:t>
      </w:r>
    </w:p>
    <w:p w14:paraId="3404E466" w14:textId="4FB526BD" w:rsidR="009F64C5" w:rsidRPr="007D5CF2" w:rsidRDefault="009F64C5" w:rsidP="00781D67">
      <w:pPr>
        <w:spacing w:after="169" w:line="360" w:lineRule="auto"/>
        <w:rPr>
          <w:rFonts w:ascii="Arial" w:hAnsi="Arial" w:cs="Arial"/>
        </w:rPr>
      </w:pPr>
      <w:r w:rsidRPr="007D5CF2">
        <w:rPr>
          <w:rFonts w:ascii="Arial" w:hAnsi="Arial" w:cs="Arial"/>
        </w:rPr>
        <w:t xml:space="preserve">Table </w:t>
      </w:r>
      <w:r w:rsidR="00AA1579" w:rsidRPr="007D5CF2">
        <w:rPr>
          <w:rFonts w:ascii="Arial" w:hAnsi="Arial" w:cs="Arial"/>
        </w:rPr>
        <w:t>4.1</w:t>
      </w:r>
      <w:r w:rsidRPr="007D5CF2">
        <w:rPr>
          <w:rFonts w:ascii="Arial" w:hAnsi="Arial" w:cs="Arial"/>
        </w:rPr>
        <w:t xml:space="preserve">: </w:t>
      </w:r>
      <w:r w:rsidR="00574CA1" w:rsidRPr="007D5CF2">
        <w:rPr>
          <w:rFonts w:ascii="Arial" w:hAnsi="Arial" w:cs="Arial"/>
        </w:rPr>
        <w:t>Summary of the Evidence B</w:t>
      </w:r>
      <w:r w:rsidR="00AA1579" w:rsidRPr="007D5CF2">
        <w:rPr>
          <w:rFonts w:ascii="Arial" w:hAnsi="Arial" w:cs="Arial"/>
        </w:rPr>
        <w:t>ase……………………………………………………….</w:t>
      </w:r>
      <w:r w:rsidR="00757895" w:rsidRPr="007D5CF2">
        <w:rPr>
          <w:rFonts w:ascii="Arial" w:hAnsi="Arial" w:cs="Arial"/>
        </w:rPr>
        <w:t>37</w:t>
      </w:r>
    </w:p>
    <w:p w14:paraId="66EF8EBC" w14:textId="1F8F2612" w:rsidR="00AA1579" w:rsidRPr="007D5CF2" w:rsidRDefault="00AA1579" w:rsidP="00781D67">
      <w:pPr>
        <w:spacing w:after="169" w:line="360" w:lineRule="auto"/>
        <w:rPr>
          <w:rFonts w:ascii="Arial" w:hAnsi="Arial" w:cs="Arial"/>
        </w:rPr>
      </w:pPr>
      <w:bookmarkStart w:id="2" w:name="_Toc12214"/>
      <w:r w:rsidRPr="007D5CF2">
        <w:rPr>
          <w:rFonts w:ascii="Arial" w:hAnsi="Arial" w:cs="Arial"/>
        </w:rPr>
        <w:t xml:space="preserve">Table 4.2: </w:t>
      </w:r>
      <w:r w:rsidR="00574CA1" w:rsidRPr="007D5CF2">
        <w:rPr>
          <w:rFonts w:ascii="Arial" w:hAnsi="Arial" w:cs="Arial"/>
        </w:rPr>
        <w:t>Quality Appraisal of the Included Studies……………………………………</w:t>
      </w:r>
      <w:r w:rsidRPr="007D5CF2">
        <w:rPr>
          <w:rFonts w:ascii="Arial" w:hAnsi="Arial" w:cs="Arial"/>
        </w:rPr>
        <w:t>……….</w:t>
      </w:r>
      <w:r w:rsidR="00757895" w:rsidRPr="007D5CF2">
        <w:rPr>
          <w:rFonts w:ascii="Arial" w:hAnsi="Arial" w:cs="Arial"/>
        </w:rPr>
        <w:t>46</w:t>
      </w:r>
      <w:r w:rsidRPr="007D5CF2">
        <w:rPr>
          <w:rFonts w:ascii="Arial" w:hAnsi="Arial" w:cs="Arial"/>
        </w:rPr>
        <w:t xml:space="preserve"> </w:t>
      </w:r>
    </w:p>
    <w:p w14:paraId="279143F6" w14:textId="77777777" w:rsidR="000555DE" w:rsidRPr="007D5CF2" w:rsidRDefault="000555DE" w:rsidP="00781D67">
      <w:pPr>
        <w:spacing w:line="360" w:lineRule="auto"/>
        <w:rPr>
          <w:rFonts w:ascii="Arial" w:eastAsia="Times New Roman" w:hAnsi="Arial" w:cs="Arial"/>
          <w:b/>
          <w:color w:val="000000"/>
        </w:rPr>
      </w:pPr>
      <w:r w:rsidRPr="007D5CF2">
        <w:rPr>
          <w:rFonts w:ascii="Arial" w:hAnsi="Arial" w:cs="Arial"/>
        </w:rPr>
        <w:br w:type="page"/>
      </w:r>
    </w:p>
    <w:p w14:paraId="3ABADF24" w14:textId="4B15EAE8" w:rsidR="009F64C5" w:rsidRPr="00CD55A5" w:rsidRDefault="009F64C5" w:rsidP="00781D67">
      <w:pPr>
        <w:pStyle w:val="Heading1"/>
        <w:spacing w:after="169" w:line="360" w:lineRule="auto"/>
        <w:ind w:right="0"/>
        <w:rPr>
          <w:rFonts w:ascii="Arial" w:hAnsi="Arial" w:cs="Arial"/>
          <w:szCs w:val="24"/>
        </w:rPr>
      </w:pPr>
      <w:r w:rsidRPr="00CD55A5">
        <w:rPr>
          <w:rFonts w:ascii="Arial" w:hAnsi="Arial" w:cs="Arial"/>
          <w:szCs w:val="24"/>
        </w:rPr>
        <w:t>List of abbreviations</w:t>
      </w:r>
      <w:bookmarkEnd w:id="2"/>
    </w:p>
    <w:p w14:paraId="2E0F49DC" w14:textId="77777777" w:rsidR="009F64C5" w:rsidRPr="007D5CF2" w:rsidRDefault="009F64C5" w:rsidP="00781D67">
      <w:pPr>
        <w:spacing w:after="158" w:line="360" w:lineRule="auto"/>
        <w:ind w:left="59"/>
        <w:jc w:val="center"/>
        <w:rPr>
          <w:rFonts w:ascii="Arial" w:hAnsi="Arial" w:cs="Arial"/>
        </w:rPr>
      </w:pPr>
      <w:r w:rsidRPr="007D5CF2">
        <w:rPr>
          <w:rFonts w:ascii="Arial" w:eastAsia="Times New Roman" w:hAnsi="Arial" w:cs="Arial"/>
          <w:b/>
        </w:rPr>
        <w:t xml:space="preserve"> </w:t>
      </w:r>
    </w:p>
    <w:p w14:paraId="09A22AD5" w14:textId="1B0E440F" w:rsidR="0092338B" w:rsidRPr="007D5CF2" w:rsidRDefault="0092338B" w:rsidP="00781D67">
      <w:pPr>
        <w:spacing w:after="158" w:line="360" w:lineRule="auto"/>
        <w:rPr>
          <w:rFonts w:ascii="Arial" w:hAnsi="Arial" w:cs="Arial"/>
        </w:rPr>
      </w:pPr>
      <w:r w:rsidRPr="007D5CF2">
        <w:rPr>
          <w:rFonts w:ascii="Arial" w:hAnsi="Arial" w:cs="Arial"/>
        </w:rPr>
        <w:t>AMHS</w:t>
      </w:r>
      <w:r w:rsidRPr="007D5CF2">
        <w:rPr>
          <w:rFonts w:ascii="Arial" w:hAnsi="Arial" w:cs="Arial"/>
        </w:rPr>
        <w:tab/>
      </w:r>
      <w:r w:rsidRPr="007D5CF2">
        <w:rPr>
          <w:rFonts w:ascii="Arial" w:hAnsi="Arial" w:cs="Arial"/>
        </w:rPr>
        <w:tab/>
        <w:t>Adult Mental Health Services</w:t>
      </w:r>
    </w:p>
    <w:p w14:paraId="2D51E713" w14:textId="6BE1B2A6" w:rsidR="0092338B" w:rsidRPr="007D5CF2" w:rsidRDefault="0092338B" w:rsidP="00781D67">
      <w:pPr>
        <w:spacing w:after="158" w:line="360" w:lineRule="auto"/>
        <w:rPr>
          <w:rFonts w:ascii="Arial" w:hAnsi="Arial" w:cs="Arial"/>
        </w:rPr>
      </w:pPr>
      <w:r w:rsidRPr="007D5CF2">
        <w:rPr>
          <w:rFonts w:ascii="Arial" w:hAnsi="Arial" w:cs="Arial"/>
        </w:rPr>
        <w:t>BPS</w:t>
      </w:r>
      <w:r w:rsidRPr="007D5CF2">
        <w:rPr>
          <w:rFonts w:ascii="Arial" w:hAnsi="Arial" w:cs="Arial"/>
        </w:rPr>
        <w:tab/>
      </w:r>
      <w:r w:rsidRPr="007D5CF2">
        <w:rPr>
          <w:rFonts w:ascii="Arial" w:hAnsi="Arial" w:cs="Arial"/>
        </w:rPr>
        <w:tab/>
        <w:t>British Psychological Society</w:t>
      </w:r>
    </w:p>
    <w:p w14:paraId="3A1A987F" w14:textId="77777777" w:rsidR="0092338B" w:rsidRPr="007D5CF2" w:rsidRDefault="0092338B" w:rsidP="00781D67">
      <w:pPr>
        <w:spacing w:after="158" w:line="360" w:lineRule="auto"/>
        <w:rPr>
          <w:rFonts w:ascii="Arial" w:hAnsi="Arial" w:cs="Arial"/>
        </w:rPr>
      </w:pPr>
      <w:r w:rsidRPr="007D5CF2">
        <w:rPr>
          <w:rFonts w:ascii="Arial" w:hAnsi="Arial" w:cs="Arial"/>
        </w:rPr>
        <w:t>CAMHS</w:t>
      </w:r>
      <w:r w:rsidRPr="007D5CF2">
        <w:rPr>
          <w:rFonts w:ascii="Arial" w:hAnsi="Arial" w:cs="Arial"/>
        </w:rPr>
        <w:tab/>
        <w:t>Child and Adolescent Mental Health Services</w:t>
      </w:r>
    </w:p>
    <w:p w14:paraId="29591CC0" w14:textId="44737787" w:rsidR="0092338B" w:rsidRPr="007D5CF2" w:rsidRDefault="0092338B" w:rsidP="00781D67">
      <w:pPr>
        <w:spacing w:after="158" w:line="360" w:lineRule="auto"/>
        <w:rPr>
          <w:rFonts w:ascii="Arial" w:hAnsi="Arial" w:cs="Arial"/>
        </w:rPr>
      </w:pPr>
      <w:r w:rsidRPr="007D5CF2">
        <w:rPr>
          <w:rFonts w:ascii="Arial" w:hAnsi="Arial" w:cs="Arial"/>
        </w:rPr>
        <w:t>CASP</w:t>
      </w:r>
      <w:r w:rsidRPr="007D5CF2">
        <w:rPr>
          <w:rFonts w:ascii="Arial" w:hAnsi="Arial" w:cs="Arial"/>
        </w:rPr>
        <w:tab/>
      </w:r>
      <w:r w:rsidRPr="007D5CF2">
        <w:rPr>
          <w:rFonts w:ascii="Arial" w:hAnsi="Arial" w:cs="Arial"/>
        </w:rPr>
        <w:tab/>
        <w:t>Critical Appraisal Skills Programme</w:t>
      </w:r>
    </w:p>
    <w:p w14:paraId="5AB0B8B5" w14:textId="77777777" w:rsidR="0092338B" w:rsidRPr="007D5CF2" w:rsidRDefault="0092338B" w:rsidP="00781D67">
      <w:pPr>
        <w:spacing w:after="158" w:line="360" w:lineRule="auto"/>
        <w:rPr>
          <w:rFonts w:ascii="Arial" w:hAnsi="Arial" w:cs="Arial"/>
        </w:rPr>
      </w:pPr>
      <w:r w:rsidRPr="007D5CF2">
        <w:rPr>
          <w:rFonts w:ascii="Arial" w:hAnsi="Arial" w:cs="Arial"/>
        </w:rPr>
        <w:t>CINAHL</w:t>
      </w:r>
      <w:r w:rsidRPr="007D5CF2">
        <w:rPr>
          <w:rFonts w:ascii="Arial" w:hAnsi="Arial" w:cs="Arial"/>
        </w:rPr>
        <w:tab/>
        <w:t>Cumulative Index to Nursing and Allied Health Literature</w:t>
      </w:r>
    </w:p>
    <w:p w14:paraId="48AAD21E" w14:textId="2278DBBF" w:rsidR="0092338B" w:rsidRPr="007D5CF2" w:rsidRDefault="0092338B" w:rsidP="00781D67">
      <w:pPr>
        <w:spacing w:after="158" w:line="360" w:lineRule="auto"/>
        <w:rPr>
          <w:rFonts w:ascii="Arial" w:hAnsi="Arial" w:cs="Arial"/>
        </w:rPr>
      </w:pPr>
      <w:r w:rsidRPr="007D5CF2">
        <w:rPr>
          <w:rFonts w:ascii="Arial" w:hAnsi="Arial" w:cs="Arial"/>
        </w:rPr>
        <w:t>CMHS</w:t>
      </w:r>
      <w:r w:rsidRPr="007D5CF2">
        <w:rPr>
          <w:rFonts w:ascii="Arial" w:hAnsi="Arial" w:cs="Arial"/>
        </w:rPr>
        <w:tab/>
      </w:r>
      <w:r w:rsidRPr="007D5CF2">
        <w:rPr>
          <w:rFonts w:ascii="Arial" w:hAnsi="Arial" w:cs="Arial"/>
        </w:rPr>
        <w:tab/>
        <w:t>Child Mental Health Services</w:t>
      </w:r>
    </w:p>
    <w:p w14:paraId="5C4BA4FC" w14:textId="46BD0763" w:rsidR="0092338B" w:rsidRPr="007D5CF2" w:rsidRDefault="0092338B" w:rsidP="00781D67">
      <w:pPr>
        <w:spacing w:after="158" w:line="360" w:lineRule="auto"/>
        <w:rPr>
          <w:rFonts w:ascii="Arial" w:hAnsi="Arial" w:cs="Arial"/>
        </w:rPr>
      </w:pPr>
      <w:r w:rsidRPr="007D5CF2">
        <w:rPr>
          <w:rFonts w:ascii="Arial" w:hAnsi="Arial" w:cs="Arial"/>
        </w:rPr>
        <w:t>DHSC</w:t>
      </w:r>
      <w:r w:rsidRPr="007D5CF2">
        <w:rPr>
          <w:rFonts w:ascii="Arial" w:hAnsi="Arial" w:cs="Arial"/>
        </w:rPr>
        <w:tab/>
      </w:r>
      <w:r w:rsidRPr="007D5CF2">
        <w:rPr>
          <w:rFonts w:ascii="Arial" w:hAnsi="Arial" w:cs="Arial"/>
        </w:rPr>
        <w:tab/>
        <w:t>Department of Health and Social Care</w:t>
      </w:r>
    </w:p>
    <w:p w14:paraId="5D053A73" w14:textId="4FD7AF9B" w:rsidR="0092338B" w:rsidRPr="007D5CF2" w:rsidRDefault="0092338B" w:rsidP="00781D67">
      <w:pPr>
        <w:spacing w:after="158" w:line="360" w:lineRule="auto"/>
        <w:rPr>
          <w:rFonts w:ascii="Arial" w:hAnsi="Arial" w:cs="Arial"/>
        </w:rPr>
      </w:pPr>
      <w:r w:rsidRPr="007D5CF2">
        <w:rPr>
          <w:rFonts w:ascii="Arial" w:hAnsi="Arial" w:cs="Arial"/>
        </w:rPr>
        <w:t>ED</w:t>
      </w:r>
      <w:r w:rsidRPr="007D5CF2">
        <w:rPr>
          <w:rFonts w:ascii="Arial" w:hAnsi="Arial" w:cs="Arial"/>
        </w:rPr>
        <w:tab/>
      </w:r>
      <w:r w:rsidRPr="007D5CF2">
        <w:rPr>
          <w:rFonts w:ascii="Arial" w:hAnsi="Arial" w:cs="Arial"/>
        </w:rPr>
        <w:tab/>
        <w:t>Emergency Department</w:t>
      </w:r>
    </w:p>
    <w:p w14:paraId="2CA044FD" w14:textId="4915D8EB" w:rsidR="0092338B" w:rsidRPr="007D5CF2" w:rsidRDefault="0092338B" w:rsidP="00781D67">
      <w:pPr>
        <w:spacing w:after="158" w:line="360" w:lineRule="auto"/>
        <w:rPr>
          <w:rFonts w:ascii="Arial" w:hAnsi="Arial" w:cs="Arial"/>
        </w:rPr>
      </w:pPr>
      <w:r w:rsidRPr="007D5CF2">
        <w:rPr>
          <w:rFonts w:ascii="Arial" w:hAnsi="Arial" w:cs="Arial"/>
        </w:rPr>
        <w:t>HBM</w:t>
      </w:r>
      <w:r w:rsidRPr="007D5CF2">
        <w:rPr>
          <w:rFonts w:ascii="Arial" w:hAnsi="Arial" w:cs="Arial"/>
        </w:rPr>
        <w:tab/>
      </w:r>
      <w:r w:rsidRPr="007D5CF2">
        <w:rPr>
          <w:rFonts w:ascii="Arial" w:hAnsi="Arial" w:cs="Arial"/>
        </w:rPr>
        <w:tab/>
        <w:t>Health Belief Model</w:t>
      </w:r>
    </w:p>
    <w:p w14:paraId="1B837761" w14:textId="2551B650" w:rsidR="0092338B" w:rsidRPr="007D5CF2" w:rsidRDefault="0092338B" w:rsidP="00781D67">
      <w:pPr>
        <w:spacing w:after="158" w:line="360" w:lineRule="auto"/>
        <w:rPr>
          <w:rFonts w:ascii="Arial" w:hAnsi="Arial" w:cs="Arial"/>
        </w:rPr>
      </w:pPr>
      <w:r w:rsidRPr="007D5CF2">
        <w:rPr>
          <w:rFonts w:ascii="Arial" w:hAnsi="Arial" w:cs="Arial"/>
        </w:rPr>
        <w:t>IPA</w:t>
      </w:r>
      <w:r w:rsidRPr="007D5CF2">
        <w:rPr>
          <w:rFonts w:ascii="Arial" w:hAnsi="Arial" w:cs="Arial"/>
        </w:rPr>
        <w:tab/>
      </w:r>
      <w:r w:rsidRPr="007D5CF2">
        <w:rPr>
          <w:rFonts w:ascii="Arial" w:hAnsi="Arial" w:cs="Arial"/>
        </w:rPr>
        <w:tab/>
        <w:t>Interpretative Phenomenological Analysis</w:t>
      </w:r>
    </w:p>
    <w:p w14:paraId="1D877312" w14:textId="77777777" w:rsidR="0092338B" w:rsidRPr="007D5CF2" w:rsidRDefault="0092338B" w:rsidP="00781D67">
      <w:pPr>
        <w:spacing w:after="158" w:line="360" w:lineRule="auto"/>
        <w:rPr>
          <w:rFonts w:ascii="Arial" w:hAnsi="Arial" w:cs="Arial"/>
        </w:rPr>
      </w:pPr>
      <w:r w:rsidRPr="007D5CF2">
        <w:rPr>
          <w:rFonts w:ascii="Arial" w:hAnsi="Arial" w:cs="Arial"/>
        </w:rPr>
        <w:t>MEDLINE</w:t>
      </w:r>
      <w:r w:rsidRPr="007D5CF2">
        <w:rPr>
          <w:rFonts w:ascii="Arial" w:hAnsi="Arial" w:cs="Arial"/>
        </w:rPr>
        <w:tab/>
        <w:t>Medical Literature Analysis and Retrieval System Online</w:t>
      </w:r>
    </w:p>
    <w:p w14:paraId="7056412B" w14:textId="4B850220" w:rsidR="0092338B" w:rsidRPr="007D5CF2" w:rsidRDefault="0092338B" w:rsidP="00781D67">
      <w:pPr>
        <w:spacing w:after="158" w:line="360" w:lineRule="auto"/>
        <w:rPr>
          <w:rFonts w:ascii="Arial" w:hAnsi="Arial" w:cs="Arial"/>
        </w:rPr>
      </w:pPr>
      <w:r w:rsidRPr="007D5CF2">
        <w:rPr>
          <w:rFonts w:ascii="Arial" w:hAnsi="Arial" w:cs="Arial"/>
        </w:rPr>
        <w:t>NHS</w:t>
      </w:r>
      <w:r w:rsidRPr="007D5CF2">
        <w:rPr>
          <w:rFonts w:ascii="Arial" w:hAnsi="Arial" w:cs="Arial"/>
        </w:rPr>
        <w:tab/>
      </w:r>
      <w:r w:rsidRPr="007D5CF2">
        <w:rPr>
          <w:rFonts w:ascii="Arial" w:hAnsi="Arial" w:cs="Arial"/>
        </w:rPr>
        <w:tab/>
        <w:t>National Health Service</w:t>
      </w:r>
    </w:p>
    <w:p w14:paraId="380F0156" w14:textId="5CBFA8CC" w:rsidR="0092338B" w:rsidRPr="007D5CF2" w:rsidRDefault="0092338B" w:rsidP="00781D67">
      <w:pPr>
        <w:spacing w:after="158" w:line="360" w:lineRule="auto"/>
        <w:rPr>
          <w:rFonts w:ascii="Arial" w:hAnsi="Arial" w:cs="Arial"/>
        </w:rPr>
      </w:pPr>
      <w:r w:rsidRPr="007D5CF2">
        <w:rPr>
          <w:rFonts w:ascii="Arial" w:hAnsi="Arial" w:cs="Arial"/>
        </w:rPr>
        <w:t>NICE</w:t>
      </w:r>
      <w:r w:rsidRPr="007D5CF2">
        <w:rPr>
          <w:rFonts w:ascii="Arial" w:hAnsi="Arial" w:cs="Arial"/>
        </w:rPr>
        <w:tab/>
      </w:r>
      <w:r w:rsidRPr="007D5CF2">
        <w:rPr>
          <w:rFonts w:ascii="Arial" w:hAnsi="Arial" w:cs="Arial"/>
        </w:rPr>
        <w:tab/>
        <w:t>National Institute for Health and Care Excellence</w:t>
      </w:r>
    </w:p>
    <w:p w14:paraId="32B31DAE" w14:textId="17283106" w:rsidR="0092338B" w:rsidRPr="007D5CF2" w:rsidRDefault="0092338B" w:rsidP="00781D67">
      <w:pPr>
        <w:spacing w:after="158" w:line="360" w:lineRule="auto"/>
        <w:rPr>
          <w:rFonts w:ascii="Arial" w:hAnsi="Arial" w:cs="Arial"/>
        </w:rPr>
      </w:pPr>
      <w:r w:rsidRPr="007D5CF2">
        <w:rPr>
          <w:rFonts w:ascii="Arial" w:hAnsi="Arial" w:cs="Arial"/>
        </w:rPr>
        <w:t>NIHR</w:t>
      </w:r>
      <w:r w:rsidRPr="007D5CF2">
        <w:rPr>
          <w:rFonts w:ascii="Arial" w:hAnsi="Arial" w:cs="Arial"/>
        </w:rPr>
        <w:tab/>
      </w:r>
      <w:r w:rsidRPr="007D5CF2">
        <w:rPr>
          <w:rFonts w:ascii="Arial" w:hAnsi="Arial" w:cs="Arial"/>
        </w:rPr>
        <w:tab/>
        <w:t>National Institute for Health Research</w:t>
      </w:r>
    </w:p>
    <w:p w14:paraId="1C866318" w14:textId="0DFFD064" w:rsidR="0092338B" w:rsidRPr="007D5CF2" w:rsidRDefault="0092338B" w:rsidP="00781D67">
      <w:pPr>
        <w:spacing w:after="158" w:line="360" w:lineRule="auto"/>
        <w:rPr>
          <w:rFonts w:ascii="Arial" w:hAnsi="Arial" w:cs="Arial"/>
        </w:rPr>
      </w:pPr>
      <w:r w:rsidRPr="007D5CF2">
        <w:rPr>
          <w:rFonts w:ascii="Arial" w:hAnsi="Arial" w:cs="Arial"/>
        </w:rPr>
        <w:t>OHID</w:t>
      </w:r>
      <w:r w:rsidRPr="007D5CF2">
        <w:rPr>
          <w:rFonts w:ascii="Arial" w:hAnsi="Arial" w:cs="Arial"/>
        </w:rPr>
        <w:tab/>
      </w:r>
      <w:r w:rsidRPr="007D5CF2">
        <w:rPr>
          <w:rFonts w:ascii="Arial" w:hAnsi="Arial" w:cs="Arial"/>
        </w:rPr>
        <w:tab/>
        <w:t>Office for Health Improvement and Disparities</w:t>
      </w:r>
    </w:p>
    <w:p w14:paraId="6A94631D" w14:textId="070A4567" w:rsidR="0092338B" w:rsidRPr="007D5CF2" w:rsidRDefault="0092338B" w:rsidP="00781D67">
      <w:pPr>
        <w:spacing w:after="158" w:line="360" w:lineRule="auto"/>
        <w:rPr>
          <w:rFonts w:ascii="Arial" w:hAnsi="Arial" w:cs="Arial"/>
        </w:rPr>
      </w:pPr>
      <w:r w:rsidRPr="007D5CF2">
        <w:rPr>
          <w:rFonts w:ascii="Arial" w:hAnsi="Arial" w:cs="Arial"/>
        </w:rPr>
        <w:t>ONS</w:t>
      </w:r>
      <w:r w:rsidRPr="007D5CF2">
        <w:rPr>
          <w:rFonts w:ascii="Arial" w:hAnsi="Arial" w:cs="Arial"/>
        </w:rPr>
        <w:tab/>
      </w:r>
      <w:r w:rsidRPr="007D5CF2">
        <w:rPr>
          <w:rFonts w:ascii="Arial" w:hAnsi="Arial" w:cs="Arial"/>
        </w:rPr>
        <w:tab/>
        <w:t>Office for National Statistics</w:t>
      </w:r>
    </w:p>
    <w:p w14:paraId="59AB2FBE" w14:textId="77777777" w:rsidR="0092338B" w:rsidRPr="007D5CF2" w:rsidRDefault="0092338B" w:rsidP="00781D67">
      <w:pPr>
        <w:spacing w:after="158" w:line="360" w:lineRule="auto"/>
        <w:rPr>
          <w:rFonts w:ascii="Arial" w:hAnsi="Arial" w:cs="Arial"/>
        </w:rPr>
      </w:pPr>
      <w:r w:rsidRPr="007D5CF2">
        <w:rPr>
          <w:rFonts w:ascii="Arial" w:hAnsi="Arial" w:cs="Arial"/>
        </w:rPr>
        <w:t>PRISMA</w:t>
      </w:r>
      <w:r w:rsidRPr="007D5CF2">
        <w:rPr>
          <w:rFonts w:ascii="Arial" w:hAnsi="Arial" w:cs="Arial"/>
        </w:rPr>
        <w:tab/>
        <w:t>Preferred Reporting Items for Systematic Reviews and Meta-Analyses</w:t>
      </w:r>
    </w:p>
    <w:p w14:paraId="17536E8F" w14:textId="22E122ED" w:rsidR="0092338B" w:rsidRPr="007D5CF2" w:rsidRDefault="0092338B" w:rsidP="00781D67">
      <w:pPr>
        <w:spacing w:after="158" w:line="360" w:lineRule="auto"/>
        <w:rPr>
          <w:rFonts w:ascii="Arial" w:hAnsi="Arial" w:cs="Arial"/>
        </w:rPr>
      </w:pPr>
      <w:r w:rsidRPr="007D5CF2">
        <w:rPr>
          <w:rFonts w:ascii="Arial" w:hAnsi="Arial" w:cs="Arial"/>
        </w:rPr>
        <w:t>QSR</w:t>
      </w:r>
      <w:r w:rsidRPr="007D5CF2">
        <w:rPr>
          <w:rFonts w:ascii="Arial" w:hAnsi="Arial" w:cs="Arial"/>
        </w:rPr>
        <w:tab/>
      </w:r>
      <w:r w:rsidRPr="007D5CF2">
        <w:rPr>
          <w:rFonts w:ascii="Arial" w:hAnsi="Arial" w:cs="Arial"/>
        </w:rPr>
        <w:tab/>
        <w:t>Qualitative Secondary Research</w:t>
      </w:r>
    </w:p>
    <w:p w14:paraId="76C511F4" w14:textId="06A99A45" w:rsidR="0092338B" w:rsidRPr="007D5CF2" w:rsidRDefault="0092338B" w:rsidP="00781D67">
      <w:pPr>
        <w:spacing w:after="158" w:line="360" w:lineRule="auto"/>
        <w:rPr>
          <w:rFonts w:ascii="Arial" w:hAnsi="Arial" w:cs="Arial"/>
        </w:rPr>
      </w:pPr>
      <w:r w:rsidRPr="007D5CF2">
        <w:rPr>
          <w:rFonts w:ascii="Arial" w:hAnsi="Arial" w:cs="Arial"/>
        </w:rPr>
        <w:t>UK</w:t>
      </w:r>
      <w:r w:rsidRPr="007D5CF2">
        <w:rPr>
          <w:rFonts w:ascii="Arial" w:hAnsi="Arial" w:cs="Arial"/>
        </w:rPr>
        <w:tab/>
      </w:r>
      <w:r w:rsidRPr="007D5CF2">
        <w:rPr>
          <w:rFonts w:ascii="Arial" w:hAnsi="Arial" w:cs="Arial"/>
        </w:rPr>
        <w:tab/>
        <w:t>United Kingdom</w:t>
      </w:r>
    </w:p>
    <w:p w14:paraId="31F6A5CC" w14:textId="0620A2EC" w:rsidR="009F64C5" w:rsidRPr="007D5CF2" w:rsidRDefault="0092338B" w:rsidP="00781D67">
      <w:pPr>
        <w:spacing w:after="158" w:line="360" w:lineRule="auto"/>
        <w:rPr>
          <w:rFonts w:ascii="Arial" w:hAnsi="Arial" w:cs="Arial"/>
        </w:rPr>
      </w:pPr>
      <w:r w:rsidRPr="007D5CF2">
        <w:rPr>
          <w:rFonts w:ascii="Arial" w:hAnsi="Arial" w:cs="Arial"/>
        </w:rPr>
        <w:t>WHO</w:t>
      </w:r>
      <w:r w:rsidRPr="007D5CF2">
        <w:rPr>
          <w:rFonts w:ascii="Arial" w:hAnsi="Arial" w:cs="Arial"/>
        </w:rPr>
        <w:tab/>
      </w:r>
      <w:r w:rsidRPr="007D5CF2">
        <w:rPr>
          <w:rFonts w:ascii="Arial" w:hAnsi="Arial" w:cs="Arial"/>
        </w:rPr>
        <w:tab/>
        <w:t>World Health Organization</w:t>
      </w:r>
    </w:p>
    <w:p w14:paraId="0A8DF892" w14:textId="741E5FA0" w:rsidR="009F64C5" w:rsidRPr="007D5CF2" w:rsidRDefault="009F64C5" w:rsidP="00781D67">
      <w:pPr>
        <w:spacing w:after="0" w:line="360" w:lineRule="auto"/>
        <w:rPr>
          <w:rFonts w:ascii="Arial" w:hAnsi="Arial" w:cs="Arial"/>
        </w:rPr>
      </w:pPr>
      <w:r w:rsidRPr="007D5CF2">
        <w:rPr>
          <w:rFonts w:ascii="Arial" w:eastAsia="Times New Roman" w:hAnsi="Arial" w:cs="Arial"/>
          <w:b/>
          <w:i/>
        </w:rPr>
        <w:tab/>
        <w:t xml:space="preserve"> </w:t>
      </w:r>
    </w:p>
    <w:p w14:paraId="05FED6EE" w14:textId="75A3B435" w:rsidR="009F64C5" w:rsidRPr="007D5CF2" w:rsidRDefault="009F64C5" w:rsidP="00781D67">
      <w:pPr>
        <w:spacing w:line="360" w:lineRule="auto"/>
        <w:rPr>
          <w:rFonts w:ascii="Arial" w:eastAsia="Times New Roman" w:hAnsi="Arial" w:cs="Arial"/>
          <w:b/>
          <w:color w:val="000000"/>
        </w:rPr>
      </w:pPr>
      <w:r w:rsidRPr="007D5CF2">
        <w:rPr>
          <w:rFonts w:ascii="Arial" w:hAnsi="Arial" w:cs="Arial"/>
        </w:rPr>
        <w:tab/>
      </w:r>
      <w:r w:rsidRPr="007D5CF2">
        <w:rPr>
          <w:rFonts w:ascii="Arial" w:eastAsia="Calibri" w:hAnsi="Arial" w:cs="Arial"/>
        </w:rPr>
        <w:t xml:space="preserve"> </w:t>
      </w:r>
    </w:p>
    <w:p w14:paraId="396A5700" w14:textId="5B6ADF9F" w:rsidR="00CC55C1" w:rsidRPr="00CD55A5" w:rsidRDefault="009706D0" w:rsidP="00781D67">
      <w:pPr>
        <w:pStyle w:val="NormalWeb"/>
        <w:spacing w:before="240" w:after="240" w:line="360" w:lineRule="auto"/>
        <w:jc w:val="center"/>
        <w:rPr>
          <w:rFonts w:ascii="Arial" w:eastAsia="Times New Roman" w:hAnsi="Arial" w:cs="Arial"/>
          <w:kern w:val="0"/>
          <w:lang w:eastAsia="en-GB"/>
          <w14:ligatures w14:val="none"/>
        </w:rPr>
      </w:pPr>
      <w:bookmarkStart w:id="3" w:name="_Toc12222"/>
      <w:r w:rsidRPr="007D5CF2">
        <w:rPr>
          <w:rFonts w:ascii="Arial" w:hAnsi="Arial" w:cs="Arial"/>
          <w:sz w:val="22"/>
          <w:szCs w:val="22"/>
        </w:rPr>
        <w:br w:type="page"/>
      </w:r>
      <w:r w:rsidR="00CC55C1" w:rsidRPr="00CD55A5">
        <w:rPr>
          <w:rFonts w:ascii="Arial" w:eastAsia="Times New Roman" w:hAnsi="Arial" w:cs="Arial"/>
          <w:b/>
          <w:bCs/>
          <w:kern w:val="0"/>
          <w:lang w:eastAsia="en-GB"/>
          <w14:ligatures w14:val="none"/>
        </w:rPr>
        <w:t xml:space="preserve">Chapter </w:t>
      </w:r>
      <w:r w:rsidR="00E65432" w:rsidRPr="00CD55A5">
        <w:rPr>
          <w:rFonts w:ascii="Arial" w:eastAsia="Times New Roman" w:hAnsi="Arial" w:cs="Arial"/>
          <w:b/>
          <w:bCs/>
          <w:kern w:val="0"/>
          <w:lang w:eastAsia="en-GB"/>
          <w14:ligatures w14:val="none"/>
        </w:rPr>
        <w:t>One</w:t>
      </w:r>
      <w:r w:rsidR="00CC55C1" w:rsidRPr="00CD55A5">
        <w:rPr>
          <w:rFonts w:ascii="Arial" w:eastAsia="Times New Roman" w:hAnsi="Arial" w:cs="Arial"/>
          <w:b/>
          <w:bCs/>
          <w:kern w:val="0"/>
          <w:lang w:eastAsia="en-GB"/>
          <w14:ligatures w14:val="none"/>
        </w:rPr>
        <w:t>: Introduction</w:t>
      </w:r>
    </w:p>
    <w:p w14:paraId="3F9878F6" w14:textId="43A983F0" w:rsidR="00CC55C1" w:rsidRPr="00CD55A5"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CD55A5">
        <w:rPr>
          <w:rFonts w:ascii="Arial" w:eastAsia="Times New Roman" w:hAnsi="Arial" w:cs="Arial"/>
          <w:b/>
          <w:bCs/>
          <w:kern w:val="0"/>
          <w:sz w:val="24"/>
          <w:szCs w:val="24"/>
          <w:lang w:eastAsia="en-GB"/>
          <w14:ligatures w14:val="none"/>
        </w:rPr>
        <w:t>1.1</w:t>
      </w:r>
      <w:r w:rsidRPr="00CD55A5">
        <w:rPr>
          <w:rFonts w:ascii="Arial" w:eastAsia="Times New Roman" w:hAnsi="Arial" w:cs="Arial"/>
          <w:bCs/>
          <w:kern w:val="0"/>
          <w:sz w:val="24"/>
          <w:szCs w:val="24"/>
          <w:lang w:eastAsia="en-GB"/>
          <w14:ligatures w14:val="none"/>
        </w:rPr>
        <w:t xml:space="preserve"> </w:t>
      </w:r>
      <w:r w:rsidRPr="00CD55A5">
        <w:rPr>
          <w:rFonts w:ascii="Arial" w:eastAsia="Times New Roman" w:hAnsi="Arial" w:cs="Arial"/>
          <w:b/>
          <w:kern w:val="0"/>
          <w:sz w:val="24"/>
          <w:szCs w:val="24"/>
          <w:lang w:eastAsia="en-GB"/>
          <w14:ligatures w14:val="none"/>
        </w:rPr>
        <w:t>Background to the Study</w:t>
      </w:r>
    </w:p>
    <w:p w14:paraId="12AB300D" w14:textId="0DA6EBDB" w:rsidR="004138B2" w:rsidRPr="004138B2" w:rsidRDefault="00CC55C1" w:rsidP="00781D67">
      <w:pPr>
        <w:spacing w:before="240" w:after="240" w:line="360" w:lineRule="auto"/>
        <w:jc w:val="both"/>
        <w:rPr>
          <w:rFonts w:ascii="Arial" w:eastAsia="Times New Roman" w:hAnsi="Arial" w:cs="Arial"/>
          <w:bCs/>
          <w:color w:val="0E101A"/>
          <w:kern w:val="0"/>
          <w:lang w:eastAsia="en-GB"/>
          <w14:ligatures w14:val="none"/>
        </w:rPr>
      </w:pPr>
      <w:r w:rsidRPr="007D5CF2">
        <w:rPr>
          <w:rFonts w:ascii="Arial" w:eastAsia="Times New Roman" w:hAnsi="Arial" w:cs="Arial"/>
          <w:bCs/>
          <w:color w:val="0E101A"/>
          <w:kern w:val="0"/>
          <w:lang w:eastAsia="en-GB"/>
          <w14:ligatures w14:val="none"/>
        </w:rPr>
        <w:t xml:space="preserve">Mental health is one of the greatest challenges for public health in the 21st century for people, families, communities and health care systems around the world (World Health Organisation, 2022). Mental disorders are a significant fraction of the burden of disease worldwide and are linked to significant social, economic and health impacts (Patel et al., 2018; Patel et al., 2023). According to the World Health Organisation (2022), around 1 in 8 people in the world suffer from a mental health condition, and anxiety and depression are common causes of </w:t>
      </w:r>
      <w:proofErr w:type="spellStart"/>
      <w:proofErr w:type="gramStart"/>
      <w:r w:rsidRPr="007D5CF2">
        <w:rPr>
          <w:rFonts w:ascii="Arial" w:eastAsia="Times New Roman" w:hAnsi="Arial" w:cs="Arial"/>
          <w:bCs/>
          <w:color w:val="0E101A"/>
          <w:kern w:val="0"/>
          <w:lang w:eastAsia="en-GB"/>
          <w14:ligatures w14:val="none"/>
        </w:rPr>
        <w:t>disability.Mental</w:t>
      </w:r>
      <w:proofErr w:type="spellEnd"/>
      <w:proofErr w:type="gramEnd"/>
      <w:r w:rsidRPr="007D5CF2">
        <w:rPr>
          <w:rFonts w:ascii="Arial" w:eastAsia="Times New Roman" w:hAnsi="Arial" w:cs="Arial"/>
          <w:bCs/>
          <w:color w:val="0E101A"/>
          <w:kern w:val="0"/>
          <w:lang w:eastAsia="en-GB"/>
          <w14:ligatures w14:val="none"/>
        </w:rPr>
        <w:t xml:space="preserve"> health challenges can often appear early in life. The adolescent and young adulthood periods are critical times for intervening with mental health disorders; about 50% of all mental disorders begin by age 14, and about 75% begin by age 24 (Kessler et al., 2007; </w:t>
      </w:r>
      <w:proofErr w:type="spellStart"/>
      <w:r w:rsidRPr="007D5CF2">
        <w:rPr>
          <w:rFonts w:ascii="Arial" w:eastAsia="Times New Roman" w:hAnsi="Arial" w:cs="Arial"/>
          <w:bCs/>
          <w:color w:val="0E101A"/>
          <w:kern w:val="0"/>
          <w:lang w:eastAsia="en-GB"/>
          <w14:ligatures w14:val="none"/>
        </w:rPr>
        <w:t>Solmi</w:t>
      </w:r>
      <w:proofErr w:type="spellEnd"/>
      <w:r w:rsidRPr="007D5CF2">
        <w:rPr>
          <w:rFonts w:ascii="Arial" w:eastAsia="Times New Roman" w:hAnsi="Arial" w:cs="Arial"/>
          <w:bCs/>
          <w:color w:val="0E101A"/>
          <w:kern w:val="0"/>
          <w:lang w:eastAsia="en-GB"/>
          <w14:ligatures w14:val="none"/>
        </w:rPr>
        <w:t xml:space="preserve"> et al., 2022; </w:t>
      </w:r>
      <w:r w:rsidRPr="007D5CF2">
        <w:rPr>
          <w:rFonts w:ascii="Arial" w:eastAsia="Times New Roman" w:hAnsi="Arial" w:cs="Arial"/>
          <w:color w:val="222222"/>
          <w:kern w:val="0"/>
          <w:shd w:val="clear" w:color="auto" w:fill="FFFFFF"/>
          <w:lang w:eastAsia="en-GB"/>
          <w14:ligatures w14:val="none"/>
        </w:rPr>
        <w:t>McGrath et al., 2023</w:t>
      </w:r>
      <w:r w:rsidRPr="007D5CF2">
        <w:rPr>
          <w:rFonts w:ascii="Arial" w:eastAsia="Times New Roman" w:hAnsi="Arial" w:cs="Arial"/>
          <w:bCs/>
          <w:color w:val="0E101A"/>
          <w:kern w:val="0"/>
          <w:lang w:eastAsia="en-GB"/>
          <w14:ligatures w14:val="none"/>
        </w:rPr>
        <w:t>). The rates of mental health conditions among young people have risen significantly in England in the last 10 years. In 2023, 21.7% of people aged 20–25 had a probable mental disorder, but lower rates of this were reported in previous years (NHS Digital, 2023). Likewise, rates of common mental disorders in adults (aged 16 - 64 years) have increased from previous national estimates, with around 22.6% experiencing a common mental disorder as reported by the Adult Psychiatric Morbidity Survey (NHS Digital, 2024</w:t>
      </w:r>
      <w:r w:rsidR="001C0378" w:rsidRPr="007D5CF2">
        <w:rPr>
          <w:rFonts w:ascii="Arial" w:eastAsia="Times New Roman" w:hAnsi="Arial" w:cs="Arial"/>
          <w:bCs/>
          <w:color w:val="0E101A"/>
          <w:kern w:val="0"/>
          <w:lang w:eastAsia="en-GB"/>
          <w14:ligatures w14:val="none"/>
        </w:rPr>
        <w:t>). Undetected</w:t>
      </w:r>
      <w:r w:rsidRPr="007D5CF2">
        <w:rPr>
          <w:rFonts w:ascii="Arial" w:eastAsia="Times New Roman" w:hAnsi="Arial" w:cs="Arial"/>
          <w:bCs/>
          <w:color w:val="0E101A"/>
          <w:kern w:val="0"/>
          <w:lang w:eastAsia="en-GB"/>
          <w14:ligatures w14:val="none"/>
        </w:rPr>
        <w:t xml:space="preserve"> mental health issues are linked to negative educational, social and economic consequences, which makes mental health issues in youth a serious public health issue. If not treated, mental health disorders can have harmful impacts on emotional regulation, cognition, social functioning and education, and often continue into the adult years (Erskine et al., 2015; Patel et al., 2018). Additionally, poor mental health in adolescence and early adulthood has been linked with higher rates of substance misuse, self-harm, unemployment, social exclusion and higher healthcare costs (Patel et al., 2018; Racine et al., 2021; </w:t>
      </w:r>
      <w:r w:rsidRPr="007D5CF2">
        <w:rPr>
          <w:rFonts w:ascii="Arial" w:eastAsia="Times New Roman" w:hAnsi="Arial" w:cs="Arial"/>
          <w:color w:val="222222"/>
          <w:kern w:val="0"/>
          <w:shd w:val="clear" w:color="auto" w:fill="FFFFFF"/>
          <w:lang w:eastAsia="en-GB"/>
          <w14:ligatures w14:val="none"/>
        </w:rPr>
        <w:t xml:space="preserve">Madigan et al., 2023; </w:t>
      </w:r>
      <w:r w:rsidRPr="007D5CF2">
        <w:rPr>
          <w:rFonts w:ascii="Arial" w:eastAsia="Times New Roman" w:hAnsi="Arial" w:cs="Arial"/>
          <w:bCs/>
          <w:color w:val="0E101A"/>
          <w:kern w:val="0"/>
          <w:lang w:eastAsia="en-GB"/>
          <w14:ligatures w14:val="none"/>
        </w:rPr>
        <w:t>Patel et al., 2023</w:t>
      </w:r>
      <w:r w:rsidR="004138B2">
        <w:rPr>
          <w:rFonts w:ascii="Arial" w:eastAsia="Times New Roman" w:hAnsi="Arial" w:cs="Arial"/>
          <w:bCs/>
          <w:color w:val="0E101A"/>
          <w:kern w:val="0"/>
          <w:lang w:eastAsia="en-GB"/>
          <w14:ligatures w14:val="none"/>
        </w:rPr>
        <w:t>).</w:t>
      </w:r>
    </w:p>
    <w:p w14:paraId="7DBC7884" w14:textId="77777777" w:rsidR="00CC55C1" w:rsidRDefault="00CC55C1" w:rsidP="00781D67">
      <w:pPr>
        <w:spacing w:before="240" w:after="240" w:line="360" w:lineRule="auto"/>
        <w:jc w:val="both"/>
        <w:rPr>
          <w:rFonts w:ascii="Arial" w:eastAsia="Times New Roman" w:hAnsi="Arial" w:cs="Arial"/>
          <w:bCs/>
          <w:color w:val="0E101A"/>
          <w:kern w:val="0"/>
          <w:lang w:eastAsia="en-GB"/>
          <w14:ligatures w14:val="none"/>
        </w:rPr>
      </w:pPr>
      <w:r w:rsidRPr="007D5CF2">
        <w:rPr>
          <w:rFonts w:ascii="Arial" w:eastAsia="Times New Roman" w:hAnsi="Arial" w:cs="Arial"/>
          <w:bCs/>
          <w:color w:val="0E101A"/>
          <w:kern w:val="0"/>
          <w:lang w:eastAsia="en-GB"/>
          <w14:ligatures w14:val="none"/>
        </w:rPr>
        <w:t xml:space="preserve">There is a great level of need, but access to timely mental health support is limited throughout the United Kingdom. Between 2023 and 2024, over 78,000 children and young people were waiting for more than a year for mental health treatment, and many had seen their mental health deteriorate during this wait (NHS England, 2024). </w:t>
      </w:r>
      <w:r w:rsidRPr="007D5CF2">
        <w:rPr>
          <w:rFonts w:ascii="Arial" w:eastAsia="Times New Roman" w:hAnsi="Arial" w:cs="Arial"/>
          <w:color w:val="0E101A"/>
          <w:kern w:val="0"/>
          <w:lang w:eastAsia="en-GB"/>
          <w14:ligatures w14:val="none"/>
        </w:rPr>
        <w:t>McGorry et al. (2022)</w:t>
      </w:r>
      <w:r w:rsidRPr="007D5CF2">
        <w:rPr>
          <w:rFonts w:ascii="Arial" w:eastAsia="Times New Roman" w:hAnsi="Arial" w:cs="Arial"/>
          <w:bCs/>
          <w:color w:val="0E101A"/>
          <w:kern w:val="0"/>
          <w:lang w:eastAsia="en-GB"/>
          <w14:ligatures w14:val="none"/>
        </w:rPr>
        <w:t xml:space="preserve"> also found that delays and barriers to services have an impact on the mental health of young people, making it worse. It is widely recognised that early intervention is crucial, as recovery is enhanced, mental illness is not made worse and long-term social and economic impacts are minimised (</w:t>
      </w:r>
      <w:r w:rsidRPr="007D5CF2">
        <w:rPr>
          <w:rFonts w:ascii="Arial" w:eastAsia="Times New Roman" w:hAnsi="Arial" w:cs="Arial"/>
          <w:color w:val="222222"/>
          <w:kern w:val="0"/>
          <w:shd w:val="clear" w:color="auto" w:fill="FFFFFF"/>
          <w:lang w:eastAsia="en-GB"/>
          <w14:ligatures w14:val="none"/>
        </w:rPr>
        <w:t>Malla et al., 2016</w:t>
      </w:r>
      <w:r w:rsidRPr="007D5CF2">
        <w:rPr>
          <w:rFonts w:ascii="Arial" w:eastAsia="Times New Roman" w:hAnsi="Arial" w:cs="Arial"/>
          <w:bCs/>
          <w:color w:val="0E101A"/>
          <w:kern w:val="0"/>
          <w:lang w:eastAsia="en-GB"/>
          <w14:ligatures w14:val="none"/>
        </w:rPr>
        <w:t>).</w:t>
      </w:r>
    </w:p>
    <w:p w14:paraId="30C147C0" w14:textId="77777777" w:rsidR="002B3AC9" w:rsidRPr="007D5CF2" w:rsidRDefault="002B3AC9" w:rsidP="00781D67">
      <w:pPr>
        <w:spacing w:before="240" w:after="240" w:line="360" w:lineRule="auto"/>
        <w:jc w:val="both"/>
        <w:rPr>
          <w:rFonts w:ascii="Arial" w:eastAsia="Times New Roman" w:hAnsi="Arial" w:cs="Arial"/>
          <w:b/>
          <w:color w:val="0E101A"/>
          <w:kern w:val="0"/>
          <w:lang w:eastAsia="en-GB"/>
          <w14:ligatures w14:val="none"/>
        </w:rPr>
      </w:pPr>
    </w:p>
    <w:p w14:paraId="426863E7" w14:textId="77777777" w:rsidR="00CC55C1" w:rsidRPr="00CD55A5" w:rsidRDefault="00CC55C1" w:rsidP="00781D67">
      <w:pPr>
        <w:spacing w:before="240" w:after="240" w:line="360" w:lineRule="auto"/>
        <w:jc w:val="both"/>
        <w:rPr>
          <w:rFonts w:ascii="Arial" w:eastAsia="Times New Roman" w:hAnsi="Arial" w:cs="Arial"/>
          <w:color w:val="0E101A"/>
          <w:kern w:val="0"/>
          <w:sz w:val="24"/>
          <w:szCs w:val="24"/>
          <w:lang w:eastAsia="en-GB"/>
          <w14:ligatures w14:val="none"/>
        </w:rPr>
      </w:pPr>
      <w:r w:rsidRPr="00CD55A5">
        <w:rPr>
          <w:rFonts w:ascii="Arial" w:eastAsia="Times New Roman" w:hAnsi="Arial" w:cs="Arial"/>
          <w:b/>
          <w:bCs/>
          <w:color w:val="0E101A"/>
          <w:kern w:val="0"/>
          <w:sz w:val="24"/>
          <w:szCs w:val="24"/>
          <w:lang w:eastAsia="en-GB"/>
          <w14:ligatures w14:val="none"/>
        </w:rPr>
        <w:t>1.2 The 18–25 Age Group: A Uniquely Vulnerable Population</w:t>
      </w:r>
    </w:p>
    <w:p w14:paraId="39CD69D0" w14:textId="77777777" w:rsidR="00CC55C1" w:rsidRPr="007D5CF2" w:rsidRDefault="00CC55C1" w:rsidP="00781D67">
      <w:pPr>
        <w:spacing w:before="240" w:after="240" w:line="360" w:lineRule="auto"/>
        <w:jc w:val="both"/>
        <w:rPr>
          <w:rFonts w:ascii="Arial" w:eastAsia="Times New Roman" w:hAnsi="Arial" w:cs="Arial"/>
          <w:b/>
          <w:color w:val="0E101A"/>
          <w:kern w:val="0"/>
          <w:lang w:eastAsia="en-GB"/>
          <w14:ligatures w14:val="none"/>
        </w:rPr>
      </w:pPr>
      <w:r w:rsidRPr="007D5CF2">
        <w:rPr>
          <w:rFonts w:ascii="Arial" w:eastAsia="Times New Roman" w:hAnsi="Arial" w:cs="Arial"/>
          <w:bCs/>
          <w:color w:val="0E101A"/>
          <w:kern w:val="0"/>
          <w:lang w:eastAsia="en-GB"/>
          <w14:ligatures w14:val="none"/>
        </w:rPr>
        <w:t xml:space="preserve">Young adulthood is a critical developmental window, broadly defined as ages 18- 25, which is associated with significant social, educational and occupational changes (Arnett, 2018; </w:t>
      </w:r>
      <w:r w:rsidRPr="007D5CF2">
        <w:rPr>
          <w:rFonts w:ascii="Arial" w:eastAsia="Times New Roman" w:hAnsi="Arial" w:cs="Arial"/>
          <w:color w:val="222222"/>
          <w:kern w:val="0"/>
          <w:shd w:val="clear" w:color="auto" w:fill="FFFFFF"/>
          <w:lang w:eastAsia="en-GB"/>
          <w14:ligatures w14:val="none"/>
        </w:rPr>
        <w:t>Schwartz, 2016</w:t>
      </w:r>
      <w:r w:rsidRPr="007D5CF2">
        <w:rPr>
          <w:rFonts w:ascii="Arial" w:eastAsia="Times New Roman" w:hAnsi="Arial" w:cs="Arial"/>
          <w:bCs/>
          <w:color w:val="0E101A"/>
          <w:kern w:val="0"/>
          <w:lang w:eastAsia="en-GB"/>
          <w14:ligatures w14:val="none"/>
        </w:rPr>
        <w:t xml:space="preserve">). This time is when people leave their family homes, attend higher education or start work, develop intimate relationships and take on more autonomy and responsibility (Sawyer et al., 2018; </w:t>
      </w:r>
      <w:r w:rsidRPr="007D5CF2">
        <w:rPr>
          <w:rFonts w:ascii="Arial" w:eastAsia="Times New Roman" w:hAnsi="Arial" w:cs="Arial"/>
          <w:color w:val="222222"/>
          <w:kern w:val="0"/>
          <w:shd w:val="clear" w:color="auto" w:fill="FFFFFF"/>
          <w:lang w:eastAsia="en-GB"/>
          <w14:ligatures w14:val="none"/>
        </w:rPr>
        <w:t>McDonagh et al., 2018</w:t>
      </w:r>
      <w:r w:rsidRPr="007D5CF2">
        <w:rPr>
          <w:rFonts w:ascii="Arial" w:eastAsia="Times New Roman" w:hAnsi="Arial" w:cs="Arial"/>
          <w:bCs/>
          <w:color w:val="0E101A"/>
          <w:kern w:val="0"/>
          <w:lang w:eastAsia="en-GB"/>
          <w14:ligatures w14:val="none"/>
        </w:rPr>
        <w:t>). Such transitions can create a lot of psychosocial stress and heighten the likelihood of mental health challenges.</w:t>
      </w:r>
    </w:p>
    <w:p w14:paraId="186122B0" w14:textId="77777777" w:rsidR="00CC55C1" w:rsidRPr="007D5CF2" w:rsidRDefault="00CC55C1" w:rsidP="00781D67">
      <w:pPr>
        <w:spacing w:before="240" w:after="240" w:line="360" w:lineRule="auto"/>
        <w:jc w:val="both"/>
        <w:rPr>
          <w:rFonts w:ascii="Arial" w:eastAsia="Times New Roman" w:hAnsi="Arial" w:cs="Arial"/>
          <w:b/>
          <w:color w:val="0E101A"/>
          <w:kern w:val="0"/>
          <w:lang w:eastAsia="en-GB"/>
          <w14:ligatures w14:val="none"/>
        </w:rPr>
      </w:pPr>
      <w:r w:rsidRPr="007D5CF2">
        <w:rPr>
          <w:rFonts w:ascii="Arial" w:eastAsia="Times New Roman" w:hAnsi="Arial" w:cs="Arial"/>
          <w:bCs/>
          <w:color w:val="0E101A"/>
          <w:kern w:val="0"/>
          <w:lang w:eastAsia="en-GB"/>
          <w14:ligatures w14:val="none"/>
        </w:rPr>
        <w:t xml:space="preserve">For Arnett (2018), this period is known as “emerging adulthood”, in which people are characterised by a high degree of identity exploration and instability without enjoying many of the supports that are seen in childhood. Studies show that around 75% of all serious mental health conditions develop before age 25, such as anxiety disorders, depression, bipolar disorder and psychotic disorders (Kessler et al., 2007; </w:t>
      </w:r>
      <w:proofErr w:type="spellStart"/>
      <w:r w:rsidRPr="007D5CF2">
        <w:rPr>
          <w:rFonts w:ascii="Arial" w:eastAsia="Times New Roman" w:hAnsi="Arial" w:cs="Arial"/>
          <w:bCs/>
          <w:color w:val="0E101A"/>
          <w:kern w:val="0"/>
          <w:lang w:eastAsia="en-GB"/>
          <w14:ligatures w14:val="none"/>
        </w:rPr>
        <w:t>Solmi</w:t>
      </w:r>
      <w:proofErr w:type="spellEnd"/>
      <w:r w:rsidRPr="007D5CF2">
        <w:rPr>
          <w:rFonts w:ascii="Arial" w:eastAsia="Times New Roman" w:hAnsi="Arial" w:cs="Arial"/>
          <w:bCs/>
          <w:color w:val="0E101A"/>
          <w:kern w:val="0"/>
          <w:lang w:eastAsia="en-GB"/>
          <w14:ligatures w14:val="none"/>
        </w:rPr>
        <w:t xml:space="preserve"> et al., 2022; </w:t>
      </w:r>
      <w:r w:rsidRPr="007D5CF2">
        <w:rPr>
          <w:rFonts w:ascii="Arial" w:eastAsia="Times New Roman" w:hAnsi="Arial" w:cs="Arial"/>
          <w:color w:val="222222"/>
          <w:kern w:val="0"/>
          <w:shd w:val="clear" w:color="auto" w:fill="FFFFFF"/>
          <w:lang w:eastAsia="en-GB"/>
          <w14:ligatures w14:val="none"/>
        </w:rPr>
        <w:t>McGrath et al., 2023</w:t>
      </w:r>
      <w:r w:rsidRPr="007D5CF2">
        <w:rPr>
          <w:rFonts w:ascii="Arial" w:eastAsia="Times New Roman" w:hAnsi="Arial" w:cs="Arial"/>
          <w:bCs/>
          <w:color w:val="0E101A"/>
          <w:kern w:val="0"/>
          <w:lang w:eastAsia="en-GB"/>
          <w14:ligatures w14:val="none"/>
        </w:rPr>
        <w:t>). As a result, young adults are one of the most at-risk groups in society when it comes to mental health issues.</w:t>
      </w:r>
    </w:p>
    <w:p w14:paraId="617C7069" w14:textId="77777777" w:rsidR="00CC55C1" w:rsidRPr="007D5CF2" w:rsidRDefault="00CC55C1" w:rsidP="00781D67">
      <w:pPr>
        <w:spacing w:before="240" w:after="240" w:line="360" w:lineRule="auto"/>
        <w:jc w:val="both"/>
        <w:rPr>
          <w:rFonts w:ascii="Arial" w:eastAsia="Times New Roman" w:hAnsi="Arial" w:cs="Arial"/>
          <w:b/>
          <w:color w:val="0E101A"/>
          <w:kern w:val="0"/>
          <w:lang w:eastAsia="en-GB"/>
          <w14:ligatures w14:val="none"/>
        </w:rPr>
      </w:pPr>
      <w:r w:rsidRPr="007D5CF2">
        <w:rPr>
          <w:rFonts w:ascii="Arial" w:eastAsia="Times New Roman" w:hAnsi="Arial" w:cs="Arial"/>
          <w:bCs/>
          <w:color w:val="0E101A"/>
          <w:kern w:val="0"/>
          <w:lang w:eastAsia="en-GB"/>
          <w14:ligatures w14:val="none"/>
        </w:rPr>
        <w:t>Young adults may be among the most psychologically distressed populations of young people, and yet they are among the least likely groups to seek mental health professional assistance. Gulliver et al (2010) reported that around 35% of young adults (18–25 years old) who had emotional or mental health issues had not sought any formal or informal help. In addition, there is evidence that young adults are much less likely to access mental health services than older adults, and that they are at high risk of mental health need (</w:t>
      </w:r>
      <w:proofErr w:type="spellStart"/>
      <w:r w:rsidRPr="007D5CF2">
        <w:rPr>
          <w:rFonts w:ascii="Arial" w:eastAsia="Times New Roman" w:hAnsi="Arial" w:cs="Arial"/>
          <w:bCs/>
          <w:color w:val="0E101A"/>
          <w:kern w:val="0"/>
          <w:lang w:eastAsia="en-GB"/>
          <w14:ligatures w14:val="none"/>
        </w:rPr>
        <w:t>Radez</w:t>
      </w:r>
      <w:proofErr w:type="spellEnd"/>
      <w:r w:rsidRPr="007D5CF2">
        <w:rPr>
          <w:rFonts w:ascii="Arial" w:eastAsia="Times New Roman" w:hAnsi="Arial" w:cs="Arial"/>
          <w:bCs/>
          <w:color w:val="0E101A"/>
          <w:kern w:val="0"/>
          <w:lang w:eastAsia="en-GB"/>
          <w14:ligatures w14:val="none"/>
        </w:rPr>
        <w:t xml:space="preserve"> et al., 2021; </w:t>
      </w:r>
      <w:r w:rsidRPr="007D5CF2">
        <w:rPr>
          <w:rFonts w:ascii="Arial" w:eastAsia="Times New Roman" w:hAnsi="Arial" w:cs="Arial"/>
          <w:color w:val="222222"/>
          <w:kern w:val="0"/>
          <w:shd w:val="clear" w:color="auto" w:fill="FFFFFF"/>
          <w:lang w:eastAsia="en-GB"/>
          <w14:ligatures w14:val="none"/>
        </w:rPr>
        <w:t>Reardon et al., 2017</w:t>
      </w:r>
      <w:r w:rsidRPr="007D5CF2">
        <w:rPr>
          <w:rFonts w:ascii="Arial" w:eastAsia="Times New Roman" w:hAnsi="Arial" w:cs="Arial"/>
          <w:bCs/>
          <w:color w:val="0E101A"/>
          <w:kern w:val="0"/>
          <w:lang w:eastAsia="en-GB"/>
          <w14:ligatures w14:val="none"/>
        </w:rPr>
        <w:t>). This treatment gap is significant as a delay in treatment has been linked to poorer symptom severity and an increased likelihood of presentation to ED and suicide (McGorry et al., 2022). Of the youth who died by suicide, 43% had no previous mental health contact (National Confidential Inquiry into Suicide and Safety in Mental Health, 2016).</w:t>
      </w:r>
    </w:p>
    <w:p w14:paraId="7DF14801" w14:textId="77777777" w:rsidR="00CC55C1" w:rsidRPr="00CD55A5" w:rsidRDefault="00CC55C1" w:rsidP="00781D67">
      <w:pPr>
        <w:spacing w:before="240" w:after="240" w:line="360" w:lineRule="auto"/>
        <w:jc w:val="both"/>
        <w:rPr>
          <w:rFonts w:ascii="Arial" w:eastAsia="Times New Roman" w:hAnsi="Arial" w:cs="Arial"/>
          <w:color w:val="0E101A"/>
          <w:kern w:val="0"/>
          <w:sz w:val="24"/>
          <w:szCs w:val="24"/>
          <w:lang w:eastAsia="en-GB"/>
          <w14:ligatures w14:val="none"/>
        </w:rPr>
      </w:pPr>
      <w:r w:rsidRPr="00CD55A5">
        <w:rPr>
          <w:rFonts w:ascii="Arial" w:eastAsia="Times New Roman" w:hAnsi="Arial" w:cs="Arial"/>
          <w:b/>
          <w:bCs/>
          <w:color w:val="0E101A"/>
          <w:kern w:val="0"/>
          <w:sz w:val="24"/>
          <w:szCs w:val="24"/>
          <w:lang w:eastAsia="en-GB"/>
          <w14:ligatures w14:val="none"/>
        </w:rPr>
        <w:t>1.3 United Kingdom Mental Health Service Context</w:t>
      </w:r>
    </w:p>
    <w:p w14:paraId="3D0F539F" w14:textId="7E7A789F" w:rsidR="002B3AC9" w:rsidRPr="007D5CF2" w:rsidRDefault="00CC55C1" w:rsidP="00781D67">
      <w:pPr>
        <w:spacing w:before="240" w:after="240" w:line="360" w:lineRule="auto"/>
        <w:jc w:val="both"/>
        <w:outlineLvl w:val="0"/>
        <w:rPr>
          <w:rFonts w:ascii="Arial" w:eastAsia="Times New Roman" w:hAnsi="Arial" w:cs="Arial"/>
          <w:color w:val="0E101A"/>
          <w:kern w:val="36"/>
          <w:lang w:eastAsia="en-GB"/>
          <w14:ligatures w14:val="none"/>
        </w:rPr>
      </w:pPr>
      <w:r w:rsidRPr="007D5CF2">
        <w:rPr>
          <w:rFonts w:ascii="Arial" w:eastAsia="Times New Roman" w:hAnsi="Arial" w:cs="Arial"/>
          <w:color w:val="0E101A"/>
          <w:kern w:val="36"/>
          <w:lang w:eastAsia="en-GB"/>
          <w14:ligatures w14:val="none"/>
        </w:rPr>
        <w:t>There has been a significant rise in demand for mental health care in the United Kingdom (UK) in the last 10 years, especially among children, adolescents and young adults, which is creating a strain on the National Health Service (NHS) (NHS England, 2024). The UK Government and NHS England have in turn implemented policies that seek to enhance access to mental health services, to encourage early help and to minimise inequalities in access to services (</w:t>
      </w:r>
      <w:proofErr w:type="spellStart"/>
      <w:r w:rsidRPr="007D5CF2">
        <w:rPr>
          <w:rFonts w:ascii="Arial" w:eastAsia="Times New Roman" w:hAnsi="Arial" w:cs="Arial"/>
          <w:color w:val="0E101A"/>
          <w:kern w:val="36"/>
          <w:lang w:eastAsia="en-GB"/>
          <w14:ligatures w14:val="none"/>
        </w:rPr>
        <w:t>DoH</w:t>
      </w:r>
      <w:proofErr w:type="spellEnd"/>
      <w:r w:rsidRPr="007D5CF2">
        <w:rPr>
          <w:rFonts w:ascii="Arial" w:eastAsia="Times New Roman" w:hAnsi="Arial" w:cs="Arial"/>
          <w:color w:val="0E101A"/>
          <w:kern w:val="36"/>
          <w:lang w:eastAsia="en-GB"/>
          <w14:ligatures w14:val="none"/>
        </w:rPr>
        <w:t>, 2022; NHS England, 2019). Whilst these efforts have been put in place, ongoing service improvement is required as there remains a need to increase the timely and appropriate delivery of mental health services to young adults (Reed et al., 2025; NHS England, 2024).</w:t>
      </w:r>
    </w:p>
    <w:p w14:paraId="587C2DFA" w14:textId="7B25D11C" w:rsidR="00CC55C1" w:rsidRDefault="00CC55C1" w:rsidP="00781D67">
      <w:pPr>
        <w:spacing w:before="240" w:after="240" w:line="360" w:lineRule="auto"/>
        <w:jc w:val="both"/>
        <w:outlineLvl w:val="0"/>
        <w:rPr>
          <w:rFonts w:ascii="Arial" w:eastAsia="Times New Roman" w:hAnsi="Arial" w:cs="Arial"/>
          <w:color w:val="0E101A"/>
          <w:kern w:val="36"/>
          <w:lang w:eastAsia="en-GB"/>
          <w14:ligatures w14:val="none"/>
        </w:rPr>
      </w:pPr>
      <w:r w:rsidRPr="007D5CF2">
        <w:rPr>
          <w:rFonts w:ascii="Arial" w:eastAsia="Times New Roman" w:hAnsi="Arial" w:cs="Arial"/>
          <w:color w:val="0E101A"/>
          <w:kern w:val="36"/>
          <w:lang w:eastAsia="en-GB"/>
          <w14:ligatures w14:val="none"/>
        </w:rPr>
        <w:t xml:space="preserve">In the United Kingdom, mental health services are provided by primary care, specialist NHS mental health services, community mental health teams or voluntary organisations (NICE, 2022). In response to the increasing demand for services, the NHS Long Term Plan pledged to increase the provision of community mental health services, access to psychological therapies and investment in services for early interventions for children and young people (NHS England, 2019; </w:t>
      </w:r>
      <w:r w:rsidRPr="007D5CF2">
        <w:rPr>
          <w:rFonts w:ascii="Arial" w:eastAsia="Times New Roman" w:hAnsi="Arial" w:cs="Arial"/>
          <w:bCs/>
          <w:kern w:val="36"/>
          <w:lang w:eastAsia="en-GB"/>
          <w14:ligatures w14:val="none"/>
        </w:rPr>
        <w:t>Divin et al., 2018</w:t>
      </w:r>
      <w:r w:rsidRPr="007D5CF2">
        <w:rPr>
          <w:rFonts w:ascii="Arial" w:eastAsia="Times New Roman" w:hAnsi="Arial" w:cs="Arial"/>
          <w:color w:val="0E101A"/>
          <w:kern w:val="36"/>
          <w:lang w:eastAsia="en-GB"/>
          <w14:ligatures w14:val="none"/>
        </w:rPr>
        <w:t>). This is complemented by the Community Mental Health Framework for Adults and Older Adults, which sets out a need for a more integrated and person-centred approach to care, working together with a clear understanding of how health, social care and voluntary sector organisations help to deliver it (NHS England, 2019).</w:t>
      </w:r>
      <w:r w:rsidR="008D6573">
        <w:rPr>
          <w:rFonts w:ascii="Arial" w:eastAsia="Times New Roman" w:hAnsi="Arial" w:cs="Arial"/>
          <w:color w:val="0E101A"/>
          <w:kern w:val="36"/>
          <w:lang w:eastAsia="en-GB"/>
          <w14:ligatures w14:val="none"/>
        </w:rPr>
        <w:t xml:space="preserve"> </w:t>
      </w:r>
      <w:r w:rsidRPr="007D5CF2">
        <w:rPr>
          <w:rFonts w:ascii="Arial" w:eastAsia="Times New Roman" w:hAnsi="Arial" w:cs="Arial"/>
          <w:color w:val="0E101A"/>
          <w:kern w:val="36"/>
          <w:lang w:eastAsia="en-GB"/>
          <w14:ligatures w14:val="none"/>
        </w:rPr>
        <w:t xml:space="preserve">However, there are also many organisational issues to be addressed. There are workforce shortages and waiting times are long, with regional variation in the provision of services (Health and Social Care Committee, 2023; NHS England, 2024), with demand for services continuing to outweigh available capacity. There is evidence that access to assessment and treatment delayed after the onset of symptoms leads to worse symptom deterioration, to crisis presentations and to poorer long-term outcomes in young adults (McGorry and Mei, 2018; Reed et al., 2025; </w:t>
      </w:r>
      <w:r w:rsidRPr="007D5CF2">
        <w:rPr>
          <w:rFonts w:ascii="Arial" w:eastAsia="Times New Roman" w:hAnsi="Arial" w:cs="Arial"/>
          <w:bCs/>
          <w:color w:val="222222"/>
          <w:kern w:val="36"/>
          <w:shd w:val="clear" w:color="auto" w:fill="FFFFFF"/>
          <w:lang w:eastAsia="en-GB"/>
          <w14:ligatures w14:val="none"/>
        </w:rPr>
        <w:t>Malla</w:t>
      </w:r>
      <w:r w:rsidRPr="007D5CF2">
        <w:rPr>
          <w:rFonts w:ascii="Arial" w:eastAsia="Times New Roman" w:hAnsi="Arial" w:cs="Arial"/>
          <w:color w:val="0E101A"/>
          <w:kern w:val="36"/>
          <w:lang w:eastAsia="en-GB"/>
          <w14:ligatures w14:val="none"/>
        </w:rPr>
        <w:t xml:space="preserve"> et al., 2016).</w:t>
      </w:r>
      <w:r w:rsidR="008D6573">
        <w:rPr>
          <w:rFonts w:ascii="Arial" w:eastAsia="Times New Roman" w:hAnsi="Arial" w:cs="Arial"/>
          <w:color w:val="0E101A"/>
          <w:kern w:val="36"/>
          <w:lang w:eastAsia="en-GB"/>
          <w14:ligatures w14:val="none"/>
        </w:rPr>
        <w:t xml:space="preserve"> </w:t>
      </w:r>
      <w:r w:rsidRPr="007D5CF2">
        <w:rPr>
          <w:rFonts w:ascii="Arial" w:eastAsia="Times New Roman" w:hAnsi="Arial" w:cs="Arial"/>
          <w:color w:val="0E101A"/>
          <w:kern w:val="36"/>
          <w:lang w:eastAsia="en-GB"/>
          <w14:ligatures w14:val="none"/>
        </w:rPr>
        <w:t>One of the other challenges is the move on from Child and Adolescent Mental Health Services (CAMHS) to Adult Mental Health Services (AMHS). This transition often brings about care fragmentation and/or loss to care (Appleton et al., 2019), due to differences in eligibility and models of care. There is recent evidence from the UK showing that integrated youth mental health care that provides a seamless approach beyond age 18, targeting developmental needs, is more responsive to young adults' needs than traditional age-based service models (Mughal et al., 2022; Reed et al., 2025).</w:t>
      </w:r>
      <w:r w:rsidR="006D2034">
        <w:rPr>
          <w:rFonts w:ascii="Arial" w:eastAsia="Times New Roman" w:hAnsi="Arial" w:cs="Arial"/>
          <w:color w:val="0E101A"/>
          <w:kern w:val="36"/>
          <w:lang w:eastAsia="en-GB"/>
          <w14:ligatures w14:val="none"/>
        </w:rPr>
        <w:t xml:space="preserve"> </w:t>
      </w:r>
      <w:r w:rsidRPr="007D5CF2">
        <w:rPr>
          <w:rFonts w:ascii="Arial" w:eastAsia="Times New Roman" w:hAnsi="Arial" w:cs="Arial"/>
          <w:color w:val="0E101A"/>
          <w:kern w:val="36"/>
          <w:lang w:eastAsia="en-GB"/>
          <w14:ligatures w14:val="none"/>
        </w:rPr>
        <w:t>The United Kingdom also has inequalities in its mental health services that are related to health inequalities. Poorer mental health outcomes and lower uptake of mental health services are related to socioeconomic deprivation, ethnicity and social disadvanta</w:t>
      </w:r>
      <w:r w:rsidR="005C5A44" w:rsidRPr="007D5CF2">
        <w:rPr>
          <w:rFonts w:ascii="Arial" w:eastAsia="Times New Roman" w:hAnsi="Arial" w:cs="Arial"/>
          <w:color w:val="0E101A"/>
          <w:kern w:val="36"/>
          <w:lang w:eastAsia="en-GB"/>
          <w14:ligatures w14:val="none"/>
        </w:rPr>
        <w:t>ge (Marmot, 2020</w:t>
      </w:r>
      <w:r w:rsidRPr="007D5CF2">
        <w:rPr>
          <w:rFonts w:ascii="Arial" w:eastAsia="Times New Roman" w:hAnsi="Arial" w:cs="Arial"/>
          <w:color w:val="0E101A"/>
          <w:kern w:val="36"/>
          <w:lang w:eastAsia="en-GB"/>
          <w14:ligatures w14:val="none"/>
        </w:rPr>
        <w:t xml:space="preserve">; </w:t>
      </w:r>
      <w:r w:rsidRPr="007D5CF2">
        <w:rPr>
          <w:rFonts w:ascii="Arial" w:eastAsia="Times New Roman" w:hAnsi="Arial" w:cs="Arial"/>
          <w:bCs/>
          <w:color w:val="222222"/>
          <w:kern w:val="36"/>
          <w:shd w:val="clear" w:color="auto" w:fill="FFFFFF"/>
          <w:lang w:eastAsia="en-GB"/>
          <w14:ligatures w14:val="none"/>
        </w:rPr>
        <w:t>Prajapati &amp; Liebling, 2022</w:t>
      </w:r>
      <w:r w:rsidRPr="007D5CF2">
        <w:rPr>
          <w:rFonts w:ascii="Arial" w:eastAsia="Times New Roman" w:hAnsi="Arial" w:cs="Arial"/>
          <w:color w:val="0E101A"/>
          <w:kern w:val="36"/>
          <w:lang w:eastAsia="en-GB"/>
          <w14:ligatures w14:val="none"/>
        </w:rPr>
        <w:t>). Furthermore, stigma, discrimination, cultural differences, and low trust in statutory services can present challenges in accessing care in a timely fashion, especially for racially minoritised communities (Alam et al., 2024). Such deep disparities highlight the need for culturally responsive, accessible and equitable mental health services to help improve outcomes for young adults in every part of the United Kingdom</w:t>
      </w:r>
      <w:r w:rsidRPr="007D5CF2">
        <w:rPr>
          <w:rFonts w:ascii="Arial" w:eastAsia="Times New Roman" w:hAnsi="Arial" w:cs="Arial"/>
          <w:b/>
          <w:bCs/>
          <w:kern w:val="36"/>
          <w:lang w:eastAsia="en-GB"/>
          <w14:ligatures w14:val="none"/>
        </w:rPr>
        <w:t xml:space="preserve"> </w:t>
      </w:r>
      <w:r w:rsidRPr="007D5CF2">
        <w:rPr>
          <w:rFonts w:ascii="Arial" w:eastAsia="Times New Roman" w:hAnsi="Arial" w:cs="Arial"/>
          <w:color w:val="0E101A"/>
          <w:kern w:val="36"/>
          <w:lang w:eastAsia="en-GB"/>
          <w14:ligatures w14:val="none"/>
        </w:rPr>
        <w:t>(Long et al., 2021).</w:t>
      </w:r>
    </w:p>
    <w:p w14:paraId="17672748" w14:textId="77777777" w:rsidR="002B3AC9" w:rsidRDefault="002B3AC9" w:rsidP="00781D67">
      <w:pPr>
        <w:spacing w:before="240" w:after="240" w:line="360" w:lineRule="auto"/>
        <w:jc w:val="both"/>
        <w:outlineLvl w:val="0"/>
        <w:rPr>
          <w:rFonts w:ascii="Arial" w:eastAsia="Times New Roman" w:hAnsi="Arial" w:cs="Arial"/>
          <w:color w:val="0E101A"/>
          <w:kern w:val="36"/>
          <w:lang w:eastAsia="en-GB"/>
          <w14:ligatures w14:val="none"/>
        </w:rPr>
      </w:pPr>
    </w:p>
    <w:p w14:paraId="1342F227" w14:textId="77777777" w:rsidR="002B3AC9" w:rsidRPr="007D5CF2" w:rsidRDefault="002B3AC9" w:rsidP="00781D67">
      <w:pPr>
        <w:spacing w:before="240" w:after="240" w:line="360" w:lineRule="auto"/>
        <w:jc w:val="both"/>
        <w:outlineLvl w:val="0"/>
        <w:rPr>
          <w:rFonts w:ascii="Arial" w:eastAsia="Times New Roman" w:hAnsi="Arial" w:cs="Arial"/>
          <w:color w:val="0E101A"/>
          <w:kern w:val="36"/>
          <w:lang w:eastAsia="en-GB"/>
          <w14:ligatures w14:val="none"/>
        </w:rPr>
      </w:pPr>
    </w:p>
    <w:p w14:paraId="2EFCB965" w14:textId="77777777" w:rsidR="00CC55C1" w:rsidRPr="00CD55A5" w:rsidRDefault="00CC55C1" w:rsidP="00781D67">
      <w:pPr>
        <w:spacing w:before="240" w:after="240" w:line="360" w:lineRule="auto"/>
        <w:jc w:val="both"/>
        <w:rPr>
          <w:rFonts w:ascii="Arial" w:eastAsia="Times New Roman" w:hAnsi="Arial" w:cs="Arial"/>
          <w:color w:val="0E101A"/>
          <w:kern w:val="0"/>
          <w:sz w:val="24"/>
          <w:szCs w:val="24"/>
          <w:lang w:eastAsia="en-GB"/>
          <w14:ligatures w14:val="none"/>
        </w:rPr>
      </w:pPr>
      <w:r w:rsidRPr="00CD55A5">
        <w:rPr>
          <w:rFonts w:ascii="Arial" w:eastAsia="Times New Roman" w:hAnsi="Arial" w:cs="Arial"/>
          <w:b/>
          <w:bCs/>
          <w:color w:val="0E101A"/>
          <w:kern w:val="0"/>
          <w:sz w:val="24"/>
          <w:szCs w:val="24"/>
          <w:lang w:eastAsia="en-GB"/>
          <w14:ligatures w14:val="none"/>
        </w:rPr>
        <w:t>1.4 Current State of Knowledge</w:t>
      </w:r>
    </w:p>
    <w:p w14:paraId="1B51649B" w14:textId="5F47DE2E" w:rsidR="00CC55C1" w:rsidRPr="007D5CF2" w:rsidRDefault="00CC55C1" w:rsidP="00781D67">
      <w:pPr>
        <w:spacing w:before="240" w:after="240" w:line="360" w:lineRule="auto"/>
        <w:jc w:val="both"/>
        <w:rPr>
          <w:rFonts w:ascii="Arial" w:eastAsia="Times New Roman" w:hAnsi="Arial" w:cs="Arial"/>
          <w:color w:val="0E101A"/>
          <w:kern w:val="0"/>
          <w:lang w:eastAsia="en-GB"/>
          <w14:ligatures w14:val="none"/>
        </w:rPr>
      </w:pPr>
      <w:r w:rsidRPr="007D5CF2">
        <w:rPr>
          <w:rFonts w:ascii="Arial" w:eastAsia="Times New Roman" w:hAnsi="Arial" w:cs="Arial"/>
          <w:color w:val="0E101A"/>
          <w:kern w:val="0"/>
          <w:lang w:eastAsia="en-GB"/>
          <w14:ligatures w14:val="none"/>
        </w:rPr>
        <w:t xml:space="preserve">Current research has consistently shown that many youths are not getting mental health services despite being severely affected psychologically. Barriers identified in a UK study of young adults (18-25) were concerns about confidentiality, fear of stigma, not knowing how to identify mental health issues and a preference for self-reliance (Gulliver et al, 2010; </w:t>
      </w:r>
      <w:r w:rsidRPr="007D5CF2">
        <w:rPr>
          <w:rFonts w:ascii="Arial" w:eastAsia="Times New Roman" w:hAnsi="Arial" w:cs="Arial"/>
          <w:color w:val="222222"/>
          <w:kern w:val="0"/>
          <w:shd w:val="clear" w:color="auto" w:fill="FFFFFF"/>
          <w:lang w:eastAsia="en-GB"/>
          <w14:ligatures w14:val="none"/>
        </w:rPr>
        <w:t>Barrow &amp; Thomas; 2022</w:t>
      </w:r>
      <w:r w:rsidRPr="007D5CF2">
        <w:rPr>
          <w:rFonts w:ascii="Arial" w:eastAsia="Times New Roman" w:hAnsi="Arial" w:cs="Arial"/>
          <w:color w:val="0E101A"/>
          <w:kern w:val="0"/>
          <w:lang w:eastAsia="en-GB"/>
          <w14:ligatures w14:val="none"/>
        </w:rPr>
        <w:t xml:space="preserve">). These findings are echoed internationally; one of the most powerful deterrents to help-seeking behaviour is stigma (Clement et al., 2015; </w:t>
      </w:r>
      <w:r w:rsidRPr="007D5CF2">
        <w:rPr>
          <w:rFonts w:ascii="Arial" w:eastAsia="Times New Roman" w:hAnsi="Arial" w:cs="Arial"/>
          <w:color w:val="222222"/>
          <w:kern w:val="0"/>
          <w:shd w:val="clear" w:color="auto" w:fill="FFFFFF"/>
          <w:lang w:eastAsia="en-GB"/>
          <w14:ligatures w14:val="none"/>
        </w:rPr>
        <w:t>Gallimore</w:t>
      </w:r>
      <w:r w:rsidRPr="007D5CF2">
        <w:rPr>
          <w:rFonts w:ascii="Arial" w:eastAsia="Times New Roman" w:hAnsi="Arial" w:cs="Arial"/>
          <w:color w:val="0E101A"/>
          <w:kern w:val="0"/>
          <w:lang w:eastAsia="en-GB"/>
          <w14:ligatures w14:val="none"/>
        </w:rPr>
        <w:t xml:space="preserve"> et al., 2023).</w:t>
      </w:r>
      <w:r w:rsidR="006D2034">
        <w:rPr>
          <w:rFonts w:ascii="Arial" w:eastAsia="Times New Roman" w:hAnsi="Arial" w:cs="Arial"/>
          <w:color w:val="0E101A"/>
          <w:kern w:val="0"/>
          <w:lang w:eastAsia="en-GB"/>
          <w14:ligatures w14:val="none"/>
        </w:rPr>
        <w:t xml:space="preserve"> </w:t>
      </w:r>
      <w:r w:rsidRPr="007D5CF2">
        <w:rPr>
          <w:rFonts w:ascii="Arial" w:eastAsia="Times New Roman" w:hAnsi="Arial" w:cs="Arial"/>
          <w:color w:val="0E101A"/>
          <w:kern w:val="0"/>
          <w:lang w:eastAsia="en-GB"/>
          <w14:ligatures w14:val="none"/>
        </w:rPr>
        <w:t>Access to care is also hindered by structural barriers. Long wait times, lack of mental health service awareness, lack of culturally competent services, and financial disadvantage are all barriers that have been identified in a qualitative evidence synthesis of barriers to accessing adolescent mental health services (Mental Health and Prevention, 2026). These barriers add to inequalities of access and disproportionately impact socially disadvantaged groups.</w:t>
      </w:r>
    </w:p>
    <w:p w14:paraId="1C8D5E7C" w14:textId="77777777" w:rsidR="00CC55C1" w:rsidRPr="007D5CF2" w:rsidRDefault="00CC55C1" w:rsidP="00781D67">
      <w:pPr>
        <w:spacing w:before="240" w:after="240" w:line="360" w:lineRule="auto"/>
        <w:jc w:val="both"/>
        <w:rPr>
          <w:rFonts w:ascii="Arial" w:eastAsia="Times New Roman" w:hAnsi="Arial" w:cs="Arial"/>
          <w:color w:val="0E101A"/>
          <w:kern w:val="0"/>
          <w:lang w:eastAsia="en-GB"/>
          <w14:ligatures w14:val="none"/>
        </w:rPr>
      </w:pPr>
      <w:r w:rsidRPr="007D5CF2">
        <w:rPr>
          <w:rFonts w:ascii="Arial" w:eastAsia="Times New Roman" w:hAnsi="Arial" w:cs="Arial"/>
          <w:color w:val="0E101A"/>
          <w:kern w:val="0"/>
          <w:lang w:eastAsia="en-GB"/>
          <w14:ligatures w14:val="none"/>
        </w:rPr>
        <w:t>Ethnic inequalities remain a significant challenge across the United Kingdom. Evidence indicates that people from racially minoritised communities experience barriers including stigma, discrimination, language difficulties, cultural beliefs and reduced trust in statutory services, all of which contribute to lower engagement with mental health services (Bansal et al., 2022; Alam et al., 2024).</w:t>
      </w:r>
    </w:p>
    <w:p w14:paraId="766E7C28" w14:textId="77777777" w:rsidR="00CC55C1" w:rsidRPr="007D5CF2" w:rsidRDefault="00CC55C1" w:rsidP="00781D67">
      <w:pPr>
        <w:spacing w:before="240" w:after="240" w:line="360" w:lineRule="auto"/>
        <w:jc w:val="both"/>
        <w:rPr>
          <w:rFonts w:ascii="Arial" w:eastAsia="Times New Roman" w:hAnsi="Arial" w:cs="Arial"/>
          <w:color w:val="0E101A"/>
          <w:kern w:val="0"/>
          <w:lang w:eastAsia="en-GB"/>
          <w14:ligatures w14:val="none"/>
        </w:rPr>
      </w:pPr>
      <w:r w:rsidRPr="007D5CF2">
        <w:rPr>
          <w:rFonts w:ascii="Arial" w:eastAsia="Times New Roman" w:hAnsi="Arial" w:cs="Arial"/>
          <w:color w:val="0E101A"/>
          <w:kern w:val="0"/>
          <w:lang w:eastAsia="en-GB"/>
          <w14:ligatures w14:val="none"/>
        </w:rPr>
        <w:t>Another key concern that impacts young adults is the transition from Child and Adolescent Mental Health Services (CAMHS) to Adult Mental Health Services (AMHS). There is some evidence that a minority of young people who receive CAMHS support make a successful transition to adult services (Appleton et al., 2019). Many young people are found to have a disjointed care pathway and receive ineffective help during this transition time (Mughal et al., 2022) in a qualitative study conducted within UK primary care. Recent research indicates that the services of the traditional service model approach that place a transition boundary at age 18 do not sufficiently meet the needs of young adults, and that integrated service models, with a transition boundary at age 0–25, can offer more effective support (Reed et al., 2025).</w:t>
      </w:r>
    </w:p>
    <w:p w14:paraId="079E04D1" w14:textId="77777777" w:rsidR="00CC55C1" w:rsidRPr="00CD55A5" w:rsidRDefault="00CC55C1" w:rsidP="00781D67">
      <w:pPr>
        <w:spacing w:before="240" w:after="240" w:line="360" w:lineRule="auto"/>
        <w:jc w:val="both"/>
        <w:rPr>
          <w:rFonts w:ascii="Arial" w:eastAsia="Times New Roman" w:hAnsi="Arial" w:cs="Arial"/>
          <w:color w:val="0E101A"/>
          <w:kern w:val="0"/>
          <w:sz w:val="24"/>
          <w:szCs w:val="24"/>
          <w:lang w:eastAsia="en-GB"/>
          <w14:ligatures w14:val="none"/>
        </w:rPr>
      </w:pPr>
      <w:r w:rsidRPr="00CD55A5">
        <w:rPr>
          <w:rFonts w:ascii="Arial" w:eastAsia="Times New Roman" w:hAnsi="Arial" w:cs="Arial"/>
          <w:b/>
          <w:bCs/>
          <w:color w:val="0E101A"/>
          <w:kern w:val="0"/>
          <w:sz w:val="24"/>
          <w:szCs w:val="24"/>
          <w:lang w:eastAsia="en-GB"/>
          <w14:ligatures w14:val="none"/>
        </w:rPr>
        <w:t>1.5 Rationale and Focus of the Study</w:t>
      </w:r>
    </w:p>
    <w:p w14:paraId="2561191F" w14:textId="38392D14" w:rsidR="00CC55C1" w:rsidRPr="007D5CF2" w:rsidRDefault="00CC55C1" w:rsidP="00781D67">
      <w:pPr>
        <w:spacing w:before="240" w:after="240" w:line="360" w:lineRule="auto"/>
        <w:jc w:val="both"/>
        <w:rPr>
          <w:rFonts w:ascii="Arial" w:eastAsia="Times New Roman" w:hAnsi="Arial" w:cs="Arial"/>
          <w:color w:val="0E101A"/>
          <w:kern w:val="0"/>
          <w:lang w:eastAsia="en-GB"/>
          <w14:ligatures w14:val="none"/>
        </w:rPr>
      </w:pPr>
      <w:r w:rsidRPr="007D5CF2">
        <w:rPr>
          <w:rFonts w:ascii="Arial" w:eastAsia="Times New Roman" w:hAnsi="Arial" w:cs="Arial"/>
          <w:color w:val="0E101A"/>
          <w:kern w:val="0"/>
          <w:lang w:eastAsia="en-GB"/>
          <w14:ligatures w14:val="none"/>
        </w:rPr>
        <w:t xml:space="preserve">Whilst there has been an emerging literature on barriers to accessing mental health services for young people more generally, there is less research that has specifically looked at the </w:t>
      </w:r>
      <w:r w:rsidR="00CD55A5" w:rsidRPr="007D5CF2">
        <w:rPr>
          <w:rFonts w:ascii="Arial" w:eastAsia="Times New Roman" w:hAnsi="Arial" w:cs="Arial"/>
          <w:color w:val="0E101A"/>
          <w:kern w:val="0"/>
          <w:lang w:eastAsia="en-GB"/>
          <w14:ligatures w14:val="none"/>
        </w:rPr>
        <w:t>barrier’s</w:t>
      </w:r>
      <w:r w:rsidRPr="007D5CF2">
        <w:rPr>
          <w:rFonts w:ascii="Arial" w:eastAsia="Times New Roman" w:hAnsi="Arial" w:cs="Arial"/>
          <w:color w:val="0E101A"/>
          <w:kern w:val="0"/>
          <w:lang w:eastAsia="en-GB"/>
          <w14:ligatures w14:val="none"/>
        </w:rPr>
        <w:t xml:space="preserve"> young adults (aged 18- 25) in the UK face in accessing mental health services. Although most mental illnesses occur before age 25, young adults often do not seek or get the help they need (Kessler et al., 2007; </w:t>
      </w:r>
      <w:proofErr w:type="spellStart"/>
      <w:r w:rsidRPr="007D5CF2">
        <w:rPr>
          <w:rFonts w:ascii="Arial" w:eastAsia="Times New Roman" w:hAnsi="Arial" w:cs="Arial"/>
          <w:color w:val="0E101A"/>
          <w:kern w:val="0"/>
          <w:lang w:eastAsia="en-GB"/>
          <w14:ligatures w14:val="none"/>
        </w:rPr>
        <w:t>Solmi</w:t>
      </w:r>
      <w:proofErr w:type="spellEnd"/>
      <w:r w:rsidRPr="007D5CF2">
        <w:rPr>
          <w:rFonts w:ascii="Arial" w:eastAsia="Times New Roman" w:hAnsi="Arial" w:cs="Arial"/>
          <w:color w:val="0E101A"/>
          <w:kern w:val="0"/>
          <w:lang w:eastAsia="en-GB"/>
          <w14:ligatures w14:val="none"/>
        </w:rPr>
        <w:t xml:space="preserve"> et al., 2022; </w:t>
      </w:r>
      <w:r w:rsidRPr="007D5CF2">
        <w:rPr>
          <w:rFonts w:ascii="Arial" w:eastAsia="Times New Roman" w:hAnsi="Arial" w:cs="Arial"/>
          <w:color w:val="222222"/>
          <w:kern w:val="0"/>
          <w:shd w:val="clear" w:color="auto" w:fill="FFFFFF"/>
          <w:lang w:eastAsia="en-GB"/>
          <w14:ligatures w14:val="none"/>
        </w:rPr>
        <w:t>McGrath et al., 2023</w:t>
      </w:r>
      <w:r w:rsidRPr="007D5CF2">
        <w:rPr>
          <w:rFonts w:ascii="Arial" w:eastAsia="Times New Roman" w:hAnsi="Arial" w:cs="Arial"/>
          <w:color w:val="0E101A"/>
          <w:kern w:val="0"/>
          <w:lang w:eastAsia="en-GB"/>
          <w14:ligatures w14:val="none"/>
        </w:rPr>
        <w:t>). In addition, there is evidence that ethnic minority communities may experience further barriers to engagement due to discrimination, cultural differences, language barriers and lack of responsiveness to services (Alam et al., 2024; NIHR, 2022).</w:t>
      </w:r>
      <w:r w:rsidR="004D4D2B">
        <w:rPr>
          <w:rFonts w:ascii="Arial" w:eastAsia="Times New Roman" w:hAnsi="Arial" w:cs="Arial"/>
          <w:color w:val="0E101A"/>
          <w:kern w:val="0"/>
          <w:lang w:eastAsia="en-GB"/>
          <w14:ligatures w14:val="none"/>
        </w:rPr>
        <w:t xml:space="preserve"> </w:t>
      </w:r>
      <w:r w:rsidRPr="007D5CF2">
        <w:rPr>
          <w:rFonts w:ascii="Arial" w:eastAsia="Times New Roman" w:hAnsi="Arial" w:cs="Arial"/>
          <w:color w:val="0E101A"/>
          <w:kern w:val="0"/>
          <w:lang w:eastAsia="en-GB"/>
          <w14:ligatures w14:val="none"/>
        </w:rPr>
        <w:t xml:space="preserve">Therefore, the barriers and enablers to accessing mental health services for young adults (18-25 years) in the UK will be explored in this dissertation. Individual barriers such as stigma and mental health literacy are explored, as are structural barriers like waiting times and service fragmentation, and enablers, including community support, digital mental health interventions and integrated service models (Pretorius et al., 2019; Aguirre Velasco et al., 2020; </w:t>
      </w:r>
      <w:proofErr w:type="spellStart"/>
      <w:r w:rsidRPr="007D5CF2">
        <w:rPr>
          <w:rFonts w:ascii="Arial" w:eastAsia="Times New Roman" w:hAnsi="Arial" w:cs="Arial"/>
          <w:color w:val="222222"/>
          <w:kern w:val="0"/>
          <w:shd w:val="clear" w:color="auto" w:fill="FFFFFF"/>
          <w:lang w:eastAsia="en-GB"/>
          <w14:ligatures w14:val="none"/>
        </w:rPr>
        <w:t>Stunden</w:t>
      </w:r>
      <w:proofErr w:type="spellEnd"/>
      <w:r w:rsidRPr="007D5CF2">
        <w:rPr>
          <w:rFonts w:ascii="Arial" w:eastAsia="Times New Roman" w:hAnsi="Arial" w:cs="Arial"/>
          <w:color w:val="222222"/>
          <w:kern w:val="0"/>
          <w:shd w:val="clear" w:color="auto" w:fill="FFFFFF"/>
          <w:lang w:eastAsia="en-GB"/>
          <w14:ligatures w14:val="none"/>
        </w:rPr>
        <w:t xml:space="preserve"> et al., 2020</w:t>
      </w:r>
      <w:r w:rsidRPr="007D5CF2">
        <w:rPr>
          <w:rFonts w:ascii="Arial" w:eastAsia="Times New Roman" w:hAnsi="Arial" w:cs="Arial"/>
          <w:color w:val="0E101A"/>
          <w:kern w:val="0"/>
          <w:lang w:eastAsia="en-GB"/>
          <w14:ligatures w14:val="none"/>
        </w:rPr>
        <w:t>).</w:t>
      </w:r>
    </w:p>
    <w:p w14:paraId="190D9142" w14:textId="77777777" w:rsidR="00CC55C1" w:rsidRPr="00CD55A5" w:rsidRDefault="00CC55C1" w:rsidP="00781D67">
      <w:pPr>
        <w:spacing w:before="240" w:after="240" w:line="360" w:lineRule="auto"/>
        <w:jc w:val="both"/>
        <w:rPr>
          <w:rFonts w:ascii="Arial" w:eastAsia="Times New Roman" w:hAnsi="Arial" w:cs="Arial"/>
          <w:color w:val="0E101A"/>
          <w:kern w:val="0"/>
          <w:sz w:val="24"/>
          <w:szCs w:val="24"/>
          <w:lang w:eastAsia="en-GB"/>
          <w14:ligatures w14:val="none"/>
        </w:rPr>
      </w:pPr>
      <w:r w:rsidRPr="00CD55A5">
        <w:rPr>
          <w:rFonts w:ascii="Arial" w:eastAsia="Times New Roman" w:hAnsi="Arial" w:cs="Arial"/>
          <w:b/>
          <w:bCs/>
          <w:color w:val="0E101A"/>
          <w:kern w:val="0"/>
          <w:sz w:val="24"/>
          <w:szCs w:val="24"/>
          <w:lang w:eastAsia="en-GB"/>
          <w14:ligatures w14:val="none"/>
        </w:rPr>
        <w:t>1.6 Research Aim, Question and Objectives</w:t>
      </w:r>
    </w:p>
    <w:p w14:paraId="3B3F8867" w14:textId="55703A3F" w:rsidR="00CC55C1" w:rsidRPr="007D5CF2" w:rsidRDefault="00CC55C1" w:rsidP="00781D67">
      <w:pPr>
        <w:spacing w:before="240" w:after="240" w:line="360" w:lineRule="auto"/>
        <w:jc w:val="both"/>
        <w:rPr>
          <w:rFonts w:ascii="Arial" w:eastAsia="Times New Roman" w:hAnsi="Arial" w:cs="Arial"/>
          <w:color w:val="0E101A"/>
          <w:kern w:val="0"/>
          <w:lang w:eastAsia="en-GB"/>
          <w14:ligatures w14:val="none"/>
        </w:rPr>
      </w:pPr>
      <w:r w:rsidRPr="007D5CF2">
        <w:rPr>
          <w:rFonts w:ascii="Arial" w:eastAsia="Times New Roman" w:hAnsi="Arial" w:cs="Arial"/>
          <w:color w:val="0E101A"/>
          <w:kern w:val="0"/>
          <w:lang w:eastAsia="en-GB"/>
          <w14:ligatures w14:val="none"/>
        </w:rPr>
        <w:t>The dissertation attempts to answer the following research question:</w:t>
      </w:r>
      <w:r w:rsidR="009D5038">
        <w:rPr>
          <w:rFonts w:ascii="Arial" w:eastAsia="Times New Roman" w:hAnsi="Arial" w:cs="Arial"/>
          <w:color w:val="0E101A"/>
          <w:kern w:val="0"/>
          <w:lang w:eastAsia="en-GB"/>
          <w14:ligatures w14:val="none"/>
        </w:rPr>
        <w:t xml:space="preserve"> </w:t>
      </w:r>
      <w:r w:rsidRPr="007D5CF2">
        <w:rPr>
          <w:rFonts w:ascii="Arial" w:eastAsia="Times New Roman" w:hAnsi="Arial" w:cs="Arial"/>
          <w:i/>
          <w:iCs/>
          <w:color w:val="0E101A"/>
          <w:kern w:val="0"/>
          <w:lang w:eastAsia="en-GB"/>
          <w14:ligatures w14:val="none"/>
        </w:rPr>
        <w:t>What barriers and enablers do young adults aged 18–25 years perceive and encounter when accessing mental health services in the United Kingdom?</w:t>
      </w:r>
      <w:r w:rsidR="009D5038">
        <w:rPr>
          <w:rFonts w:ascii="Arial" w:eastAsia="Times New Roman" w:hAnsi="Arial" w:cs="Arial"/>
          <w:color w:val="0E101A"/>
          <w:kern w:val="0"/>
          <w:lang w:eastAsia="en-GB"/>
          <w14:ligatures w14:val="none"/>
        </w:rPr>
        <w:t xml:space="preserve"> </w:t>
      </w:r>
      <w:r w:rsidRPr="007D5CF2">
        <w:rPr>
          <w:rFonts w:ascii="Arial" w:eastAsia="Times New Roman" w:hAnsi="Arial" w:cs="Arial"/>
          <w:color w:val="0E101A"/>
          <w:kern w:val="0"/>
          <w:lang w:eastAsia="en-GB"/>
          <w14:ligatures w14:val="none"/>
        </w:rPr>
        <w:t>This study aims to explore the barriers and enablers influencing access to mental health services among young adults aged 18–25 years in the United Kingdom through a qualitative evidence synthesis of published literature.</w:t>
      </w:r>
    </w:p>
    <w:p w14:paraId="0F60B5E8" w14:textId="77777777" w:rsidR="00CC55C1" w:rsidRPr="007D5CF2" w:rsidRDefault="00CC55C1" w:rsidP="00781D67">
      <w:pPr>
        <w:spacing w:before="240" w:after="240" w:line="360" w:lineRule="auto"/>
        <w:jc w:val="both"/>
        <w:outlineLvl w:val="0"/>
        <w:rPr>
          <w:rFonts w:ascii="Arial" w:eastAsia="Times New Roman" w:hAnsi="Arial" w:cs="Arial"/>
          <w:color w:val="0E101A"/>
          <w:kern w:val="36"/>
          <w:lang w:eastAsia="en-GB"/>
          <w14:ligatures w14:val="none"/>
        </w:rPr>
      </w:pPr>
      <w:r w:rsidRPr="007D5CF2">
        <w:rPr>
          <w:rFonts w:ascii="Arial" w:eastAsia="Times New Roman" w:hAnsi="Arial" w:cs="Arial"/>
          <w:color w:val="0E101A"/>
          <w:kern w:val="36"/>
          <w:lang w:eastAsia="en-GB"/>
          <w14:ligatures w14:val="none"/>
        </w:rPr>
        <w:t>This dissertation will explore the following objectives:</w:t>
      </w:r>
    </w:p>
    <w:p w14:paraId="0C2F3AA2" w14:textId="77777777" w:rsidR="00CC55C1" w:rsidRPr="007D5CF2" w:rsidRDefault="00CC55C1" w:rsidP="00781D67">
      <w:pPr>
        <w:numPr>
          <w:ilvl w:val="0"/>
          <w:numId w:val="9"/>
        </w:numPr>
        <w:autoSpaceDE w:val="0"/>
        <w:autoSpaceDN w:val="0"/>
        <w:adjustRightInd w:val="0"/>
        <w:spacing w:before="240" w:after="240" w:line="360" w:lineRule="auto"/>
        <w:contextualSpacing/>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To identify perceived barriers to accessing mental health services among young adults (18-25) in the UK.</w:t>
      </w:r>
    </w:p>
    <w:p w14:paraId="0AE918EB" w14:textId="77777777" w:rsidR="00CC55C1" w:rsidRPr="007D5CF2" w:rsidRDefault="00CC55C1" w:rsidP="00781D67">
      <w:pPr>
        <w:numPr>
          <w:ilvl w:val="0"/>
          <w:numId w:val="9"/>
        </w:numPr>
        <w:autoSpaceDE w:val="0"/>
        <w:autoSpaceDN w:val="0"/>
        <w:adjustRightInd w:val="0"/>
        <w:spacing w:before="240" w:after="240" w:line="360" w:lineRule="auto"/>
        <w:contextualSpacing/>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To explore facilitators that enable help-seeking behaviour in this population.</w:t>
      </w:r>
    </w:p>
    <w:p w14:paraId="2B6DAE76" w14:textId="77777777" w:rsidR="00CC55C1" w:rsidRPr="007D5CF2" w:rsidRDefault="00CC55C1" w:rsidP="00781D67">
      <w:pPr>
        <w:numPr>
          <w:ilvl w:val="0"/>
          <w:numId w:val="9"/>
        </w:numPr>
        <w:autoSpaceDE w:val="0"/>
        <w:autoSpaceDN w:val="0"/>
        <w:adjustRightInd w:val="0"/>
        <w:spacing w:before="240" w:after="240" w:line="360" w:lineRule="auto"/>
        <w:contextualSpacing/>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To explore young adults’ experiences and perceptions of mental health service provision.</w:t>
      </w:r>
    </w:p>
    <w:p w14:paraId="29CABC76" w14:textId="77777777" w:rsidR="00CC55C1" w:rsidRPr="007D5CF2" w:rsidRDefault="00CC55C1" w:rsidP="00781D67">
      <w:pPr>
        <w:numPr>
          <w:ilvl w:val="0"/>
          <w:numId w:val="9"/>
        </w:numPr>
        <w:autoSpaceDE w:val="0"/>
        <w:autoSpaceDN w:val="0"/>
        <w:adjustRightInd w:val="0"/>
        <w:spacing w:before="240" w:after="240" w:line="360" w:lineRule="auto"/>
        <w:contextualSpacing/>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 xml:space="preserve">To examine the influence of socio-demographic factors on access to mental health services. </w:t>
      </w:r>
    </w:p>
    <w:p w14:paraId="61ACBB4E" w14:textId="77777777" w:rsidR="00CC55C1" w:rsidRPr="007D5CF2" w:rsidRDefault="00CC55C1" w:rsidP="00781D67">
      <w:pPr>
        <w:numPr>
          <w:ilvl w:val="0"/>
          <w:numId w:val="9"/>
        </w:numPr>
        <w:spacing w:before="240" w:after="240" w:line="360" w:lineRule="auto"/>
        <w:contextualSpacing/>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To synthesise qualitative evidence relating to young adults' experiences of accessing mental health services in the United Kingdom.</w:t>
      </w:r>
    </w:p>
    <w:p w14:paraId="3A9A8145" w14:textId="77777777" w:rsidR="00CC55C1" w:rsidRPr="001C0000" w:rsidRDefault="00CC55C1" w:rsidP="00781D67">
      <w:pPr>
        <w:numPr>
          <w:ilvl w:val="0"/>
          <w:numId w:val="9"/>
        </w:numPr>
        <w:spacing w:before="240" w:after="240" w:line="360" w:lineRule="auto"/>
        <w:ind w:right="720"/>
        <w:contextualSpacing/>
        <w:jc w:val="both"/>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To provide evidence-based recommendations for improving equitable access to mental health services for young adults in the United Kingdom.</w:t>
      </w:r>
    </w:p>
    <w:p w14:paraId="133BA52E" w14:textId="77777777" w:rsidR="001C0000" w:rsidRPr="007D5CF2" w:rsidRDefault="001C0000" w:rsidP="00781D67">
      <w:pPr>
        <w:spacing w:before="240" w:after="240" w:line="360" w:lineRule="auto"/>
        <w:ind w:left="1000" w:right="720"/>
        <w:contextualSpacing/>
        <w:jc w:val="both"/>
        <w:rPr>
          <w:rFonts w:ascii="Arial" w:eastAsia="Times New Roman" w:hAnsi="Arial" w:cs="Arial"/>
          <w:kern w:val="0"/>
          <w:lang w:eastAsia="en-GB"/>
          <w14:ligatures w14:val="none"/>
        </w:rPr>
      </w:pPr>
    </w:p>
    <w:p w14:paraId="545DF70D" w14:textId="77777777" w:rsidR="00CC55C1" w:rsidRPr="00CD55A5"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CD55A5">
        <w:rPr>
          <w:rFonts w:ascii="Arial" w:eastAsia="Times New Roman" w:hAnsi="Arial" w:cs="Arial"/>
          <w:b/>
          <w:kern w:val="0"/>
          <w:sz w:val="24"/>
          <w:szCs w:val="24"/>
          <w:lang w:eastAsia="en-GB"/>
          <w14:ligatures w14:val="none"/>
        </w:rPr>
        <w:t>1.7 Overview of the Dissertation</w:t>
      </w:r>
    </w:p>
    <w:p w14:paraId="33DB9666"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The dissertation comprises six chapters. Chapter One introduces the study and outlines its background, rationale, aim and objectives. Chapter Two critically reviews the literature and presents the theoretical framework. Chapter Three describes the research methodology. Chapter Four presents the findings of the thematic synthesis. Chapter Five discusses the findings in relation to the existing literature and theoretical framework. Finally, Chapter Six concludes the dissertation, outlines its limitations and provides recommendations for policy, practice and future research.</w:t>
      </w:r>
    </w:p>
    <w:p w14:paraId="0A259762" w14:textId="15CB9792"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3E82817F" w14:textId="43310A36" w:rsidR="0033792B" w:rsidRPr="007D5CF2" w:rsidRDefault="0033792B" w:rsidP="00781D67">
      <w:pPr>
        <w:spacing w:before="240" w:after="240" w:line="360" w:lineRule="auto"/>
        <w:jc w:val="both"/>
        <w:outlineLvl w:val="0"/>
        <w:rPr>
          <w:rFonts w:ascii="Arial" w:eastAsia="Times New Roman" w:hAnsi="Arial" w:cs="Arial"/>
          <w:kern w:val="36"/>
          <w:lang w:eastAsia="en-GB"/>
          <w14:ligatures w14:val="none"/>
        </w:rPr>
      </w:pPr>
    </w:p>
    <w:p w14:paraId="5F2D3349"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6415698F" w14:textId="77777777" w:rsidR="00CC55C1" w:rsidRPr="00CD55A5" w:rsidRDefault="00CC55C1" w:rsidP="00781D67">
      <w:pPr>
        <w:spacing w:before="240" w:after="240" w:line="360" w:lineRule="auto"/>
        <w:jc w:val="center"/>
        <w:outlineLvl w:val="0"/>
        <w:rPr>
          <w:rFonts w:ascii="Arial" w:eastAsia="Times New Roman" w:hAnsi="Arial" w:cs="Arial"/>
          <w:b/>
          <w:kern w:val="36"/>
          <w:sz w:val="24"/>
          <w:szCs w:val="24"/>
          <w:lang w:eastAsia="en-GB"/>
          <w14:ligatures w14:val="none"/>
        </w:rPr>
      </w:pPr>
      <w:r w:rsidRPr="00CD55A5">
        <w:rPr>
          <w:rFonts w:ascii="Arial" w:eastAsia="Times New Roman" w:hAnsi="Arial" w:cs="Arial"/>
          <w:b/>
          <w:kern w:val="36"/>
          <w:sz w:val="24"/>
          <w:szCs w:val="24"/>
          <w:lang w:eastAsia="en-GB"/>
          <w14:ligatures w14:val="none"/>
        </w:rPr>
        <w:t>Chapter Two: Literature Review</w:t>
      </w:r>
    </w:p>
    <w:p w14:paraId="247F7E53" w14:textId="77777777" w:rsidR="00CC55C1" w:rsidRPr="00CD55A5"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D55A5">
        <w:rPr>
          <w:rFonts w:ascii="Arial" w:eastAsia="Times New Roman" w:hAnsi="Arial" w:cs="Arial"/>
          <w:b/>
          <w:kern w:val="0"/>
          <w:sz w:val="24"/>
          <w:szCs w:val="24"/>
          <w:lang w:eastAsia="en-GB"/>
          <w14:ligatures w14:val="none"/>
        </w:rPr>
        <w:t xml:space="preserve">2.1 Introduction </w:t>
      </w:r>
    </w:p>
    <w:p w14:paraId="7A44E3E3" w14:textId="4D4B83A7" w:rsidR="00CC55C1" w:rsidRPr="009D5038"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Adolescence to adulthood is a time of heightened risk for the onset of mental health disorders, and mental health disorders are one of the top risk factors for disability and poor quality of life in young adults (World Health Organisation (WHO), 2022). The prevalence of anxiety, depression and other mental health disorders within the 18-25 age group has grown across the United Kingdom (UK), leading to a rise in the demand for mental health services, as well as highlighting unequal access to appropriate services (NHS England, 2024; Office for National Statistics (ONS), 2023). Whilst national policy has recognised the need to intervene at an earlier age and look at more integrated care and better access to services, evidence shows that there are significant barriers for young adults seeking timely and appropriate mental health support (NHS England, 2019; Department of Health and Social Care (DHSC), 2023).</w:t>
      </w:r>
      <w:r w:rsidR="00354214">
        <w:rPr>
          <w:rFonts w:ascii="Arial" w:eastAsia="Times New Roman" w:hAnsi="Arial" w:cs="Arial"/>
          <w:kern w:val="0"/>
          <w:lang w:eastAsia="en-GB"/>
          <w14:ligatures w14:val="none"/>
        </w:rPr>
        <w:t xml:space="preserve"> </w:t>
      </w:r>
      <w:r w:rsidRPr="007D5CF2">
        <w:rPr>
          <w:rFonts w:ascii="Arial" w:eastAsia="Calibri" w:hAnsi="Arial" w:cs="Arial"/>
          <w:kern w:val="0"/>
          <w:lang w:eastAsia="en-US"/>
          <w14:ligatures w14:val="none"/>
        </w:rPr>
        <w:t>The chapter reviews the previous literature on barriers and enablers to accessing mental health services among young adults in the UK in a critical way (</w:t>
      </w:r>
      <w:proofErr w:type="spellStart"/>
      <w:r w:rsidRPr="007D5CF2">
        <w:rPr>
          <w:rFonts w:ascii="Arial" w:eastAsia="Calibri" w:hAnsi="Arial" w:cs="Arial"/>
          <w:kern w:val="0"/>
          <w:lang w:eastAsia="en-US"/>
          <w14:ligatures w14:val="none"/>
        </w:rPr>
        <w:t>Radez</w:t>
      </w:r>
      <w:proofErr w:type="spellEnd"/>
      <w:r w:rsidRPr="007D5CF2">
        <w:rPr>
          <w:rFonts w:ascii="Arial" w:eastAsia="Calibri" w:hAnsi="Arial" w:cs="Arial"/>
          <w:kern w:val="0"/>
          <w:lang w:eastAsia="en-US"/>
          <w14:ligatures w14:val="none"/>
        </w:rPr>
        <w:t xml:space="preserve"> et al., 2021; Salaheddin and Mason, 2016</w:t>
      </w:r>
      <w:r w:rsidR="006134A6" w:rsidRPr="007D5CF2">
        <w:rPr>
          <w:rFonts w:ascii="Arial" w:eastAsia="Calibri" w:hAnsi="Arial" w:cs="Arial"/>
          <w:kern w:val="0"/>
          <w:lang w:eastAsia="en-US"/>
          <w14:ligatures w14:val="none"/>
        </w:rPr>
        <w:t>)</w:t>
      </w:r>
      <w:r w:rsidRPr="007D5CF2">
        <w:rPr>
          <w:rFonts w:ascii="Arial" w:eastAsia="Calibri" w:hAnsi="Arial" w:cs="Arial"/>
          <w:kern w:val="0"/>
          <w:lang w:eastAsia="en-US"/>
          <w14:ligatures w14:val="none"/>
        </w:rPr>
        <w:t xml:space="preserve">. The review brings together evidence from the chosen qualitative studies and contextually relevant national policy and theory literature to examine the influence on help-seeking and service utilisation of individual, structural, organisational, socioeconomic and cultural factors (Holding et al., 2022; Potterton et al., 2020). The chapter does not focus on these factors </w:t>
      </w:r>
      <w:r w:rsidR="00CD55A5" w:rsidRPr="007D5CF2">
        <w:rPr>
          <w:rFonts w:ascii="Arial" w:eastAsia="Calibri" w:hAnsi="Arial" w:cs="Arial"/>
          <w:kern w:val="0"/>
          <w:lang w:eastAsia="en-US"/>
          <w14:ligatures w14:val="none"/>
        </w:rPr>
        <w:t>individually but</w:t>
      </w:r>
      <w:r w:rsidRPr="007D5CF2">
        <w:rPr>
          <w:rFonts w:ascii="Arial" w:eastAsia="Calibri" w:hAnsi="Arial" w:cs="Arial"/>
          <w:kern w:val="0"/>
          <w:lang w:eastAsia="en-US"/>
          <w14:ligatures w14:val="none"/>
        </w:rPr>
        <w:t xml:space="preserve"> rather takes them together and examines the cumulative effect on access to care. It also critically examines the strengths and the weaknesses of the existing evidence base, suggests gaps for the present study and introduces the theoretical frameworks that will be used to analyse the information presented throughout the following chapters. </w:t>
      </w:r>
    </w:p>
    <w:p w14:paraId="3FE77AFE" w14:textId="1989CC5B" w:rsidR="00CC55C1" w:rsidRPr="00CD55A5"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D55A5">
        <w:rPr>
          <w:rFonts w:ascii="Arial" w:eastAsia="Times New Roman" w:hAnsi="Arial" w:cs="Arial"/>
          <w:b/>
          <w:kern w:val="0"/>
          <w:sz w:val="24"/>
          <w:szCs w:val="24"/>
          <w:lang w:eastAsia="en-GB"/>
          <w14:ligatures w14:val="none"/>
        </w:rPr>
        <w:t>2.2 Mental Health in Young Adults</w:t>
      </w:r>
      <w:r w:rsidR="00CD55A5">
        <w:rPr>
          <w:rFonts w:ascii="Arial" w:eastAsia="Times New Roman" w:hAnsi="Arial" w:cs="Arial"/>
          <w:b/>
          <w:kern w:val="0"/>
          <w:sz w:val="24"/>
          <w:szCs w:val="24"/>
          <w:lang w:eastAsia="en-GB"/>
          <w14:ligatures w14:val="none"/>
        </w:rPr>
        <w:t xml:space="preserve"> 18-25 years old</w:t>
      </w:r>
      <w:r w:rsidRPr="00CD55A5">
        <w:rPr>
          <w:rFonts w:ascii="Arial" w:eastAsia="Times New Roman" w:hAnsi="Arial" w:cs="Arial"/>
          <w:b/>
          <w:kern w:val="0"/>
          <w:sz w:val="24"/>
          <w:szCs w:val="24"/>
          <w:lang w:eastAsia="en-GB"/>
          <w14:ligatures w14:val="none"/>
        </w:rPr>
        <w:t xml:space="preserve"> in the United Kingdom </w:t>
      </w:r>
    </w:p>
    <w:p w14:paraId="6ECD1539" w14:textId="77777777" w:rsidR="008E190A"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Anxiety, depression and psychological distress are disproportionately common among young adults aged 18–25 years, and mental health is one of the most important public health issues for this age group in the United Kingdom. Emerging adulthood is a developmental period that involves greater independence, educational and occupational changes, financial issues, and shifting social interactions and relationships, which can make the experience more fragile and increase the likelihood of experiencing mental health problems (Arnett, 2000; </w:t>
      </w:r>
      <w:r w:rsidRPr="007D5CF2">
        <w:rPr>
          <w:rFonts w:ascii="Arial" w:eastAsia="Times New Roman" w:hAnsi="Arial" w:cs="Arial"/>
          <w:bCs/>
          <w:kern w:val="36"/>
          <w:lang w:eastAsia="en-GB"/>
          <w14:ligatures w14:val="none"/>
        </w:rPr>
        <w:t xml:space="preserve">Divin et al., 2018; </w:t>
      </w:r>
      <w:proofErr w:type="spellStart"/>
      <w:r w:rsidRPr="007D5CF2">
        <w:rPr>
          <w:rFonts w:ascii="Arial" w:eastAsia="Times New Roman" w:hAnsi="Arial" w:cs="Arial"/>
          <w:bCs/>
          <w:kern w:val="36"/>
          <w:lang w:eastAsia="en-GB"/>
          <w14:ligatures w14:val="none"/>
        </w:rPr>
        <w:t>Oexle</w:t>
      </w:r>
      <w:proofErr w:type="spellEnd"/>
      <w:r w:rsidRPr="007D5CF2">
        <w:rPr>
          <w:rFonts w:ascii="Arial" w:eastAsia="Times New Roman" w:hAnsi="Arial" w:cs="Arial"/>
          <w:bCs/>
          <w:kern w:val="36"/>
          <w:lang w:eastAsia="en-GB"/>
          <w14:ligatures w14:val="none"/>
        </w:rPr>
        <w:t xml:space="preserve"> et al., 2020</w:t>
      </w:r>
      <w:r w:rsidRPr="007D5CF2">
        <w:rPr>
          <w:rFonts w:ascii="Arial" w:eastAsia="Times New Roman" w:hAnsi="Arial" w:cs="Arial"/>
          <w:kern w:val="0"/>
          <w:lang w:eastAsia="en-GB"/>
          <w14:ligatures w14:val="none"/>
        </w:rPr>
        <w:t>). There has been a sustained increase in the prevalence of common mental health disorders among young adults in recent years, increasing the demand on NHS mental health services (NHS England, 2024; Office for National Statistics (ONS), 2023). While the importance of accessing care has been the focus of much policy discussion, qualitative evidence indicates that young adults often face significant barriers to accessing the right type of mental health care</w:t>
      </w:r>
      <w:r w:rsidRPr="007D5CF2">
        <w:rPr>
          <w:rFonts w:ascii="Arial" w:eastAsia="Times New Roman" w:hAnsi="Arial" w:cs="Arial"/>
          <w:b/>
          <w:bCs/>
          <w:kern w:val="36"/>
          <w:lang w:eastAsia="en-GB"/>
          <w14:ligatures w14:val="none"/>
        </w:rPr>
        <w:t xml:space="preserve"> </w:t>
      </w:r>
      <w:r w:rsidRPr="007D5CF2">
        <w:rPr>
          <w:rFonts w:ascii="Arial" w:eastAsia="Times New Roman" w:hAnsi="Arial" w:cs="Arial"/>
          <w:kern w:val="0"/>
          <w:lang w:eastAsia="en-GB"/>
          <w14:ligatures w14:val="none"/>
        </w:rPr>
        <w:t>(Long et al., 2021).</w:t>
      </w:r>
      <w:r w:rsidR="00354214">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Recent literature shows that access to mental health services is shaped by so much more than just the provision of healthcare services. In a study of qualitative research across three geographical regions in England, </w:t>
      </w:r>
      <w:proofErr w:type="gramStart"/>
      <w:r w:rsidRPr="007D5CF2">
        <w:rPr>
          <w:rFonts w:ascii="Arial" w:eastAsia="Times New Roman" w:hAnsi="Arial" w:cs="Arial"/>
          <w:kern w:val="0"/>
          <w:lang w:eastAsia="en-GB"/>
          <w14:ligatures w14:val="none"/>
        </w:rPr>
        <w:t>Holding</w:t>
      </w:r>
      <w:proofErr w:type="gramEnd"/>
      <w:r w:rsidRPr="007D5CF2">
        <w:rPr>
          <w:rFonts w:ascii="Arial" w:eastAsia="Times New Roman" w:hAnsi="Arial" w:cs="Arial"/>
          <w:kern w:val="0"/>
          <w:lang w:eastAsia="en-GB"/>
          <w14:ligatures w14:val="none"/>
        </w:rPr>
        <w:t xml:space="preserve"> et al. (2022) found that young people saw accessible mental health care in terms of services being responsive, timely and accessible to their personal needs, not just those in their locality. Being heard, having clear information, and continuity of care were always a strong theme. This indicates that perceptions of access primarily extend beyond physical distance to also include perceptions of the quality of provider interactions. The study provides useful information about the experiences of young people; however, because the participants were younger than 18, the information may not be directly applicable to the age group that was the target group in this dissertation (18-25 years).</w:t>
      </w:r>
      <w:r w:rsidR="00354214">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Likewise, Dorata et al. (2025) found that the first mental health assessment is a key initial step towards ongoing services engagement. Assessment experiences were highly influential in the reasons for continuing to access services, with empathetic communication, listening and collaborative decision-making encouraging trust in mental health services. In contrast, evaluations that were seen as rigid or diagnostic were potentially demotivating to continued involvement. Dorata et al. (2025) offer a more complex understanding of how interpersonal experiences early in service contact may influence later service use, as it goes beyond structural barriers. However, the findings of this study are limited in their transferability to all young people across the UK due to the qualitative design and a small sample size (</w:t>
      </w:r>
      <w:r w:rsidRPr="007D5CF2">
        <w:rPr>
          <w:rFonts w:ascii="Arial" w:eastAsia="Times New Roman" w:hAnsi="Arial" w:cs="Arial"/>
          <w:bCs/>
          <w:color w:val="222222"/>
          <w:kern w:val="36"/>
          <w:shd w:val="clear" w:color="auto" w:fill="FFFFFF"/>
          <w:lang w:eastAsia="en-GB"/>
          <w14:ligatures w14:val="none"/>
        </w:rPr>
        <w:t>Pilbeam et al., 2023</w:t>
      </w:r>
      <w:r w:rsidRPr="007D5CF2">
        <w:rPr>
          <w:rFonts w:ascii="Arial" w:eastAsia="Times New Roman" w:hAnsi="Arial" w:cs="Arial"/>
          <w:kern w:val="0"/>
          <w:lang w:eastAsia="en-GB"/>
          <w14:ligatures w14:val="none"/>
        </w:rPr>
        <w:t>).</w:t>
      </w:r>
      <w:r w:rsidR="007F7DC7">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timely access is further highlighted by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(2022)'s study on the experiences of young adults awaiting NHS mental health services using interpretative phenomenological analysis. </w:t>
      </w:r>
      <w:r w:rsidR="00FC40A6" w:rsidRPr="007D5CF2">
        <w:rPr>
          <w:rFonts w:ascii="Arial" w:hAnsi="Arial" w:cs="Arial"/>
        </w:rPr>
        <w:t xml:space="preserve">Participants </w:t>
      </w:r>
      <w:r w:rsidRPr="007D5CF2">
        <w:rPr>
          <w:rFonts w:ascii="Arial" w:eastAsia="Times New Roman" w:hAnsi="Arial" w:cs="Arial"/>
          <w:kern w:val="0"/>
          <w:lang w:eastAsia="en-GB"/>
          <w14:ligatures w14:val="none"/>
        </w:rPr>
        <w:t xml:space="preserve">consistently described how long periods of waiting led to higher levels of psychological distress, uncertainty and feelings of abandonment, with some participants saying that their mental health had declined before they were able to get professional help. </w:t>
      </w:r>
    </w:p>
    <w:p w14:paraId="3ED1D05E" w14:textId="3DEE01EF"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These results help to confirm the larger issues of rising demand for mental health services and lack of service provision in the NHS. But while waiting lists are often considered administrative issues,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revealed that waiting times can also be a factor which exacerbates poor mental health outcomes, adding to the problem that services are trying to solve.</w:t>
      </w:r>
      <w:r w:rsidR="007F7DC7">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However, at an organisational level, Reed et al. (2025) stated that enhancing accessibility needs to go beyond simply increasing the capacity of the services. They found that workforce shortages, disconnected care systems, and inconsistent application of youth mental health models and limited inter-agency collaboration continue to be challenges in providing effective services. Importantly, the authors also noted integrated multidisciplinary care, flexible ways of delivering services and coordinated transition arrangements as important facilitators of engagement. The study was more about services that are implemented rather than the </w:t>
      </w:r>
      <w:r w:rsidR="00CE637A" w:rsidRPr="007D5CF2">
        <w:rPr>
          <w:rFonts w:ascii="Arial" w:eastAsia="Times New Roman" w:hAnsi="Arial" w:cs="Arial"/>
          <w:kern w:val="0"/>
          <w:lang w:eastAsia="en-GB"/>
          <w14:ligatures w14:val="none"/>
        </w:rPr>
        <w:t>individuals</w:t>
      </w:r>
      <w:r w:rsidRPr="007D5CF2">
        <w:rPr>
          <w:rFonts w:ascii="Arial" w:eastAsia="Times New Roman" w:hAnsi="Arial" w:cs="Arial"/>
          <w:kern w:val="0"/>
          <w:lang w:eastAsia="en-GB"/>
          <w14:ligatures w14:val="none"/>
        </w:rPr>
        <w:t xml:space="preserve"> lived experience, but it reveals important themes in relation to organisational factors that influence the opportunities for young adults to access mental health services that complement the focus on participant experience presented by Holding et al. (2022), Dorata et al. (2025) and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w:t>
      </w:r>
      <w:r w:rsidR="007F7DC7">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Overall, the findings indicate that enhancing mental health services for youth requires more than just increasing access to services; it also involves understanding how to make services accessible </w:t>
      </w:r>
      <w:r w:rsidRPr="007D5CF2">
        <w:rPr>
          <w:rFonts w:ascii="Arial" w:eastAsia="Times New Roman" w:hAnsi="Arial" w:cs="Arial"/>
          <w:bCs/>
          <w:kern w:val="36"/>
          <w:lang w:eastAsia="en-GB"/>
          <w14:ligatures w14:val="none"/>
        </w:rPr>
        <w:t xml:space="preserve">(Patel et al., 2018; </w:t>
      </w:r>
      <w:proofErr w:type="spellStart"/>
      <w:r w:rsidRPr="007D5CF2">
        <w:rPr>
          <w:rFonts w:ascii="Arial" w:eastAsia="Times New Roman" w:hAnsi="Arial" w:cs="Arial"/>
          <w:bCs/>
          <w:kern w:val="36"/>
          <w:lang w:eastAsia="en-GB"/>
          <w14:ligatures w14:val="none"/>
        </w:rPr>
        <w:t>Radez</w:t>
      </w:r>
      <w:proofErr w:type="spellEnd"/>
      <w:r w:rsidRPr="007D5CF2">
        <w:rPr>
          <w:rFonts w:ascii="Arial" w:eastAsia="Times New Roman" w:hAnsi="Arial" w:cs="Arial"/>
          <w:bCs/>
          <w:kern w:val="36"/>
          <w:lang w:eastAsia="en-GB"/>
          <w14:ligatures w14:val="none"/>
        </w:rPr>
        <w:t xml:space="preserve"> et al., 2021)</w:t>
      </w:r>
      <w:r w:rsidRPr="007D5CF2">
        <w:rPr>
          <w:rFonts w:ascii="Arial" w:eastAsia="Times New Roman" w:hAnsi="Arial" w:cs="Arial"/>
          <w:kern w:val="0"/>
          <w:lang w:eastAsia="en-GB"/>
          <w14:ligatures w14:val="none"/>
        </w:rPr>
        <w:t>. Interpersonal relationships, service responsiveness, organisational capacity and continuity of care are interdependent, and all play a role in access. These interrelated factors serve as a starting point to explore the challenges at individual, structural and socioeconomic levels that continue to affect the use of mental health services among young adults in the United Kingdom (</w:t>
      </w:r>
      <w:r w:rsidRPr="007D5CF2">
        <w:rPr>
          <w:rFonts w:ascii="Arial" w:eastAsia="Times New Roman" w:hAnsi="Arial" w:cs="Arial"/>
          <w:bCs/>
          <w:kern w:val="36"/>
          <w:lang w:eastAsia="en-GB"/>
          <w14:ligatures w14:val="none"/>
        </w:rPr>
        <w:t>Marmot et al., 2020</w:t>
      </w:r>
      <w:r w:rsidRPr="007D5CF2">
        <w:rPr>
          <w:rFonts w:ascii="Arial" w:eastAsia="Times New Roman" w:hAnsi="Arial" w:cs="Arial"/>
          <w:kern w:val="0"/>
          <w:lang w:eastAsia="en-GB"/>
          <w14:ligatures w14:val="none"/>
        </w:rPr>
        <w:t>).</w:t>
      </w:r>
    </w:p>
    <w:p w14:paraId="12338370" w14:textId="41211F2C"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In general, the literature shows that the barriers that impede individual success occur as a combination of psychological, cultural and interpersonal influences rather than from individual beliefs. Stigma, lack of mental health literacy, and a lack of self-reliance and trust barriers regularly deter youth from seeking timely help, while positive therapeutic relationships and respectful communication foster timely service engagement (</w:t>
      </w:r>
      <w:r w:rsidRPr="007D5CF2">
        <w:rPr>
          <w:rFonts w:ascii="Arial" w:eastAsia="Times New Roman" w:hAnsi="Arial" w:cs="Arial"/>
          <w:bCs/>
          <w:kern w:val="36"/>
          <w:lang w:eastAsia="en-GB"/>
          <w14:ligatures w14:val="none"/>
        </w:rPr>
        <w:t>Salaheddin and Mason, 2016; Seidler et al., 2016; Sheikh et al., 2025</w:t>
      </w:r>
      <w:r w:rsidRPr="007D5CF2">
        <w:rPr>
          <w:rFonts w:ascii="Arial" w:eastAsia="Times New Roman" w:hAnsi="Arial" w:cs="Arial"/>
          <w:kern w:val="0"/>
          <w:lang w:eastAsia="en-GB"/>
          <w14:ligatures w14:val="none"/>
        </w:rPr>
        <w:t xml:space="preserve">). However, </w:t>
      </w:r>
      <w:r w:rsidR="00DE6470" w:rsidRPr="007D5CF2">
        <w:rPr>
          <w:rFonts w:ascii="Arial" w:eastAsia="Times New Roman" w:hAnsi="Arial" w:cs="Arial"/>
          <w:kern w:val="0"/>
          <w:lang w:eastAsia="en-GB"/>
          <w14:ligatures w14:val="none"/>
        </w:rPr>
        <w:t>all</w:t>
      </w:r>
      <w:r w:rsidRPr="007D5CF2">
        <w:rPr>
          <w:rFonts w:ascii="Arial" w:eastAsia="Times New Roman" w:hAnsi="Arial" w:cs="Arial"/>
          <w:kern w:val="0"/>
          <w:lang w:eastAsia="en-GB"/>
          <w14:ligatures w14:val="none"/>
        </w:rPr>
        <w:t xml:space="preserve"> these personal experiences are affected by broader organisational and structural factors, which suggests that interventions that address, improve, and change help-seeking go beyond changing personal attitudes (Potterton et al., 2020). The next section therefore explores current patterns of access to mental health services among young adults in the United Kingdom as influenced by the healthcare system and organisational structures. </w:t>
      </w:r>
    </w:p>
    <w:p w14:paraId="5D462705"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2.3 Structural and Organisational Barriers to Accessing Mental Health Services </w:t>
      </w:r>
    </w:p>
    <w:p w14:paraId="1BB305B0" w14:textId="77777777" w:rsidR="008E190A"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Structural and organisational barriers encompass </w:t>
      </w:r>
      <w:r w:rsidR="00CE637A" w:rsidRPr="007D5CF2">
        <w:rPr>
          <w:rFonts w:ascii="Arial" w:eastAsia="Times New Roman" w:hAnsi="Arial" w:cs="Arial"/>
          <w:kern w:val="0"/>
          <w:lang w:eastAsia="en-GB"/>
          <w14:ligatures w14:val="none"/>
        </w:rPr>
        <w:t>all</w:t>
      </w:r>
      <w:r w:rsidRPr="007D5CF2">
        <w:rPr>
          <w:rFonts w:ascii="Arial" w:eastAsia="Times New Roman" w:hAnsi="Arial" w:cs="Arial"/>
          <w:kern w:val="0"/>
          <w:lang w:eastAsia="en-GB"/>
          <w14:ligatures w14:val="none"/>
        </w:rPr>
        <w:t xml:space="preserve"> the features of the health system which can affect access, availability and quality of mental health services. Structural barriers are those that are related to the design, funding and delivery of services rather than individual beliefs and behaviours (Andersen, 1995). National policy has been increasingly focusing on early intervention and integrated models of care in the United Kingdom, for example, the NHS Long Term Plan and the Community Mental Health Framework (NHS England, 2019). However, there are consistent indicators that there remain significant organisational issues for young people seeking timely and appropriate mental health support. There are several barriers to effective care which have been highlighted in the literature as persisting and significant: waiting times, fragmented services, staffing shortages and challenges in transition from child to adult mental health services.</w:t>
      </w:r>
      <w:r w:rsidR="00DE6470">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Wait times for assessment and treatment are one of the most common organisational challenges reported in the literature. The need for mental health services has outgrown the available resources, and delays often mean that young adults do not get mental health help when symptoms are first noticed. In their research on the experiences of young people on NHS mental health waiting lists,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discovered that waiting was not seen as a passive administrative process, but as a time of increasing psychological distress experienced by the young adult, uncertainty and emotional isolation. A large proportion of participants reported feeling unrecognised by services, and that length of time was a factor in their lack of motivation to access services. The results indicate that waiting lists can unknowingly contribute to the mental health burden, instead of just being a phenomenon of the healthcare system. The study offers rich information from the lived experience of the service users, through interpretative phenomenological analysis (IPA), but due to the small sample size, findings in the study cannot be generalised to all NHS services. However, it provides a detailed analysis that can help us better understand the psychological impact of late intervention that is missing from quantitative service performance analyses.</w:t>
      </w:r>
      <w:r w:rsidR="00DE6470">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number of service units provided is correlated with the availability of staff. Lacking sufficient mental health workers with the right skills and training was noted as one of the key barriers to the implementation of effective youth mental health models throughout the United Kingdom (Reed et al., 2025). </w:t>
      </w:r>
    </w:p>
    <w:p w14:paraId="331042F4" w14:textId="3B21D346" w:rsidR="00DE70F0"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Those providing services reported low staffing levels, rising clinical demands and limited resources as affecting continuity of care and opportunities for tailored interventions. The study not only considers workforce shortages as a resource problem but also sees these shortages as impacting the quality of therapeutic relationships and service responsiveness. Reed et al. (2025) focus on implementation from the viewpoint of the professionals and service providers; however, rather than from the viewpoint of the young service users themselves, thus highlighting organisational experiences more than the experiences of young service users. Thus, this study adds valuable evidence to the field of service </w:t>
      </w:r>
      <w:r w:rsidR="00CE637A" w:rsidRPr="007D5CF2">
        <w:rPr>
          <w:rFonts w:ascii="Arial" w:eastAsia="Times New Roman" w:hAnsi="Arial" w:cs="Arial"/>
          <w:kern w:val="0"/>
          <w:lang w:eastAsia="en-GB"/>
          <w14:ligatures w14:val="none"/>
        </w:rPr>
        <w:t>delivery but</w:t>
      </w:r>
      <w:r w:rsidRPr="007D5CF2">
        <w:rPr>
          <w:rFonts w:ascii="Arial" w:eastAsia="Times New Roman" w:hAnsi="Arial" w:cs="Arial"/>
          <w:kern w:val="0"/>
          <w:lang w:eastAsia="en-GB"/>
          <w14:ligatures w14:val="none"/>
        </w:rPr>
        <w:t xml:space="preserve"> should be seen in the light of the qualitative research focusing on the lived experiences of young adults.</w:t>
      </w:r>
      <w:r w:rsidR="00DE6470">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Issues of fragmentation add to the challenge of access to care between parts of the mental health system. There are a range of organisations that provide mental health support to young adults, such as primary care, community mental health teams, specialist NHS services and voluntary sector providers. Multidisciplinary provision can provide a complete package of care, but poor coordination of services often results in a lack of clarity around who should refer to whom and what services to use. Many participants reported feeling uncertain about where to get help and felt that they received multiple referrals to various services without being supported at an appropriate level (Holding et al., 2022). Instead of seeing the health care system as one, participants often reported experiencing a disjointed, complex health care system. The results indicate that organisational fragmentation may even be a deterrent to mental health services, as it can contribute to problems with trust in the services and result in repeated barriers at each point of seeking help.</w:t>
      </w:r>
      <w:r w:rsidR="00DE6470">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continuity between Child Mental Health Services (CMHS) and Adolescent and Adult Mental Health Services (AMHS) is a lifelong transition area that is consistently identified in the literature. A qualitative thematic synthesis (Broad et al., 2017) identified </w:t>
      </w:r>
      <w:r w:rsidR="00CE637A" w:rsidRPr="007D5CF2">
        <w:rPr>
          <w:rFonts w:ascii="Arial" w:eastAsia="Times New Roman" w:hAnsi="Arial" w:cs="Arial"/>
          <w:kern w:val="0"/>
          <w:lang w:eastAsia="en-GB"/>
          <w14:ligatures w14:val="none"/>
        </w:rPr>
        <w:t>several</w:t>
      </w:r>
      <w:r w:rsidRPr="007D5CF2">
        <w:rPr>
          <w:rFonts w:ascii="Arial" w:eastAsia="Times New Roman" w:hAnsi="Arial" w:cs="Arial"/>
          <w:kern w:val="0"/>
          <w:lang w:eastAsia="en-GB"/>
          <w14:ligatures w14:val="none"/>
        </w:rPr>
        <w:t xml:space="preserve"> young </w:t>
      </w:r>
      <w:r w:rsidR="00CE637A">
        <w:rPr>
          <w:rFonts w:ascii="Arial" w:eastAsia="Times New Roman" w:hAnsi="Arial" w:cs="Arial"/>
          <w:kern w:val="0"/>
          <w:lang w:eastAsia="en-GB"/>
          <w14:ligatures w14:val="none"/>
        </w:rPr>
        <w:t>adults (18-25</w:t>
      </w:r>
      <w:r w:rsidR="00DE6470">
        <w:rPr>
          <w:rFonts w:ascii="Arial" w:eastAsia="Times New Roman" w:hAnsi="Arial" w:cs="Arial"/>
          <w:kern w:val="0"/>
          <w:lang w:eastAsia="en-GB"/>
          <w14:ligatures w14:val="none"/>
        </w:rPr>
        <w:t>) years</w:t>
      </w:r>
      <w:r w:rsidR="00CE637A">
        <w:rPr>
          <w:rFonts w:ascii="Arial" w:eastAsia="Times New Roman" w:hAnsi="Arial" w:cs="Arial"/>
          <w:kern w:val="0"/>
          <w:lang w:eastAsia="en-GB"/>
          <w14:ligatures w14:val="none"/>
        </w:rPr>
        <w:t xml:space="preserve"> old </w:t>
      </w:r>
      <w:r w:rsidRPr="007D5CF2">
        <w:rPr>
          <w:rFonts w:ascii="Arial" w:eastAsia="Times New Roman" w:hAnsi="Arial" w:cs="Arial"/>
          <w:kern w:val="0"/>
          <w:lang w:eastAsia="en-GB"/>
          <w14:ligatures w14:val="none"/>
        </w:rPr>
        <w:t xml:space="preserve">who found transitions to be very confusing, poorly co-ordinated and emotionally distressing. Eligibility requirements, service philosophy and referral processes often impacted continuity of care, and some patients dropped out of services entirely during the transition process. Thematic synthesis is useful for gaining insight into what has been found in several qualitative </w:t>
      </w:r>
      <w:r w:rsidR="00CE637A" w:rsidRPr="007D5CF2">
        <w:rPr>
          <w:rFonts w:ascii="Arial" w:eastAsia="Times New Roman" w:hAnsi="Arial" w:cs="Arial"/>
          <w:kern w:val="0"/>
          <w:lang w:eastAsia="en-GB"/>
          <w14:ligatures w14:val="none"/>
        </w:rPr>
        <w:t>studies and</w:t>
      </w:r>
      <w:r w:rsidRPr="007D5CF2">
        <w:rPr>
          <w:rFonts w:ascii="Arial" w:eastAsia="Times New Roman" w:hAnsi="Arial" w:cs="Arial"/>
          <w:kern w:val="0"/>
          <w:lang w:eastAsia="en-GB"/>
          <w14:ligatures w14:val="none"/>
        </w:rPr>
        <w:t xml:space="preserve"> can be used to see how there are common patterns in the results across the various types of healthcare settings. The conclusions of the review are, however, subject to the methodological quality and reporting of the original studies, as it draws on the existing literature. Such a limitation does not undermine the consistency of the findings across the included studies, however, and this provides increased confidence that transitional care continues to be a large gap in the existing provision of mental health care.</w:t>
      </w:r>
      <w:r w:rsidR="00EE4D67">
        <w:rPr>
          <w:rFonts w:ascii="Arial" w:eastAsia="Times New Roman" w:hAnsi="Arial" w:cs="Arial"/>
          <w:kern w:val="0"/>
          <w:lang w:eastAsia="en-GB"/>
          <w14:ligatures w14:val="none"/>
        </w:rPr>
        <w:t xml:space="preserve"> </w:t>
      </w:r>
    </w:p>
    <w:p w14:paraId="2F0C2244" w14:textId="0836A2CD"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accessibility of an organisation is dependent not only on the availability of services, but also on how the service is provided. In a randomised controlled trial, Kitchen et al. (2023) investigated the impact of behavioural activation for depression on engagement of young people and concluded that flexibility in delivering the service, collaborative therapeutic relationships and personalised treatment approaches significantly contributed to engagement of young people. Rigid appointment systems may </w:t>
      </w:r>
      <w:r w:rsidR="00CE637A" w:rsidRPr="007D5CF2">
        <w:rPr>
          <w:rFonts w:ascii="Arial" w:eastAsia="Times New Roman" w:hAnsi="Arial" w:cs="Arial"/>
          <w:kern w:val="0"/>
          <w:lang w:eastAsia="en-GB"/>
          <w14:ligatures w14:val="none"/>
        </w:rPr>
        <w:t>make</w:t>
      </w:r>
      <w:r w:rsidRPr="007D5CF2">
        <w:rPr>
          <w:rFonts w:ascii="Arial" w:eastAsia="Times New Roman" w:hAnsi="Arial" w:cs="Arial"/>
          <w:kern w:val="0"/>
          <w:lang w:eastAsia="en-GB"/>
          <w14:ligatures w14:val="none"/>
        </w:rPr>
        <w:t xml:space="preserve"> it less likely that people will keep coming back to services, as participants appreciated services that were flexible with their education and work obligations and were willing to be flexible with their treatment schedules. The study by Kitchen et al. (2023) is unlike other general studies of mental health services in that it is specific to an intervention, meaning the results of this study may not be applicable across mental health settings. However, the study demonstrates that there is a direct link between organisational design and treatment adherence, beyond any clinical effectiveness, that can be observed.</w:t>
      </w:r>
      <w:r w:rsidR="004228B6">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But there's also new evidence that shows the increasing significance of service delivery in alternative ways.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examined the barriers and facilitators of a mental health helpline for young people delivered via a webchat service; they found anonymity, convenience and immediate accessibility were key benefits of webchat over service models. Digital communication was reported by participants to be associated with less anxiety around face-to-face disclosure and with earlier access to support services. The researchers also noted some difficulties in implementing the intervention, such as maintaining a therapeutic alliance with patients using digital tools and staff having adequate digital skills for working online (</w:t>
      </w:r>
      <w:r w:rsidRPr="007D5CF2">
        <w:rPr>
          <w:rFonts w:ascii="Arial" w:eastAsia="Times New Roman" w:hAnsi="Arial" w:cs="Arial"/>
          <w:bCs/>
          <w:kern w:val="36"/>
          <w:lang w:eastAsia="en-GB"/>
          <w14:ligatures w14:val="none"/>
        </w:rPr>
        <w:t>Biddle et al., 2023; Adeane and Gibson, 2023</w:t>
      </w:r>
      <w:r w:rsidRPr="007D5CF2">
        <w:rPr>
          <w:rFonts w:ascii="Arial" w:eastAsia="Times New Roman" w:hAnsi="Arial" w:cs="Arial"/>
          <w:kern w:val="0"/>
          <w:lang w:eastAsia="en-GB"/>
          <w14:ligatures w14:val="none"/>
        </w:rPr>
        <w:t>). The results show that digital services are not only technological innovations, but also organisational adjustments that can tackle some barriers related to traditional care models. The authors recognise, however, that digital interventions are not a substitute for face-to-face services, especially for those with more complex clinical needs.</w:t>
      </w:r>
      <w:r w:rsidR="004228B6">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literature overall shows that organisational barriers are not limited to service capacity. Limited availability, fragmented referral pathways, difficulties navigating services, inadequate continuity and inflexible models of care can all influence young people's experiences of mental health support (Broad et al., 2017; Gee et al., 2021; Kirk et al., 2023; Macdonald and Lucas, 2025; </w:t>
      </w:r>
      <w:r w:rsidRPr="007D5CF2">
        <w:rPr>
          <w:rFonts w:ascii="Arial" w:eastAsia="Times New Roman" w:hAnsi="Arial" w:cs="Arial"/>
          <w:bCs/>
          <w:kern w:val="36"/>
          <w:lang w:eastAsia="en-GB"/>
          <w14:ligatures w14:val="none"/>
        </w:rPr>
        <w:t>Barnett et al., 2021</w:t>
      </w:r>
      <w:r w:rsidRPr="007D5CF2">
        <w:rPr>
          <w:rFonts w:ascii="Arial" w:eastAsia="Times New Roman" w:hAnsi="Arial" w:cs="Arial"/>
          <w:kern w:val="0"/>
          <w:lang w:eastAsia="en-GB"/>
          <w14:ligatures w14:val="none"/>
        </w:rPr>
        <w:t xml:space="preserve">). Young people have also described difficulties when services operate according to rigid eligibility criteria or fail to provide continuity across different stages of care (MacDonald et al., 2018; Coleman-Fountain et al., 2020). Evidence suggests that if meaningful improvements in accessibility are to be realised, then investment in a long-term programme of workforce development and service co-ordination is required alongside organisational reform, which have been the focus of recent policy action. The wider socioeconomic and cultural influences are also reflected in these structural inequalities and are dealt with in the following section. </w:t>
      </w:r>
    </w:p>
    <w:p w14:paraId="7F8B4A2A"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2.4 Socioeconomic and Cultural Barriers to Accessing Mental Health Services </w:t>
      </w:r>
    </w:p>
    <w:p w14:paraId="1021AEC6" w14:textId="705FFD22" w:rsidR="00AC1EA0"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It is well established that socioeconomic and cultural factors influence the utilisation of mental health services and their ability to provide appropriate mental health services; these factors influence the need for services </w:t>
      </w:r>
      <w:r w:rsidR="00CE637A" w:rsidRPr="007D5CF2">
        <w:rPr>
          <w:rFonts w:ascii="Arial" w:eastAsia="Times New Roman" w:hAnsi="Arial" w:cs="Arial"/>
          <w:kern w:val="0"/>
          <w:lang w:eastAsia="en-GB"/>
          <w14:ligatures w14:val="none"/>
        </w:rPr>
        <w:t>and</w:t>
      </w:r>
      <w:r w:rsidRPr="007D5CF2">
        <w:rPr>
          <w:rFonts w:ascii="Arial" w:eastAsia="Times New Roman" w:hAnsi="Arial" w:cs="Arial"/>
          <w:kern w:val="0"/>
          <w:lang w:eastAsia="en-GB"/>
          <w14:ligatures w14:val="none"/>
        </w:rPr>
        <w:t xml:space="preserve"> the ability to access them. Personal barriers are associated with beliefs and behaviours, whereas socioeconomic and cultural barriers are associated with wider social factors such as income, education, ethnicity, cultural norms and social inequalities, which affect health behaviours and access to healthcare (Marmot, 2020; World Health Organisation (WHO), 2022). These broader factors are often interwoven with personal and organisational factors, resulting in multiple levels of disadvantage and impacting some groups of young adults in the United Kingdom more than others, as suggested in the literature. Therefore, a more holistic approach to enhancing access to mental health services goes beyond improving health services delivery to tackling broader social determinants of youths' lives.</w:t>
      </w:r>
      <w:r w:rsidR="004228B6">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There is a consistent relationship between socioeconomic disadvantage and less favourable mental health outcomes and utilisation of mental health services. Young adults often have unstable finances, insecure jobs, </w:t>
      </w:r>
      <w:r w:rsidR="004228B6" w:rsidRPr="007D5CF2">
        <w:rPr>
          <w:rFonts w:ascii="Arial" w:eastAsia="Times New Roman" w:hAnsi="Arial" w:cs="Arial"/>
          <w:kern w:val="0"/>
          <w:lang w:eastAsia="en-GB"/>
          <w14:ligatures w14:val="none"/>
        </w:rPr>
        <w:t>enrolment</w:t>
      </w:r>
      <w:r w:rsidRPr="007D5CF2">
        <w:rPr>
          <w:rFonts w:ascii="Arial" w:eastAsia="Times New Roman" w:hAnsi="Arial" w:cs="Arial"/>
          <w:kern w:val="0"/>
          <w:lang w:eastAsia="en-GB"/>
          <w14:ligatures w14:val="none"/>
        </w:rPr>
        <w:t xml:space="preserve"> in college or higher education, and housing instability, which can increase psychological distress and at the same time reduce access to professional resources. The NHS is free at the point of delivery for mental health services; however, it can be difficult for individuals to access services due to indirect barriers, including transportation costs, time out of the workplace or education, and the availability and accessibility of services locally (NHS England, 2024). Competing demands for education and finances were often cited as factors influencing decisions to seek help by participants, as found by Holding et al. (2022). Besides the refusal to seek service, many young adults delayed seeking help due to a perceived sense of priority for academic or employment services over mental health services. The findings support the idea that help-seeking behaviour is indirectly affected by socioeconomic pressures, as they affect people's priorities at an already busy age in their lives</w:t>
      </w:r>
      <w:r w:rsidRPr="007D5CF2">
        <w:rPr>
          <w:rFonts w:ascii="Arial" w:eastAsia="Times New Roman" w:hAnsi="Arial" w:cs="Arial"/>
          <w:b/>
          <w:bCs/>
          <w:kern w:val="36"/>
          <w:lang w:eastAsia="en-GB"/>
          <w14:ligatures w14:val="none"/>
        </w:rPr>
        <w:t xml:space="preserve"> </w:t>
      </w:r>
      <w:r w:rsidRPr="007D5CF2">
        <w:rPr>
          <w:rFonts w:ascii="Arial" w:eastAsia="Times New Roman" w:hAnsi="Arial" w:cs="Arial"/>
          <w:bCs/>
          <w:kern w:val="36"/>
          <w:lang w:eastAsia="en-GB"/>
          <w14:ligatures w14:val="none"/>
        </w:rPr>
        <w:t>(</w:t>
      </w:r>
      <w:r w:rsidRPr="007D5CF2">
        <w:rPr>
          <w:rFonts w:ascii="Arial" w:eastAsia="Times New Roman" w:hAnsi="Arial" w:cs="Arial"/>
          <w:kern w:val="0"/>
          <w:lang w:eastAsia="en-GB"/>
          <w14:ligatures w14:val="none"/>
        </w:rPr>
        <w:t>Potterton et al., 2020).</w:t>
      </w:r>
      <w:r w:rsidR="004228B6">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attitudes towards mental illness and its treatment also influence a young adult's decision to seek professional help.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found that many young adults with backgrounds in Eastern Europe often viewed emotional crises using cultural values which highlighted resilience and personal responsibility or family support over professional intervention. Participants expressed fear that the recognition of mental health issues would bring shame on themselves or their families, and previous experiences with the health care system in their countries of origin also affected their trust in mental health care services in the UK. While some studies perceive stigma as a universal obstacle,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emphasise the need to understand how cultural identity influences mental health constructs and mental health service use. However, the results of this research should be applied with some caution to culturally diverse migrant groups in the rest of the United Kingdom, given the nature of the population studied.</w:t>
      </w:r>
      <w:r w:rsidR="004228B6">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Stigma is not to be ignored as an influence on emotional wellbeing and help-seeking, and these are part of a broader cultural context (</w:t>
      </w:r>
      <w:proofErr w:type="spellStart"/>
      <w:r w:rsidRPr="007D5CF2">
        <w:rPr>
          <w:rFonts w:ascii="Arial" w:eastAsia="Times New Roman" w:hAnsi="Arial" w:cs="Arial"/>
          <w:bCs/>
          <w:kern w:val="36"/>
          <w:lang w:eastAsia="en-GB"/>
          <w14:ligatures w14:val="none"/>
        </w:rPr>
        <w:t>Gaiha</w:t>
      </w:r>
      <w:proofErr w:type="spellEnd"/>
      <w:r w:rsidRPr="007D5CF2">
        <w:rPr>
          <w:rFonts w:ascii="Arial" w:eastAsia="Times New Roman" w:hAnsi="Arial" w:cs="Arial"/>
          <w:bCs/>
          <w:kern w:val="36"/>
          <w:lang w:eastAsia="en-GB"/>
          <w14:ligatures w14:val="none"/>
        </w:rPr>
        <w:t xml:space="preserve"> et al., 2020</w:t>
      </w:r>
      <w:r w:rsidRPr="007D5CF2">
        <w:rPr>
          <w:rFonts w:ascii="Arial" w:eastAsia="Times New Roman" w:hAnsi="Arial" w:cs="Arial"/>
          <w:kern w:val="0"/>
          <w:lang w:eastAsia="en-GB"/>
          <w14:ligatures w14:val="none"/>
        </w:rPr>
        <w:t xml:space="preserve">). Salaheddin and Mason (2016) found that many young adults postpone seeking mental health services due to the expectation that family, friends and their broader community would negatively judge them. Participants often felt that seeking professional help was a sign of weakness or failure, reflecting how social attitudes can make it less likely for people to disclose when professional help is available. The study is one of the </w:t>
      </w:r>
      <w:r w:rsidR="00082D33" w:rsidRPr="007D5CF2">
        <w:rPr>
          <w:rFonts w:ascii="Arial" w:eastAsia="Times New Roman" w:hAnsi="Arial" w:cs="Arial"/>
          <w:kern w:val="0"/>
          <w:lang w:eastAsia="en-GB"/>
          <w14:ligatures w14:val="none"/>
        </w:rPr>
        <w:t>most reported</w:t>
      </w:r>
      <w:r w:rsidRPr="007D5CF2">
        <w:rPr>
          <w:rFonts w:ascii="Arial" w:eastAsia="Times New Roman" w:hAnsi="Arial" w:cs="Arial"/>
          <w:kern w:val="0"/>
          <w:lang w:eastAsia="en-GB"/>
          <w14:ligatures w14:val="none"/>
        </w:rPr>
        <w:t xml:space="preserve"> UK studies of help-seeking behaviour in the young adult population; however, the cross-sectional survey methodology lacks the opportunity to examine the dynamic processes of change and development. Qualitative approaches, on the other hand, such as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provide a more in-depth understanding of contextual factors and how cultural beliefs, migration histories, and family expectations come together to shape help-seeking behaviour. These studies collectively highlight the idea that stigma cannot be viewed as solely an individual </w:t>
      </w:r>
      <w:r w:rsidR="00CE637A" w:rsidRPr="007D5CF2">
        <w:rPr>
          <w:rFonts w:ascii="Arial" w:eastAsia="Times New Roman" w:hAnsi="Arial" w:cs="Arial"/>
          <w:kern w:val="0"/>
          <w:lang w:eastAsia="en-GB"/>
          <w14:ligatures w14:val="none"/>
        </w:rPr>
        <w:t>phenomenon but</w:t>
      </w:r>
      <w:r w:rsidRPr="007D5CF2">
        <w:rPr>
          <w:rFonts w:ascii="Arial" w:eastAsia="Times New Roman" w:hAnsi="Arial" w:cs="Arial"/>
          <w:kern w:val="0"/>
          <w:lang w:eastAsia="en-GB"/>
          <w14:ligatures w14:val="none"/>
        </w:rPr>
        <w:t xml:space="preserve"> is also socially constructed.</w:t>
      </w:r>
      <w:r w:rsidR="000D1792">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Community relationships can be a barrier or facilitator to mental health care.</w:t>
      </w:r>
    </w:p>
    <w:p w14:paraId="0F9E1620" w14:textId="10290140"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 Baxter et al. (2022) investigated the relationship between community/cultural engagement and lived experiences of people with mental health conditions and concluded that community organisations that people trust, creative outlets and culturally relevant places fostered social connections and decreased feelings of isolation. The community setting was also described as less intimidating than the clinical setting and as a place where participants were able to build their confidence prior to accessing statutory mental health services. Of note, however, the study also uncovered inequalities in access to community resources among participants, including financial constraints and geographical and cultural barriers that restricted participation. The results of this study provide evidence that community interventions need to work alongside rather than in place of formal mental health services, especially for young adults in need of specialist psychological help. </w:t>
      </w:r>
      <w:r w:rsidR="000D1792">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So, the literature suggests that socioeconomic and cultural obstacles are multidimensional and tightly interlinked with individual and organisational influences. Stigma, cultural attitudes, cultural access to services and financial pressures all influence young adults' choices about accessing professional help and staying connected to mental health services (</w:t>
      </w:r>
      <w:proofErr w:type="spellStart"/>
      <w:r w:rsidRPr="007D5CF2">
        <w:rPr>
          <w:rFonts w:ascii="Arial" w:eastAsia="Times New Roman" w:hAnsi="Arial" w:cs="Arial"/>
          <w:bCs/>
          <w:kern w:val="36"/>
          <w:lang w:eastAsia="en-GB"/>
          <w14:ligatures w14:val="none"/>
        </w:rPr>
        <w:t>Gaiha</w:t>
      </w:r>
      <w:proofErr w:type="spellEnd"/>
      <w:r w:rsidRPr="007D5CF2">
        <w:rPr>
          <w:rFonts w:ascii="Arial" w:eastAsia="Times New Roman" w:hAnsi="Arial" w:cs="Arial"/>
          <w:bCs/>
          <w:kern w:val="36"/>
          <w:lang w:eastAsia="en-GB"/>
          <w14:ligatures w14:val="none"/>
        </w:rPr>
        <w:t xml:space="preserve"> et al., 2020</w:t>
      </w:r>
      <w:r w:rsidRPr="007D5CF2">
        <w:rPr>
          <w:rFonts w:ascii="Arial" w:eastAsia="Times New Roman" w:hAnsi="Arial" w:cs="Arial"/>
          <w:kern w:val="0"/>
          <w:lang w:eastAsia="en-GB"/>
          <w14:ligatures w14:val="none"/>
        </w:rPr>
        <w:t>). In addition, these barriers can create a vicious cycle – young adults with socioeconomic disadvantage may be at the same time exposed to more stigma, less trust in healthcare providers, and less access to supportive community networks. Improving the utilisation of mental health services, then, is not only about improving services for health care but also about reducing social inequalities, making services culturally responsive, and strengthening community-based services (Heinze et al., 2018). These factors are used to consider what is enabling young adults to get and use mental health services, as discussed in the next section.</w:t>
      </w:r>
    </w:p>
    <w:p w14:paraId="3EC372D6"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2.5 Enablers to Accessing Mental Health Services </w:t>
      </w:r>
    </w:p>
    <w:p w14:paraId="7CD3E7C5" w14:textId="77777777" w:rsidR="008B70AE"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Although there is a considerable amount of literature on factors that inhibit young adults from seeking out mental health services, much less research has focused on the factors that promote help-seeking and persistence in care (Rickwood et al., 2015). This is significant to understand because whilst access is being improved, it is also necessary to enhance the conditions that support positive experiences across the care journey (Heinze et al., 2018). The evidence indicates improved accessibility is the result of a youth-centred service design, positive therapeutic relationships, integrated models of care, community engagement and digital innovations. These strategies will be effective, however, if they are responsive to the various needs and preferences of young adults.</w:t>
      </w:r>
      <w:r w:rsidR="000D1792">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A consistently reported facilitator is the provision of youth-friendly and person-centred services. The literature suggests that rather than young adults having to adjust to the current structures of health services, the services should be structured around the developmental, educational and social situation of young adults. Holding et al. (2022) identified services that were responsive, flexible and personalised, and included timely communication and engagement in decisions regarding services and care as valued. Likewise, Reed et al. (2025) found that youth-specific models of mental health care were important facilitators of engagement as they enabled continuity of care, multidisciplinary working and coordinated service delivery. Although both studies emphasise the importance of person-centred care, they approach the issue from different perspectives.</w:t>
      </w:r>
    </w:p>
    <w:p w14:paraId="7AF68A9F" w14:textId="1CA4E438"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 While Reed et al. (2025) look at implementation from an organisational and service delivery perspective, </w:t>
      </w:r>
      <w:proofErr w:type="gramStart"/>
      <w:r w:rsidRPr="007D5CF2">
        <w:rPr>
          <w:rFonts w:ascii="Arial" w:eastAsia="Times New Roman" w:hAnsi="Arial" w:cs="Arial"/>
          <w:kern w:val="0"/>
          <w:lang w:eastAsia="en-GB"/>
          <w14:ligatures w14:val="none"/>
        </w:rPr>
        <w:t>Holding</w:t>
      </w:r>
      <w:proofErr w:type="gramEnd"/>
      <w:r w:rsidRPr="007D5CF2">
        <w:rPr>
          <w:rFonts w:ascii="Arial" w:eastAsia="Times New Roman" w:hAnsi="Arial" w:cs="Arial"/>
          <w:kern w:val="0"/>
          <w:lang w:eastAsia="en-GB"/>
          <w14:ligatures w14:val="none"/>
        </w:rPr>
        <w:t xml:space="preserve"> et al. (2022) concentrate on young people's lived realities with services. These are complementary perspectives and enhance the available evidence that service accessibility is a challenge that can be addressed through both organisational change and meaningful and active participation of young people in mental health service design.</w:t>
      </w:r>
      <w:r w:rsidR="000D1792">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A therapeutic relationship is another crucial factor in promoting the use of services. Young adults who feel they are listened to, respected, and involved in decisions about their mental health services are more likely to access mental health services. The authors of Dorata et al. (2025) showed that the experiences of the mental health assessment, particularly within the initial phase, had a significant impact on the willingness of participants to stay in the services. Empathy, validation and collaborative communication in assessments fostered trust and participation in treatment, while impersonal and judgmental assessments often led to treatment disengagement. Kitchen et al. (2023) found similar results; a supportive relationship between therapists and youth was reported as a key element to effective engagement with behavioural activation for depression. Unlike Dorata et al. (2025</w:t>
      </w:r>
      <w:r w:rsidR="006134A6" w:rsidRPr="007D5CF2">
        <w:rPr>
          <w:rFonts w:ascii="Arial" w:eastAsia="Times New Roman" w:hAnsi="Arial" w:cs="Arial"/>
          <w:kern w:val="0"/>
          <w:lang w:eastAsia="en-GB"/>
          <w14:ligatures w14:val="none"/>
        </w:rPr>
        <w:t>)</w:t>
      </w:r>
      <w:r w:rsidRPr="007D5CF2">
        <w:rPr>
          <w:rFonts w:ascii="Arial" w:eastAsia="Times New Roman" w:hAnsi="Arial" w:cs="Arial"/>
          <w:kern w:val="0"/>
          <w:lang w:eastAsia="en-GB"/>
          <w14:ligatures w14:val="none"/>
        </w:rPr>
        <w:t>, who focus on the experience of assessment, Kitchen et al. (2023</w:t>
      </w:r>
      <w:r w:rsidR="00231AEE" w:rsidRPr="007D5CF2">
        <w:rPr>
          <w:rFonts w:ascii="Arial" w:eastAsia="Times New Roman" w:hAnsi="Arial" w:cs="Arial"/>
          <w:kern w:val="0"/>
          <w:lang w:eastAsia="en-GB"/>
          <w14:ligatures w14:val="none"/>
        </w:rPr>
        <w:t>)</w:t>
      </w:r>
      <w:r w:rsidRPr="007D5CF2">
        <w:rPr>
          <w:rFonts w:ascii="Arial" w:eastAsia="Times New Roman" w:hAnsi="Arial" w:cs="Arial"/>
          <w:kern w:val="0"/>
          <w:lang w:eastAsia="en-GB"/>
          <w14:ligatures w14:val="none"/>
        </w:rPr>
        <w:t xml:space="preserve"> is based on engagement throughout a structured psychological intervention, implying that high engagement in therapeutic relationships is still of importance across </w:t>
      </w:r>
      <w:r w:rsidR="00CE637A" w:rsidRPr="007D5CF2">
        <w:rPr>
          <w:rFonts w:ascii="Arial" w:eastAsia="Times New Roman" w:hAnsi="Arial" w:cs="Arial"/>
          <w:kern w:val="0"/>
          <w:lang w:eastAsia="en-GB"/>
          <w14:ligatures w14:val="none"/>
        </w:rPr>
        <w:t>several</w:t>
      </w:r>
      <w:r w:rsidRPr="007D5CF2">
        <w:rPr>
          <w:rFonts w:ascii="Arial" w:eastAsia="Times New Roman" w:hAnsi="Arial" w:cs="Arial"/>
          <w:kern w:val="0"/>
          <w:lang w:eastAsia="en-GB"/>
          <w14:ligatures w14:val="none"/>
        </w:rPr>
        <w:t xml:space="preserve"> stages in the care pathway. The uniformity across service settings underscores the importance of communication and trust to help sustain engagement in mental health care.</w:t>
      </w:r>
      <w:r w:rsidR="000D1792">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Community engagement has also become a key means towards enhancing access to mental health care. Baxter et al. (2022) revealed that community and cultural activities lowered feelings of social isolation, increased social connections and created supportive environments where people felt more comfortable talking about their mental health. Participants often found that community organisations were not as stigmatising as clinic settings and helped them gain confidence to access formal mental health services. The authors noted, however, that not all communities provided and/or made all community initiatives accessible, and that some people were prevented from participating due to financial limitations, geographical disparities, or inconsistent funding. The findings indicate that community-based interventions need to be in addition to statutory mental health services, not in place of specialist clinical services. They are important in supporting earlier engagement and improving wellbeing and informal networks in addition to professional treatment.</w:t>
      </w:r>
      <w:r w:rsidR="003D5771">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 advent of digital mental health services has also brought new possibilities to make services accessible.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investigated the use of a webchat mental health helpline and reported that being anonymous and convenient, and having access to support immediately, was found to encourage young people to reach out for support sooner than would be the case with traditional face-to-face contacts. Participants reported that using digital communication decreased their embarrassment, and it helped them to discuss sensitive emotional issues.</w:t>
      </w:r>
      <w:r w:rsidR="005C5A44" w:rsidRPr="007D5CF2">
        <w:rPr>
          <w:rFonts w:ascii="Arial" w:eastAsia="Times New Roman" w:hAnsi="Arial" w:cs="Arial"/>
          <w:kern w:val="0"/>
          <w:lang w:eastAsia="en-GB"/>
          <w14:ligatures w14:val="none"/>
        </w:rPr>
        <w:t xml:space="preserve"> Likewise, Plackett et al. (2026</w:t>
      </w:r>
      <w:r w:rsidRPr="007D5CF2">
        <w:rPr>
          <w:rFonts w:ascii="Arial" w:eastAsia="Times New Roman" w:hAnsi="Arial" w:cs="Arial"/>
          <w:kern w:val="0"/>
          <w:lang w:eastAsia="en-GB"/>
          <w14:ligatures w14:val="none"/>
        </w:rPr>
        <w:t>) emphasised the need for open conversations about social media and digital wellbeing to take place in primary care, noting how technology has increasingly become a factor in the causes of psychological distress, as well as how young adults interact with health professionals. However, both studies recognise the need to complement traditional mental health services with digital services, since challenges of digital exclusion, confidentiality and managing more complex mental health cases still necessitate in-person professional interventions.</w:t>
      </w:r>
      <w:r w:rsidR="003D5771">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In general, the literature shows that a balanced approach focusing on both organisational innovation and person-centred practice is needed to improve access to mental health services. Flexible service provision, collaborative therapeutic relationships, culturally responsive community involvement and adequately designed and implemented digital supports can enhance help-seeking and ongoing engagement with young adults. But the enablers work best when combined with broader organisational change to tackle inequalities in access and service coordination and capacity building of the workforce. Improving access to mental health services will need a more holistic approach to mental health service utilisation that </w:t>
      </w:r>
      <w:r w:rsidR="00CE637A" w:rsidRPr="007D5CF2">
        <w:rPr>
          <w:rFonts w:ascii="Arial" w:eastAsia="Times New Roman" w:hAnsi="Arial" w:cs="Arial"/>
          <w:kern w:val="0"/>
          <w:lang w:eastAsia="en-GB"/>
          <w14:ligatures w14:val="none"/>
        </w:rPr>
        <w:t>considers</w:t>
      </w:r>
      <w:r w:rsidRPr="007D5CF2">
        <w:rPr>
          <w:rFonts w:ascii="Arial" w:eastAsia="Times New Roman" w:hAnsi="Arial" w:cs="Arial"/>
          <w:kern w:val="0"/>
          <w:lang w:eastAsia="en-GB"/>
          <w14:ligatures w14:val="none"/>
        </w:rPr>
        <w:t xml:space="preserve"> the interplay between individual experiences, health care systems and social context, rather than relying solely on individual interventions (Ali et al., 2020). </w:t>
      </w:r>
    </w:p>
    <w:p w14:paraId="5F30EC12"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2.6 Critical Evaluation of the Literature and Research Gap </w:t>
      </w:r>
    </w:p>
    <w:p w14:paraId="08E16592" w14:textId="77777777" w:rsidR="00FC0787"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This review of the literature highlighted a shift in understanding that access to mental health services for young adults is not a simple obstacle but is influenced by a range of individual, organisational and wider social factors. A key strength of the current evidence base is the growing use of qualitative methods that offer rich information about young adults' experiences of mental health services. The authors of the studies reported by Holding et al. (2022),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Kitchen et al. (2023), Dorata et al. (2025) and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have included a number of questions that elicit participants' perspectives in a depth that quantitative methods alone could not achieve, and that provide a richer understanding of the emotional, social and organisational factors influencing help-seeking. These studies all provide consistent evidence that stigma, services that were not integrated, communication issues, long wait times and lack of person-centred care are all important barriers, while the context of the research studies and the composition of the participants differ.</w:t>
      </w:r>
      <w:r w:rsidR="003D5771">
        <w:rPr>
          <w:rFonts w:ascii="Arial" w:eastAsia="Times New Roman" w:hAnsi="Arial" w:cs="Arial"/>
          <w:kern w:val="0"/>
          <w:lang w:eastAsia="en-GB"/>
          <w14:ligatures w14:val="none"/>
        </w:rPr>
        <w:t xml:space="preserve"> </w:t>
      </w:r>
    </w:p>
    <w:p w14:paraId="7BCD10B2" w14:textId="7E75D10A"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There are, however, </w:t>
      </w:r>
      <w:r w:rsidR="00CE637A" w:rsidRPr="007D5CF2">
        <w:rPr>
          <w:rFonts w:ascii="Arial" w:eastAsia="Times New Roman" w:hAnsi="Arial" w:cs="Arial"/>
          <w:kern w:val="0"/>
          <w:lang w:eastAsia="en-GB"/>
          <w14:ligatures w14:val="none"/>
        </w:rPr>
        <w:t>several</w:t>
      </w:r>
      <w:r w:rsidRPr="007D5CF2">
        <w:rPr>
          <w:rFonts w:ascii="Arial" w:eastAsia="Times New Roman" w:hAnsi="Arial" w:cs="Arial"/>
          <w:kern w:val="0"/>
          <w:lang w:eastAsia="en-GB"/>
          <w14:ligatures w14:val="none"/>
        </w:rPr>
        <w:t xml:space="preserve"> restrictions in the literature which are apparent. Most studies use relatively small samples of purposeful participants suitable for qualitative research but that are inevitably small enough to restrict the generalisability of findings to the larger population of young adults in the United Kingdom. In addition, </w:t>
      </w:r>
      <w:r w:rsidR="00CE637A" w:rsidRPr="007D5CF2">
        <w:rPr>
          <w:rFonts w:ascii="Arial" w:eastAsia="Times New Roman" w:hAnsi="Arial" w:cs="Arial"/>
          <w:kern w:val="0"/>
          <w:lang w:eastAsia="en-GB"/>
          <w14:ligatures w14:val="none"/>
        </w:rPr>
        <w:t>most</w:t>
      </w:r>
      <w:r w:rsidRPr="007D5CF2">
        <w:rPr>
          <w:rFonts w:ascii="Arial" w:eastAsia="Times New Roman" w:hAnsi="Arial" w:cs="Arial"/>
          <w:kern w:val="0"/>
          <w:lang w:eastAsia="en-GB"/>
          <w14:ligatures w14:val="none"/>
        </w:rPr>
        <w:t xml:space="preserve"> cross-sectional designs preclude an understanding of change over time, such as after contact with a mental health service. Studies like Broad et al. (2017) and Reed et al. (2025) have offered insight into the organisation and implementation of services, but there is a relative lack of studies that focus on how changes in the organisation affect the quality of the service for the user. Likewise, while recent studies have started to examine the feasibility of using digital mental health interventions and culturally responsive care, evidence on their sustained impact and sustainability is still scarce.</w:t>
      </w:r>
      <w:r w:rsidR="003D5771">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There is another important deficit in the areas of theoretical perspectives in qualitative research. There are numerous studies that describe barriers and facilitators, but do not specifically use behaviour or health service utilisation theories to explain how they are related to help-seeking. This dissertation, therefore, responds to a significant gap in the literature by integrating recent qualitative evidence by using Andersen's Behavioural Model of Health Service Use and the Health Belief Model. Using these complementary tools gives a fuller picture of the interactions between individual beliefs, organisational structures and wider social determinants to shape young adults' access to mental health services in the UK. </w:t>
      </w:r>
    </w:p>
    <w:p w14:paraId="05068197"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2.7 Theoretical Framework</w:t>
      </w:r>
    </w:p>
    <w:p w14:paraId="67D10E2C" w14:textId="4A9BFAC8" w:rsidR="00264538" w:rsidRPr="00F82819"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overall framework for this dissertation comes from Andersen's Behavioural Model of Health Service Use (1995) and the Health Belief Model (HBM) (Rosenstock et al., 1988), which are interconnected to offer an understanding of how young adults access mental health services. Andersen's model, which examines the relationship between predisposing characteristics, enabling resources, and perceived/assessed need, is especially relevant to understanding the interplay among individual, organisational, and socioeconomic factors and their impact on access to healthcare services. To complement this, the Health Belief Model provides attention to psychological factors that facilitate the seeking of help, such as perceived susceptibility, perceived benefits, perceived barriers and self-efficacy. Combining these frameworks allows the findings of this dissertation to be analysed through both the behavioural and health system lens, which affords a more comprehensive view of the barriers and enablers that affect mental health service uptake of young adults in the U</w:t>
      </w:r>
      <w:r w:rsidR="00F82819">
        <w:rPr>
          <w:rFonts w:ascii="Arial" w:eastAsia="Times New Roman" w:hAnsi="Arial" w:cs="Arial"/>
          <w:kern w:val="0"/>
          <w:lang w:eastAsia="en-GB"/>
          <w14:ligatures w14:val="none"/>
        </w:rPr>
        <w:t>k.</w:t>
      </w:r>
    </w:p>
    <w:p w14:paraId="259FEF1B" w14:textId="598BEB5C" w:rsidR="00CC55C1" w:rsidRPr="00CE637A" w:rsidRDefault="00CC55C1" w:rsidP="00781D67">
      <w:pPr>
        <w:spacing w:before="240" w:after="240" w:line="360" w:lineRule="auto"/>
        <w:jc w:val="center"/>
        <w:outlineLvl w:val="0"/>
        <w:rPr>
          <w:rFonts w:ascii="Arial" w:eastAsia="Times New Roman" w:hAnsi="Arial" w:cs="Arial"/>
          <w:b/>
          <w:kern w:val="36"/>
          <w:sz w:val="24"/>
          <w:szCs w:val="24"/>
          <w:lang w:eastAsia="en-GB"/>
          <w14:ligatures w14:val="none"/>
        </w:rPr>
      </w:pPr>
      <w:r w:rsidRPr="00CE637A">
        <w:rPr>
          <w:rFonts w:ascii="Arial" w:eastAsia="Times New Roman" w:hAnsi="Arial" w:cs="Arial"/>
          <w:b/>
          <w:kern w:val="36"/>
          <w:sz w:val="24"/>
          <w:szCs w:val="24"/>
          <w:lang w:eastAsia="en-GB"/>
          <w14:ligatures w14:val="none"/>
        </w:rPr>
        <w:t>Chapter Three: Research Methodology</w:t>
      </w:r>
    </w:p>
    <w:p w14:paraId="03A4B581" w14:textId="77777777" w:rsidR="00CC55C1" w:rsidRPr="00CE637A" w:rsidRDefault="00CC55C1" w:rsidP="00781D67">
      <w:pPr>
        <w:spacing w:before="240" w:line="360" w:lineRule="auto"/>
        <w:jc w:val="both"/>
        <w:rPr>
          <w:rFonts w:ascii="Arial" w:eastAsia="Calibri" w:hAnsi="Arial" w:cs="Arial"/>
          <w:b/>
          <w:kern w:val="0"/>
          <w:sz w:val="24"/>
          <w:szCs w:val="24"/>
          <w:lang w:eastAsia="en-US"/>
          <w14:ligatures w14:val="none"/>
        </w:rPr>
      </w:pPr>
      <w:r w:rsidRPr="00CE637A">
        <w:rPr>
          <w:rFonts w:ascii="Arial" w:eastAsia="Calibri" w:hAnsi="Arial" w:cs="Arial"/>
          <w:b/>
          <w:kern w:val="0"/>
          <w:sz w:val="24"/>
          <w:szCs w:val="24"/>
          <w:lang w:eastAsia="en-US"/>
          <w14:ligatures w14:val="none"/>
        </w:rPr>
        <w:t xml:space="preserve">3.1 Introduction </w:t>
      </w:r>
    </w:p>
    <w:p w14:paraId="60D3CF68" w14:textId="77777777" w:rsidR="00CC55C1" w:rsidRPr="007D5CF2" w:rsidRDefault="00CC55C1" w:rsidP="00781D67">
      <w:pPr>
        <w:spacing w:before="240" w:line="360" w:lineRule="auto"/>
        <w:jc w:val="both"/>
        <w:rPr>
          <w:rFonts w:ascii="Arial" w:eastAsia="Calibri" w:hAnsi="Arial" w:cs="Arial"/>
          <w:kern w:val="0"/>
          <w:lang w:eastAsia="en-US"/>
          <w14:ligatures w14:val="none"/>
        </w:rPr>
      </w:pPr>
      <w:r w:rsidRPr="007D5CF2">
        <w:rPr>
          <w:rFonts w:ascii="Arial" w:eastAsia="Calibri" w:hAnsi="Arial" w:cs="Arial"/>
          <w:kern w:val="0"/>
          <w:lang w:eastAsia="en-US"/>
          <w14:ligatures w14:val="none"/>
        </w:rPr>
        <w:t xml:space="preserve">Research methodology is a process that guides researchers to carry out research systematically and credibly </w:t>
      </w:r>
      <w:proofErr w:type="gramStart"/>
      <w:r w:rsidRPr="007D5CF2">
        <w:rPr>
          <w:rFonts w:ascii="Arial" w:eastAsia="Calibri" w:hAnsi="Arial" w:cs="Arial"/>
          <w:kern w:val="0"/>
          <w:lang w:eastAsia="en-US"/>
          <w14:ligatures w14:val="none"/>
        </w:rPr>
        <w:t>in order to</w:t>
      </w:r>
      <w:proofErr w:type="gramEnd"/>
      <w:r w:rsidRPr="007D5CF2">
        <w:rPr>
          <w:rFonts w:ascii="Arial" w:eastAsia="Calibri" w:hAnsi="Arial" w:cs="Arial"/>
          <w:kern w:val="0"/>
          <w:lang w:eastAsia="en-US"/>
          <w14:ligatures w14:val="none"/>
        </w:rPr>
        <w:t xml:space="preserve"> answer the research problem; it is the process of solving the research problem (Creswell and Creswell, 2017; Tang, 2025; </w:t>
      </w:r>
      <w:proofErr w:type="spellStart"/>
      <w:r w:rsidRPr="007D5CF2">
        <w:rPr>
          <w:rFonts w:ascii="Arial" w:eastAsia="Calibri" w:hAnsi="Arial" w:cs="Arial"/>
          <w:kern w:val="0"/>
          <w:lang w:eastAsia="en-US"/>
          <w14:ligatures w14:val="none"/>
        </w:rPr>
        <w:t>Takona</w:t>
      </w:r>
      <w:proofErr w:type="spellEnd"/>
      <w:r w:rsidRPr="007D5CF2">
        <w:rPr>
          <w:rFonts w:ascii="Arial" w:eastAsia="Calibri" w:hAnsi="Arial" w:cs="Arial"/>
          <w:kern w:val="0"/>
          <w:lang w:eastAsia="en-US"/>
          <w14:ligatures w14:val="none"/>
        </w:rPr>
        <w:t xml:space="preserve">, 2024). A clear methodology makes transparent the rigour and trustworthiness of a study and its ability to identify, appraise and synthesise evidence (Saunders et al., 2012; </w:t>
      </w:r>
      <w:r w:rsidRPr="007D5CF2">
        <w:rPr>
          <w:rFonts w:ascii="Arial" w:eastAsia="Calibri" w:hAnsi="Arial" w:cs="Arial"/>
          <w:color w:val="222222"/>
          <w:kern w:val="0"/>
          <w:shd w:val="clear" w:color="auto" w:fill="FFFFFF"/>
          <w:lang w:eastAsia="en-US"/>
          <w14:ligatures w14:val="none"/>
        </w:rPr>
        <w:t>Ragab &amp; Arisha, 2018</w:t>
      </w:r>
      <w:r w:rsidRPr="007D5CF2">
        <w:rPr>
          <w:rFonts w:ascii="Arial" w:eastAsia="Calibri" w:hAnsi="Arial" w:cs="Arial"/>
          <w:kern w:val="0"/>
          <w:lang w:eastAsia="en-US"/>
          <w14:ligatures w14:val="none"/>
        </w:rPr>
        <w:t>). This chapter describes and justifies the methodology used in this investigation of barriers and enablers to accessing mental health services for young adults (18–25 years old) in the United Kingdom. The methodology used in this study is qualitative secondary research, which is chosen because it allows for the critical synthesis of the existing evidence sources from peer-reviewed literature and authoritative reports without the need for any data to be gathered as a primary source (Snyder, 2019). The chapter provides information on the research philosophy, research approach, research design, search strategy, eligibility criteria, quality appraisal, data analysis, ethical considerations, trustworthiness and methodological limitations.</w:t>
      </w:r>
    </w:p>
    <w:p w14:paraId="38C8B5CD" w14:textId="77777777" w:rsidR="00CC55C1" w:rsidRPr="00CE637A" w:rsidRDefault="00CC55C1" w:rsidP="00781D67">
      <w:pPr>
        <w:spacing w:before="240" w:line="360" w:lineRule="auto"/>
        <w:jc w:val="both"/>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3.2 Research Philosophy </w:t>
      </w:r>
    </w:p>
    <w:p w14:paraId="417682B9" w14:textId="3010AA15" w:rsidR="00CC55C1" w:rsidRPr="007D5CF2"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Research philosophy is the set of assumptions that inform the production, understanding and use of knowledge during the research process (Saunders et al., 2012; </w:t>
      </w:r>
      <w:r w:rsidRPr="007D5CF2">
        <w:rPr>
          <w:rFonts w:ascii="Arial" w:eastAsia="Calibri" w:hAnsi="Arial" w:cs="Arial"/>
          <w:color w:val="222222"/>
          <w:kern w:val="0"/>
          <w:shd w:val="clear" w:color="auto" w:fill="FFFFFF"/>
          <w:lang w:eastAsia="en-US"/>
          <w14:ligatures w14:val="none"/>
        </w:rPr>
        <w:t>Ragab &amp; Arisha, 2018</w:t>
      </w:r>
      <w:r w:rsidRPr="007D5CF2">
        <w:rPr>
          <w:rFonts w:ascii="Arial" w:eastAsia="Times New Roman" w:hAnsi="Arial" w:cs="Arial"/>
          <w:kern w:val="0"/>
          <w:lang w:eastAsia="en-GB"/>
          <w14:ligatures w14:val="none"/>
        </w:rPr>
        <w:t>). This study has adopted an interpretivist philosophy, which assumes that reality is socially constructed and that people's experiences of phenomena vary with their social and cultural context (</w:t>
      </w:r>
      <w:r w:rsidRPr="007D5CF2">
        <w:rPr>
          <w:rFonts w:ascii="Arial" w:eastAsia="Calibri" w:hAnsi="Arial" w:cs="Arial"/>
          <w:color w:val="222222"/>
          <w:kern w:val="0"/>
          <w:shd w:val="clear" w:color="auto" w:fill="FFFFFF"/>
          <w:lang w:eastAsia="en-US"/>
          <w14:ligatures w14:val="none"/>
        </w:rPr>
        <w:t>Clark et al.,</w:t>
      </w:r>
      <w:r w:rsidRPr="007D5CF2">
        <w:rPr>
          <w:rFonts w:ascii="Arial" w:eastAsia="Times New Roman" w:hAnsi="Arial" w:cs="Arial"/>
          <w:kern w:val="0"/>
          <w:lang w:eastAsia="en-GB"/>
          <w14:ligatures w14:val="none"/>
        </w:rPr>
        <w:t xml:space="preserve"> 2021). As opposed to positivism, which looks for objective measurement and hypothesis testing, interpretivism is concerned with the meanings that people give to their experiences (Creswell and Creswell, 2023; </w:t>
      </w:r>
      <w:r w:rsidRPr="007D5CF2">
        <w:rPr>
          <w:rFonts w:ascii="Arial" w:eastAsia="Calibri" w:hAnsi="Arial" w:cs="Arial"/>
          <w:kern w:val="0"/>
          <w:lang w:eastAsia="en-US"/>
          <w14:ligatures w14:val="none"/>
        </w:rPr>
        <w:t>Tang, 2025</w:t>
      </w:r>
      <w:r w:rsidRPr="007D5CF2">
        <w:rPr>
          <w:rFonts w:ascii="Arial" w:eastAsia="Times New Roman" w:hAnsi="Arial" w:cs="Arial"/>
          <w:kern w:val="0"/>
          <w:lang w:eastAsia="en-GB"/>
          <w14:ligatures w14:val="none"/>
        </w:rPr>
        <w:t>).</w:t>
      </w:r>
      <w:r w:rsidR="00F82819">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An interpretivist approach is suitable as accessing mental health services is subject to subjective factors including stigma, cultural beliefs, past health care experiences and perceptions of the quality of mental health services (Green and Thorogood, 2018; </w:t>
      </w:r>
      <w:r w:rsidRPr="007D5CF2">
        <w:rPr>
          <w:rFonts w:ascii="Arial" w:eastAsia="Calibri" w:hAnsi="Arial" w:cs="Arial"/>
          <w:color w:val="222222"/>
          <w:kern w:val="0"/>
          <w:shd w:val="clear" w:color="auto" w:fill="FFFFFF"/>
          <w:lang w:eastAsia="en-US"/>
          <w14:ligatures w14:val="none"/>
        </w:rPr>
        <w:t>Pope &amp; Mays, 2019</w:t>
      </w:r>
      <w:r w:rsidRPr="007D5CF2">
        <w:rPr>
          <w:rFonts w:ascii="Arial" w:eastAsia="Times New Roman" w:hAnsi="Arial" w:cs="Arial"/>
          <w:kern w:val="0"/>
          <w:lang w:eastAsia="en-GB"/>
          <w14:ligatures w14:val="none"/>
        </w:rPr>
        <w:t xml:space="preserve">). These factors are not completely quantifiable. The philosophy also complements the qualitative secondary research method that allows for the interpretation and synthesis of evidence from primary qualitative studies with separately analysable qualitative findings, and relevant policy documents. This study will take an interpretivist approach, aiming to gain a wider and more in-depth picture of the barriers and enablers to young adults' access to mental health services in the United Kingdom (Salaheddin and Mason, 2016;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2021; </w:t>
      </w:r>
      <w:r w:rsidRPr="007D5CF2">
        <w:rPr>
          <w:rFonts w:ascii="Arial" w:eastAsia="Calibri" w:hAnsi="Arial" w:cs="Arial"/>
          <w:kern w:val="0"/>
          <w:lang w:eastAsia="en-US"/>
          <w14:ligatures w14:val="none"/>
        </w:rPr>
        <w:t xml:space="preserve">Evans-Lacko et al., 2019; </w:t>
      </w:r>
      <w:r w:rsidRPr="007D5CF2">
        <w:rPr>
          <w:rFonts w:ascii="Arial" w:eastAsia="Calibri" w:hAnsi="Arial" w:cs="Arial"/>
          <w:color w:val="222222"/>
          <w:kern w:val="0"/>
          <w:shd w:val="clear" w:color="auto" w:fill="FFFFFF"/>
          <w:lang w:eastAsia="en-US"/>
          <w14:ligatures w14:val="none"/>
        </w:rPr>
        <w:t>Reardon et al., 2017</w:t>
      </w:r>
      <w:r w:rsidRPr="007D5CF2">
        <w:rPr>
          <w:rFonts w:ascii="Arial" w:eastAsia="Times New Roman" w:hAnsi="Arial" w:cs="Arial"/>
          <w:kern w:val="0"/>
          <w:lang w:eastAsia="en-GB"/>
          <w14:ligatures w14:val="none"/>
        </w:rPr>
        <w:t>).</w:t>
      </w:r>
    </w:p>
    <w:p w14:paraId="7A81D49C" w14:textId="77777777" w:rsidR="00CC55C1" w:rsidRPr="00CE637A" w:rsidRDefault="00CC55C1" w:rsidP="00781D67">
      <w:pPr>
        <w:spacing w:before="240" w:line="360" w:lineRule="auto"/>
        <w:jc w:val="both"/>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3.3 Research Approach </w:t>
      </w:r>
    </w:p>
    <w:p w14:paraId="61C669F8" w14:textId="77777777" w:rsidR="00CC55C1" w:rsidRPr="007D5CF2"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Research approach refers to the sequence of logical steps in which evidence is used to provide an answer to the research question (Saunders et al., 2012; </w:t>
      </w:r>
      <w:r w:rsidRPr="007D5CF2">
        <w:rPr>
          <w:rFonts w:ascii="Arial" w:eastAsia="Calibri" w:hAnsi="Arial" w:cs="Arial"/>
          <w:color w:val="222222"/>
          <w:kern w:val="0"/>
          <w:shd w:val="clear" w:color="auto" w:fill="FFFFFF"/>
          <w:lang w:eastAsia="en-US"/>
          <w14:ligatures w14:val="none"/>
        </w:rPr>
        <w:t>Ragab &amp; Arisha, 2018</w:t>
      </w:r>
      <w:r w:rsidRPr="007D5CF2">
        <w:rPr>
          <w:rFonts w:ascii="Arial" w:eastAsia="Times New Roman" w:hAnsi="Arial" w:cs="Arial"/>
          <w:kern w:val="0"/>
          <w:lang w:eastAsia="en-GB"/>
          <w14:ligatures w14:val="none"/>
        </w:rPr>
        <w:t xml:space="preserve">). This study uses an inductive research method, as it aims to explore existing evidence and to develop themes, rather than testing pre-determined hypotheses (Thomas, 2006; </w:t>
      </w:r>
      <w:r w:rsidRPr="007D5CF2">
        <w:rPr>
          <w:rFonts w:ascii="Arial" w:eastAsia="Calibri" w:hAnsi="Arial" w:cs="Arial"/>
          <w:color w:val="222222"/>
          <w:kern w:val="0"/>
          <w:shd w:val="clear" w:color="auto" w:fill="FFFFFF"/>
          <w:lang w:eastAsia="en-US"/>
          <w14:ligatures w14:val="none"/>
        </w:rPr>
        <w:t>Elliott &amp; Timulak, 2021</w:t>
      </w:r>
      <w:r w:rsidRPr="007D5CF2">
        <w:rPr>
          <w:rFonts w:ascii="Arial" w:eastAsia="Times New Roman" w:hAnsi="Arial" w:cs="Arial"/>
          <w:kern w:val="0"/>
          <w:lang w:eastAsia="en-GB"/>
          <w14:ligatures w14:val="none"/>
        </w:rPr>
        <w:t>). Qualitative research is predominantly found in inductive research to gain an understanding of complex social issues based on existing observations and published findings (</w:t>
      </w:r>
      <w:r w:rsidRPr="007D5CF2">
        <w:rPr>
          <w:rFonts w:ascii="Arial" w:eastAsia="Calibri" w:hAnsi="Arial" w:cs="Arial"/>
          <w:color w:val="222222"/>
          <w:kern w:val="0"/>
          <w:shd w:val="clear" w:color="auto" w:fill="FFFFFF"/>
          <w:lang w:eastAsia="en-US"/>
          <w14:ligatures w14:val="none"/>
        </w:rPr>
        <w:t>Clark et al.,</w:t>
      </w:r>
      <w:r w:rsidRPr="007D5CF2">
        <w:rPr>
          <w:rFonts w:ascii="Arial" w:eastAsia="Times New Roman" w:hAnsi="Arial" w:cs="Arial"/>
          <w:kern w:val="0"/>
          <w:lang w:eastAsia="en-GB"/>
          <w14:ligatures w14:val="none"/>
        </w:rPr>
        <w:t xml:space="preserve"> 2021).</w:t>
      </w:r>
    </w:p>
    <w:p w14:paraId="13DC2E55" w14:textId="77777777" w:rsidR="00CC55C1" w:rsidRPr="007D5CF2"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inductive approach complements the qualitative secondary research methodology, which allows for the synthesis of evidence from primary qualitative studies with separately analysable qualitative findings and policy documents about young adults' access to mental health services (Snyder, 2019). The study does not attempt to measure statistical relationships, but rather the themes that have been identified in the literature when considering barriers and enablers. These themes are then followed up with interpretation based on Andersen's Behavioural Model of Health Service Use and the Health Belief Model, which offer a theoretical explanation for the healthcare utilisation of the young adults (Andersen, 1995; Rosenstock et al., 1988). The inductive approach thus enables a rich and context-sensitive understanding of the accessibility of mental health services.</w:t>
      </w:r>
    </w:p>
    <w:p w14:paraId="00EA2130" w14:textId="77777777" w:rsidR="00CC55C1" w:rsidRPr="00CE637A" w:rsidRDefault="00CC55C1" w:rsidP="00781D67">
      <w:pPr>
        <w:spacing w:before="240" w:line="360" w:lineRule="auto"/>
        <w:jc w:val="both"/>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3.4 Research Design </w:t>
      </w:r>
    </w:p>
    <w:p w14:paraId="1BADB486" w14:textId="77777777" w:rsidR="00A554E2"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Research design gives the general outline of the study and ensures the research question is dealt with systematically and transparently (Creswell and Creswell, 2023; </w:t>
      </w:r>
      <w:r w:rsidRPr="007D5CF2">
        <w:rPr>
          <w:rFonts w:ascii="Arial" w:eastAsia="Calibri" w:hAnsi="Arial" w:cs="Arial"/>
          <w:kern w:val="0"/>
          <w:lang w:eastAsia="en-US"/>
          <w14:ligatures w14:val="none"/>
        </w:rPr>
        <w:t xml:space="preserve">Tang, 2025; </w:t>
      </w:r>
      <w:proofErr w:type="spellStart"/>
      <w:r w:rsidRPr="007D5CF2">
        <w:rPr>
          <w:rFonts w:ascii="Arial" w:eastAsia="Calibri" w:hAnsi="Arial" w:cs="Arial"/>
          <w:kern w:val="0"/>
          <w:lang w:eastAsia="en-US"/>
          <w14:ligatures w14:val="none"/>
        </w:rPr>
        <w:t>Takona</w:t>
      </w:r>
      <w:proofErr w:type="spellEnd"/>
      <w:r w:rsidRPr="007D5CF2">
        <w:rPr>
          <w:rFonts w:ascii="Arial" w:eastAsia="Calibri" w:hAnsi="Arial" w:cs="Arial"/>
          <w:kern w:val="0"/>
          <w:lang w:eastAsia="en-US"/>
          <w14:ligatures w14:val="none"/>
        </w:rPr>
        <w:t>, 2024</w:t>
      </w:r>
      <w:r w:rsidRPr="007D5CF2">
        <w:rPr>
          <w:rFonts w:ascii="Arial" w:eastAsia="Times New Roman" w:hAnsi="Arial" w:cs="Arial"/>
          <w:kern w:val="0"/>
          <w:lang w:eastAsia="en-GB"/>
          <w14:ligatures w14:val="none"/>
        </w:rPr>
        <w:t xml:space="preserve">). This dissertation uses secondary research, a qualitative approach which aims at identifying, critically appraising and synthesising existing evidence systematically, without the collection of primary data (Johnston, 2017; </w:t>
      </w:r>
      <w:r w:rsidRPr="007D5CF2">
        <w:rPr>
          <w:rFonts w:ascii="Arial" w:eastAsia="Calibri" w:hAnsi="Arial" w:cs="Arial"/>
          <w:color w:val="222222"/>
          <w:kern w:val="0"/>
          <w:shd w:val="clear" w:color="auto" w:fill="FFFFFF"/>
          <w:lang w:eastAsia="en-US"/>
          <w14:ligatures w14:val="none"/>
        </w:rPr>
        <w:t>Wickham, 2019</w:t>
      </w:r>
      <w:r w:rsidRPr="007D5CF2">
        <w:rPr>
          <w:rFonts w:ascii="Arial" w:eastAsia="Times New Roman" w:hAnsi="Arial" w:cs="Arial"/>
          <w:kern w:val="0"/>
          <w:lang w:eastAsia="en-GB"/>
          <w14:ligatures w14:val="none"/>
        </w:rPr>
        <w:t>). This design was chosen because much research has been completed on young adults' access to mental health services in the United Kingdom, and the results from several studies could be incorporated into a comprehensive understanding of the research problem (Snyder, 2019).</w:t>
      </w:r>
    </w:p>
    <w:p w14:paraId="332DD5E4" w14:textId="24604116" w:rsidR="0015086A" w:rsidRDefault="00B25535" w:rsidP="00781D67">
      <w:pPr>
        <w:spacing w:before="24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CC55C1" w:rsidRPr="007D5CF2">
        <w:rPr>
          <w:rFonts w:ascii="Arial" w:eastAsia="Times New Roman" w:hAnsi="Arial" w:cs="Arial"/>
          <w:kern w:val="0"/>
          <w:lang w:eastAsia="en-GB"/>
          <w14:ligatures w14:val="none"/>
        </w:rPr>
        <w:t>Booth et al. (2016) indicate that a qualitative secondary research design is especially suited for the analysis of complex public health issues, because it allows for comparisons of evidence produced in various contexts, populations and research approaches. In contrast to primary qualitative research, which is conducted on a small sample or in a specific context, secondary research uses a more extensive evidence base, resulting in more depth and breadth in the analysis. The study used peer-reviewed journal articles as the principal evidence base, supplemented by relevant reports from recognised organisations such as NHS England, NICE, OHID and the World Health Organisation for contextual and policy information.</w:t>
      </w:r>
      <w:r>
        <w:rPr>
          <w:rFonts w:ascii="Arial" w:eastAsia="Times New Roman" w:hAnsi="Arial" w:cs="Arial"/>
          <w:kern w:val="0"/>
          <w:lang w:eastAsia="en-GB"/>
          <w14:ligatures w14:val="none"/>
        </w:rPr>
        <w:t xml:space="preserve"> </w:t>
      </w:r>
      <w:r w:rsidR="00CC55C1" w:rsidRPr="007D5CF2">
        <w:rPr>
          <w:rFonts w:ascii="Arial" w:eastAsia="Times New Roman" w:hAnsi="Arial" w:cs="Arial"/>
          <w:kern w:val="0"/>
          <w:lang w:eastAsia="en-GB"/>
          <w14:ligatures w14:val="none"/>
        </w:rPr>
        <w:t>The literature review included literature published in the last 10 years (2016–2026) to ensure that it was based on the current evidence. Theoretical papers, however, continued to be relevant, such as Andersen's Behavioural Model of Health Service Use (1995) and the Health Belief Model (Rosenstock et al., 1988), which were retained. While secondary research relies on the quality of the available evidence, the findings from this type of research were enhanced in terms of credibility and trustworthiness by systematic study selection and critical appraisal (Booth et al., 2016).</w:t>
      </w:r>
      <w:r>
        <w:rPr>
          <w:rFonts w:ascii="Arial" w:eastAsia="Times New Roman" w:hAnsi="Arial" w:cs="Arial"/>
          <w:kern w:val="0"/>
          <w:lang w:eastAsia="en-GB"/>
          <w14:ligatures w14:val="none"/>
        </w:rPr>
        <w:t xml:space="preserve"> </w:t>
      </w:r>
    </w:p>
    <w:p w14:paraId="4E2B6BAE" w14:textId="021D2555" w:rsidR="00CC55C1"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final evidence base comprised 12 studies addressing different dimensions of young people's access to mental health services. These included studies examining community and cultural engagement (Baxter et al., 2022), transition from child to adult mental health services (Broad et al., 2017), digital webchat support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mental health assessment (Dorata et al., 2025), implementation of psychological interventions in educational settings (Gee et al., 2021), young people's perspectives on mental health support (Holding et al., 2022), behavioural activation for depression (Kitchen et al., 2023), social media discussions in primary care (Plackett et al., 2026), waiting lists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culturally influenced help seeking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implementation of youth mental health models (Reed et al., 2025), and help seeking among young adults (Salaheddin and Mason, 2016).</w:t>
      </w:r>
    </w:p>
    <w:p w14:paraId="5A4B56D8" w14:textId="77777777" w:rsidR="00C566A0" w:rsidRPr="007D5CF2" w:rsidRDefault="00C566A0" w:rsidP="00781D67">
      <w:pPr>
        <w:spacing w:before="240" w:line="360" w:lineRule="auto"/>
        <w:jc w:val="both"/>
        <w:rPr>
          <w:rFonts w:ascii="Arial" w:eastAsia="Times New Roman" w:hAnsi="Arial" w:cs="Arial"/>
          <w:kern w:val="0"/>
          <w:lang w:eastAsia="en-GB"/>
          <w14:ligatures w14:val="none"/>
        </w:rPr>
      </w:pPr>
    </w:p>
    <w:p w14:paraId="72CEC0E2" w14:textId="77777777" w:rsidR="00CC55C1" w:rsidRPr="00CE637A" w:rsidRDefault="00CC55C1" w:rsidP="00781D67">
      <w:pPr>
        <w:spacing w:before="240" w:line="360" w:lineRule="auto"/>
        <w:jc w:val="both"/>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3.5 Search Strategy and Data Sources </w:t>
      </w:r>
    </w:p>
    <w:p w14:paraId="6F58ACFD" w14:textId="77777777" w:rsidR="00D34153"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 systematic search strategy was designed to locate relevant literature that explored barriers and enablers to access to mental health services for young adults (aged 18-25 years) in the United Kingdom. Qualitative secondary research (QSR) benefits from a structured search process, as it enhances transparency, reproducibility and comprehensiveness, while also minimising the risk of selection bias in the search process (Booth et al., 2016; Snyder, 2019).</w:t>
      </w:r>
      <w:r w:rsidR="00C566A0">
        <w:rPr>
          <w:rFonts w:ascii="Arial" w:eastAsia="Times New Roman" w:hAnsi="Arial" w:cs="Arial"/>
          <w:kern w:val="0"/>
          <w:lang w:eastAsia="en-GB"/>
          <w14:ligatures w14:val="none"/>
        </w:rPr>
        <w:t xml:space="preserve"> </w:t>
      </w:r>
      <w:r w:rsidR="002D7F54">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Electronic searching was conducted in CINAHL Complete, MEDLINE (EBSCOhost), PubMed, PsycINFO, Scopus and Google Scholar, which are the most comprehensive databases for coverage of nursing, health services research, public health, and psychology (</w:t>
      </w:r>
      <w:r w:rsidRPr="007D5CF2">
        <w:rPr>
          <w:rFonts w:ascii="Arial" w:eastAsia="Calibri" w:hAnsi="Arial" w:cs="Arial"/>
          <w:color w:val="222222"/>
          <w:kern w:val="0"/>
          <w:shd w:val="clear" w:color="auto" w:fill="FFFFFF"/>
          <w:lang w:eastAsia="en-US"/>
          <w14:ligatures w14:val="none"/>
        </w:rPr>
        <w:t>Gough &amp; Richardson</w:t>
      </w:r>
      <w:r w:rsidRPr="007D5CF2">
        <w:rPr>
          <w:rFonts w:ascii="Arial" w:eastAsia="Times New Roman" w:hAnsi="Arial" w:cs="Arial"/>
          <w:kern w:val="0"/>
          <w:lang w:eastAsia="en-GB"/>
          <w14:ligatures w14:val="none"/>
        </w:rPr>
        <w:t>, 2024). Grey literature was identified using recognised organisations to supplement peer-reviewed literature, such as NHS England, NICE, OHID, ONS, DHSC and WHO. These sources offered up-to-date policy documents, epidemiological data and national statistics related to the provision of mental health services.</w:t>
      </w:r>
      <w:r w:rsidR="002D7F54">
        <w:rPr>
          <w:rFonts w:ascii="Arial" w:eastAsia="Times New Roman" w:hAnsi="Arial" w:cs="Arial"/>
          <w:kern w:val="0"/>
          <w:lang w:eastAsia="en-GB"/>
          <w14:ligatures w14:val="none"/>
        </w:rPr>
        <w:t xml:space="preserve"> </w:t>
      </w:r>
    </w:p>
    <w:p w14:paraId="620B3BC2" w14:textId="44439284" w:rsidR="00CC55C1" w:rsidRPr="007D5CF2" w:rsidRDefault="00CC55C1" w:rsidP="00781D67">
      <w:pPr>
        <w:spacing w:before="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search strategy used keywords, Medical Subject Headings (</w:t>
      </w:r>
      <w:proofErr w:type="spellStart"/>
      <w:r w:rsidRPr="007D5CF2">
        <w:rPr>
          <w:rFonts w:ascii="Arial" w:eastAsia="Times New Roman" w:hAnsi="Arial" w:cs="Arial"/>
          <w:kern w:val="0"/>
          <w:lang w:eastAsia="en-GB"/>
          <w14:ligatures w14:val="none"/>
        </w:rPr>
        <w:t>MeSH</w:t>
      </w:r>
      <w:proofErr w:type="spellEnd"/>
      <w:r w:rsidRPr="007D5CF2">
        <w:rPr>
          <w:rFonts w:ascii="Arial" w:eastAsia="Times New Roman" w:hAnsi="Arial" w:cs="Arial"/>
          <w:kern w:val="0"/>
          <w:lang w:eastAsia="en-GB"/>
          <w14:ligatures w14:val="none"/>
        </w:rPr>
        <w:t>) and Boolean operators AND</w:t>
      </w:r>
      <w:r w:rsidR="0037252D">
        <w:rPr>
          <w:rFonts w:ascii="Arial" w:eastAsia="Times New Roman" w:hAnsi="Arial" w:cs="Arial"/>
          <w:kern w:val="0"/>
          <w:lang w:eastAsia="en-GB"/>
          <w14:ligatures w14:val="none"/>
        </w:rPr>
        <w:t>,</w:t>
      </w:r>
      <w:r w:rsidRPr="007D5CF2">
        <w:rPr>
          <w:rFonts w:ascii="Arial" w:eastAsia="Times New Roman" w:hAnsi="Arial" w:cs="Arial"/>
          <w:kern w:val="0"/>
          <w:lang w:eastAsia="en-GB"/>
          <w14:ligatures w14:val="none"/>
        </w:rPr>
        <w:t xml:space="preserve"> </w:t>
      </w:r>
      <w:r w:rsidR="00E839F3" w:rsidRPr="007D5CF2">
        <w:rPr>
          <w:rFonts w:ascii="Arial" w:eastAsia="Times New Roman" w:hAnsi="Arial" w:cs="Arial"/>
          <w:kern w:val="0"/>
          <w:lang w:eastAsia="en-GB"/>
          <w14:ligatures w14:val="none"/>
        </w:rPr>
        <w:t>OR</w:t>
      </w:r>
      <w:r w:rsidR="00E839F3">
        <w:rPr>
          <w:rFonts w:ascii="Arial" w:eastAsia="Times New Roman" w:hAnsi="Arial" w:cs="Arial"/>
          <w:kern w:val="0"/>
          <w:lang w:eastAsia="en-GB"/>
          <w14:ligatures w14:val="none"/>
        </w:rPr>
        <w:t xml:space="preserve"> </w:t>
      </w:r>
      <w:r w:rsidR="00E839F3" w:rsidRPr="007D5CF2">
        <w:rPr>
          <w:rFonts w:ascii="Arial" w:eastAsia="Times New Roman" w:hAnsi="Arial" w:cs="Arial"/>
          <w:kern w:val="0"/>
          <w:lang w:eastAsia="en-GB"/>
          <w14:ligatures w14:val="none"/>
        </w:rPr>
        <w:t>to</w:t>
      </w:r>
      <w:r w:rsidRPr="007D5CF2">
        <w:rPr>
          <w:rFonts w:ascii="Arial" w:eastAsia="Times New Roman" w:hAnsi="Arial" w:cs="Arial"/>
          <w:kern w:val="0"/>
          <w:lang w:eastAsia="en-GB"/>
          <w14:ligatures w14:val="none"/>
        </w:rPr>
        <w:t xml:space="preserve"> get the most relevant search results. The following search terms were used: mental health services; young adults; 18-25 years; help-seeking; barriers; enablers; and United Kingdom. The search was restricted to English-language publications from 2016 to 2026 to ensure that the review was based on contemporary evidence. Where appropriate, seminal theoretical and methodological papers were kept </w:t>
      </w:r>
      <w:r w:rsidR="00CE637A" w:rsidRPr="007D5CF2">
        <w:rPr>
          <w:rFonts w:ascii="Arial" w:eastAsia="Times New Roman" w:hAnsi="Arial" w:cs="Arial"/>
          <w:kern w:val="0"/>
          <w:lang w:eastAsia="en-GB"/>
          <w14:ligatures w14:val="none"/>
        </w:rPr>
        <w:t>complementing</w:t>
      </w:r>
      <w:r w:rsidRPr="007D5CF2">
        <w:rPr>
          <w:rFonts w:ascii="Arial" w:eastAsia="Times New Roman" w:hAnsi="Arial" w:cs="Arial"/>
          <w:kern w:val="0"/>
          <w:lang w:eastAsia="en-GB"/>
          <w14:ligatures w14:val="none"/>
        </w:rPr>
        <w:t xml:space="preserve"> the conceptual framework.</w:t>
      </w:r>
      <w:r w:rsidR="00B25535">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After the searches, duplicate records were eliminated, and the titles and abstracts were subjected to the predefined inclusion and exclusion criteria. Full-text articles that met the inclusion criteria were subsequently evaluated. </w:t>
      </w:r>
      <w:r w:rsidR="00231AEE" w:rsidRPr="007D5CF2">
        <w:rPr>
          <w:rFonts w:ascii="Arial" w:eastAsia="Times New Roman" w:hAnsi="Arial" w:cs="Arial"/>
          <w:kern w:val="0"/>
          <w:lang w:eastAsia="en-GB"/>
          <w14:ligatures w14:val="none"/>
        </w:rPr>
        <w:t>The study-selection process was undertaken transparently in accordance with the PRISMA 2020 guidelines and is presented in Chapter Four using a PRISMA flow diagram (Page et al., 2021; Brennan and Munn, 2021</w:t>
      </w:r>
      <w:r w:rsidRPr="007D5CF2">
        <w:rPr>
          <w:rFonts w:ascii="Arial" w:eastAsia="Times New Roman" w:hAnsi="Arial" w:cs="Arial"/>
          <w:kern w:val="0"/>
          <w:lang w:eastAsia="en-GB"/>
          <w14:ligatures w14:val="none"/>
        </w:rPr>
        <w:t>).</w:t>
      </w:r>
    </w:p>
    <w:p w14:paraId="64007444" w14:textId="77777777" w:rsidR="00CC55C1" w:rsidRPr="00CE637A" w:rsidRDefault="00CC55C1" w:rsidP="00781D67">
      <w:pPr>
        <w:spacing w:before="240" w:line="360" w:lineRule="auto"/>
        <w:jc w:val="both"/>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3.6 Inclusion and Exclusion Criteria </w:t>
      </w:r>
    </w:p>
    <w:p w14:paraId="0079500A" w14:textId="77777777" w:rsidR="00CC55C1" w:rsidRPr="007D5CF2" w:rsidRDefault="00CC55C1" w:rsidP="00781D67">
      <w:pPr>
        <w:spacing w:before="240" w:line="360" w:lineRule="auto"/>
        <w:jc w:val="both"/>
        <w:rPr>
          <w:rFonts w:ascii="Arial" w:eastAsia="Calibri" w:hAnsi="Arial" w:cs="Arial"/>
          <w:b/>
          <w:kern w:val="0"/>
          <w:lang w:eastAsia="en-US"/>
          <w14:ligatures w14:val="none"/>
        </w:rPr>
      </w:pPr>
      <w:r w:rsidRPr="007D5CF2">
        <w:rPr>
          <w:rFonts w:ascii="Arial" w:eastAsia="Times New Roman" w:hAnsi="Arial" w:cs="Arial"/>
          <w:kern w:val="0"/>
          <w:lang w:eastAsia="en-GB"/>
          <w14:ligatures w14:val="none"/>
        </w:rPr>
        <w:t>Pre-defined inclusion/exclusion criteria were developed to ensure that the literature review was kept focused, transparent and relevant to the research question, prior to the screening process. In qualitative secondary research, eligibility criteria are especially important to clearly articulate since they help to reduce selection bias and ensure that only research studies that are directly relevant to the research aims are included (Booth et al., 2016; Page et al., 2021). The criteria were developed in line with the study aims and guidance for conducting systematic literature reviews in health and social care (Snyder, 2019).</w:t>
      </w:r>
    </w:p>
    <w:tbl>
      <w:tblPr>
        <w:tblStyle w:val="TableGrid1"/>
        <w:tblW w:w="0" w:type="auto"/>
        <w:tblLook w:val="04A0" w:firstRow="1" w:lastRow="0" w:firstColumn="1" w:lastColumn="0" w:noHBand="0" w:noVBand="1"/>
      </w:tblPr>
      <w:tblGrid>
        <w:gridCol w:w="5833"/>
        <w:gridCol w:w="3183"/>
      </w:tblGrid>
      <w:tr w:rsidR="00CC55C1" w:rsidRPr="007D5CF2" w14:paraId="27B8D26B" w14:textId="77777777" w:rsidTr="000E2B9E">
        <w:trPr>
          <w:tblHeader/>
        </w:trPr>
        <w:tc>
          <w:tcPr>
            <w:tcW w:w="5875" w:type="dxa"/>
            <w:vAlign w:val="center"/>
          </w:tcPr>
          <w:p w14:paraId="4900425C" w14:textId="77777777" w:rsidR="00CC55C1" w:rsidRPr="007D5CF2" w:rsidRDefault="00CC55C1" w:rsidP="00781D67">
            <w:pPr>
              <w:spacing w:before="240" w:after="240" w:line="360" w:lineRule="auto"/>
              <w:rPr>
                <w:rFonts w:ascii="Arial" w:hAnsi="Arial" w:cs="Arial"/>
                <w:b/>
                <w:bCs/>
              </w:rPr>
            </w:pPr>
            <w:r w:rsidRPr="007D5CF2">
              <w:rPr>
                <w:rFonts w:ascii="Arial" w:hAnsi="Arial" w:cs="Arial"/>
                <w:b/>
                <w:bCs/>
              </w:rPr>
              <w:t>Inclusion Criteria</w:t>
            </w:r>
          </w:p>
        </w:tc>
        <w:tc>
          <w:tcPr>
            <w:tcW w:w="3141" w:type="dxa"/>
            <w:vAlign w:val="center"/>
          </w:tcPr>
          <w:p w14:paraId="29FE9C24" w14:textId="77777777" w:rsidR="00CC55C1" w:rsidRPr="007D5CF2" w:rsidRDefault="00CC55C1" w:rsidP="00781D67">
            <w:pPr>
              <w:spacing w:before="240" w:after="240" w:line="360" w:lineRule="auto"/>
              <w:rPr>
                <w:rFonts w:ascii="Arial" w:hAnsi="Arial" w:cs="Arial"/>
                <w:b/>
                <w:bCs/>
              </w:rPr>
            </w:pPr>
            <w:r w:rsidRPr="007D5CF2">
              <w:rPr>
                <w:rFonts w:ascii="Arial" w:hAnsi="Arial" w:cs="Arial"/>
                <w:b/>
                <w:bCs/>
              </w:rPr>
              <w:t>Exclusion Criteria</w:t>
            </w:r>
          </w:p>
        </w:tc>
      </w:tr>
      <w:tr w:rsidR="00CC55C1" w:rsidRPr="007D5CF2" w14:paraId="0187F80A" w14:textId="77777777" w:rsidTr="000E2B9E">
        <w:trPr>
          <w:tblHeader/>
        </w:trPr>
        <w:tc>
          <w:tcPr>
            <w:tcW w:w="5875" w:type="dxa"/>
            <w:vAlign w:val="center"/>
          </w:tcPr>
          <w:p w14:paraId="786D1554" w14:textId="77777777" w:rsidR="00CC55C1" w:rsidRPr="007D5CF2" w:rsidRDefault="00CC55C1" w:rsidP="00781D67">
            <w:pPr>
              <w:spacing w:before="240" w:after="240" w:line="360" w:lineRule="auto"/>
              <w:rPr>
                <w:rFonts w:ascii="Arial" w:hAnsi="Arial" w:cs="Arial"/>
              </w:rPr>
            </w:pPr>
            <w:r w:rsidRPr="007D5CF2">
              <w:rPr>
                <w:rFonts w:ascii="Arial" w:hAnsi="Arial" w:cs="Arial"/>
              </w:rPr>
              <w:t>Peer-reviewed journal articles</w:t>
            </w:r>
          </w:p>
        </w:tc>
        <w:tc>
          <w:tcPr>
            <w:tcW w:w="3141" w:type="dxa"/>
            <w:vAlign w:val="center"/>
          </w:tcPr>
          <w:p w14:paraId="0BD83C24" w14:textId="77777777" w:rsidR="00CC55C1" w:rsidRPr="007D5CF2" w:rsidRDefault="00CC55C1" w:rsidP="00781D67">
            <w:pPr>
              <w:spacing w:before="240" w:after="240" w:line="360" w:lineRule="auto"/>
              <w:rPr>
                <w:rFonts w:ascii="Arial" w:hAnsi="Arial" w:cs="Arial"/>
              </w:rPr>
            </w:pPr>
            <w:r w:rsidRPr="007D5CF2">
              <w:rPr>
                <w:rFonts w:ascii="Arial" w:hAnsi="Arial" w:cs="Arial"/>
              </w:rPr>
              <w:t>Conference abstracts, editorials, opinion papers and unpublished dissertations</w:t>
            </w:r>
          </w:p>
        </w:tc>
      </w:tr>
      <w:tr w:rsidR="00CC55C1" w:rsidRPr="007D5CF2" w14:paraId="6AEF228E" w14:textId="77777777" w:rsidTr="000E2B9E">
        <w:trPr>
          <w:tblHeader/>
        </w:trPr>
        <w:tc>
          <w:tcPr>
            <w:tcW w:w="5875" w:type="dxa"/>
            <w:vAlign w:val="center"/>
          </w:tcPr>
          <w:p w14:paraId="58434BA2" w14:textId="77777777" w:rsidR="00CC55C1" w:rsidRPr="007D5CF2" w:rsidRDefault="00CC55C1" w:rsidP="00781D67">
            <w:pPr>
              <w:spacing w:before="240" w:after="240" w:line="360" w:lineRule="auto"/>
              <w:rPr>
                <w:rFonts w:ascii="Arial" w:hAnsi="Arial" w:cs="Arial"/>
              </w:rPr>
            </w:pPr>
            <w:r w:rsidRPr="007D5CF2">
              <w:rPr>
                <w:rFonts w:ascii="Arial" w:hAnsi="Arial" w:cs="Arial"/>
              </w:rPr>
              <w:t xml:space="preserve">Studies published between </w:t>
            </w:r>
            <w:r w:rsidRPr="007D5CF2">
              <w:rPr>
                <w:rFonts w:ascii="Arial" w:hAnsi="Arial" w:cs="Arial"/>
                <w:bCs/>
              </w:rPr>
              <w:t>2016 – 2026</w:t>
            </w:r>
          </w:p>
        </w:tc>
        <w:tc>
          <w:tcPr>
            <w:tcW w:w="3141" w:type="dxa"/>
            <w:vAlign w:val="center"/>
          </w:tcPr>
          <w:p w14:paraId="28B961F1"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published before 2016, except seminal theoretical and methodological literature.</w:t>
            </w:r>
          </w:p>
        </w:tc>
      </w:tr>
      <w:tr w:rsidR="00CC55C1" w:rsidRPr="007D5CF2" w14:paraId="1B40D15F" w14:textId="77777777" w:rsidTr="000E2B9E">
        <w:trPr>
          <w:tblHeader/>
        </w:trPr>
        <w:tc>
          <w:tcPr>
            <w:tcW w:w="5875" w:type="dxa"/>
            <w:vAlign w:val="center"/>
          </w:tcPr>
          <w:p w14:paraId="730D90C7"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conducted within the United Kingdom</w:t>
            </w:r>
          </w:p>
        </w:tc>
        <w:tc>
          <w:tcPr>
            <w:tcW w:w="3141" w:type="dxa"/>
            <w:vAlign w:val="center"/>
          </w:tcPr>
          <w:p w14:paraId="6A781169"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conducted exclusively outside the UK unless theoretically relevant</w:t>
            </w:r>
          </w:p>
        </w:tc>
      </w:tr>
      <w:tr w:rsidR="00CC55C1" w:rsidRPr="007D5CF2" w14:paraId="75B61173" w14:textId="77777777" w:rsidTr="000E2B9E">
        <w:trPr>
          <w:tblHeader/>
        </w:trPr>
        <w:tc>
          <w:tcPr>
            <w:tcW w:w="5875" w:type="dxa"/>
            <w:vAlign w:val="center"/>
          </w:tcPr>
          <w:p w14:paraId="20ACF664" w14:textId="77777777" w:rsidR="00CC55C1" w:rsidRPr="007D5CF2" w:rsidRDefault="00CC55C1" w:rsidP="00781D67">
            <w:pPr>
              <w:spacing w:before="240" w:after="240" w:line="360" w:lineRule="auto"/>
              <w:rPr>
                <w:rFonts w:ascii="Arial" w:hAnsi="Arial" w:cs="Arial"/>
              </w:rPr>
            </w:pPr>
            <w:r w:rsidRPr="007D5CF2">
              <w:rPr>
                <w:rFonts w:ascii="Arial" w:hAnsi="Arial" w:cs="Arial"/>
              </w:rPr>
              <w:t xml:space="preserve">Young adults aged </w:t>
            </w:r>
            <w:r w:rsidRPr="007D5CF2">
              <w:rPr>
                <w:rFonts w:ascii="Arial" w:hAnsi="Arial" w:cs="Arial"/>
                <w:bCs/>
              </w:rPr>
              <w:t>18–25 years</w:t>
            </w:r>
          </w:p>
        </w:tc>
        <w:tc>
          <w:tcPr>
            <w:tcW w:w="3141" w:type="dxa"/>
            <w:vAlign w:val="center"/>
          </w:tcPr>
          <w:p w14:paraId="26751BBE"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focusing on children or older adults</w:t>
            </w:r>
          </w:p>
        </w:tc>
      </w:tr>
      <w:tr w:rsidR="00CC55C1" w:rsidRPr="007D5CF2" w14:paraId="6011D061" w14:textId="77777777" w:rsidTr="000E2B9E">
        <w:trPr>
          <w:tblHeader/>
        </w:trPr>
        <w:tc>
          <w:tcPr>
            <w:tcW w:w="5875" w:type="dxa"/>
            <w:vAlign w:val="center"/>
          </w:tcPr>
          <w:p w14:paraId="64C86947"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examining barriers and/or enablers to accessing mental health services</w:t>
            </w:r>
          </w:p>
        </w:tc>
        <w:tc>
          <w:tcPr>
            <w:tcW w:w="3141" w:type="dxa"/>
            <w:vAlign w:val="center"/>
          </w:tcPr>
          <w:p w14:paraId="777BB669" w14:textId="77777777" w:rsidR="00CC55C1" w:rsidRPr="007D5CF2" w:rsidRDefault="00CC55C1" w:rsidP="00781D67">
            <w:pPr>
              <w:spacing w:before="240" w:after="240" w:line="360" w:lineRule="auto"/>
              <w:rPr>
                <w:rFonts w:ascii="Arial" w:hAnsi="Arial" w:cs="Arial"/>
              </w:rPr>
            </w:pPr>
            <w:r w:rsidRPr="007D5CF2">
              <w:rPr>
                <w:rFonts w:ascii="Arial" w:hAnsi="Arial" w:cs="Arial"/>
              </w:rPr>
              <w:t>Studies focusing only on diagnosis or treatment outcomes</w:t>
            </w:r>
          </w:p>
        </w:tc>
      </w:tr>
      <w:tr w:rsidR="00CC55C1" w:rsidRPr="007D5CF2" w14:paraId="725E3026" w14:textId="77777777" w:rsidTr="000E2B9E">
        <w:trPr>
          <w:tblHeader/>
        </w:trPr>
        <w:tc>
          <w:tcPr>
            <w:tcW w:w="5875" w:type="dxa"/>
            <w:vAlign w:val="center"/>
          </w:tcPr>
          <w:p w14:paraId="26740B5B" w14:textId="77777777" w:rsidR="00CC55C1" w:rsidRPr="007D5CF2" w:rsidRDefault="00CC55C1" w:rsidP="00781D67">
            <w:pPr>
              <w:spacing w:before="240" w:after="240" w:line="360" w:lineRule="auto"/>
              <w:rPr>
                <w:rFonts w:ascii="Arial" w:hAnsi="Arial" w:cs="Arial"/>
              </w:rPr>
            </w:pPr>
            <w:r w:rsidRPr="007D5CF2">
              <w:rPr>
                <w:rFonts w:ascii="Arial" w:hAnsi="Arial" w:cs="Arial"/>
              </w:rPr>
              <w:t>Primary qualitative studies, eligible qualitative evidence syntheses, and mixed-methods studies that report separately analysable qualitative findings.</w:t>
            </w:r>
          </w:p>
        </w:tc>
        <w:tc>
          <w:tcPr>
            <w:tcW w:w="3141" w:type="dxa"/>
            <w:vAlign w:val="center"/>
          </w:tcPr>
          <w:p w14:paraId="4CE46E09" w14:textId="77777777" w:rsidR="00CC55C1" w:rsidRPr="007D5CF2" w:rsidRDefault="00CC55C1" w:rsidP="00781D67">
            <w:pPr>
              <w:spacing w:before="240" w:after="240" w:line="360" w:lineRule="auto"/>
              <w:rPr>
                <w:rFonts w:ascii="Arial" w:hAnsi="Arial" w:cs="Arial"/>
              </w:rPr>
            </w:pPr>
            <w:r w:rsidRPr="007D5CF2">
              <w:rPr>
                <w:rFonts w:ascii="Arial" w:hAnsi="Arial" w:cs="Arial"/>
              </w:rPr>
              <w:t>Quantitative studies, systematic reviews, scoping reviews, narrative reviews, conference abstracts, editorials, opinion papers and studies not addressing access to mental health services</w:t>
            </w:r>
          </w:p>
        </w:tc>
      </w:tr>
      <w:tr w:rsidR="00CC55C1" w:rsidRPr="007D5CF2" w14:paraId="0A3B5C36" w14:textId="77777777" w:rsidTr="000E2B9E">
        <w:trPr>
          <w:tblHeader/>
        </w:trPr>
        <w:tc>
          <w:tcPr>
            <w:tcW w:w="5875" w:type="dxa"/>
            <w:vAlign w:val="center"/>
          </w:tcPr>
          <w:p w14:paraId="226A1CB0" w14:textId="77777777" w:rsidR="00CC55C1" w:rsidRPr="007D5CF2" w:rsidRDefault="00CC55C1" w:rsidP="00781D67">
            <w:pPr>
              <w:spacing w:before="240" w:after="240" w:line="360" w:lineRule="auto"/>
              <w:rPr>
                <w:rFonts w:ascii="Arial" w:hAnsi="Arial" w:cs="Arial"/>
              </w:rPr>
            </w:pPr>
            <w:r w:rsidRPr="007D5CF2">
              <w:rPr>
                <w:rFonts w:ascii="Arial" w:hAnsi="Arial" w:cs="Arial"/>
              </w:rPr>
              <w:t>English-language publications</w:t>
            </w:r>
          </w:p>
        </w:tc>
        <w:tc>
          <w:tcPr>
            <w:tcW w:w="3141" w:type="dxa"/>
            <w:vAlign w:val="center"/>
          </w:tcPr>
          <w:p w14:paraId="5BDB6194" w14:textId="77777777" w:rsidR="00CC55C1" w:rsidRPr="007D5CF2" w:rsidRDefault="00CC55C1" w:rsidP="00781D67">
            <w:pPr>
              <w:spacing w:before="240" w:after="240" w:line="360" w:lineRule="auto"/>
              <w:rPr>
                <w:rFonts w:ascii="Arial" w:hAnsi="Arial" w:cs="Arial"/>
              </w:rPr>
            </w:pPr>
            <w:r w:rsidRPr="007D5CF2">
              <w:rPr>
                <w:rFonts w:ascii="Arial" w:hAnsi="Arial" w:cs="Arial"/>
              </w:rPr>
              <w:t>Non-English publications</w:t>
            </w:r>
          </w:p>
        </w:tc>
      </w:tr>
      <w:tr w:rsidR="00CC55C1" w:rsidRPr="007D5CF2" w14:paraId="35965A80" w14:textId="77777777" w:rsidTr="000E2B9E">
        <w:trPr>
          <w:tblHeader/>
        </w:trPr>
        <w:tc>
          <w:tcPr>
            <w:tcW w:w="0" w:type="auto"/>
            <w:hideMark/>
          </w:tcPr>
          <w:p w14:paraId="224D373F" w14:textId="77777777" w:rsidR="00CC55C1" w:rsidRPr="007D5CF2" w:rsidRDefault="00CC55C1" w:rsidP="00781D67">
            <w:pPr>
              <w:spacing w:before="240" w:after="240" w:line="360" w:lineRule="auto"/>
              <w:rPr>
                <w:rFonts w:ascii="Arial" w:hAnsi="Arial" w:cs="Arial"/>
              </w:rPr>
            </w:pPr>
            <w:r w:rsidRPr="007D5CF2">
              <w:rPr>
                <w:rFonts w:ascii="Arial" w:hAnsi="Arial" w:cs="Arial"/>
              </w:rPr>
              <w:t>Government reports from recognised organisations (e.g. NHS England, NICE, OHID, ONS and WHO)</w:t>
            </w:r>
          </w:p>
        </w:tc>
        <w:tc>
          <w:tcPr>
            <w:tcW w:w="0" w:type="auto"/>
            <w:hideMark/>
          </w:tcPr>
          <w:p w14:paraId="074D2523" w14:textId="77777777" w:rsidR="00CC55C1" w:rsidRPr="007D5CF2" w:rsidRDefault="00CC55C1" w:rsidP="00781D67">
            <w:pPr>
              <w:spacing w:before="240" w:after="240" w:line="360" w:lineRule="auto"/>
              <w:rPr>
                <w:rFonts w:ascii="Arial" w:hAnsi="Arial" w:cs="Arial"/>
              </w:rPr>
            </w:pPr>
            <w:r w:rsidRPr="007D5CF2">
              <w:rPr>
                <w:rFonts w:ascii="Arial" w:hAnsi="Arial" w:cs="Arial"/>
              </w:rPr>
              <w:t>Unverified websites and non-credible sources</w:t>
            </w:r>
          </w:p>
        </w:tc>
      </w:tr>
    </w:tbl>
    <w:p w14:paraId="641AAF79" w14:textId="77777777" w:rsidR="00CC55C1" w:rsidRPr="00CE637A" w:rsidRDefault="00CC55C1" w:rsidP="00781D67">
      <w:pPr>
        <w:spacing w:before="240" w:after="240" w:line="360" w:lineRule="auto"/>
        <w:jc w:val="both"/>
        <w:rPr>
          <w:rFonts w:ascii="Arial" w:eastAsia="Times New Roman" w:hAnsi="Arial" w:cs="Arial"/>
          <w:kern w:val="0"/>
          <w:sz w:val="24"/>
          <w:szCs w:val="24"/>
          <w:lang w:eastAsia="en-GB"/>
          <w14:ligatures w14:val="none"/>
        </w:rPr>
      </w:pPr>
      <w:r w:rsidRPr="00CE637A">
        <w:rPr>
          <w:rFonts w:ascii="Arial" w:eastAsia="Times New Roman" w:hAnsi="Arial" w:cs="Arial"/>
          <w:b/>
          <w:bCs/>
          <w:kern w:val="0"/>
          <w:sz w:val="24"/>
          <w:szCs w:val="24"/>
          <w:lang w:eastAsia="en-GB"/>
          <w14:ligatures w14:val="none"/>
        </w:rPr>
        <w:t>Table 3.1: Inclusion and Exclusion Criteria</w:t>
      </w:r>
      <w:r w:rsidRPr="00CE637A">
        <w:rPr>
          <w:rFonts w:ascii="Arial" w:eastAsia="Times New Roman" w:hAnsi="Arial" w:cs="Arial"/>
          <w:kern w:val="0"/>
          <w:sz w:val="24"/>
          <w:szCs w:val="24"/>
          <w:lang w:eastAsia="en-GB"/>
          <w14:ligatures w14:val="none"/>
        </w:rPr>
        <w:t xml:space="preserve"> </w:t>
      </w:r>
    </w:p>
    <w:p w14:paraId="6E6A1C09" w14:textId="06B0BE00"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Systematic reviews, scoping reviews and narrative reviews were excluded from the evidence synthesis in accordance with the study requirements. However, eligible qualitative evidence syntheses were considered where they provided directly relevant qualitative findings concerning young people's experiences of mental health service access and were methodologically appropriate to the review question. These were distinguished from systematic reviews and were appraised according to their methodological design.</w:t>
      </w:r>
      <w:r w:rsidR="0037252D">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Mixed-methods studies were eligible only where the qualitative findings could be clearly identified and extracted separately from the quantitative results. Studies conducted within the UK were prioritised because of differences in healthcare systems, referral pathways and mental health policies in other countries. Focusing on UK literature enhanced the relevance of the findings to mental health service provision within the National Health Service in the United Kingdom. Theoretical and methodological works, such as the Behavioural Model of Health Service Use (Andersen, 1995), the Health Belief Model (Rosenstock et al., 1988) and Braun and Clarke's (2022) Handbook of Thematic Analysis, were retained because they remain relevant to the interpretation of healthcare utilisation and qualitative analysis.</w:t>
      </w:r>
    </w:p>
    <w:p w14:paraId="77C269E5" w14:textId="77777777" w:rsidR="00CC55C1" w:rsidRPr="007D5CF2" w:rsidRDefault="00CC55C1" w:rsidP="00781D67">
      <w:pPr>
        <w:spacing w:before="240" w:beforeAutospacing="1" w:after="240" w:afterAutospacing="1" w:line="360" w:lineRule="auto"/>
        <w:jc w:val="both"/>
        <w:outlineLvl w:val="0"/>
        <w:rPr>
          <w:rFonts w:ascii="Arial" w:eastAsia="Times New Roman" w:hAnsi="Arial" w:cs="Arial"/>
          <w:b/>
          <w:kern w:val="0"/>
          <w:lang w:eastAsia="en-GB"/>
          <w14:ligatures w14:val="none"/>
        </w:rPr>
      </w:pPr>
      <w:r w:rsidRPr="007D5CF2">
        <w:rPr>
          <w:rFonts w:ascii="Arial" w:eastAsia="Times New Roman" w:hAnsi="Arial" w:cs="Arial"/>
          <w:b/>
          <w:kern w:val="0"/>
          <w:lang w:eastAsia="en-GB"/>
          <w14:ligatures w14:val="none"/>
        </w:rPr>
        <w:t xml:space="preserve">3.7 </w:t>
      </w:r>
      <w:r w:rsidRPr="00CE637A">
        <w:rPr>
          <w:rFonts w:ascii="Arial" w:eastAsia="Times New Roman" w:hAnsi="Arial" w:cs="Arial"/>
          <w:b/>
          <w:kern w:val="0"/>
          <w:sz w:val="24"/>
          <w:szCs w:val="24"/>
          <w:lang w:eastAsia="en-GB"/>
          <w14:ligatures w14:val="none"/>
        </w:rPr>
        <w:t>Quality Appraisal of Included Studies</w:t>
      </w:r>
      <w:r w:rsidRPr="007D5CF2">
        <w:rPr>
          <w:rFonts w:ascii="Arial" w:eastAsia="Times New Roman" w:hAnsi="Arial" w:cs="Arial"/>
          <w:b/>
          <w:kern w:val="0"/>
          <w:lang w:eastAsia="en-GB"/>
          <w14:ligatures w14:val="none"/>
        </w:rPr>
        <w:t xml:space="preserve"> </w:t>
      </w:r>
    </w:p>
    <w:p w14:paraId="7865744B" w14:textId="77777777"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methodological quality of the included studies was assessed using critical appraisal tools appropriate to the methodological design of each study. The CASP Qualitative Checklist was used for primary qualitative studies, while an appropriate appraisal framework was applied to studies using other methodological designs. Qualitative evidence syntheses were assessed according to their synthesis methodology. The appraisal considered methodological rigour, credibility, relevance, ethical considerations, data collection and analysis. Studies were not assigned numerical quality scores; instead, appraisal findings were used to assess the strengths and limitations of the evidence and to inform interpretation of the thematic synthesis.</w:t>
      </w:r>
    </w:p>
    <w:p w14:paraId="672B560F"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3.8 Data Analysis </w:t>
      </w:r>
    </w:p>
    <w:p w14:paraId="12A092B4" w14:textId="16A76D6B"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literature selected was analysed using a reflexive thematic analysis, which is a widely used approach to identify, analyse and interpret patterns in qualitative data (Braun and Clarke, 2022). This method was deemed suitable in this study because the barriers and enablers to mental health services were to be explored, but not statistical relationships (Braun and Clarke, 2022; Nowell et al., 2017).</w:t>
      </w:r>
      <w:r w:rsidR="009B0CAC">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Analysis was done in accordance with Braun and Clarke's (2022) six-phase framework. The first step was to re-read the included studies many times to become accustomed to the aims, methods, and results of the studies. Pieces of text that were relevant to the research question were then coded inductively; that is, ideas were developed from the data rather than imposed on it. These similar codes were then collapsed into larger themes, which indicated common themes throughout the literature. The themes were taken up and developed to be in line with the results of the studies included and the purposes of the research.</w:t>
      </w:r>
      <w:r w:rsidR="0067693B">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The four themes identified within the final thematic framework were: individual barriers, structural/organisational barriers, socioeconomic/cultural barriers and enablers to accessing mental health services. The four themes identified through the analysis formed the framework for presenting the findings in Chapter Four. Andersen's Behavioural Model of Health Service Use and the Health Belief Model were subsequently used in Chapter Five to support interpretation and discussion of the findings.</w:t>
      </w:r>
      <w:r w:rsidR="0067693B">
        <w:rPr>
          <w:rFonts w:ascii="Arial" w:eastAsia="Times New Roman" w:hAnsi="Arial" w:cs="Arial"/>
          <w:kern w:val="0"/>
          <w:lang w:eastAsia="en-GB"/>
          <w14:ligatures w14:val="none"/>
        </w:rPr>
        <w:t xml:space="preserve"> </w:t>
      </w:r>
      <w:r w:rsidRPr="007D5CF2">
        <w:rPr>
          <w:rFonts w:ascii="Arial" w:eastAsia="Times New Roman" w:hAnsi="Arial" w:cs="Arial"/>
          <w:kern w:val="0"/>
          <w:lang w:eastAsia="en-GB"/>
          <w14:ligatures w14:val="none"/>
        </w:rPr>
        <w:t xml:space="preserve">To support data management, Microsoft Excel was used to develop an evidence matrix documenting study characteristics, methodological quality and key findings. This helped in the systematic comparison of studies and in the transparency of the analytical process (Miles et al., 2013; </w:t>
      </w:r>
      <w:r w:rsidRPr="007D5CF2">
        <w:rPr>
          <w:rFonts w:ascii="Arial" w:eastAsia="Times New Roman" w:hAnsi="Arial" w:cs="Arial"/>
          <w:bCs/>
          <w:color w:val="222222"/>
          <w:kern w:val="36"/>
          <w:shd w:val="clear" w:color="auto" w:fill="FFFFFF"/>
          <w:lang w:eastAsia="en-GB"/>
          <w14:ligatures w14:val="none"/>
        </w:rPr>
        <w:t>Huberman</w:t>
      </w:r>
      <w:r w:rsidRPr="007D5CF2">
        <w:rPr>
          <w:rFonts w:ascii="Arial" w:eastAsia="Times New Roman" w:hAnsi="Arial" w:cs="Arial"/>
          <w:kern w:val="0"/>
          <w:lang w:eastAsia="en-GB"/>
          <w14:ligatures w14:val="none"/>
        </w:rPr>
        <w:t xml:space="preserve"> et al., 2014).</w:t>
      </w:r>
    </w:p>
    <w:p w14:paraId="3528BE0F"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3.9 Ethical Considerations </w:t>
      </w:r>
    </w:p>
    <w:p w14:paraId="5A224689" w14:textId="77777777" w:rsidR="00791C54"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Ethical issues are essential to responsible and ethical research practices. Ethical issues were not a central concern in this dissertation, as no primary data were gathered, but they still were important in this study since the interpretation and reporting of published evidence is an important component of qualitative secondary research (</w:t>
      </w:r>
      <w:r w:rsidRPr="007D5CF2">
        <w:rPr>
          <w:rFonts w:ascii="Arial" w:eastAsia="Times New Roman" w:hAnsi="Arial" w:cs="Arial"/>
          <w:bCs/>
          <w:color w:val="222222"/>
          <w:kern w:val="36"/>
          <w:shd w:val="clear" w:color="auto" w:fill="FFFFFF"/>
          <w:lang w:eastAsia="en-GB"/>
          <w14:ligatures w14:val="none"/>
        </w:rPr>
        <w:t>Clark et al</w:t>
      </w:r>
      <w:r w:rsidRPr="007D5CF2">
        <w:rPr>
          <w:rFonts w:ascii="Arial" w:eastAsia="Times New Roman" w:hAnsi="Arial" w:cs="Arial"/>
          <w:b/>
          <w:bCs/>
          <w:color w:val="222222"/>
          <w:kern w:val="36"/>
          <w:shd w:val="clear" w:color="auto" w:fill="FFFFFF"/>
          <w:lang w:eastAsia="en-GB"/>
          <w14:ligatures w14:val="none"/>
        </w:rPr>
        <w:t>.,</w:t>
      </w:r>
      <w:r w:rsidRPr="007D5CF2">
        <w:rPr>
          <w:rFonts w:ascii="Arial" w:eastAsia="Times New Roman" w:hAnsi="Arial" w:cs="Arial"/>
          <w:bCs/>
          <w:kern w:val="36"/>
          <w:lang w:eastAsia="en-GB"/>
          <w14:ligatures w14:val="none"/>
        </w:rPr>
        <w:t xml:space="preserve"> 2021</w:t>
      </w:r>
      <w:r w:rsidRPr="007D5CF2">
        <w:rPr>
          <w:rFonts w:ascii="Arial" w:eastAsia="Times New Roman" w:hAnsi="Arial" w:cs="Arial"/>
          <w:kern w:val="0"/>
          <w:lang w:eastAsia="en-GB"/>
          <w14:ligatures w14:val="none"/>
        </w:rPr>
        <w:t xml:space="preserve">; Creswell and Creswell, 2023; </w:t>
      </w:r>
      <w:proofErr w:type="spellStart"/>
      <w:r w:rsidRPr="007D5CF2">
        <w:rPr>
          <w:rFonts w:ascii="Arial" w:eastAsia="Times New Roman" w:hAnsi="Arial" w:cs="Arial"/>
          <w:bCs/>
          <w:kern w:val="36"/>
          <w:lang w:eastAsia="en-GB"/>
          <w14:ligatures w14:val="none"/>
        </w:rPr>
        <w:t>Takona</w:t>
      </w:r>
      <w:proofErr w:type="spellEnd"/>
      <w:r w:rsidRPr="007D5CF2">
        <w:rPr>
          <w:rFonts w:ascii="Arial" w:eastAsia="Times New Roman" w:hAnsi="Arial" w:cs="Arial"/>
          <w:bCs/>
          <w:kern w:val="36"/>
          <w:lang w:eastAsia="en-GB"/>
          <w14:ligatures w14:val="none"/>
        </w:rPr>
        <w:t>, 2024</w:t>
      </w:r>
      <w:r w:rsidRPr="007D5CF2">
        <w:rPr>
          <w:rFonts w:ascii="Arial" w:eastAsia="Times New Roman" w:hAnsi="Arial" w:cs="Arial"/>
          <w:kern w:val="0"/>
          <w:lang w:eastAsia="en-GB"/>
          <w14:ligatures w14:val="none"/>
        </w:rPr>
        <w:t>).</w:t>
      </w:r>
      <w:r w:rsidR="00F62F25">
        <w:rPr>
          <w:rFonts w:ascii="Arial" w:eastAsia="Times New Roman" w:hAnsi="Arial" w:cs="Arial"/>
          <w:kern w:val="0"/>
          <w:lang w:eastAsia="en-GB"/>
          <w14:ligatures w14:val="none"/>
        </w:rPr>
        <w:t xml:space="preserve"> </w:t>
      </w:r>
    </w:p>
    <w:p w14:paraId="41D7BCAF" w14:textId="078A27B7"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Issues of participant recruitment, informed consent and confidentiality were not relevant as the study was reliant on secondary data from public sources, which included peer-reviewed journal articles and reports produced by recognised organisations (Johnston, 2017; Snyder, 2019; </w:t>
      </w:r>
      <w:r w:rsidRPr="007D5CF2">
        <w:rPr>
          <w:rFonts w:ascii="Arial" w:eastAsia="Times New Roman" w:hAnsi="Arial" w:cs="Arial"/>
          <w:bCs/>
          <w:color w:val="222222"/>
          <w:kern w:val="36"/>
          <w:shd w:val="clear" w:color="auto" w:fill="FFFFFF"/>
          <w:lang w:eastAsia="en-GB"/>
          <w14:ligatures w14:val="none"/>
        </w:rPr>
        <w:t>Wickham, 2019</w:t>
      </w:r>
      <w:r w:rsidRPr="007D5CF2">
        <w:rPr>
          <w:rFonts w:ascii="Arial" w:eastAsia="Times New Roman" w:hAnsi="Arial" w:cs="Arial"/>
          <w:kern w:val="0"/>
          <w:lang w:eastAsia="en-GB"/>
          <w14:ligatures w14:val="none"/>
        </w:rPr>
        <w:t>). However, the ethical responsibility was upheld by ensuring that the evidence was presented accurately with no selective interpretation. Special care was taken in translating the results of the original studies so that they were not misrepresented in the synthesis process.</w:t>
      </w:r>
    </w:p>
    <w:p w14:paraId="0C6E517B" w14:textId="4F170A20"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All sources cited were used accurately and appropriately in the Harvard referencing style, and the intellectual contribution of original authors was appropriately acknowledged (University of Wales Trinity Saint David, 2024). To ensure that the findings were not plagiarised and adhered to copyright requirements (Booth et al., 2016), the researcher synthesised the findings critically in her own words. Additionally, researcher reflexivity was </w:t>
      </w:r>
      <w:r w:rsidR="00C408E6"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during the analysis, as the researcher's implications for interpreting literature were acknowledged. A transparent search strategy, eligibility criteria, systematic quality appraisal and the structured thematic analysis (CASP, 2024; Braun and Clarke, 2022) were used to minimise this.</w:t>
      </w:r>
    </w:p>
    <w:p w14:paraId="7F388F3B" w14:textId="77777777"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Ethical approval for this dissertation was obtained from the University of Wales Trinity Saint David in accordance with the University's Research Ethics Policy prior to commencement of the study. As no primary data were collected, no additional participant consent or institutional approvals were required. The study complied with the British Psychological Society's Code of Human Research Ethics (BPS, 2021) throughout the research process.</w:t>
      </w:r>
    </w:p>
    <w:p w14:paraId="37DBC970"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3.10 Trustworthiness and Rigour </w:t>
      </w:r>
    </w:p>
    <w:p w14:paraId="05CBA309" w14:textId="603886D1"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Trustworthiness in qualitative research is crucial as it shows that results are credible, dependable and grounded in strong evidence (Lincoln &amp; Guba, 1985; Lee, 2022). To improve methodological rigour, this study used Lincoln and Guba's (1985) framework of credibility, transferability, dependability and confirmability. The systematic identification, selection and critical appraisal of peer-reviewed studies and authoritative reports was undertaken using predetermined inclusion/exclusion criteria and the Critical Appraisal Skills Programme (CASP) checklist (</w:t>
      </w:r>
      <w:r w:rsidRPr="007D5CF2">
        <w:rPr>
          <w:rFonts w:ascii="Arial" w:eastAsia="Times New Roman" w:hAnsi="Arial" w:cs="Arial"/>
          <w:bCs/>
          <w:color w:val="222222"/>
          <w:kern w:val="36"/>
          <w:shd w:val="clear" w:color="auto" w:fill="FFFFFF"/>
          <w:lang w:eastAsia="en-GB"/>
          <w14:ligatures w14:val="none"/>
        </w:rPr>
        <w:t>Frain</w:t>
      </w:r>
      <w:r w:rsidRPr="007D5CF2">
        <w:rPr>
          <w:rFonts w:ascii="Arial" w:eastAsia="Times New Roman" w:hAnsi="Arial" w:cs="Arial"/>
          <w:kern w:val="0"/>
          <w:lang w:eastAsia="en-GB"/>
          <w14:ligatures w14:val="none"/>
        </w:rPr>
        <w:t xml:space="preserve">, 2025; </w:t>
      </w:r>
      <w:r w:rsidRPr="007D5CF2">
        <w:rPr>
          <w:rFonts w:ascii="Arial" w:eastAsia="Times New Roman" w:hAnsi="Arial" w:cs="Arial"/>
          <w:bCs/>
          <w:color w:val="222222"/>
          <w:kern w:val="36"/>
          <w:shd w:val="clear" w:color="auto" w:fill="FFFFFF"/>
          <w:lang w:eastAsia="en-GB"/>
          <w14:ligatures w14:val="none"/>
        </w:rPr>
        <w:t>Hazari, 2024</w:t>
      </w:r>
      <w:r w:rsidRPr="007D5CF2">
        <w:rPr>
          <w:rFonts w:ascii="Arial" w:eastAsia="Times New Roman" w:hAnsi="Arial" w:cs="Arial"/>
          <w:kern w:val="0"/>
          <w:lang w:eastAsia="en-GB"/>
          <w14:ligatures w14:val="none"/>
        </w:rPr>
        <w:t xml:space="preserve">) to enhance the credibility. The synthesis of evidence from a variety of studies in the UK and a detailed description of the study context and methods improved the transferability of the findings since the reader could judge the application of the findings to other </w:t>
      </w:r>
      <w:r w:rsidR="00C408E6" w:rsidRPr="007D5CF2">
        <w:rPr>
          <w:rFonts w:ascii="Arial" w:eastAsia="Times New Roman" w:hAnsi="Arial" w:cs="Arial"/>
          <w:kern w:val="0"/>
          <w:lang w:eastAsia="en-GB"/>
          <w14:ligatures w14:val="none"/>
        </w:rPr>
        <w:t>settings,</w:t>
      </w:r>
      <w:r w:rsidRPr="007D5CF2">
        <w:rPr>
          <w:rFonts w:ascii="Arial" w:eastAsia="Times New Roman" w:hAnsi="Arial" w:cs="Arial"/>
          <w:kern w:val="0"/>
          <w:lang w:eastAsia="en-GB"/>
          <w14:ligatures w14:val="none"/>
        </w:rPr>
        <w:t xml:space="preserve"> they were familiar with (Creswell and Creswell, 2023; </w:t>
      </w:r>
      <w:r w:rsidRPr="007D5CF2">
        <w:rPr>
          <w:rFonts w:ascii="Arial" w:eastAsia="Times New Roman" w:hAnsi="Arial" w:cs="Arial"/>
          <w:bCs/>
          <w:kern w:val="36"/>
          <w:lang w:eastAsia="en-GB"/>
          <w14:ligatures w14:val="none"/>
        </w:rPr>
        <w:t xml:space="preserve">Tang, 2025; </w:t>
      </w:r>
      <w:proofErr w:type="spellStart"/>
      <w:r w:rsidRPr="007D5CF2">
        <w:rPr>
          <w:rFonts w:ascii="Arial" w:eastAsia="Times New Roman" w:hAnsi="Arial" w:cs="Arial"/>
          <w:bCs/>
          <w:kern w:val="36"/>
          <w:lang w:eastAsia="en-GB"/>
          <w14:ligatures w14:val="none"/>
        </w:rPr>
        <w:t>Takona</w:t>
      </w:r>
      <w:proofErr w:type="spellEnd"/>
      <w:r w:rsidRPr="007D5CF2">
        <w:rPr>
          <w:rFonts w:ascii="Arial" w:eastAsia="Times New Roman" w:hAnsi="Arial" w:cs="Arial"/>
          <w:bCs/>
          <w:kern w:val="36"/>
          <w:lang w:eastAsia="en-GB"/>
          <w14:ligatures w14:val="none"/>
        </w:rPr>
        <w:t>, 2024</w:t>
      </w:r>
      <w:r w:rsidRPr="007D5CF2">
        <w:rPr>
          <w:rFonts w:ascii="Arial" w:eastAsia="Times New Roman" w:hAnsi="Arial" w:cs="Arial"/>
          <w:kern w:val="0"/>
          <w:lang w:eastAsia="en-GB"/>
          <w14:ligatures w14:val="none"/>
        </w:rPr>
        <w:t xml:space="preserve">). This was done by engaging in a transparent research process, which involved a publicly reported search strategy, eligibility criteria and thematic analysis, to provide an audit trail (Nowell et al., 2017: </w:t>
      </w:r>
      <w:r w:rsidRPr="007D5CF2">
        <w:rPr>
          <w:rFonts w:ascii="Arial" w:eastAsia="Times New Roman" w:hAnsi="Arial" w:cs="Arial"/>
          <w:bCs/>
          <w:color w:val="222222"/>
          <w:kern w:val="36"/>
          <w:shd w:val="clear" w:color="auto" w:fill="FFFFFF"/>
          <w:lang w:eastAsia="en-GB"/>
          <w14:ligatures w14:val="none"/>
        </w:rPr>
        <w:t>Ahmed et al., 2025</w:t>
      </w:r>
      <w:r w:rsidRPr="007D5CF2">
        <w:rPr>
          <w:rFonts w:ascii="Arial" w:eastAsia="Times New Roman" w:hAnsi="Arial" w:cs="Arial"/>
          <w:kern w:val="0"/>
          <w:lang w:eastAsia="en-GB"/>
          <w14:ligatures w14:val="none"/>
        </w:rPr>
        <w:t>). In addition, researcher reflexivity and the application of relevant theoretical frameworks to interpret the results in an objective manner minimise personal bias (Braun and Clarke, 2022). These, in total, increased the credibility and trustworthiness of the study.</w:t>
      </w:r>
    </w:p>
    <w:p w14:paraId="703A3F79" w14:textId="77777777" w:rsidR="00CC55C1" w:rsidRPr="00CE637A"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CE637A">
        <w:rPr>
          <w:rFonts w:ascii="Arial" w:eastAsia="Times New Roman" w:hAnsi="Arial" w:cs="Arial"/>
          <w:b/>
          <w:kern w:val="0"/>
          <w:sz w:val="24"/>
          <w:szCs w:val="24"/>
          <w:lang w:eastAsia="en-GB"/>
          <w14:ligatures w14:val="none"/>
        </w:rPr>
        <w:t xml:space="preserve">3.11 Limitations of the Methodology </w:t>
      </w:r>
    </w:p>
    <w:p w14:paraId="05A1EF6F" w14:textId="77777777"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While the qualitative secondary research methodology was able to offer a systematic way of synthesising existing evidence, several limitations were recognised. The first is that the findings were reliant on the quality and extent of the published literature, which may have been affected by the extent of reporting of the primary studies and/or methodological limitations within the primary studies (Johnston, 2017; Snyder, 2019; </w:t>
      </w:r>
      <w:r w:rsidRPr="007D5CF2">
        <w:rPr>
          <w:rFonts w:ascii="Arial" w:eastAsia="Times New Roman" w:hAnsi="Arial" w:cs="Arial"/>
          <w:bCs/>
          <w:color w:val="222222"/>
          <w:kern w:val="36"/>
          <w:shd w:val="clear" w:color="auto" w:fill="FFFFFF"/>
          <w:lang w:eastAsia="en-GB"/>
          <w14:ligatures w14:val="none"/>
        </w:rPr>
        <w:t>Wickham, 2019</w:t>
      </w:r>
      <w:r w:rsidRPr="007D5CF2">
        <w:rPr>
          <w:rFonts w:ascii="Arial" w:eastAsia="Times New Roman" w:hAnsi="Arial" w:cs="Arial"/>
          <w:kern w:val="0"/>
          <w:lang w:eastAsia="en-GB"/>
          <w14:ligatures w14:val="none"/>
        </w:rPr>
        <w:t>). This limitation was reduced by critically appraising all eligible studies using appraisal criteria appropriate to their respective methodological designs, including the CASP checklist for primary qualitative studies.</w:t>
      </w:r>
    </w:p>
    <w:p w14:paraId="306B2D26" w14:textId="77777777"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Secondly, although the review focused on studies conducted within the United Kingdom, differences in regional service provision, population characteristics and local implementation of mental health policies may limit the transferability of some findings across all settings. Consequently, the experiences reported in the included studies may not fully reflect those of all young adults accessing mental health services throughout the United Kingdom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2021; Reed et al., 2025). Lastly, thematic analysis is a process in which the researchers interpret the data, introducing the possibility of researcher bias (Braun and Clarke, 2022). This was reduced by using a clear coding process, eligibility criteria and theory throughout the analysis. Although the study is limited, the systematic search strategy and the quality assessment and structured thematic analysis are sound and transparent in answering the research question.</w:t>
      </w:r>
    </w:p>
    <w:p w14:paraId="1AAFCAA5" w14:textId="77777777" w:rsidR="00CC55C1" w:rsidRPr="00465F20" w:rsidRDefault="00CC55C1" w:rsidP="00781D67">
      <w:pPr>
        <w:spacing w:before="240" w:beforeAutospacing="1" w:after="240" w:afterAutospacing="1" w:line="360" w:lineRule="auto"/>
        <w:jc w:val="both"/>
        <w:outlineLvl w:val="0"/>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 xml:space="preserve">3.12 Chapter Summary </w:t>
      </w:r>
    </w:p>
    <w:p w14:paraId="7C665B5C" w14:textId="7800E702" w:rsidR="00CC55C1" w:rsidRPr="007D5CF2" w:rsidRDefault="00CC55C1"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This chapter has described and explained the methodology used to explore the barriers and enablers to access to mental health services for young adults in the United Kingdom (aged 18-25). An interpretivist philosophy and inductive approach to research and a qualitative secondary research design were used to ensure that a systematic synthesis of the existing evidence could be undertaken. The chapter described the search strategy, criteria for inclusion and exclusion, the Critical Appraisal Skills Programme (CASP) for quality appraisal, and the application of Braun and Clarke's (2022) reflexive thematic analysis. Ethical issues, trustworthiness and methodological limitations were also touched upon to show the transparency and rigour of the research process. The methodology lays the groundwork for the results and thematic analysis of selected literature in Chapter Four</w:t>
      </w:r>
    </w:p>
    <w:p w14:paraId="55AB26EB" w14:textId="61BA9566" w:rsidR="00F87D3D" w:rsidRPr="007D5CF2" w:rsidRDefault="00F87D3D"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p>
    <w:p w14:paraId="4E0263F6" w14:textId="692F9E8F" w:rsidR="00F87D3D" w:rsidRPr="007D5CF2" w:rsidRDefault="00F87D3D"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p>
    <w:p w14:paraId="62E2C17E" w14:textId="1B2AB40C" w:rsidR="00F87D3D" w:rsidRPr="007D5CF2" w:rsidRDefault="00F87D3D"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p>
    <w:p w14:paraId="5049E269" w14:textId="16E2D49F" w:rsidR="00F87D3D" w:rsidRPr="007D5CF2" w:rsidRDefault="00F87D3D"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p>
    <w:p w14:paraId="17038E76" w14:textId="09D2C1C7" w:rsidR="00F87D3D" w:rsidRPr="007D5CF2" w:rsidRDefault="00F87D3D" w:rsidP="00781D67">
      <w:pPr>
        <w:spacing w:before="240" w:beforeAutospacing="1" w:after="240" w:afterAutospacing="1" w:line="360" w:lineRule="auto"/>
        <w:jc w:val="both"/>
        <w:outlineLvl w:val="0"/>
        <w:rPr>
          <w:rFonts w:ascii="Arial" w:eastAsia="Times New Roman" w:hAnsi="Arial" w:cs="Arial"/>
          <w:kern w:val="0"/>
          <w:lang w:eastAsia="en-GB"/>
          <w14:ligatures w14:val="none"/>
        </w:rPr>
      </w:pPr>
    </w:p>
    <w:p w14:paraId="45186D51" w14:textId="77777777" w:rsidR="00C26F99" w:rsidRPr="007D5CF2" w:rsidRDefault="00C26F99" w:rsidP="00781D67">
      <w:pPr>
        <w:spacing w:beforeLines="100" w:before="240" w:afterLines="100" w:after="240" w:line="360" w:lineRule="auto"/>
        <w:rPr>
          <w:rFonts w:ascii="Arial" w:eastAsia="Times New Roman" w:hAnsi="Arial" w:cs="Arial"/>
          <w:kern w:val="0"/>
          <w:lang w:eastAsia="en-GB"/>
          <w14:ligatures w14:val="none"/>
        </w:rPr>
      </w:pPr>
    </w:p>
    <w:p w14:paraId="7DCBE476" w14:textId="04FEFC0F" w:rsidR="00CC55C1" w:rsidRPr="00465F20" w:rsidRDefault="0033792B" w:rsidP="00781D67">
      <w:pPr>
        <w:spacing w:beforeLines="100" w:before="240" w:afterLines="100" w:after="240" w:line="360" w:lineRule="auto"/>
        <w:jc w:val="center"/>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Chapter Four: R</w:t>
      </w:r>
      <w:r w:rsidR="00CC55C1" w:rsidRPr="00465F20">
        <w:rPr>
          <w:rFonts w:ascii="Arial" w:eastAsia="Times New Roman" w:hAnsi="Arial" w:cs="Arial"/>
          <w:b/>
          <w:bCs/>
          <w:kern w:val="0"/>
          <w:sz w:val="24"/>
          <w:szCs w:val="24"/>
          <w:lang w:eastAsia="en-GB"/>
          <w14:ligatures w14:val="none"/>
        </w:rPr>
        <w:t>esults</w:t>
      </w:r>
    </w:p>
    <w:p w14:paraId="12086F71" w14:textId="77777777" w:rsidR="00CC55C1" w:rsidRPr="00465F20" w:rsidRDefault="00CC55C1" w:rsidP="00781D67">
      <w:pPr>
        <w:spacing w:beforeLines="100" w:before="240" w:afterLines="10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4.1 Introduction</w:t>
      </w:r>
    </w:p>
    <w:p w14:paraId="68A7FD2B" w14:textId="77777777" w:rsidR="00CC55C1" w:rsidRPr="007D5CF2" w:rsidRDefault="00CC55C1" w:rsidP="00781D67">
      <w:pPr>
        <w:spacing w:beforeLines="100" w:before="240" w:afterLines="10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This chapter reviews the qualitative evidence synthesis on barriers and enablers to mental health services for young adults in the United Kingdom (aged 18-25 years). After a systematic search, screening, and selection process, 12 studies were found to be eligible according to predefined eligibility criteria as explained in Chapter Three. The evidence consisted of qualitative studies and qualitative evidence syntheses on the experiences, perceptions and involvement of young people in mental health services in different service contexts.</w:t>
      </w:r>
    </w:p>
    <w:p w14:paraId="0FA84087" w14:textId="713614A2" w:rsidR="00CC55C1" w:rsidRPr="007D5CF2" w:rsidRDefault="00CC55C1" w:rsidP="00781D67">
      <w:pPr>
        <w:spacing w:beforeLines="100" w:before="240" w:afterLines="10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Thematic analysis was used to synthesise the findings, based on the six-phase approach of Braun and Clarke (2022). Themes identified </w:t>
      </w:r>
      <w:r w:rsidR="006A5427" w:rsidRPr="007D5CF2">
        <w:rPr>
          <w:rFonts w:ascii="Arial" w:eastAsia="Times New Roman" w:hAnsi="Arial" w:cs="Arial"/>
          <w:bCs/>
          <w:kern w:val="0"/>
          <w:lang w:eastAsia="en-GB"/>
          <w14:ligatures w14:val="none"/>
        </w:rPr>
        <w:t>were</w:t>
      </w:r>
      <w:r w:rsidRPr="007D5CF2">
        <w:rPr>
          <w:rFonts w:ascii="Arial" w:eastAsia="Times New Roman" w:hAnsi="Arial" w:cs="Arial"/>
          <w:bCs/>
          <w:kern w:val="0"/>
          <w:lang w:eastAsia="en-GB"/>
          <w14:ligatures w14:val="none"/>
        </w:rPr>
        <w:t xml:space="preserve"> individual barriers, structural/organisational barriers, socioeconomic and cultural factors and enablers to accessing mental health services. This chapter first outlines the process of selecting studies for the review, the characteristics of the studies included, and the methodological quality of the included studies using appraisal criteria appropriate to their respective study designs. The thematic findings are then presented descriptively, and the interpretation and implications of these findings are discussed in Chapter Five.</w:t>
      </w:r>
    </w:p>
    <w:p w14:paraId="44C02FB8" w14:textId="77777777" w:rsidR="00CC55C1" w:rsidRPr="007D5CF2" w:rsidRDefault="00CC55C1" w:rsidP="00781D67">
      <w:pPr>
        <w:spacing w:beforeLines="100" w:before="240" w:afterLines="100" w:after="240" w:line="360" w:lineRule="auto"/>
        <w:jc w:val="both"/>
        <w:rPr>
          <w:rFonts w:ascii="Arial" w:eastAsia="Times New Roman" w:hAnsi="Arial" w:cs="Arial"/>
          <w:b/>
          <w:bCs/>
          <w:kern w:val="0"/>
          <w:lang w:eastAsia="en-GB"/>
          <w14:ligatures w14:val="none"/>
        </w:rPr>
      </w:pPr>
      <w:r w:rsidRPr="007D5CF2">
        <w:rPr>
          <w:rFonts w:ascii="Arial" w:eastAsia="Times New Roman" w:hAnsi="Arial" w:cs="Arial"/>
          <w:b/>
          <w:bCs/>
          <w:kern w:val="0"/>
          <w:lang w:eastAsia="en-GB"/>
          <w14:ligatures w14:val="none"/>
        </w:rPr>
        <w:t>4.2 Study Selection</w:t>
      </w:r>
    </w:p>
    <w:p w14:paraId="1BF373EC" w14:textId="77777777" w:rsidR="00CC55C1" w:rsidRPr="007D5CF2" w:rsidRDefault="00CC55C1" w:rsidP="00781D67">
      <w:pPr>
        <w:spacing w:beforeLines="100" w:before="240" w:afterLines="10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 selection of studies was done based on the defined eligibility criteria and guided by the PRISMA 2020 principles (Page et al., 2021; </w:t>
      </w:r>
      <w:r w:rsidRPr="007D5CF2">
        <w:rPr>
          <w:rFonts w:ascii="Arial" w:eastAsia="Calibri" w:hAnsi="Arial" w:cs="Arial"/>
          <w:color w:val="222222"/>
          <w:kern w:val="0"/>
          <w:shd w:val="clear" w:color="auto" w:fill="FFFFFF"/>
          <w:lang w:eastAsia="en-US"/>
          <w14:ligatures w14:val="none"/>
        </w:rPr>
        <w:t>Brennan &amp; Munn, 2021</w:t>
      </w:r>
      <w:r w:rsidRPr="007D5CF2">
        <w:rPr>
          <w:rFonts w:ascii="Arial" w:eastAsia="Times New Roman" w:hAnsi="Arial" w:cs="Arial"/>
          <w:bCs/>
          <w:kern w:val="0"/>
          <w:lang w:eastAsia="en-GB"/>
          <w14:ligatures w14:val="none"/>
        </w:rPr>
        <w:t>). Searches were carried out on the chosen databases involving words and phrases related to young adults, mental health services, help-seeking, barriers, enablers and the United Kingdom. Records were retrieved, duplicates eliminated, and titles and abstracts reviewed for eligibility criteria. Potentially relevant articles were then fully assessed using the following criteria: population, geographical context, study focus, methodology and relevance to the research question.</w:t>
      </w:r>
    </w:p>
    <w:p w14:paraId="65B2E28C" w14:textId="77777777" w:rsidR="00CC55C1" w:rsidRPr="007D5CF2" w:rsidRDefault="00CC55C1" w:rsidP="00781D67">
      <w:pPr>
        <w:spacing w:beforeLines="100" w:before="240" w:afterLines="10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After screening and evaluation, 12 studies were included in the final qualitative evidence synthesis. The following examined help-seeking, mental health assessment, waiting times, transitioning between child and adult services, community engagement, digital support, behavioural interventions and the implementation of youth mental health services (Baxter et al., 2022; Broad et al., 2017; </w:t>
      </w:r>
      <w:proofErr w:type="spellStart"/>
      <w:r w:rsidRPr="007D5CF2">
        <w:rPr>
          <w:rFonts w:ascii="Arial" w:eastAsia="Times New Roman" w:hAnsi="Arial" w:cs="Arial"/>
          <w:bCs/>
          <w:kern w:val="0"/>
          <w:lang w:eastAsia="en-GB"/>
          <w14:ligatures w14:val="none"/>
        </w:rPr>
        <w:t>Burlibasa</w:t>
      </w:r>
      <w:proofErr w:type="spellEnd"/>
      <w:r w:rsidRPr="007D5CF2">
        <w:rPr>
          <w:rFonts w:ascii="Arial" w:eastAsia="Times New Roman" w:hAnsi="Arial" w:cs="Arial"/>
          <w:bCs/>
          <w:kern w:val="0"/>
          <w:lang w:eastAsia="en-GB"/>
          <w14:ligatures w14:val="none"/>
        </w:rPr>
        <w:t xml:space="preserve"> et al., 2025; Dorata et al., 2025; GEE et al., 2021; Holding et al., 2022; Kitchen et al., 2023; Plackett et al., 2026; </w:t>
      </w:r>
      <w:proofErr w:type="spellStart"/>
      <w:r w:rsidRPr="007D5CF2">
        <w:rPr>
          <w:rFonts w:ascii="Arial" w:eastAsia="Times New Roman" w:hAnsi="Arial" w:cs="Arial"/>
          <w:bCs/>
          <w:kern w:val="0"/>
          <w:lang w:eastAsia="en-GB"/>
          <w14:ligatures w14:val="none"/>
        </w:rPr>
        <w:t>Punton</w:t>
      </w:r>
      <w:proofErr w:type="spellEnd"/>
      <w:r w:rsidRPr="007D5CF2">
        <w:rPr>
          <w:rFonts w:ascii="Arial" w:eastAsia="Times New Roman" w:hAnsi="Arial" w:cs="Arial"/>
          <w:bCs/>
          <w:kern w:val="0"/>
          <w:lang w:eastAsia="en-GB"/>
          <w14:ligatures w14:val="none"/>
        </w:rPr>
        <w:t xml:space="preserve"> et al., 2022; </w:t>
      </w:r>
      <w:proofErr w:type="spellStart"/>
      <w:r w:rsidRPr="007D5CF2">
        <w:rPr>
          <w:rFonts w:ascii="Arial" w:eastAsia="Times New Roman" w:hAnsi="Arial" w:cs="Arial"/>
          <w:bCs/>
          <w:kern w:val="0"/>
          <w:lang w:eastAsia="en-GB"/>
          <w14:ligatures w14:val="none"/>
        </w:rPr>
        <w:t>Radez</w:t>
      </w:r>
      <w:proofErr w:type="spellEnd"/>
      <w:r w:rsidRPr="007D5CF2">
        <w:rPr>
          <w:rFonts w:ascii="Arial" w:eastAsia="Times New Roman" w:hAnsi="Arial" w:cs="Arial"/>
          <w:bCs/>
          <w:kern w:val="0"/>
          <w:lang w:eastAsia="en-GB"/>
          <w14:ligatures w14:val="none"/>
        </w:rPr>
        <w:t xml:space="preserve"> et al., 2024; Reed et al., 2025; Salaheddin and Mason, 2016). The selection process presented in Figure 4.1 was done with a PRISMA flow diagram (Page et al., 2021: </w:t>
      </w:r>
      <w:r w:rsidRPr="007D5CF2">
        <w:rPr>
          <w:rFonts w:ascii="Arial" w:eastAsia="Calibri" w:hAnsi="Arial" w:cs="Arial"/>
          <w:color w:val="222222"/>
          <w:kern w:val="0"/>
          <w:shd w:val="clear" w:color="auto" w:fill="FFFFFF"/>
          <w:lang w:eastAsia="en-US"/>
          <w14:ligatures w14:val="none"/>
        </w:rPr>
        <w:t>Brennan &amp; Munn, 2021</w:t>
      </w:r>
      <w:r w:rsidRPr="007D5CF2">
        <w:rPr>
          <w:rFonts w:ascii="Arial" w:eastAsia="Times New Roman" w:hAnsi="Arial" w:cs="Arial"/>
          <w:bCs/>
          <w:kern w:val="0"/>
          <w:lang w:eastAsia="en-GB"/>
          <w14:ligatures w14:val="none"/>
        </w:rPr>
        <w:t>).</w:t>
      </w:r>
    </w:p>
    <w:p w14:paraId="1AAA0F72" w14:textId="77777777" w:rsidR="00CC55C1" w:rsidRPr="007D5CF2" w:rsidRDefault="00CC55C1" w:rsidP="00781D67">
      <w:pPr>
        <w:spacing w:beforeLines="100" w:before="240" w:afterLines="10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The study selection process is shown in the PRISMA 2020 flow diagram (Figure 4.1).</w:t>
      </w:r>
    </w:p>
    <w:p w14:paraId="091F4230" w14:textId="77777777" w:rsidR="00CC55C1" w:rsidRPr="007D5CF2" w:rsidRDefault="00CC55C1" w:rsidP="00781D67">
      <w:pPr>
        <w:spacing w:beforeLines="100" w:before="240" w:afterLines="100" w:after="240" w:line="360" w:lineRule="auto"/>
        <w:jc w:val="both"/>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To clearly depict the stage of the literature search and selection of studies, the PRISMA flowchart was used. It can be used to identify, screen, assess and select research that helps to minimise selection bias and enhance the reliability of the research findings (Moule, 2020; </w:t>
      </w:r>
      <w:r w:rsidRPr="007D5CF2">
        <w:rPr>
          <w:rFonts w:ascii="Arial" w:eastAsia="Calibri" w:hAnsi="Arial" w:cs="Arial"/>
          <w:color w:val="222222"/>
          <w:kern w:val="0"/>
          <w:shd w:val="clear" w:color="auto" w:fill="FFFFFF"/>
          <w:lang w:eastAsia="en-US"/>
          <w14:ligatures w14:val="none"/>
        </w:rPr>
        <w:t>Glasper &amp; Rees; 2016</w:t>
      </w:r>
      <w:r w:rsidRPr="007D5CF2">
        <w:rPr>
          <w:rFonts w:ascii="Arial" w:eastAsia="Times New Roman" w:hAnsi="Arial" w:cs="Arial"/>
          <w:bCs/>
          <w:kern w:val="0"/>
          <w:lang w:eastAsia="en-GB"/>
          <w14:ligatures w14:val="none"/>
        </w:rPr>
        <w:t>). Quantitative and qualitative research articles, governmental and white papers were included following the PRISMA principles.</w:t>
      </w:r>
    </w:p>
    <w:p w14:paraId="0F3AE0A4" w14:textId="77777777" w:rsidR="00CC55C1" w:rsidRPr="007D5CF2" w:rsidRDefault="00CC55C1" w:rsidP="00781D67">
      <w:pPr>
        <w:spacing w:beforeLines="100" w:before="240" w:afterLines="100" w:after="240" w:line="360" w:lineRule="auto"/>
        <w:ind w:left="360"/>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9744" behindDoc="0" locked="0" layoutInCell="1" allowOverlap="1" wp14:anchorId="5AF24DC1" wp14:editId="1C9DD31C">
                <wp:simplePos x="0" y="0"/>
                <wp:positionH relativeFrom="column">
                  <wp:posOffset>1941830</wp:posOffset>
                </wp:positionH>
                <wp:positionV relativeFrom="paragraph">
                  <wp:posOffset>404495</wp:posOffset>
                </wp:positionV>
                <wp:extent cx="401955" cy="4445"/>
                <wp:effectExtent l="0" t="49530" r="4445" b="47625"/>
                <wp:wrapNone/>
                <wp:docPr id="1" name="Straight Arrow Connector 1"/>
                <wp:cNvGraphicFramePr/>
                <a:graphic xmlns:a="http://schemas.openxmlformats.org/drawingml/2006/main">
                  <a:graphicData uri="http://schemas.microsoft.com/office/word/2010/wordprocessingShape">
                    <wps:wsp>
                      <wps:cNvCnPr/>
                      <wps:spPr>
                        <a:xfrm flipV="1">
                          <a:off x="0" y="0"/>
                          <a:ext cx="401955" cy="4445"/>
                        </a:xfrm>
                        <a:prstGeom prst="straightConnector1">
                          <a:avLst/>
                        </a:prstGeom>
                        <a:noFill/>
                        <a:ln w="12700" cap="flat" cmpd="sng" algn="ctr">
                          <a:solidFill>
                            <a:sysClr val="windowText" lastClr="000000"/>
                          </a:solidFill>
                          <a:prstDash val="solid"/>
                          <a:miter lim="800000"/>
                          <a:tailEnd type="arrow"/>
                        </a:ln>
                        <a:effectLst/>
                      </wps:spPr>
                      <wps:bodyPr/>
                    </wps:wsp>
                  </a:graphicData>
                </a:graphic>
              </wp:anchor>
            </w:drawing>
          </mc:Choice>
          <mc:Fallback>
            <w:pict>
              <v:shapetype w14:anchorId="116A9668" id="_x0000_t32" coordsize="21600,21600" o:spt="32" o:oned="t" path="m,l21600,21600e" filled="f">
                <v:path arrowok="t" fillok="f" o:connecttype="none"/>
                <o:lock v:ext="edit" shapetype="t"/>
              </v:shapetype>
              <v:shape id="Straight Arrow Connector 1" o:spid="_x0000_s1026" type="#_x0000_t32" style="position:absolute;margin-left:152.9pt;margin-top:31.85pt;width:31.65pt;height:.3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" strokecolor="windowText" strokeweight="1pt">
                <v:stroke endarrow="open" joinstyle="miter"/>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5648" behindDoc="0" locked="0" layoutInCell="1" allowOverlap="1" wp14:anchorId="6DB8A585" wp14:editId="5FB2E30A">
                <wp:simplePos x="0" y="0"/>
                <wp:positionH relativeFrom="column">
                  <wp:posOffset>2667000</wp:posOffset>
                </wp:positionH>
                <wp:positionV relativeFrom="paragraph">
                  <wp:posOffset>38735</wp:posOffset>
                </wp:positionV>
                <wp:extent cx="1396365" cy="730250"/>
                <wp:effectExtent l="0" t="0" r="13335" b="12700"/>
                <wp:wrapNone/>
                <wp:docPr id="16" name="Text Box 16"/>
                <wp:cNvGraphicFramePr/>
                <a:graphic xmlns:a="http://schemas.openxmlformats.org/drawingml/2006/main">
                  <a:graphicData uri="http://schemas.microsoft.com/office/word/2010/wordprocessingShape">
                    <wps:wsp>
                      <wps:cNvSpPr txBox="1"/>
                      <wps:spPr>
                        <a:xfrm>
                          <a:off x="0" y="0"/>
                          <a:ext cx="1396365" cy="730250"/>
                        </a:xfrm>
                        <a:prstGeom prst="rect">
                          <a:avLst/>
                        </a:prstGeom>
                        <a:solidFill>
                          <a:sysClr val="window" lastClr="FFFFFF"/>
                        </a:solidFill>
                        <a:ln w="6350">
                          <a:solidFill>
                            <a:prstClr val="black"/>
                          </a:solidFill>
                        </a:ln>
                        <a:effectLst/>
                      </wps:spPr>
                      <wps:txbx>
                        <w:txbxContent>
                          <w:p w14:paraId="788FA027" w14:textId="77777777" w:rsidR="0033792B" w:rsidRPr="003A0C63" w:rsidRDefault="0033792B" w:rsidP="00CC55C1">
                            <w:pPr>
                              <w:rPr>
                                <w:rFonts w:ascii="Calibri" w:hAnsi="Calibri" w:cs="Calibri"/>
                                <w:sz w:val="20"/>
                              </w:rPr>
                            </w:pPr>
                            <w:r w:rsidRPr="003A0C63">
                              <w:rPr>
                                <w:rFonts w:ascii="Calibri" w:eastAsia="SimSun" w:hAnsi="Calibri" w:cs="Calibri"/>
                                <w:sz w:val="20"/>
                              </w:rPr>
                              <w:t>Additional records identified through other sources</w:t>
                            </w:r>
                            <w:r>
                              <w:rPr>
                                <w:rFonts w:ascii="Calibri" w:hAnsi="Calibri" w:cs="Calibri"/>
                                <w:sz w:val="20"/>
                              </w:rPr>
                              <w:t xml:space="preserve"> (n-869</w:t>
                            </w:r>
                            <w:r w:rsidRPr="003A0C63">
                              <w:rPr>
                                <w:rFonts w:ascii="Calibri" w:hAnsi="Calibri" w:cs="Calibri"/>
                                <w:sz w:val="20"/>
                              </w:rPr>
                              <w:t>)</w:t>
                            </w:r>
                          </w:p>
                          <w:p w14:paraId="38FFF539" w14:textId="77777777" w:rsidR="0033792B" w:rsidRPr="003A0C63" w:rsidRDefault="0033792B" w:rsidP="00CC55C1">
                            <w:pPr>
                              <w:rPr>
                                <w:sz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type w14:anchorId="6DB8A585" id="_x0000_t202" coordsize="21600,21600" o:spt="202" path="m,l,21600r21600,l21600,xe">
                <v:stroke joinstyle="miter"/>
                <v:path gradientshapeok="t" o:connecttype="rect"/>
              </v:shapetype>
              <v:shape id="Text Box 16" o:spid="_x0000_s1026" type="#_x0000_t202" style="position:absolute;left:0;text-align:left;margin-left:210pt;margin-top:3.05pt;width:109.95pt;height:5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" fillcolor="window" strokeweight=".5pt">
                <v:textbox>
                  <w:txbxContent>
                    <w:p w14:paraId="788FA027" w14:textId="77777777" w:rsidR="0033792B" w:rsidRPr="003A0C63" w:rsidRDefault="0033792B" w:rsidP="00CC55C1">
                      <w:pPr>
                        <w:rPr>
                          <w:rFonts w:ascii="Calibri" w:hAnsi="Calibri" w:cs="Calibri"/>
                          <w:sz w:val="20"/>
                        </w:rPr>
                      </w:pPr>
                      <w:r w:rsidRPr="003A0C63">
                        <w:rPr>
                          <w:rFonts w:ascii="Calibri" w:eastAsia="SimSun" w:hAnsi="Calibri" w:cs="Calibri"/>
                          <w:sz w:val="20"/>
                        </w:rPr>
                        <w:t>Additional records identified through other sources</w:t>
                      </w:r>
                      <w:r>
                        <w:rPr>
                          <w:rFonts w:ascii="Calibri" w:hAnsi="Calibri" w:cs="Calibri"/>
                          <w:sz w:val="20"/>
                        </w:rPr>
                        <w:t xml:space="preserve"> (n-869</w:t>
                      </w:r>
                      <w:r w:rsidRPr="003A0C63">
                        <w:rPr>
                          <w:rFonts w:ascii="Calibri" w:hAnsi="Calibri" w:cs="Calibri"/>
                          <w:sz w:val="20"/>
                        </w:rPr>
                        <w:t>)</w:t>
                      </w:r>
                    </w:p>
                    <w:p w14:paraId="38FFF539" w14:textId="77777777" w:rsidR="0033792B" w:rsidRPr="003A0C63" w:rsidRDefault="0033792B" w:rsidP="00CC55C1">
                      <w:pPr>
                        <w:rPr>
                          <w:sz w:val="20"/>
                        </w:rPr>
                      </w:pPr>
                    </w:p>
                  </w:txbxContent>
                </v:textbox>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5408" behindDoc="0" locked="0" layoutInCell="1" allowOverlap="1" wp14:anchorId="6CBCDD0F" wp14:editId="24796DE7">
                <wp:simplePos x="0" y="0"/>
                <wp:positionH relativeFrom="column">
                  <wp:posOffset>212090</wp:posOffset>
                </wp:positionH>
                <wp:positionV relativeFrom="paragraph">
                  <wp:posOffset>66675</wp:posOffset>
                </wp:positionV>
                <wp:extent cx="346710" cy="843280"/>
                <wp:effectExtent l="4445" t="4445" r="17145" b="15875"/>
                <wp:wrapNone/>
                <wp:docPr id="3" name="Text Box 3"/>
                <wp:cNvGraphicFramePr/>
                <a:graphic xmlns:a="http://schemas.openxmlformats.org/drawingml/2006/main">
                  <a:graphicData uri="http://schemas.microsoft.com/office/word/2010/wordprocessingShape">
                    <wps:wsp>
                      <wps:cNvSpPr txBox="1"/>
                      <wps:spPr>
                        <a:xfrm>
                          <a:off x="1450975" y="7878445"/>
                          <a:ext cx="346710" cy="843280"/>
                        </a:xfrm>
                        <a:prstGeom prst="rect">
                          <a:avLst/>
                        </a:prstGeom>
                        <a:gradFill>
                          <a:gsLst>
                            <a:gs pos="0">
                              <a:srgbClr val="FECF40"/>
                            </a:gs>
                            <a:gs pos="100000">
                              <a:srgbClr val="846C21"/>
                            </a:gs>
                          </a:gsLst>
                          <a:lin ang="5400000" scaled="0"/>
                        </a:gradFill>
                        <a:ln w="6350">
                          <a:solidFill>
                            <a:prstClr val="black"/>
                          </a:solidFill>
                        </a:ln>
                        <a:effectLst/>
                      </wps:spPr>
                      <wps:txbx>
                        <w:txbxContent>
                          <w:p w14:paraId="238332EE" w14:textId="77777777" w:rsidR="0033792B" w:rsidRDefault="0033792B" w:rsidP="00CC55C1">
                            <w:r>
                              <w:t>Identification</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6CBCDD0F" id="Text Box 3" o:spid="_x0000_s1027" type="#_x0000_t202" style="position:absolute;left:0;text-align:left;margin-left:16.7pt;margin-top:5.25pt;width:27.3pt;height:66.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" fillcolor="#fecf40" strokeweight=".5pt">
                <v:fill color2="#846c21" focus="100%" type="gradient">
                  <o:fill v:ext="view" type="gradientUnscaled"/>
                </v:fill>
                <v:textbox style="layout-flow:vertical-ideographic">
                  <w:txbxContent>
                    <w:p w14:paraId="238332EE" w14:textId="77777777" w:rsidR="0033792B" w:rsidRDefault="0033792B" w:rsidP="00CC55C1">
                      <w:r>
                        <w:t>Identification</w:t>
                      </w:r>
                    </w:p>
                  </w:txbxContent>
                </v:textbox>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4384" behindDoc="0" locked="0" layoutInCell="1" allowOverlap="1" wp14:anchorId="617A0EA8" wp14:editId="229137C6">
                <wp:simplePos x="0" y="0"/>
                <wp:positionH relativeFrom="column">
                  <wp:posOffset>795655</wp:posOffset>
                </wp:positionH>
                <wp:positionV relativeFrom="paragraph">
                  <wp:posOffset>73025</wp:posOffset>
                </wp:positionV>
                <wp:extent cx="1141730" cy="652780"/>
                <wp:effectExtent l="4445" t="4445" r="9525" b="15875"/>
                <wp:wrapNone/>
                <wp:docPr id="4" name="Text Box 4"/>
                <wp:cNvGraphicFramePr/>
                <a:graphic xmlns:a="http://schemas.openxmlformats.org/drawingml/2006/main">
                  <a:graphicData uri="http://schemas.microsoft.com/office/word/2010/wordprocessingShape">
                    <wps:wsp>
                      <wps:cNvSpPr txBox="1"/>
                      <wps:spPr>
                        <a:xfrm>
                          <a:off x="1370330" y="6978015"/>
                          <a:ext cx="1141730" cy="652780"/>
                        </a:xfrm>
                        <a:prstGeom prst="rect">
                          <a:avLst/>
                        </a:prstGeom>
                        <a:solidFill>
                          <a:sysClr val="window" lastClr="FFFFFF"/>
                        </a:solidFill>
                        <a:ln w="6350">
                          <a:solidFill>
                            <a:prstClr val="black"/>
                          </a:solidFill>
                        </a:ln>
                        <a:effectLst/>
                      </wps:spPr>
                      <wps:txbx>
                        <w:txbxContent>
                          <w:p w14:paraId="368547F6" w14:textId="77777777" w:rsidR="0033792B" w:rsidRPr="003A0C63" w:rsidRDefault="0033792B" w:rsidP="00CC55C1">
                            <w:pPr>
                              <w:rPr>
                                <w:sz w:val="20"/>
                              </w:rPr>
                            </w:pPr>
                            <w:r w:rsidRPr="003A0C63">
                              <w:rPr>
                                <w:sz w:val="20"/>
                              </w:rPr>
                              <w:t xml:space="preserve">Records </w:t>
                            </w:r>
                            <w:r>
                              <w:rPr>
                                <w:sz w:val="20"/>
                              </w:rPr>
                              <w:t>identified from databases (n-1573</w:t>
                            </w:r>
                            <w:r w:rsidRPr="003A0C63">
                              <w:rPr>
                                <w:sz w:val="20"/>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17A0EA8" id="Text Box 4" o:spid="_x0000_s1028" type="#_x0000_t202" style="position:absolute;left:0;text-align:left;margin-left:62.65pt;margin-top:5.75pt;width:89.9pt;height:51.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" fillcolor="window" strokeweight=".5pt">
                <v:textbox>
                  <w:txbxContent>
                    <w:p w14:paraId="368547F6" w14:textId="77777777" w:rsidR="0033792B" w:rsidRPr="003A0C63" w:rsidRDefault="0033792B" w:rsidP="00CC55C1">
                      <w:pPr>
                        <w:rPr>
                          <w:sz w:val="20"/>
                        </w:rPr>
                      </w:pPr>
                      <w:r w:rsidRPr="003A0C63">
                        <w:rPr>
                          <w:sz w:val="20"/>
                        </w:rPr>
                        <w:t xml:space="preserve">Records </w:t>
                      </w:r>
                      <w:r>
                        <w:rPr>
                          <w:sz w:val="20"/>
                        </w:rPr>
                        <w:t>identified from databases (n-1573</w:t>
                      </w:r>
                      <w:r w:rsidRPr="003A0C63">
                        <w:rPr>
                          <w:sz w:val="20"/>
                        </w:rPr>
                        <w:t>)</w:t>
                      </w:r>
                    </w:p>
                  </w:txbxContent>
                </v:textbox>
              </v:shape>
            </w:pict>
          </mc:Fallback>
        </mc:AlternateContent>
      </w:r>
      <w:r w:rsidRPr="007D5CF2">
        <w:rPr>
          <w:rFonts w:ascii="Arial" w:eastAsia="Calibri" w:hAnsi="Arial" w:cs="Arial"/>
          <w:kern w:val="0"/>
          <w:lang w:eastAsia="en-US"/>
          <w14:ligatures w14:val="none"/>
        </w:rPr>
        <w:t> </w:t>
      </w:r>
    </w:p>
    <w:p w14:paraId="60C8A5B4" w14:textId="77777777" w:rsidR="00CC55C1" w:rsidRPr="007D5CF2" w:rsidRDefault="00CC55C1" w:rsidP="00781D67">
      <w:pPr>
        <w:spacing w:beforeLines="100" w:before="240" w:afterLines="10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6672" behindDoc="0" locked="0" layoutInCell="1" allowOverlap="1" wp14:anchorId="38155A42" wp14:editId="263459B7">
                <wp:simplePos x="0" y="0"/>
                <wp:positionH relativeFrom="column">
                  <wp:posOffset>1332865</wp:posOffset>
                </wp:positionH>
                <wp:positionV relativeFrom="paragraph">
                  <wp:posOffset>296545</wp:posOffset>
                </wp:positionV>
                <wp:extent cx="6350" cy="422275"/>
                <wp:effectExtent l="49530" t="0" r="45720" b="9525"/>
                <wp:wrapNone/>
                <wp:docPr id="18" name="Straight Arrow Connector 18"/>
                <wp:cNvGraphicFramePr/>
                <a:graphic xmlns:a="http://schemas.openxmlformats.org/drawingml/2006/main">
                  <a:graphicData uri="http://schemas.microsoft.com/office/word/2010/wordprocessingShape">
                    <wps:wsp>
                      <wps:cNvCnPr/>
                      <wps:spPr>
                        <a:xfrm flipH="1">
                          <a:off x="0" y="0"/>
                          <a:ext cx="6350" cy="422275"/>
                        </a:xfrm>
                        <a:prstGeom prst="straightConnector1">
                          <a:avLst/>
                        </a:prstGeom>
                        <a:noFill/>
                        <a:ln w="12700" cap="flat" cmpd="sng" algn="ctr">
                          <a:solidFill>
                            <a:sysClr val="windowText" lastClr="000000"/>
                          </a:solidFill>
                          <a:prstDash val="solid"/>
                          <a:miter lim="800000"/>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615CD22D" id="Straight Arrow Connector 18" o:spid="_x0000_s1026" type="#_x0000_t32" style="position:absolute;margin-left:104.95pt;margin-top:23.35pt;width:.5pt;height:33.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" strokecolor="windowText" strokeweight="1pt">
                <v:stroke endarrow="open" joinstyle="miter"/>
              </v:shape>
            </w:pict>
          </mc:Fallback>
        </mc:AlternateContent>
      </w:r>
    </w:p>
    <w:p w14:paraId="0C89D817" w14:textId="77777777" w:rsidR="00CC55C1" w:rsidRPr="007D5CF2" w:rsidRDefault="00CC55C1" w:rsidP="00781D67">
      <w:pPr>
        <w:spacing w:beforeLines="100" w:before="240" w:afterLines="100" w:after="240" w:line="360" w:lineRule="auto"/>
        <w:jc w:val="both"/>
        <w:rPr>
          <w:rFonts w:ascii="Arial" w:eastAsia="Calibri" w:hAnsi="Arial" w:cs="Arial"/>
          <w:kern w:val="0"/>
          <w:lang w:eastAsia="en-US"/>
          <w14:ligatures w14:val="none"/>
        </w:rPr>
      </w:pPr>
    </w:p>
    <w:p w14:paraId="1F339AD6" w14:textId="77777777" w:rsidR="00CC55C1" w:rsidRPr="007D5CF2" w:rsidRDefault="00CC55C1" w:rsidP="00781D67">
      <w:pPr>
        <w:spacing w:beforeLines="100" w:before="240" w:afterLines="10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9504" behindDoc="0" locked="0" layoutInCell="1" allowOverlap="1" wp14:anchorId="41627CC0" wp14:editId="7A589F39">
                <wp:simplePos x="0" y="0"/>
                <wp:positionH relativeFrom="column">
                  <wp:posOffset>2668270</wp:posOffset>
                </wp:positionH>
                <wp:positionV relativeFrom="paragraph">
                  <wp:posOffset>201930</wp:posOffset>
                </wp:positionV>
                <wp:extent cx="1396365" cy="544195"/>
                <wp:effectExtent l="4445" t="4445" r="8890" b="10160"/>
                <wp:wrapNone/>
                <wp:docPr id="8" name="Text Box 8"/>
                <wp:cNvGraphicFramePr/>
                <a:graphic xmlns:a="http://schemas.openxmlformats.org/drawingml/2006/main">
                  <a:graphicData uri="http://schemas.microsoft.com/office/word/2010/wordprocessingShape">
                    <wps:wsp>
                      <wps:cNvSpPr txBox="1"/>
                      <wps:spPr>
                        <a:xfrm>
                          <a:off x="0" y="0"/>
                          <a:ext cx="1396365" cy="544195"/>
                        </a:xfrm>
                        <a:prstGeom prst="rect">
                          <a:avLst/>
                        </a:prstGeom>
                        <a:solidFill>
                          <a:sysClr val="window" lastClr="FFFFFF"/>
                        </a:solidFill>
                        <a:ln w="6350">
                          <a:solidFill>
                            <a:prstClr val="black"/>
                          </a:solidFill>
                        </a:ln>
                        <a:effectLst/>
                      </wps:spPr>
                      <wps:txbx>
                        <w:txbxContent>
                          <w:p w14:paraId="0AFEF5B0" w14:textId="77777777" w:rsidR="0033792B" w:rsidRPr="003A0C63" w:rsidRDefault="0033792B" w:rsidP="00CC55C1">
                            <w:pPr>
                              <w:rPr>
                                <w:sz w:val="20"/>
                              </w:rPr>
                            </w:pPr>
                            <w:r w:rsidRPr="003A0C63">
                              <w:rPr>
                                <w:sz w:val="20"/>
                              </w:rPr>
                              <w:t>Record screened (n-</w:t>
                            </w:r>
                            <w:r>
                              <w:rPr>
                                <w:sz w:val="20"/>
                              </w:rPr>
                              <w:t>1195</w:t>
                            </w:r>
                            <w:r w:rsidRPr="003A0C63">
                              <w:rPr>
                                <w:sz w:val="20"/>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41627CC0" id="Text Box 8" o:spid="_x0000_s1029" type="#_x0000_t202" style="position:absolute;left:0;text-align:left;margin-left:210.1pt;margin-top:15.9pt;width:109.95pt;height:42.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" fillcolor="window" strokeweight=".5pt">
                <v:textbox>
                  <w:txbxContent>
                    <w:p w14:paraId="0AFEF5B0" w14:textId="77777777" w:rsidR="0033792B" w:rsidRPr="003A0C63" w:rsidRDefault="0033792B" w:rsidP="00CC55C1">
                      <w:pPr>
                        <w:rPr>
                          <w:sz w:val="20"/>
                        </w:rPr>
                      </w:pPr>
                      <w:r w:rsidRPr="003A0C63">
                        <w:rPr>
                          <w:sz w:val="20"/>
                        </w:rPr>
                        <w:t>Record screened (n-</w:t>
                      </w:r>
                      <w:r>
                        <w:rPr>
                          <w:sz w:val="20"/>
                        </w:rPr>
                        <w:t>1195</w:t>
                      </w:r>
                      <w:r w:rsidRPr="003A0C63">
                        <w:rPr>
                          <w:sz w:val="20"/>
                        </w:rPr>
                        <w:t>)</w:t>
                      </w:r>
                    </w:p>
                  </w:txbxContent>
                </v:textbox>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8480" behindDoc="0" locked="0" layoutInCell="1" allowOverlap="1" wp14:anchorId="34E146DE" wp14:editId="4168818C">
                <wp:simplePos x="0" y="0"/>
                <wp:positionH relativeFrom="column">
                  <wp:posOffset>746125</wp:posOffset>
                </wp:positionH>
                <wp:positionV relativeFrom="paragraph">
                  <wp:posOffset>225425</wp:posOffset>
                </wp:positionV>
                <wp:extent cx="1141730" cy="567055"/>
                <wp:effectExtent l="4445" t="4445" r="9525" b="12700"/>
                <wp:wrapNone/>
                <wp:docPr id="7" name="Text Box 7"/>
                <wp:cNvGraphicFramePr/>
                <a:graphic xmlns:a="http://schemas.openxmlformats.org/drawingml/2006/main">
                  <a:graphicData uri="http://schemas.microsoft.com/office/word/2010/wordprocessingShape">
                    <wps:wsp>
                      <wps:cNvSpPr txBox="1"/>
                      <wps:spPr>
                        <a:xfrm>
                          <a:off x="0" y="0"/>
                          <a:ext cx="1141730" cy="567055"/>
                        </a:xfrm>
                        <a:prstGeom prst="rect">
                          <a:avLst/>
                        </a:prstGeom>
                        <a:solidFill>
                          <a:sysClr val="window" lastClr="FFFFFF"/>
                        </a:solidFill>
                        <a:ln w="6350">
                          <a:solidFill>
                            <a:prstClr val="black"/>
                          </a:solidFill>
                        </a:ln>
                        <a:effectLst/>
                      </wps:spPr>
                      <wps:txbx>
                        <w:txbxContent>
                          <w:p w14:paraId="6D07B9FD" w14:textId="77777777" w:rsidR="0033792B" w:rsidRPr="003A0C63" w:rsidRDefault="0033792B" w:rsidP="00CC55C1">
                            <w:pPr>
                              <w:rPr>
                                <w:rFonts w:ascii="Calibri" w:hAnsi="Calibri" w:cs="Calibri"/>
                                <w:sz w:val="20"/>
                              </w:rPr>
                            </w:pPr>
                            <w:r w:rsidRPr="003A0C63">
                              <w:rPr>
                                <w:rFonts w:ascii="Calibri" w:eastAsia="SimSun" w:hAnsi="Calibri" w:cs="Calibri"/>
                                <w:sz w:val="20"/>
                              </w:rPr>
                              <w:t>Records after duplicates removed</w:t>
                            </w:r>
                            <w:r>
                              <w:rPr>
                                <w:rFonts w:ascii="Calibri" w:hAnsi="Calibri" w:cs="Calibri"/>
                                <w:sz w:val="20"/>
                              </w:rPr>
                              <w:t xml:space="preserve"> (n-299</w:t>
                            </w:r>
                            <w:r w:rsidRPr="003A0C63">
                              <w:rPr>
                                <w:rFonts w:ascii="Calibri" w:hAnsi="Calibri" w:cs="Calibri"/>
                                <w:sz w:val="20"/>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34E146DE" id="Text Box 7" o:spid="_x0000_s1030" type="#_x0000_t202" style="position:absolute;left:0;text-align:left;margin-left:58.75pt;margin-top:17.75pt;width:89.9pt;height:44.6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" fillcolor="window" strokeweight=".5pt">
                <v:textbox>
                  <w:txbxContent>
                    <w:p w14:paraId="6D07B9FD" w14:textId="77777777" w:rsidR="0033792B" w:rsidRPr="003A0C63" w:rsidRDefault="0033792B" w:rsidP="00CC55C1">
                      <w:pPr>
                        <w:rPr>
                          <w:rFonts w:ascii="Calibri" w:hAnsi="Calibri" w:cs="Calibri"/>
                          <w:sz w:val="20"/>
                        </w:rPr>
                      </w:pPr>
                      <w:r w:rsidRPr="003A0C63">
                        <w:rPr>
                          <w:rFonts w:ascii="Calibri" w:eastAsia="SimSun" w:hAnsi="Calibri" w:cs="Calibri"/>
                          <w:sz w:val="20"/>
                        </w:rPr>
                        <w:t>Records after duplicates removed</w:t>
                      </w:r>
                      <w:r>
                        <w:rPr>
                          <w:rFonts w:ascii="Calibri" w:hAnsi="Calibri" w:cs="Calibri"/>
                          <w:sz w:val="20"/>
                        </w:rPr>
                        <w:t xml:space="preserve"> (n-299</w:t>
                      </w:r>
                      <w:r w:rsidRPr="003A0C63">
                        <w:rPr>
                          <w:rFonts w:ascii="Calibri" w:hAnsi="Calibri" w:cs="Calibri"/>
                          <w:sz w:val="20"/>
                        </w:rPr>
                        <w:t>)</w:t>
                      </w:r>
                    </w:p>
                  </w:txbxContent>
                </v:textbox>
              </v:shape>
            </w:pict>
          </mc:Fallback>
        </mc:AlternateContent>
      </w:r>
    </w:p>
    <w:p w14:paraId="19C7CB3A" w14:textId="77777777" w:rsidR="00CC55C1" w:rsidRPr="007D5CF2" w:rsidRDefault="00CC55C1" w:rsidP="00781D67">
      <w:pPr>
        <w:spacing w:beforeLines="100" w:before="240" w:afterLines="10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7696" behindDoc="0" locked="0" layoutInCell="1" allowOverlap="1" wp14:anchorId="613EBBF6" wp14:editId="3EBDBFFB">
                <wp:simplePos x="0" y="0"/>
                <wp:positionH relativeFrom="column">
                  <wp:posOffset>1339850</wp:posOffset>
                </wp:positionH>
                <wp:positionV relativeFrom="paragraph">
                  <wp:posOffset>393700</wp:posOffset>
                </wp:positionV>
                <wp:extent cx="6985" cy="213995"/>
                <wp:effectExtent l="47625" t="0" r="46990" b="1905"/>
                <wp:wrapNone/>
                <wp:docPr id="19" name="Straight Arrow Connector 19"/>
                <wp:cNvGraphicFramePr/>
                <a:graphic xmlns:a="http://schemas.openxmlformats.org/drawingml/2006/main">
                  <a:graphicData uri="http://schemas.microsoft.com/office/word/2010/wordprocessingShape">
                    <wps:wsp>
                      <wps:cNvCnPr/>
                      <wps:spPr>
                        <a:xfrm flipH="1">
                          <a:off x="0" y="0"/>
                          <a:ext cx="6985" cy="213995"/>
                        </a:xfrm>
                        <a:prstGeom prst="straightConnector1">
                          <a:avLst/>
                        </a:prstGeom>
                        <a:noFill/>
                        <a:ln w="12700" cap="flat" cmpd="sng" algn="ctr">
                          <a:solidFill>
                            <a:sysClr val="windowText" lastClr="000000"/>
                          </a:solidFill>
                          <a:prstDash val="solid"/>
                          <a:miter lim="800000"/>
                          <a:tailEnd type="arrow"/>
                        </a:ln>
                        <a:effectLst/>
                      </wps:spPr>
                      <wps:bodyPr/>
                    </wps:wsp>
                  </a:graphicData>
                </a:graphic>
              </wp:anchor>
            </w:drawing>
          </mc:Choice>
          <mc:Fallback>
            <w:pict>
              <v:shape w14:anchorId="696549BA" id="Straight Arrow Connector 19" o:spid="_x0000_s1026" type="#_x0000_t32" style="position:absolute;margin-left:105.5pt;margin-top:31pt;width:.55pt;height:16.8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" strokecolor="windowText" strokeweight="1pt">
                <v:stroke endarrow="open" joinstyle="miter"/>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3600" behindDoc="0" locked="0" layoutInCell="1" allowOverlap="1" wp14:anchorId="107AE471" wp14:editId="559A77E0">
                <wp:simplePos x="0" y="0"/>
                <wp:positionH relativeFrom="column">
                  <wp:posOffset>1879600</wp:posOffset>
                </wp:positionH>
                <wp:positionV relativeFrom="paragraph">
                  <wp:posOffset>67945</wp:posOffset>
                </wp:positionV>
                <wp:extent cx="360680" cy="1905"/>
                <wp:effectExtent l="0" t="50165" r="7620" b="49530"/>
                <wp:wrapNone/>
                <wp:docPr id="14" name="Straight Arrow Connector 14"/>
                <wp:cNvGraphicFramePr/>
                <a:graphic xmlns:a="http://schemas.openxmlformats.org/drawingml/2006/main">
                  <a:graphicData uri="http://schemas.microsoft.com/office/word/2010/wordprocessingShape">
                    <wps:wsp>
                      <wps:cNvCnPr/>
                      <wps:spPr>
                        <a:xfrm flipV="1">
                          <a:off x="0" y="0"/>
                          <a:ext cx="360680" cy="1905"/>
                        </a:xfrm>
                        <a:prstGeom prst="straightConnector1">
                          <a:avLst/>
                        </a:prstGeom>
                        <a:noFill/>
                        <a:ln w="12700" cap="flat" cmpd="sng" algn="ctr">
                          <a:solidFill>
                            <a:sysClr val="windowText" lastClr="000000"/>
                          </a:solidFill>
                          <a:prstDash val="solid"/>
                          <a:miter lim="800000"/>
                          <a:tailEnd type="arrow"/>
                        </a:ln>
                        <a:effectLst/>
                      </wps:spPr>
                      <wps:bodyPr/>
                    </wps:wsp>
                  </a:graphicData>
                </a:graphic>
              </wp:anchor>
            </w:drawing>
          </mc:Choice>
          <mc:Fallback>
            <w:pict>
              <v:shape w14:anchorId="6F2CA9B9" id="Straight Arrow Connector 14" o:spid="_x0000_s1026" type="#_x0000_t32" style="position:absolute;margin-left:148pt;margin-top:5.35pt;width:28.4pt;height:.1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" strokecolor="windowText" strokeweight="1pt">
                <v:stroke endarrow="open" joinstyle="miter"/>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7456" behindDoc="0" locked="0" layoutInCell="1" allowOverlap="1" wp14:anchorId="21F5A864" wp14:editId="6849B9E6">
                <wp:simplePos x="0" y="0"/>
                <wp:positionH relativeFrom="column">
                  <wp:posOffset>194310</wp:posOffset>
                </wp:positionH>
                <wp:positionV relativeFrom="paragraph">
                  <wp:posOffset>16510</wp:posOffset>
                </wp:positionV>
                <wp:extent cx="340360" cy="1343660"/>
                <wp:effectExtent l="4445" t="4445" r="10795" b="10795"/>
                <wp:wrapNone/>
                <wp:docPr id="5" name="Text Box 5"/>
                <wp:cNvGraphicFramePr/>
                <a:graphic xmlns:a="http://schemas.openxmlformats.org/drawingml/2006/main">
                  <a:graphicData uri="http://schemas.microsoft.com/office/word/2010/wordprocessingShape">
                    <wps:wsp>
                      <wps:cNvSpPr txBox="1"/>
                      <wps:spPr>
                        <a:xfrm>
                          <a:off x="0" y="0"/>
                          <a:ext cx="340360" cy="1343660"/>
                        </a:xfrm>
                        <a:prstGeom prst="rect">
                          <a:avLst/>
                        </a:prstGeom>
                        <a:gradFill>
                          <a:gsLst>
                            <a:gs pos="0">
                              <a:srgbClr val="FECF40"/>
                            </a:gs>
                            <a:gs pos="100000">
                              <a:srgbClr val="846C21"/>
                            </a:gs>
                          </a:gsLst>
                          <a:lin ang="5400000" scaled="0"/>
                        </a:gradFill>
                        <a:ln w="6350">
                          <a:solidFill>
                            <a:prstClr val="black"/>
                          </a:solidFill>
                        </a:ln>
                        <a:effectLst/>
                      </wps:spPr>
                      <wps:txbx>
                        <w:txbxContent>
                          <w:p w14:paraId="5E060EE8" w14:textId="77777777" w:rsidR="0033792B" w:rsidRDefault="0033792B" w:rsidP="00CC55C1">
                            <w:pPr>
                              <w:ind w:firstLineChars="100" w:firstLine="220"/>
                            </w:pPr>
                            <w:r>
                              <w:t>Screening</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21F5A864" id="Text Box 5" o:spid="_x0000_s1031" type="#_x0000_t202" style="position:absolute;left:0;text-align:left;margin-left:15.3pt;margin-top:1.3pt;width:26.8pt;height:105.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" fillcolor="#fecf40" strokeweight=".5pt">
                <v:fill color2="#846c21" focus="100%" type="gradient">
                  <o:fill v:ext="view" type="gradientUnscaled"/>
                </v:fill>
                <v:textbox style="layout-flow:vertical-ideographic">
                  <w:txbxContent>
                    <w:p w14:paraId="5E060EE8" w14:textId="77777777" w:rsidR="0033792B" w:rsidRDefault="0033792B" w:rsidP="00CC55C1">
                      <w:pPr>
                        <w:ind w:firstLineChars="100" w:firstLine="220"/>
                      </w:pPr>
                      <w:r>
                        <w:t>Screening</w:t>
                      </w:r>
                    </w:p>
                  </w:txbxContent>
                </v:textbox>
              </v:shape>
            </w:pict>
          </mc:Fallback>
        </mc:AlternateContent>
      </w:r>
    </w:p>
    <w:p w14:paraId="20CC2E7D"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1552" behindDoc="0" locked="0" layoutInCell="1" allowOverlap="1" wp14:anchorId="6F6DA7E2" wp14:editId="5CCE888E">
                <wp:simplePos x="0" y="0"/>
                <wp:positionH relativeFrom="column">
                  <wp:posOffset>2676525</wp:posOffset>
                </wp:positionH>
                <wp:positionV relativeFrom="paragraph">
                  <wp:posOffset>228600</wp:posOffset>
                </wp:positionV>
                <wp:extent cx="1409065" cy="824230"/>
                <wp:effectExtent l="4445" t="4445" r="8890" b="9525"/>
                <wp:wrapNone/>
                <wp:docPr id="10" name="Text Box 10"/>
                <wp:cNvGraphicFramePr/>
                <a:graphic xmlns:a="http://schemas.openxmlformats.org/drawingml/2006/main">
                  <a:graphicData uri="http://schemas.microsoft.com/office/word/2010/wordprocessingShape">
                    <wps:wsp>
                      <wps:cNvSpPr txBox="1"/>
                      <wps:spPr>
                        <a:xfrm>
                          <a:off x="0" y="0"/>
                          <a:ext cx="1409065" cy="824230"/>
                        </a:xfrm>
                        <a:prstGeom prst="rect">
                          <a:avLst/>
                        </a:prstGeom>
                        <a:solidFill>
                          <a:sysClr val="window" lastClr="FFFFFF"/>
                        </a:solidFill>
                        <a:ln w="6350">
                          <a:solidFill>
                            <a:prstClr val="black"/>
                          </a:solidFill>
                        </a:ln>
                        <a:effectLst/>
                      </wps:spPr>
                      <wps:txbx>
                        <w:txbxContent>
                          <w:p w14:paraId="4A7B7456" w14:textId="77777777" w:rsidR="0033792B" w:rsidRPr="003A0C63" w:rsidRDefault="0033792B" w:rsidP="00CC55C1">
                            <w:pPr>
                              <w:rPr>
                                <w:rFonts w:ascii="Calibri" w:hAnsi="Calibri" w:cs="Calibri"/>
                                <w:sz w:val="20"/>
                                <w:szCs w:val="20"/>
                              </w:rPr>
                            </w:pPr>
                            <w:r>
                              <w:rPr>
                                <w:rFonts w:ascii="Calibri" w:hAnsi="Calibri" w:cs="Calibri"/>
                                <w:sz w:val="20"/>
                                <w:szCs w:val="20"/>
                              </w:rPr>
                              <w:t>Records excluded (n37</w:t>
                            </w:r>
                            <w:r w:rsidRPr="003A0C63">
                              <w:rPr>
                                <w:rFonts w:ascii="Calibri" w:hAnsi="Calibri" w:cs="Calibri"/>
                                <w:sz w:val="20"/>
                                <w:szCs w:val="20"/>
                              </w:rPr>
                              <w:t>8) reason 1 (</w:t>
                            </w:r>
                            <w:r w:rsidRPr="003A0C63">
                              <w:rPr>
                                <w:rFonts w:ascii="Calibri" w:eastAsia="SimSun" w:hAnsi="Calibri" w:cs="Calibri"/>
                                <w:sz w:val="20"/>
                                <w:szCs w:val="20"/>
                              </w:rPr>
                              <w:t>inclusion/exclusion criteria</w:t>
                            </w:r>
                            <w:r w:rsidRPr="003A0C63">
                              <w:rPr>
                                <w:rFonts w:ascii="Calibri" w:hAnsi="Calibri" w:cs="Calibri"/>
                                <w:sz w:val="20"/>
                                <w:szCs w:val="20"/>
                              </w:rPr>
                              <w:t>)</w:t>
                            </w:r>
                          </w:p>
                          <w:p w14:paraId="7D2AF4A2" w14:textId="77777777" w:rsidR="0033792B" w:rsidRPr="003A0C63" w:rsidRDefault="0033792B" w:rsidP="00CC55C1">
                            <w:pPr>
                              <w:rPr>
                                <w:rFonts w:ascii="Calibri" w:hAnsi="Calibri" w:cs="Calibri"/>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F6DA7E2" id="Text Box 10" o:spid="_x0000_s1032" type="#_x0000_t202" style="position:absolute;left:0;text-align:left;margin-left:210.75pt;margin-top:18pt;width:110.95pt;height:64.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" fillcolor="window" strokeweight=".5pt">
                <v:textbox>
                  <w:txbxContent>
                    <w:p w14:paraId="4A7B7456" w14:textId="77777777" w:rsidR="0033792B" w:rsidRPr="003A0C63" w:rsidRDefault="0033792B" w:rsidP="00CC55C1">
                      <w:pPr>
                        <w:rPr>
                          <w:rFonts w:ascii="Calibri" w:hAnsi="Calibri" w:cs="Calibri"/>
                          <w:sz w:val="20"/>
                          <w:szCs w:val="20"/>
                        </w:rPr>
                      </w:pPr>
                      <w:r>
                        <w:rPr>
                          <w:rFonts w:ascii="Calibri" w:hAnsi="Calibri" w:cs="Calibri"/>
                          <w:sz w:val="20"/>
                          <w:szCs w:val="20"/>
                        </w:rPr>
                        <w:t>Records excluded (n37</w:t>
                      </w:r>
                      <w:r w:rsidRPr="003A0C63">
                        <w:rPr>
                          <w:rFonts w:ascii="Calibri" w:hAnsi="Calibri" w:cs="Calibri"/>
                          <w:sz w:val="20"/>
                          <w:szCs w:val="20"/>
                        </w:rPr>
                        <w:t>8) reason 1 (</w:t>
                      </w:r>
                      <w:r w:rsidRPr="003A0C63">
                        <w:rPr>
                          <w:rFonts w:ascii="Calibri" w:eastAsia="SimSun" w:hAnsi="Calibri" w:cs="Calibri"/>
                          <w:sz w:val="20"/>
                          <w:szCs w:val="20"/>
                        </w:rPr>
                        <w:t>inclusion/exclusion criteria</w:t>
                      </w:r>
                      <w:r w:rsidRPr="003A0C63">
                        <w:rPr>
                          <w:rFonts w:ascii="Calibri" w:hAnsi="Calibri" w:cs="Calibri"/>
                          <w:sz w:val="20"/>
                          <w:szCs w:val="20"/>
                        </w:rPr>
                        <w:t>)</w:t>
                      </w:r>
                    </w:p>
                    <w:p w14:paraId="7D2AF4A2" w14:textId="77777777" w:rsidR="0033792B" w:rsidRPr="003A0C63" w:rsidRDefault="0033792B" w:rsidP="00CC55C1">
                      <w:pPr>
                        <w:rPr>
                          <w:rFonts w:ascii="Calibri" w:hAnsi="Calibri" w:cs="Calibri"/>
                          <w:sz w:val="20"/>
                          <w:szCs w:val="20"/>
                        </w:rPr>
                      </w:pPr>
                    </w:p>
                  </w:txbxContent>
                </v:textbox>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0528" behindDoc="0" locked="0" layoutInCell="1" allowOverlap="1" wp14:anchorId="7A59885F" wp14:editId="57D1AE14">
                <wp:simplePos x="0" y="0"/>
                <wp:positionH relativeFrom="column">
                  <wp:posOffset>776605</wp:posOffset>
                </wp:positionH>
                <wp:positionV relativeFrom="paragraph">
                  <wp:posOffset>246380</wp:posOffset>
                </wp:positionV>
                <wp:extent cx="1141730" cy="676910"/>
                <wp:effectExtent l="4445" t="4445" r="9525" b="17145"/>
                <wp:wrapNone/>
                <wp:docPr id="9" name="Text Box 9"/>
                <wp:cNvGraphicFramePr/>
                <a:graphic xmlns:a="http://schemas.openxmlformats.org/drawingml/2006/main">
                  <a:graphicData uri="http://schemas.microsoft.com/office/word/2010/wordprocessingShape">
                    <wps:wsp>
                      <wps:cNvSpPr txBox="1"/>
                      <wps:spPr>
                        <a:xfrm>
                          <a:off x="0" y="0"/>
                          <a:ext cx="1141730" cy="676910"/>
                        </a:xfrm>
                        <a:prstGeom prst="rect">
                          <a:avLst/>
                        </a:prstGeom>
                        <a:solidFill>
                          <a:sysClr val="window" lastClr="FFFFFF"/>
                        </a:solidFill>
                        <a:ln w="6350">
                          <a:solidFill>
                            <a:prstClr val="black"/>
                          </a:solidFill>
                        </a:ln>
                        <a:effectLst/>
                      </wps:spPr>
                      <wps:txbx>
                        <w:txbxContent>
                          <w:p w14:paraId="0A20BCE7" w14:textId="77777777" w:rsidR="0033792B" w:rsidRPr="003A0C63" w:rsidRDefault="0033792B" w:rsidP="00CC55C1">
                            <w:pPr>
                              <w:rPr>
                                <w:sz w:val="20"/>
                              </w:rPr>
                            </w:pPr>
                            <w:r w:rsidRPr="003A0C63">
                              <w:rPr>
                                <w:sz w:val="20"/>
                              </w:rPr>
                              <w:t>Report assess for eligibility (n-</w:t>
                            </w:r>
                            <w:r>
                              <w:rPr>
                                <w:sz w:val="20"/>
                              </w:rPr>
                              <w:t>397</w:t>
                            </w:r>
                            <w:r w:rsidRPr="003A0C63">
                              <w:rPr>
                                <w:sz w:val="20"/>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7A59885F" id="Text Box 9" o:spid="_x0000_s1033" type="#_x0000_t202" style="position:absolute;left:0;text-align:left;margin-left:61.15pt;margin-top:19.4pt;width:89.9pt;height:53.3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" fillcolor="window" strokeweight=".5pt">
                <v:textbox>
                  <w:txbxContent>
                    <w:p w14:paraId="0A20BCE7" w14:textId="77777777" w:rsidR="0033792B" w:rsidRPr="003A0C63" w:rsidRDefault="0033792B" w:rsidP="00CC55C1">
                      <w:pPr>
                        <w:rPr>
                          <w:sz w:val="20"/>
                        </w:rPr>
                      </w:pPr>
                      <w:r w:rsidRPr="003A0C63">
                        <w:rPr>
                          <w:sz w:val="20"/>
                        </w:rPr>
                        <w:t>Report assess for eligibility (n-</w:t>
                      </w:r>
                      <w:r>
                        <w:rPr>
                          <w:sz w:val="20"/>
                        </w:rPr>
                        <w:t>397</w:t>
                      </w:r>
                      <w:r w:rsidRPr="003A0C63">
                        <w:rPr>
                          <w:sz w:val="20"/>
                        </w:rPr>
                        <w:t>)</w:t>
                      </w:r>
                    </w:p>
                  </w:txbxContent>
                </v:textbox>
              </v:shape>
            </w:pict>
          </mc:Fallback>
        </mc:AlternateContent>
      </w:r>
    </w:p>
    <w:p w14:paraId="542030A6"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4624" behindDoc="0" locked="0" layoutInCell="1" allowOverlap="1" wp14:anchorId="221021FD" wp14:editId="5FF4AFE4">
                <wp:simplePos x="0" y="0"/>
                <wp:positionH relativeFrom="column">
                  <wp:posOffset>1939925</wp:posOffset>
                </wp:positionH>
                <wp:positionV relativeFrom="paragraph">
                  <wp:posOffset>144145</wp:posOffset>
                </wp:positionV>
                <wp:extent cx="401955" cy="4445"/>
                <wp:effectExtent l="0" t="49530" r="4445" b="47625"/>
                <wp:wrapNone/>
                <wp:docPr id="15" name="Straight Arrow Connector 15"/>
                <wp:cNvGraphicFramePr/>
                <a:graphic xmlns:a="http://schemas.openxmlformats.org/drawingml/2006/main">
                  <a:graphicData uri="http://schemas.microsoft.com/office/word/2010/wordprocessingShape">
                    <wps:wsp>
                      <wps:cNvCnPr/>
                      <wps:spPr>
                        <a:xfrm flipV="1">
                          <a:off x="0" y="0"/>
                          <a:ext cx="401955" cy="4445"/>
                        </a:xfrm>
                        <a:prstGeom prst="straightConnector1">
                          <a:avLst/>
                        </a:prstGeom>
                        <a:noFill/>
                        <a:ln w="12700" cap="flat" cmpd="sng" algn="ctr">
                          <a:solidFill>
                            <a:sysClr val="windowText" lastClr="000000"/>
                          </a:solidFill>
                          <a:prstDash val="solid"/>
                          <a:miter lim="800000"/>
                          <a:tailEnd type="arrow"/>
                        </a:ln>
                        <a:effectLst/>
                      </wps:spPr>
                      <wps:bodyPr/>
                    </wps:wsp>
                  </a:graphicData>
                </a:graphic>
              </wp:anchor>
            </w:drawing>
          </mc:Choice>
          <mc:Fallback>
            <w:pict>
              <v:shape w14:anchorId="5EED4BFA" id="Straight Arrow Connector 15" o:spid="_x0000_s1026" type="#_x0000_t32" style="position:absolute;margin-left:152.75pt;margin-top:11.35pt;width:31.65pt;height:.3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" strokecolor="windowText" strokeweight="1pt">
                <v:stroke endarrow="open" joinstyle="miter"/>
              </v:shape>
            </w:pict>
          </mc:Fallback>
        </mc:AlternateContent>
      </w:r>
    </w:p>
    <w:p w14:paraId="71F735D4"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8720" behindDoc="0" locked="0" layoutInCell="1" allowOverlap="1" wp14:anchorId="490C9485" wp14:editId="02AA923B">
                <wp:simplePos x="0" y="0"/>
                <wp:positionH relativeFrom="column">
                  <wp:posOffset>1360805</wp:posOffset>
                </wp:positionH>
                <wp:positionV relativeFrom="paragraph">
                  <wp:posOffset>95885</wp:posOffset>
                </wp:positionV>
                <wp:extent cx="6985" cy="213995"/>
                <wp:effectExtent l="47625" t="0" r="46990" b="1905"/>
                <wp:wrapNone/>
                <wp:docPr id="20" name="Straight Arrow Connector 20"/>
                <wp:cNvGraphicFramePr/>
                <a:graphic xmlns:a="http://schemas.openxmlformats.org/drawingml/2006/main">
                  <a:graphicData uri="http://schemas.microsoft.com/office/word/2010/wordprocessingShape">
                    <wps:wsp>
                      <wps:cNvCnPr/>
                      <wps:spPr>
                        <a:xfrm flipH="1">
                          <a:off x="0" y="0"/>
                          <a:ext cx="6985" cy="213995"/>
                        </a:xfrm>
                        <a:prstGeom prst="straightConnector1">
                          <a:avLst/>
                        </a:prstGeom>
                        <a:noFill/>
                        <a:ln w="12700" cap="flat" cmpd="sng" algn="ctr">
                          <a:solidFill>
                            <a:sysClr val="windowText" lastClr="000000"/>
                          </a:solidFill>
                          <a:prstDash val="solid"/>
                          <a:miter lim="800000"/>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5608330C" id="Straight Arrow Connector 20" o:spid="_x0000_s1026" type="#_x0000_t32" style="position:absolute;margin-left:107.15pt;margin-top:7.55pt;width:.55pt;height:16.8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" strokecolor="windowText" strokeweight="1pt">
                <v:stroke endarrow="open" joinstyle="miter"/>
              </v:shape>
            </w:pict>
          </mc:Fallback>
        </mc:AlternateContent>
      </w:r>
    </w:p>
    <w:p w14:paraId="33D90AF1"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66432" behindDoc="0" locked="0" layoutInCell="1" allowOverlap="1" wp14:anchorId="64B881BA" wp14:editId="1555A16E">
                <wp:simplePos x="0" y="0"/>
                <wp:positionH relativeFrom="column">
                  <wp:posOffset>192405</wp:posOffset>
                </wp:positionH>
                <wp:positionV relativeFrom="paragraph">
                  <wp:posOffset>18415</wp:posOffset>
                </wp:positionV>
                <wp:extent cx="334645" cy="843280"/>
                <wp:effectExtent l="4445" t="4445" r="16510" b="15875"/>
                <wp:wrapNone/>
                <wp:docPr id="6" name="Text Box 6"/>
                <wp:cNvGraphicFramePr/>
                <a:graphic xmlns:a="http://schemas.openxmlformats.org/drawingml/2006/main">
                  <a:graphicData uri="http://schemas.microsoft.com/office/word/2010/wordprocessingShape">
                    <wps:wsp>
                      <wps:cNvSpPr txBox="1"/>
                      <wps:spPr>
                        <a:xfrm>
                          <a:off x="0" y="0"/>
                          <a:ext cx="334645" cy="843280"/>
                        </a:xfrm>
                        <a:prstGeom prst="rect">
                          <a:avLst/>
                        </a:prstGeom>
                        <a:gradFill>
                          <a:gsLst>
                            <a:gs pos="0">
                              <a:srgbClr val="FECF40"/>
                            </a:gs>
                            <a:gs pos="100000">
                              <a:srgbClr val="846C21"/>
                            </a:gs>
                          </a:gsLst>
                          <a:lin ang="5400000" scaled="0"/>
                        </a:gradFill>
                        <a:ln w="6350">
                          <a:solidFill>
                            <a:prstClr val="black"/>
                          </a:solidFill>
                        </a:ln>
                        <a:effectLst/>
                      </wps:spPr>
                      <wps:txbx>
                        <w:txbxContent>
                          <w:p w14:paraId="664A60E9" w14:textId="77777777" w:rsidR="0033792B" w:rsidRDefault="0033792B" w:rsidP="00CC55C1">
                            <w:pPr>
                              <w:ind w:firstLineChars="100" w:firstLine="220"/>
                            </w:pPr>
                            <w:r>
                              <w:t>Included</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64B881BA" id="Text Box 6" o:spid="_x0000_s1034" type="#_x0000_t202" style="position:absolute;left:0;text-align:left;margin-left:15.15pt;margin-top:1.45pt;width:26.35pt;height:66.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" fillcolor="#fecf40" strokeweight=".5pt">
                <v:fill color2="#846c21" focus="100%" type="gradient">
                  <o:fill v:ext="view" type="gradientUnscaled"/>
                </v:fill>
                <v:textbox style="layout-flow:vertical-ideographic">
                  <w:txbxContent>
                    <w:p w14:paraId="664A60E9" w14:textId="77777777" w:rsidR="0033792B" w:rsidRDefault="0033792B" w:rsidP="00CC55C1">
                      <w:pPr>
                        <w:ind w:firstLineChars="100" w:firstLine="220"/>
                      </w:pPr>
                      <w:r>
                        <w:t>Included</w:t>
                      </w:r>
                    </w:p>
                  </w:txbxContent>
                </v:textbox>
              </v:shape>
            </w:pict>
          </mc:Fallback>
        </mc:AlternateContent>
      </w:r>
      <w:r w:rsidRPr="007D5CF2">
        <w:rPr>
          <w:rFonts w:ascii="Arial" w:eastAsia="Calibri" w:hAnsi="Arial" w:cs="Arial"/>
          <w:noProof/>
          <w:kern w:val="0"/>
          <w:lang w:eastAsia="en-GB"/>
          <w14:ligatures w14:val="none"/>
        </w:rPr>
        <mc:AlternateContent>
          <mc:Choice Requires="wps">
            <w:drawing>
              <wp:anchor distT="0" distB="0" distL="114300" distR="114300" simplePos="0" relativeHeight="251672576" behindDoc="0" locked="0" layoutInCell="1" allowOverlap="1" wp14:anchorId="111EAFD0" wp14:editId="614B708A">
                <wp:simplePos x="0" y="0"/>
                <wp:positionH relativeFrom="column">
                  <wp:posOffset>776605</wp:posOffset>
                </wp:positionH>
                <wp:positionV relativeFrom="paragraph">
                  <wp:posOffset>175895</wp:posOffset>
                </wp:positionV>
                <wp:extent cx="1147445" cy="567055"/>
                <wp:effectExtent l="4445" t="4445" r="16510" b="12700"/>
                <wp:wrapNone/>
                <wp:docPr id="11" name="Text Box 11"/>
                <wp:cNvGraphicFramePr/>
                <a:graphic xmlns:a="http://schemas.openxmlformats.org/drawingml/2006/main">
                  <a:graphicData uri="http://schemas.microsoft.com/office/word/2010/wordprocessingShape">
                    <wps:wsp>
                      <wps:cNvSpPr txBox="1"/>
                      <wps:spPr>
                        <a:xfrm>
                          <a:off x="0" y="0"/>
                          <a:ext cx="1147445" cy="567055"/>
                        </a:xfrm>
                        <a:prstGeom prst="rect">
                          <a:avLst/>
                        </a:prstGeom>
                        <a:solidFill>
                          <a:sysClr val="window" lastClr="FFFFFF"/>
                        </a:solidFill>
                        <a:ln w="6350">
                          <a:solidFill>
                            <a:prstClr val="black"/>
                          </a:solidFill>
                        </a:ln>
                        <a:effectLst/>
                      </wps:spPr>
                      <wps:txbx>
                        <w:txbxContent>
                          <w:p w14:paraId="6DE2232E" w14:textId="77777777" w:rsidR="0033792B" w:rsidRPr="003A0C63" w:rsidRDefault="0033792B" w:rsidP="00CC55C1">
                            <w:pPr>
                              <w:rPr>
                                <w:sz w:val="20"/>
                              </w:rPr>
                            </w:pPr>
                            <w:r w:rsidRPr="003A0C63">
                              <w:rPr>
                                <w:sz w:val="20"/>
                              </w:rPr>
                              <w:t xml:space="preserve"> Studies included in review (n-12)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111EAFD0" id="Text Box 11" o:spid="_x0000_s1035" type="#_x0000_t202" style="position:absolute;left:0;text-align:left;margin-left:61.15pt;margin-top:13.85pt;width:90.35pt;height:44.6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" fillcolor="window" strokeweight=".5pt">
                <v:textbox>
                  <w:txbxContent>
                    <w:p w14:paraId="6DE2232E" w14:textId="77777777" w:rsidR="0033792B" w:rsidRPr="003A0C63" w:rsidRDefault="0033792B" w:rsidP="00CC55C1">
                      <w:pPr>
                        <w:rPr>
                          <w:sz w:val="20"/>
                        </w:rPr>
                      </w:pPr>
                      <w:r w:rsidRPr="003A0C63">
                        <w:rPr>
                          <w:sz w:val="20"/>
                        </w:rPr>
                        <w:t xml:space="preserve"> Studies included in review (n-12)</w:t>
                      </w:r>
                    </w:p>
                  </w:txbxContent>
                </v:textbox>
              </v:shape>
            </w:pict>
          </mc:Fallback>
        </mc:AlternateContent>
      </w:r>
    </w:p>
    <w:p w14:paraId="28857C05"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23F395B3"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52C2AB40" w14:textId="77777777" w:rsidR="00CC55C1" w:rsidRPr="00465F20" w:rsidRDefault="00CC55C1" w:rsidP="00781D67">
      <w:pPr>
        <w:spacing w:before="240" w:after="240" w:line="360" w:lineRule="auto"/>
        <w:jc w:val="both"/>
        <w:rPr>
          <w:rFonts w:ascii="Arial" w:eastAsia="Calibri" w:hAnsi="Arial" w:cs="Arial"/>
          <w:b/>
          <w:bCs/>
          <w:kern w:val="0"/>
          <w:lang w:eastAsia="en-US"/>
          <w14:ligatures w14:val="none"/>
        </w:rPr>
      </w:pPr>
      <w:r w:rsidRPr="00465F20">
        <w:rPr>
          <w:rFonts w:ascii="Arial" w:eastAsia="pg-7ff2" w:hAnsi="Arial" w:cs="Arial"/>
          <w:b/>
          <w:bCs/>
          <w:color w:val="000000"/>
          <w:kern w:val="0"/>
          <w:shd w:val="clear" w:color="auto" w:fill="FFFFFF"/>
          <w:lang w:eastAsia="en-US"/>
          <w14:ligatures w14:val="none"/>
        </w:rPr>
        <w:t>Figure 4.1:</w:t>
      </w:r>
      <w:r w:rsidRPr="00465F20">
        <w:rPr>
          <w:rFonts w:ascii="Arial" w:eastAsia="pg-7ff1" w:hAnsi="Arial" w:cs="Arial"/>
          <w:b/>
          <w:bCs/>
          <w:color w:val="000000"/>
          <w:kern w:val="0"/>
          <w:shd w:val="clear" w:color="auto" w:fill="FFFFFF"/>
          <w:lang w:eastAsia="en-US"/>
          <w14:ligatures w14:val="none"/>
        </w:rPr>
        <w:t xml:space="preserve">  The </w:t>
      </w:r>
      <w:r w:rsidRPr="00465F20">
        <w:rPr>
          <w:rFonts w:ascii="Arial" w:eastAsia="pg-7ff3" w:hAnsi="Arial" w:cs="Arial"/>
          <w:b/>
          <w:bCs/>
          <w:color w:val="000000"/>
          <w:kern w:val="0"/>
          <w:shd w:val="clear" w:color="auto" w:fill="FFFFFF"/>
          <w:lang w:eastAsia="en-US"/>
          <w14:ligatures w14:val="none"/>
        </w:rPr>
        <w:t>PRISMA flowchart showing the selection of articles.</w:t>
      </w:r>
    </w:p>
    <w:p w14:paraId="11308B12" w14:textId="77777777" w:rsidR="00CC55C1" w:rsidRPr="00465F20" w:rsidRDefault="00CC55C1" w:rsidP="00781D67">
      <w:pPr>
        <w:spacing w:before="240" w:after="240" w:line="360" w:lineRule="auto"/>
        <w:jc w:val="both"/>
        <w:outlineLvl w:val="1"/>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4.3 Characteristics of the Included Studies</w:t>
      </w:r>
    </w:p>
    <w:p w14:paraId="0E53FCB2"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Following the study selection process, </w:t>
      </w:r>
      <w:r w:rsidRPr="007D5CF2">
        <w:rPr>
          <w:rFonts w:ascii="Arial" w:eastAsia="Times New Roman" w:hAnsi="Arial" w:cs="Arial"/>
          <w:bCs/>
          <w:kern w:val="0"/>
          <w:lang w:eastAsia="en-GB"/>
          <w14:ligatures w14:val="none"/>
        </w:rPr>
        <w:t>12 articles</w:t>
      </w:r>
      <w:r w:rsidRPr="007D5CF2">
        <w:rPr>
          <w:rFonts w:ascii="Arial" w:eastAsia="Times New Roman" w:hAnsi="Arial" w:cs="Arial"/>
          <w:kern w:val="0"/>
          <w:lang w:eastAsia="en-GB"/>
          <w14:ligatures w14:val="none"/>
        </w:rPr>
        <w:t xml:space="preserve"> were included in the final qualitative evidence synthesis. The studies varied in their research focus, methodological approach, geographical context and participant populations. Although most studies were concerned with young people's experiences of mental health support, some examined specific aspects of access, including help seeking, waiting lists, assessment, transition between services, digital support and implementation of youth focused models.</w:t>
      </w:r>
    </w:p>
    <w:p w14:paraId="2607467D" w14:textId="6999D4E6" w:rsidR="00AA2580" w:rsidRPr="007D5CF2" w:rsidRDefault="00CC55C1" w:rsidP="00781D67">
      <w:pPr>
        <w:spacing w:before="240" w:after="240" w:line="360" w:lineRule="auto"/>
        <w:jc w:val="both"/>
        <w:rPr>
          <w:rFonts w:ascii="Arial" w:eastAsia="Times New Roman" w:hAnsi="Arial" w:cs="Arial"/>
          <w:kern w:val="0"/>
          <w:lang w:eastAsia="en-GB"/>
          <w14:ligatures w14:val="none"/>
        </w:rPr>
        <w:sectPr w:rsidR="00AA2580" w:rsidRPr="007D5CF2" w:rsidSect="0033792B">
          <w:footerReference w:type="even" r:id="rId15"/>
          <w:footerReference w:type="default" r:id="rId16"/>
          <w:footerReference w:type="first" r:id="rId17"/>
          <w:pgSz w:w="11906" w:h="16838"/>
          <w:pgMar w:top="1440" w:right="1440" w:bottom="1440" w:left="1440" w:header="708" w:footer="708" w:gutter="0"/>
          <w:cols w:space="708"/>
          <w:docGrid w:linePitch="360"/>
        </w:sectPr>
      </w:pPr>
      <w:r w:rsidRPr="007D5CF2">
        <w:rPr>
          <w:rFonts w:ascii="Arial" w:eastAsia="Times New Roman" w:hAnsi="Arial" w:cs="Arial"/>
          <w:kern w:val="0"/>
          <w:lang w:eastAsia="en-GB"/>
          <w14:ligatures w14:val="none"/>
        </w:rPr>
        <w:t>The characteristics of the included studies are summarised in Table 4.1. Presenting these characteristics before the thematic synthesis provides a clear overview of the evidence base and allows the findings to be considered in relation to the populations, settings and methodological approaches represented within the review.</w:t>
      </w:r>
    </w:p>
    <w:p w14:paraId="7B60EA43" w14:textId="11167806" w:rsidR="00AA2580" w:rsidRPr="007D5CF2" w:rsidRDefault="00AA2580" w:rsidP="00781D67">
      <w:pPr>
        <w:spacing w:before="240" w:after="240" w:line="360" w:lineRule="auto"/>
        <w:jc w:val="both"/>
        <w:rPr>
          <w:rFonts w:ascii="Arial" w:eastAsia="Times New Roman" w:hAnsi="Arial" w:cs="Arial"/>
          <w:kern w:val="0"/>
          <w:lang w:eastAsia="en-GB"/>
          <w14:ligatures w14:val="none"/>
        </w:rPr>
      </w:pPr>
    </w:p>
    <w:tbl>
      <w:tblPr>
        <w:tblStyle w:val="TableGrid1"/>
        <w:tblW w:w="0" w:type="auto"/>
        <w:tblLook w:val="04A0" w:firstRow="1" w:lastRow="0" w:firstColumn="1" w:lastColumn="0" w:noHBand="0" w:noVBand="1"/>
      </w:tblPr>
      <w:tblGrid>
        <w:gridCol w:w="1716"/>
        <w:gridCol w:w="2418"/>
        <w:gridCol w:w="2102"/>
        <w:gridCol w:w="2666"/>
        <w:gridCol w:w="1903"/>
        <w:gridCol w:w="3143"/>
      </w:tblGrid>
      <w:tr w:rsidR="00CC55C1" w:rsidRPr="007D5CF2" w14:paraId="6718D40D" w14:textId="77777777" w:rsidTr="00EA1119">
        <w:tc>
          <w:tcPr>
            <w:tcW w:w="0" w:type="auto"/>
            <w:hideMark/>
          </w:tcPr>
          <w:p w14:paraId="16AE0678" w14:textId="253D7E30" w:rsidR="00CC55C1" w:rsidRPr="007D5CF2" w:rsidRDefault="00AA2580"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 xml:space="preserve">  </w:t>
            </w:r>
          </w:p>
        </w:tc>
        <w:tc>
          <w:tcPr>
            <w:tcW w:w="0" w:type="auto"/>
            <w:hideMark/>
          </w:tcPr>
          <w:p w14:paraId="2D3AD4C1"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Study aim/objective</w:t>
            </w:r>
          </w:p>
        </w:tc>
        <w:tc>
          <w:tcPr>
            <w:tcW w:w="0" w:type="auto"/>
            <w:hideMark/>
          </w:tcPr>
          <w:p w14:paraId="4500BB91"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Study population</w:t>
            </w:r>
          </w:p>
        </w:tc>
        <w:tc>
          <w:tcPr>
            <w:tcW w:w="0" w:type="auto"/>
            <w:hideMark/>
          </w:tcPr>
          <w:p w14:paraId="48288025"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Study design</w:t>
            </w:r>
          </w:p>
        </w:tc>
        <w:tc>
          <w:tcPr>
            <w:tcW w:w="0" w:type="auto"/>
            <w:hideMark/>
          </w:tcPr>
          <w:p w14:paraId="54C8D672"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Setting</w:t>
            </w:r>
          </w:p>
        </w:tc>
        <w:tc>
          <w:tcPr>
            <w:tcW w:w="0" w:type="auto"/>
            <w:hideMark/>
          </w:tcPr>
          <w:p w14:paraId="37D7A66F"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Key findings relevant to the review</w:t>
            </w:r>
          </w:p>
        </w:tc>
      </w:tr>
      <w:tr w:rsidR="00CC55C1" w:rsidRPr="007D5CF2" w14:paraId="7876A284" w14:textId="77777777" w:rsidTr="00EA1119">
        <w:tc>
          <w:tcPr>
            <w:tcW w:w="0" w:type="auto"/>
            <w:hideMark/>
          </w:tcPr>
          <w:p w14:paraId="3E8BEDD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Baxter, Burton and Fancourt (2022)</w:t>
            </w:r>
          </w:p>
        </w:tc>
        <w:tc>
          <w:tcPr>
            <w:tcW w:w="0" w:type="auto"/>
            <w:hideMark/>
          </w:tcPr>
          <w:p w14:paraId="1930E36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barriers and enablers to community and cultural engagement among people with lived experience of mental health conditions.</w:t>
            </w:r>
          </w:p>
        </w:tc>
        <w:tc>
          <w:tcPr>
            <w:tcW w:w="0" w:type="auto"/>
            <w:hideMark/>
          </w:tcPr>
          <w:p w14:paraId="0391593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23 people with mild to moderate mental health conditions</w:t>
            </w:r>
          </w:p>
        </w:tc>
        <w:tc>
          <w:tcPr>
            <w:tcW w:w="0" w:type="auto"/>
            <w:hideMark/>
          </w:tcPr>
          <w:p w14:paraId="7A174DB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interview study; thematic analysis using the COM B model</w:t>
            </w:r>
          </w:p>
        </w:tc>
        <w:tc>
          <w:tcPr>
            <w:tcW w:w="0" w:type="auto"/>
            <w:hideMark/>
          </w:tcPr>
          <w:p w14:paraId="6B0C7589"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 community and cultural settings</w:t>
            </w:r>
          </w:p>
        </w:tc>
        <w:tc>
          <w:tcPr>
            <w:tcW w:w="0" w:type="auto"/>
            <w:hideMark/>
          </w:tcPr>
          <w:p w14:paraId="5805FAE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Affordability, accessibility, social anxiety, physical limitations and lack of support could restrict participation. Motivation, enjoyment, recovery, social connection and supportive environments facilitated engagement. </w:t>
            </w:r>
          </w:p>
        </w:tc>
      </w:tr>
      <w:tr w:rsidR="00CC55C1" w:rsidRPr="007D5CF2" w14:paraId="253DC923" w14:textId="77777777" w:rsidTr="00EA1119">
        <w:tc>
          <w:tcPr>
            <w:tcW w:w="0" w:type="auto"/>
            <w:hideMark/>
          </w:tcPr>
          <w:p w14:paraId="7A4589C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Broad et al. (2017)</w:t>
            </w:r>
          </w:p>
        </w:tc>
        <w:tc>
          <w:tcPr>
            <w:tcW w:w="0" w:type="auto"/>
            <w:hideMark/>
          </w:tcPr>
          <w:p w14:paraId="58C4746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synthesise young people's experiences of transition from Child and Adolescent Mental Health Services (CAMHS) to Adult Mental Health Services (AMHS).</w:t>
            </w:r>
          </w:p>
        </w:tc>
        <w:tc>
          <w:tcPr>
            <w:tcW w:w="0" w:type="auto"/>
            <w:hideMark/>
          </w:tcPr>
          <w:p w14:paraId="03B1B7A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253 unique service users represented across 18 studies and 14 datasets</w:t>
            </w:r>
          </w:p>
        </w:tc>
        <w:tc>
          <w:tcPr>
            <w:tcW w:w="0" w:type="auto"/>
            <w:hideMark/>
          </w:tcPr>
          <w:p w14:paraId="53DE882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thematic synthesis</w:t>
            </w:r>
          </w:p>
        </w:tc>
        <w:tc>
          <w:tcPr>
            <w:tcW w:w="0" w:type="auto"/>
            <w:hideMark/>
          </w:tcPr>
          <w:p w14:paraId="1B1968B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International literature concerning CAMHS to AMHS transition</w:t>
            </w:r>
          </w:p>
        </w:tc>
        <w:tc>
          <w:tcPr>
            <w:tcW w:w="0" w:type="auto"/>
            <w:hideMark/>
          </w:tcPr>
          <w:p w14:paraId="38D3826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Young people valued preparation, flexible transition timing, individualised plans, informational continuity, joint working and relational continuity. Poor transition arrangements could contribute to disengagement. </w:t>
            </w:r>
          </w:p>
        </w:tc>
      </w:tr>
      <w:tr w:rsidR="00CC55C1" w:rsidRPr="007D5CF2" w14:paraId="11786AD6" w14:textId="77777777" w:rsidTr="00EA1119">
        <w:tc>
          <w:tcPr>
            <w:tcW w:w="0" w:type="auto"/>
            <w:hideMark/>
          </w:tcPr>
          <w:p w14:paraId="4E5A0DE5"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b/>
                <w:bCs/>
                <w:lang w:eastAsia="en-GB"/>
              </w:rPr>
              <w:t>Burlibasa</w:t>
            </w:r>
            <w:proofErr w:type="spellEnd"/>
            <w:r w:rsidRPr="007D5CF2">
              <w:rPr>
                <w:rFonts w:ascii="Arial" w:eastAsia="Times New Roman" w:hAnsi="Arial" w:cs="Arial"/>
                <w:b/>
                <w:bCs/>
                <w:lang w:eastAsia="en-GB"/>
              </w:rPr>
              <w:t>, Campagnola and Gutman (2025)</w:t>
            </w:r>
          </w:p>
        </w:tc>
        <w:tc>
          <w:tcPr>
            <w:tcW w:w="0" w:type="auto"/>
            <w:hideMark/>
          </w:tcPr>
          <w:p w14:paraId="6FD3DD49"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identify barriers and facilitators affecting delivery of a webchat mental health helpline for young people and identify potential improvement strategies.</w:t>
            </w:r>
          </w:p>
        </w:tc>
        <w:tc>
          <w:tcPr>
            <w:tcW w:w="0" w:type="auto"/>
            <w:hideMark/>
          </w:tcPr>
          <w:p w14:paraId="2DDD243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11 trained helpline volunteers and staff</w:t>
            </w:r>
          </w:p>
        </w:tc>
        <w:tc>
          <w:tcPr>
            <w:tcW w:w="0" w:type="auto"/>
            <w:hideMark/>
          </w:tcPr>
          <w:p w14:paraId="17C3450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semi structured interviews; deductive analysis using the Theoretical Domains Framework followed by inductive thematic coding</w:t>
            </w:r>
          </w:p>
        </w:tc>
        <w:tc>
          <w:tcPr>
            <w:tcW w:w="0" w:type="auto"/>
            <w:hideMark/>
          </w:tcPr>
          <w:p w14:paraId="393ABD8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 based youth mental health charity</w:t>
            </w:r>
          </w:p>
        </w:tc>
        <w:tc>
          <w:tcPr>
            <w:tcW w:w="0" w:type="auto"/>
            <w:hideMark/>
          </w:tcPr>
          <w:p w14:paraId="1D84FA0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Findings identified organisational and delivery barriers alongside factors that could facilitate effective webchat support, highlighting the importance of appropriate resources, staff capability and service organisation. </w:t>
            </w:r>
          </w:p>
        </w:tc>
      </w:tr>
      <w:tr w:rsidR="00CC55C1" w:rsidRPr="007D5CF2" w14:paraId="745D6C08" w14:textId="77777777" w:rsidTr="00EA1119">
        <w:tc>
          <w:tcPr>
            <w:tcW w:w="0" w:type="auto"/>
            <w:hideMark/>
          </w:tcPr>
          <w:p w14:paraId="53A73F2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Dorata et al. (2025)</w:t>
            </w:r>
          </w:p>
        </w:tc>
        <w:tc>
          <w:tcPr>
            <w:tcW w:w="0" w:type="auto"/>
            <w:hideMark/>
          </w:tcPr>
          <w:p w14:paraId="522D8EF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young people's experiences of mental health assessment and identify factors influencing whether assessment is experienced positively or negatively.</w:t>
            </w:r>
          </w:p>
        </w:tc>
        <w:tc>
          <w:tcPr>
            <w:tcW w:w="0" w:type="auto"/>
            <w:hideMark/>
          </w:tcPr>
          <w:p w14:paraId="38D323A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12 culturally diverse young people who had experienced a mental health assessment within the previous 18 months</w:t>
            </w:r>
          </w:p>
        </w:tc>
        <w:tc>
          <w:tcPr>
            <w:tcW w:w="0" w:type="auto"/>
            <w:hideMark/>
          </w:tcPr>
          <w:p w14:paraId="170B89C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semi structured online interviews; reflexive thematic analysis</w:t>
            </w:r>
          </w:p>
        </w:tc>
        <w:tc>
          <w:tcPr>
            <w:tcW w:w="0" w:type="auto"/>
            <w:hideMark/>
          </w:tcPr>
          <w:p w14:paraId="30B21F9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w:t>
            </w:r>
          </w:p>
        </w:tc>
        <w:tc>
          <w:tcPr>
            <w:tcW w:w="0" w:type="auto"/>
            <w:hideMark/>
          </w:tcPr>
          <w:p w14:paraId="3C71C9F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Young people described concerns about assessment experiences that could feel impersonal or rigid. Person centred assessment and being listened to as individuals were important facilitators of engagement. </w:t>
            </w:r>
          </w:p>
        </w:tc>
      </w:tr>
      <w:tr w:rsidR="00CC55C1" w:rsidRPr="007D5CF2" w14:paraId="3548D570" w14:textId="77777777" w:rsidTr="00EA1119">
        <w:tc>
          <w:tcPr>
            <w:tcW w:w="0" w:type="auto"/>
            <w:hideMark/>
          </w:tcPr>
          <w:p w14:paraId="3F06594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Gee et al. (2021)</w:t>
            </w:r>
          </w:p>
        </w:tc>
        <w:tc>
          <w:tcPr>
            <w:tcW w:w="0" w:type="auto"/>
            <w:hideMark/>
          </w:tcPr>
          <w:p w14:paraId="719CDC7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synthesise barriers and facilitators to implementing indicated psychological interventions within schools and colleges.</w:t>
            </w:r>
          </w:p>
        </w:tc>
        <w:tc>
          <w:tcPr>
            <w:tcW w:w="0" w:type="auto"/>
            <w:hideMark/>
          </w:tcPr>
          <w:p w14:paraId="29C317A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Adolescents receiving or eligible for indicated psychological interventions across the included studies</w:t>
            </w:r>
          </w:p>
        </w:tc>
        <w:tc>
          <w:tcPr>
            <w:tcW w:w="0" w:type="auto"/>
            <w:hideMark/>
          </w:tcPr>
          <w:p w14:paraId="3C701C4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synthesis of implementation evidence</w:t>
            </w:r>
          </w:p>
        </w:tc>
        <w:tc>
          <w:tcPr>
            <w:tcW w:w="0" w:type="auto"/>
            <w:hideMark/>
          </w:tcPr>
          <w:p w14:paraId="33FA37E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Schools and colleges in high income countries</w:t>
            </w:r>
          </w:p>
        </w:tc>
        <w:tc>
          <w:tcPr>
            <w:tcW w:w="0" w:type="auto"/>
            <w:hideMark/>
          </w:tcPr>
          <w:p w14:paraId="214027F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Practicality, flexibility, school routines, staff capacity and parental involvement influenced implementation. Flexible delivery that fitted educational settings facilitated access and implementation. </w:t>
            </w:r>
          </w:p>
        </w:tc>
      </w:tr>
      <w:tr w:rsidR="00CC55C1" w:rsidRPr="007D5CF2" w14:paraId="60AA2395" w14:textId="77777777" w:rsidTr="00EA1119">
        <w:tc>
          <w:tcPr>
            <w:tcW w:w="0" w:type="auto"/>
            <w:hideMark/>
          </w:tcPr>
          <w:p w14:paraId="46310CD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Holding et al. (2022)</w:t>
            </w:r>
          </w:p>
        </w:tc>
        <w:tc>
          <w:tcPr>
            <w:tcW w:w="0" w:type="auto"/>
            <w:hideMark/>
          </w:tcPr>
          <w:p w14:paraId="62C593A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young people's perspectives regarding what supports their mental health and how mental health support should be provided.</w:t>
            </w:r>
          </w:p>
        </w:tc>
        <w:tc>
          <w:tcPr>
            <w:tcW w:w="0" w:type="auto"/>
            <w:hideMark/>
          </w:tcPr>
          <w:p w14:paraId="50BF475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42 young people aged 13–21</w:t>
            </w:r>
          </w:p>
        </w:tc>
        <w:tc>
          <w:tcPr>
            <w:tcW w:w="0" w:type="auto"/>
            <w:hideMark/>
          </w:tcPr>
          <w:p w14:paraId="551F9E6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18 focus groups</w:t>
            </w:r>
          </w:p>
        </w:tc>
        <w:tc>
          <w:tcPr>
            <w:tcW w:w="0" w:type="auto"/>
            <w:hideMark/>
          </w:tcPr>
          <w:p w14:paraId="390BD2A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Three geographically distinct, highly deprived areas of England</w:t>
            </w:r>
          </w:p>
        </w:tc>
        <w:tc>
          <w:tcPr>
            <w:tcW w:w="0" w:type="auto"/>
            <w:hideMark/>
          </w:tcPr>
          <w:p w14:paraId="159DC56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Young people highlighted the importance of accessible, acceptable and supportive forms of mental health support, with socioeconomic context influencing experiences and access. </w:t>
            </w:r>
          </w:p>
        </w:tc>
      </w:tr>
      <w:tr w:rsidR="00CC55C1" w:rsidRPr="007D5CF2" w14:paraId="63A677A9" w14:textId="77777777" w:rsidTr="00EA1119">
        <w:tc>
          <w:tcPr>
            <w:tcW w:w="0" w:type="auto"/>
            <w:hideMark/>
          </w:tcPr>
          <w:p w14:paraId="7A23E2F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Kitchen et al. (2023)</w:t>
            </w:r>
          </w:p>
        </w:tc>
        <w:tc>
          <w:tcPr>
            <w:tcW w:w="0" w:type="auto"/>
            <w:hideMark/>
          </w:tcPr>
          <w:p w14:paraId="4DC6334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how young people, parents and therapists experienced behavioural activation for depression within CAMHS.</w:t>
            </w:r>
          </w:p>
        </w:tc>
        <w:tc>
          <w:tcPr>
            <w:tcW w:w="0" w:type="auto"/>
            <w:hideMark/>
          </w:tcPr>
          <w:p w14:paraId="47A9409F"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6 young people, 5 parents and 5 therapists</w:t>
            </w:r>
          </w:p>
        </w:tc>
        <w:tc>
          <w:tcPr>
            <w:tcW w:w="0" w:type="auto"/>
            <w:hideMark/>
          </w:tcPr>
          <w:p w14:paraId="4320DED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interviews nested within an RCT; thematic analysis</w:t>
            </w:r>
          </w:p>
        </w:tc>
        <w:tc>
          <w:tcPr>
            <w:tcW w:w="0" w:type="auto"/>
            <w:hideMark/>
          </w:tcPr>
          <w:p w14:paraId="5F11B81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 CAMHS</w:t>
            </w:r>
          </w:p>
        </w:tc>
        <w:tc>
          <w:tcPr>
            <w:tcW w:w="0" w:type="auto"/>
            <w:hideMark/>
          </w:tcPr>
          <w:p w14:paraId="45D0505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Motivation, appropriate parental involvement and positive therapeutic collaboration facilitated engagement. Mismatch with preferences, comorbidities, inadequate parental support and therapist preconceptions could hinder engagement. </w:t>
            </w:r>
          </w:p>
        </w:tc>
      </w:tr>
      <w:tr w:rsidR="00CC55C1" w:rsidRPr="007D5CF2" w14:paraId="13E0D8D6" w14:textId="77777777" w:rsidTr="00EA1119">
        <w:tc>
          <w:tcPr>
            <w:tcW w:w="0" w:type="auto"/>
            <w:hideMark/>
          </w:tcPr>
          <w:p w14:paraId="044983B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Plackett et al. (2026)</w:t>
            </w:r>
          </w:p>
        </w:tc>
        <w:tc>
          <w:tcPr>
            <w:tcW w:w="0" w:type="auto"/>
            <w:hideMark/>
          </w:tcPr>
          <w:p w14:paraId="134F880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young adults' views regarding discussing social media use in primary care in relation to mental health.</w:t>
            </w:r>
          </w:p>
        </w:tc>
        <w:tc>
          <w:tcPr>
            <w:tcW w:w="0" w:type="auto"/>
            <w:hideMark/>
          </w:tcPr>
          <w:p w14:paraId="6D217DD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28 young adults aged 18–25 with </w:t>
            </w:r>
            <w:proofErr w:type="spellStart"/>
            <w:r w:rsidRPr="007D5CF2">
              <w:rPr>
                <w:rFonts w:ascii="Arial" w:eastAsia="Times New Roman" w:hAnsi="Arial" w:cs="Arial"/>
                <w:lang w:eastAsia="en-GB"/>
              </w:rPr>
              <w:t>self reported</w:t>
            </w:r>
            <w:proofErr w:type="spellEnd"/>
            <w:r w:rsidRPr="007D5CF2">
              <w:rPr>
                <w:rFonts w:ascii="Arial" w:eastAsia="Times New Roman" w:hAnsi="Arial" w:cs="Arial"/>
                <w:lang w:eastAsia="en-GB"/>
              </w:rPr>
              <w:t xml:space="preserve"> mental health problems</w:t>
            </w:r>
          </w:p>
        </w:tc>
        <w:tc>
          <w:tcPr>
            <w:tcW w:w="0" w:type="auto"/>
            <w:hideMark/>
          </w:tcPr>
          <w:p w14:paraId="38E61F3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semi structured interviews; thematic analysis informed by the Theory of Planned Behaviour</w:t>
            </w:r>
          </w:p>
        </w:tc>
        <w:tc>
          <w:tcPr>
            <w:tcW w:w="0" w:type="auto"/>
            <w:hideMark/>
          </w:tcPr>
          <w:p w14:paraId="6F474C2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Primary care across England</w:t>
            </w:r>
          </w:p>
        </w:tc>
        <w:tc>
          <w:tcPr>
            <w:tcW w:w="0" w:type="auto"/>
            <w:hideMark/>
          </w:tcPr>
          <w:p w14:paraId="1D424F1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Barriers included low expectations of support, limited clinician understanding, short consultations and uncertainty about seeking help. Facilitators included </w:t>
            </w:r>
            <w:proofErr w:type="spellStart"/>
            <w:r w:rsidRPr="007D5CF2">
              <w:rPr>
                <w:rFonts w:ascii="Arial" w:eastAsia="Times New Roman" w:hAnsi="Arial" w:cs="Arial"/>
                <w:lang w:eastAsia="en-GB"/>
              </w:rPr>
              <w:t>non judgemental</w:t>
            </w:r>
            <w:proofErr w:type="spellEnd"/>
            <w:r w:rsidRPr="007D5CF2">
              <w:rPr>
                <w:rFonts w:ascii="Arial" w:eastAsia="Times New Roman" w:hAnsi="Arial" w:cs="Arial"/>
                <w:lang w:eastAsia="en-GB"/>
              </w:rPr>
              <w:t xml:space="preserve"> discussion, practical advice, clinician training, longer consultations and clearer information. </w:t>
            </w:r>
          </w:p>
        </w:tc>
      </w:tr>
      <w:tr w:rsidR="00CC55C1" w:rsidRPr="007D5CF2" w14:paraId="65CBB1E0" w14:textId="77777777" w:rsidTr="00EA1119">
        <w:tc>
          <w:tcPr>
            <w:tcW w:w="0" w:type="auto"/>
            <w:hideMark/>
          </w:tcPr>
          <w:p w14:paraId="33EB350D"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b/>
                <w:bCs/>
                <w:lang w:eastAsia="en-GB"/>
              </w:rPr>
              <w:t>Punton</w:t>
            </w:r>
            <w:proofErr w:type="spellEnd"/>
            <w:r w:rsidRPr="007D5CF2">
              <w:rPr>
                <w:rFonts w:ascii="Arial" w:eastAsia="Times New Roman" w:hAnsi="Arial" w:cs="Arial"/>
                <w:b/>
                <w:bCs/>
                <w:lang w:eastAsia="en-GB"/>
              </w:rPr>
              <w:t>, Dodd and McNeill (2022)</w:t>
            </w:r>
          </w:p>
        </w:tc>
        <w:tc>
          <w:tcPr>
            <w:tcW w:w="0" w:type="auto"/>
            <w:hideMark/>
          </w:tcPr>
          <w:p w14:paraId="615F0D1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young adults' experiences of waiting lists within UK mental health services.</w:t>
            </w:r>
          </w:p>
        </w:tc>
        <w:tc>
          <w:tcPr>
            <w:tcW w:w="0" w:type="auto"/>
            <w:hideMark/>
          </w:tcPr>
          <w:p w14:paraId="1686DFC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7 young adults aged 19–22</w:t>
            </w:r>
          </w:p>
        </w:tc>
        <w:tc>
          <w:tcPr>
            <w:tcW w:w="0" w:type="auto"/>
            <w:hideMark/>
          </w:tcPr>
          <w:p w14:paraId="4F43079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Interpretive phenomenological analysis</w:t>
            </w:r>
          </w:p>
        </w:tc>
        <w:tc>
          <w:tcPr>
            <w:tcW w:w="0" w:type="auto"/>
            <w:hideMark/>
          </w:tcPr>
          <w:p w14:paraId="59871E3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 mental health services</w:t>
            </w:r>
          </w:p>
        </w:tc>
        <w:tc>
          <w:tcPr>
            <w:tcW w:w="0" w:type="auto"/>
            <w:hideMark/>
          </w:tcPr>
          <w:p w14:paraId="2F9E450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Waiting lists were experienced as barriers to support and were associated with negative psychological and behavioural consequences, reduced functioning and reliance on alternative sources of support. </w:t>
            </w:r>
          </w:p>
        </w:tc>
      </w:tr>
      <w:tr w:rsidR="00CC55C1" w:rsidRPr="007D5CF2" w14:paraId="0455FC0E" w14:textId="77777777" w:rsidTr="00EA1119">
        <w:tc>
          <w:tcPr>
            <w:tcW w:w="0" w:type="auto"/>
            <w:hideMark/>
          </w:tcPr>
          <w:p w14:paraId="5273DA61"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b/>
                <w:bCs/>
                <w:lang w:eastAsia="en-GB"/>
              </w:rPr>
              <w:t>Radez</w:t>
            </w:r>
            <w:proofErr w:type="spellEnd"/>
            <w:r w:rsidRPr="007D5CF2">
              <w:rPr>
                <w:rFonts w:ascii="Arial" w:eastAsia="Times New Roman" w:hAnsi="Arial" w:cs="Arial"/>
                <w:b/>
                <w:bCs/>
                <w:lang w:eastAsia="en-GB"/>
              </w:rPr>
              <w:t xml:space="preserve"> et al. (2024)</w:t>
            </w:r>
          </w:p>
        </w:tc>
        <w:tc>
          <w:tcPr>
            <w:tcW w:w="0" w:type="auto"/>
            <w:hideMark/>
          </w:tcPr>
          <w:p w14:paraId="418DACA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experiences of seeking and accessing mental health support among young people from Eastern European backgrounds.</w:t>
            </w:r>
          </w:p>
        </w:tc>
        <w:tc>
          <w:tcPr>
            <w:tcW w:w="0" w:type="auto"/>
            <w:hideMark/>
          </w:tcPr>
          <w:p w14:paraId="7326693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Young people of Eastern European backgrounds seeking or accessing mental health services</w:t>
            </w:r>
          </w:p>
        </w:tc>
        <w:tc>
          <w:tcPr>
            <w:tcW w:w="0" w:type="auto"/>
            <w:hideMark/>
          </w:tcPr>
          <w:p w14:paraId="239EA92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interview study</w:t>
            </w:r>
          </w:p>
        </w:tc>
        <w:tc>
          <w:tcPr>
            <w:tcW w:w="0" w:type="auto"/>
            <w:hideMark/>
          </w:tcPr>
          <w:p w14:paraId="18CB74D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w:t>
            </w:r>
          </w:p>
        </w:tc>
        <w:tc>
          <w:tcPr>
            <w:tcW w:w="0" w:type="auto"/>
            <w:hideMark/>
          </w:tcPr>
          <w:p w14:paraId="504F114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Experiences highlighted the influence of cultural background and factors affecting recognition, help seeking and engagement with mental health services, demonstrating the importance of culturally responsive support. </w:t>
            </w:r>
          </w:p>
        </w:tc>
      </w:tr>
      <w:tr w:rsidR="00CC55C1" w:rsidRPr="007D5CF2" w14:paraId="10A9233D" w14:textId="77777777" w:rsidTr="00EA1119">
        <w:tc>
          <w:tcPr>
            <w:tcW w:w="0" w:type="auto"/>
            <w:hideMark/>
          </w:tcPr>
          <w:p w14:paraId="71B347D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Reed et al. (2025)</w:t>
            </w:r>
          </w:p>
        </w:tc>
        <w:tc>
          <w:tcPr>
            <w:tcW w:w="0" w:type="auto"/>
            <w:hideMark/>
          </w:tcPr>
          <w:p w14:paraId="05D85AD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explore barriers and facilitators to implementing youth and young adult models of mental health care.</w:t>
            </w:r>
          </w:p>
        </w:tc>
        <w:tc>
          <w:tcPr>
            <w:tcW w:w="0" w:type="auto"/>
            <w:hideMark/>
          </w:tcPr>
          <w:p w14:paraId="5821286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Staff and professionals from six participating mental health services</w:t>
            </w:r>
          </w:p>
        </w:tc>
        <w:tc>
          <w:tcPr>
            <w:tcW w:w="0" w:type="auto"/>
            <w:hideMark/>
          </w:tcPr>
          <w:p w14:paraId="0B17791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focus groups; thematic analysis informed by the CFIR</w:t>
            </w:r>
          </w:p>
        </w:tc>
        <w:tc>
          <w:tcPr>
            <w:tcW w:w="0" w:type="auto"/>
            <w:hideMark/>
          </w:tcPr>
          <w:p w14:paraId="1E8C5AD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Six services across England</w:t>
            </w:r>
          </w:p>
        </w:tc>
        <w:tc>
          <w:tcPr>
            <w:tcW w:w="0" w:type="auto"/>
            <w:hideMark/>
          </w:tcPr>
          <w:p w14:paraId="0986BA6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Effective communication, leadership, co production and cross system collaboration facilitated implementation. Resource and infrastructure constraints and organisational factors could hinder implementation. </w:t>
            </w:r>
          </w:p>
        </w:tc>
      </w:tr>
      <w:tr w:rsidR="00CC55C1" w:rsidRPr="007D5CF2" w14:paraId="37258CAE" w14:textId="77777777" w:rsidTr="00EA1119">
        <w:tc>
          <w:tcPr>
            <w:tcW w:w="0" w:type="auto"/>
            <w:hideMark/>
          </w:tcPr>
          <w:p w14:paraId="43B9824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
                <w:bCs/>
                <w:lang w:eastAsia="en-GB"/>
              </w:rPr>
              <w:t>Salaheddin and Mason (2016)</w:t>
            </w:r>
          </w:p>
        </w:tc>
        <w:tc>
          <w:tcPr>
            <w:tcW w:w="0" w:type="auto"/>
            <w:hideMark/>
          </w:tcPr>
          <w:p w14:paraId="3EC78A3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To investigate why young adults may not seek formal or informal support for emotional or mental health difficulties.</w:t>
            </w:r>
          </w:p>
        </w:tc>
        <w:tc>
          <w:tcPr>
            <w:tcW w:w="0" w:type="auto"/>
            <w:hideMark/>
          </w:tcPr>
          <w:p w14:paraId="080EA1E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Young adults aged 18–25 from the UK general population</w:t>
            </w:r>
          </w:p>
        </w:tc>
        <w:tc>
          <w:tcPr>
            <w:tcW w:w="0" w:type="auto"/>
            <w:hideMark/>
          </w:tcPr>
          <w:p w14:paraId="3465AB5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Cross sectional online survey with qualitative thematic analysis</w:t>
            </w:r>
          </w:p>
        </w:tc>
        <w:tc>
          <w:tcPr>
            <w:tcW w:w="0" w:type="auto"/>
            <w:hideMark/>
          </w:tcPr>
          <w:p w14:paraId="3B6A86E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UK general population</w:t>
            </w:r>
          </w:p>
        </w:tc>
        <w:tc>
          <w:tcPr>
            <w:tcW w:w="0" w:type="auto"/>
            <w:hideMark/>
          </w:tcPr>
          <w:p w14:paraId="00C59659"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 xml:space="preserve">Stigma, difficulty identifying or expressing concerns, preference for </w:t>
            </w:r>
            <w:proofErr w:type="spellStart"/>
            <w:r w:rsidRPr="007D5CF2">
              <w:rPr>
                <w:rFonts w:ascii="Arial" w:eastAsia="Times New Roman" w:hAnsi="Arial" w:cs="Arial"/>
                <w:lang w:eastAsia="en-GB"/>
              </w:rPr>
              <w:t>self reliance</w:t>
            </w:r>
            <w:proofErr w:type="spellEnd"/>
            <w:r w:rsidRPr="007D5CF2">
              <w:rPr>
                <w:rFonts w:ascii="Arial" w:eastAsia="Times New Roman" w:hAnsi="Arial" w:cs="Arial"/>
                <w:lang w:eastAsia="en-GB"/>
              </w:rPr>
              <w:t xml:space="preserve"> and difficulties accessing help were prominent barriers. 35% of participants reporting a mental health difficulty had not sought formal or informal help. </w:t>
            </w:r>
          </w:p>
        </w:tc>
      </w:tr>
    </w:tbl>
    <w:p w14:paraId="66D8B180" w14:textId="1709E241" w:rsidR="00AA2580" w:rsidRPr="007D5CF2" w:rsidRDefault="00CC55C1" w:rsidP="00781D67">
      <w:pPr>
        <w:spacing w:before="240" w:after="240" w:line="360" w:lineRule="auto"/>
        <w:jc w:val="both"/>
        <w:rPr>
          <w:rFonts w:ascii="Arial" w:eastAsia="Times New Roman" w:hAnsi="Arial" w:cs="Arial"/>
          <w:b/>
          <w:bCs/>
          <w:kern w:val="0"/>
          <w:lang w:eastAsia="en-GB"/>
          <w14:ligatures w14:val="none"/>
        </w:rPr>
        <w:sectPr w:rsidR="00AA2580" w:rsidRPr="007D5CF2" w:rsidSect="00AA2580">
          <w:pgSz w:w="16838" w:h="11906" w:orient="landscape"/>
          <w:pgMar w:top="1440" w:right="1440" w:bottom="1440" w:left="1440" w:header="708" w:footer="708" w:gutter="0"/>
          <w:cols w:space="708"/>
          <w:docGrid w:linePitch="360"/>
        </w:sectPr>
      </w:pPr>
      <w:r w:rsidRPr="007D5CF2">
        <w:rPr>
          <w:rFonts w:ascii="Arial" w:eastAsia="Times New Roman" w:hAnsi="Arial" w:cs="Arial"/>
          <w:b/>
          <w:bCs/>
          <w:kern w:val="0"/>
          <w:lang w:eastAsia="en-GB"/>
          <w14:ligatures w14:val="none"/>
        </w:rPr>
        <w:t>Table 4.1 Summary of the Evidence Base</w:t>
      </w:r>
    </w:p>
    <w:p w14:paraId="35E1EFC2" w14:textId="02072869"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 12 included studies demonstrated methodological and contextual diversity. Most used qualitative interviews or focus groups, while the evidence also included qualitative thematic syntheses, interpretive phenomenological analysis, a qualitative evaluation within a randomised controlled trial and a cross-sectional survey with qualitative analysis. This enabled evidence to be captured across individual, organisational and service experiences. The studies were predominantly UK-based, although Broad et al. (2017) synthesised international evidence on CAMHS to AMHS transition. Participant groups also varied, with some studies focusing on young adults aged 18–25 and others including adolescents or people with lived experience of mental health conditions. Across the evidence, barriers occurred at individual, cultural, organisational and structural levels, including stigma, self-reliance, waiting times, service transitions and resource constraints. Enablers included person-centred communication, supportive relationships, flexible services, community support and youth-focused models (Baxter et al., 2022; Broad et al., 2017; Holding et al., 2022; </w:t>
      </w:r>
      <w:proofErr w:type="spellStart"/>
      <w:r w:rsidRPr="007D5CF2">
        <w:rPr>
          <w:rFonts w:ascii="Arial" w:eastAsia="Times New Roman" w:hAnsi="Arial" w:cs="Arial"/>
          <w:bCs/>
          <w:kern w:val="0"/>
          <w:lang w:eastAsia="en-GB"/>
          <w14:ligatures w14:val="none"/>
        </w:rPr>
        <w:t>Punton</w:t>
      </w:r>
      <w:proofErr w:type="spellEnd"/>
      <w:r w:rsidRPr="007D5CF2">
        <w:rPr>
          <w:rFonts w:ascii="Arial" w:eastAsia="Times New Roman" w:hAnsi="Arial" w:cs="Arial"/>
          <w:bCs/>
          <w:kern w:val="0"/>
          <w:lang w:eastAsia="en-GB"/>
          <w14:ligatures w14:val="none"/>
        </w:rPr>
        <w:t xml:space="preserve"> et al., 2022; Reed et al., 2025). These findings informed the four themes presented below. </w:t>
      </w:r>
    </w:p>
    <w:p w14:paraId="37B7C409"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4.4 Quality Appraisal of the Included Studies</w:t>
      </w:r>
    </w:p>
    <w:p w14:paraId="6B02A730" w14:textId="58C18F93" w:rsidR="0085048A" w:rsidRPr="007D5CF2" w:rsidRDefault="00CC55C1" w:rsidP="00781D67">
      <w:pPr>
        <w:spacing w:before="240" w:after="240" w:line="360" w:lineRule="auto"/>
        <w:jc w:val="both"/>
        <w:rPr>
          <w:rFonts w:ascii="Arial" w:eastAsia="Times New Roman" w:hAnsi="Arial" w:cs="Arial"/>
          <w:kern w:val="0"/>
          <w:lang w:eastAsia="en-GB"/>
          <w14:ligatures w14:val="none"/>
        </w:rPr>
        <w:sectPr w:rsidR="0085048A" w:rsidRPr="007D5CF2" w:rsidSect="00AA2580">
          <w:pgSz w:w="11906" w:h="16838"/>
          <w:pgMar w:top="1440" w:right="1440" w:bottom="1440" w:left="1440" w:header="708" w:footer="708" w:gutter="0"/>
          <w:cols w:space="708"/>
          <w:docGrid w:linePitch="360"/>
        </w:sectPr>
      </w:pPr>
      <w:r w:rsidRPr="007D5CF2">
        <w:rPr>
          <w:rFonts w:ascii="Arial" w:eastAsia="Times New Roman" w:hAnsi="Arial" w:cs="Arial"/>
          <w:kern w:val="0"/>
          <w:lang w:eastAsia="en-GB"/>
          <w14:ligatures w14:val="none"/>
        </w:rPr>
        <w:t xml:space="preserve">The methodological quality of the 12 included studies was assessed using appraisal criteria appropriate to their respective methodological designs. Qualitative studies were assessed using the CASP Qualitative Checklist, while studies employing other designs were considered according to their methodological characteristics. </w:t>
      </w:r>
      <w:r w:rsidRPr="007D5CF2">
        <w:rPr>
          <w:rFonts w:ascii="Arial" w:eastAsia="Times New Roman" w:hAnsi="Arial" w:cs="Arial"/>
          <w:bCs/>
          <w:kern w:val="0"/>
          <w:lang w:eastAsia="en-GB"/>
          <w14:ligatures w14:val="none"/>
        </w:rPr>
        <w:t>In line with Chapter Three, no numerical scores were assigned; methodological rigour, credibility and relevance were assessed across the criteria. Overall, the evidence demonstrated generally sound methodological characteristics, with qualitative approaches providing detailed accounts of experiences, perceptions and barriers to mental health service access.</w:t>
      </w:r>
      <w:r w:rsidRPr="007D5CF2">
        <w:rPr>
          <w:rFonts w:ascii="Arial" w:eastAsia="Times New Roman" w:hAnsi="Arial" w:cs="Arial"/>
          <w:kern w:val="0"/>
          <w:lang w:eastAsia="en-GB"/>
          <w14:ligatures w14:val="none"/>
        </w:rPr>
        <w:t xml:space="preserve"> </w:t>
      </w:r>
    </w:p>
    <w:p w14:paraId="49F0184C" w14:textId="71FBFC15" w:rsidR="0085048A" w:rsidRPr="007D5CF2" w:rsidRDefault="0085048A" w:rsidP="00781D67">
      <w:pPr>
        <w:spacing w:before="240" w:after="240" w:line="360" w:lineRule="auto"/>
        <w:jc w:val="both"/>
        <w:rPr>
          <w:rFonts w:ascii="Arial" w:eastAsia="Times New Roman" w:hAnsi="Arial" w:cs="Arial"/>
          <w:kern w:val="0"/>
          <w:lang w:eastAsia="en-GB"/>
          <w14:ligatures w14:val="none"/>
        </w:rPr>
      </w:pPr>
    </w:p>
    <w:tbl>
      <w:tblPr>
        <w:tblStyle w:val="TableGrid1"/>
        <w:tblW w:w="0" w:type="auto"/>
        <w:tblLook w:val="04A0" w:firstRow="1" w:lastRow="0" w:firstColumn="1" w:lastColumn="0" w:noHBand="0" w:noVBand="1"/>
      </w:tblPr>
      <w:tblGrid>
        <w:gridCol w:w="1634"/>
        <w:gridCol w:w="1306"/>
        <w:gridCol w:w="2557"/>
        <w:gridCol w:w="2075"/>
        <w:gridCol w:w="2004"/>
        <w:gridCol w:w="2404"/>
        <w:gridCol w:w="1968"/>
      </w:tblGrid>
      <w:tr w:rsidR="00CC55C1" w:rsidRPr="007D5CF2" w14:paraId="0DC1292E" w14:textId="77777777" w:rsidTr="003776F1">
        <w:tc>
          <w:tcPr>
            <w:tcW w:w="0" w:type="auto"/>
            <w:hideMark/>
          </w:tcPr>
          <w:p w14:paraId="331B9F96"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Study</w:t>
            </w:r>
          </w:p>
        </w:tc>
        <w:tc>
          <w:tcPr>
            <w:tcW w:w="0" w:type="auto"/>
            <w:hideMark/>
          </w:tcPr>
          <w:p w14:paraId="45C5FCF5"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Research aim</w:t>
            </w:r>
          </w:p>
        </w:tc>
        <w:tc>
          <w:tcPr>
            <w:tcW w:w="0" w:type="auto"/>
            <w:hideMark/>
          </w:tcPr>
          <w:p w14:paraId="57861713"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Methodology and design</w:t>
            </w:r>
          </w:p>
        </w:tc>
        <w:tc>
          <w:tcPr>
            <w:tcW w:w="0" w:type="auto"/>
            <w:hideMark/>
          </w:tcPr>
          <w:p w14:paraId="4E300619"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Recruitment and data collection</w:t>
            </w:r>
          </w:p>
        </w:tc>
        <w:tc>
          <w:tcPr>
            <w:tcW w:w="0" w:type="auto"/>
            <w:hideMark/>
          </w:tcPr>
          <w:p w14:paraId="2366D0E3"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Ethics and reflexivity</w:t>
            </w:r>
          </w:p>
        </w:tc>
        <w:tc>
          <w:tcPr>
            <w:tcW w:w="0" w:type="auto"/>
            <w:hideMark/>
          </w:tcPr>
          <w:p w14:paraId="3A686C35"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Data analysis</w:t>
            </w:r>
          </w:p>
        </w:tc>
        <w:tc>
          <w:tcPr>
            <w:tcW w:w="0" w:type="auto"/>
            <w:hideMark/>
          </w:tcPr>
          <w:p w14:paraId="530BFBA1" w14:textId="77777777" w:rsidR="00CC55C1" w:rsidRPr="007D5CF2" w:rsidRDefault="00CC55C1" w:rsidP="00781D67">
            <w:pPr>
              <w:spacing w:before="240" w:after="240" w:line="360" w:lineRule="auto"/>
              <w:rPr>
                <w:rFonts w:ascii="Arial" w:eastAsia="Times New Roman" w:hAnsi="Arial" w:cs="Arial"/>
                <w:b/>
                <w:bCs/>
                <w:lang w:eastAsia="en-GB"/>
              </w:rPr>
            </w:pPr>
            <w:r w:rsidRPr="007D5CF2">
              <w:rPr>
                <w:rFonts w:ascii="Arial" w:eastAsia="Times New Roman" w:hAnsi="Arial" w:cs="Arial"/>
                <w:b/>
                <w:bCs/>
                <w:lang w:eastAsia="en-GB"/>
              </w:rPr>
              <w:t>Overall appraisal</w:t>
            </w:r>
          </w:p>
        </w:tc>
      </w:tr>
      <w:tr w:rsidR="00CC55C1" w:rsidRPr="007D5CF2" w14:paraId="6C2B26DB" w14:textId="77777777" w:rsidTr="003776F1">
        <w:tc>
          <w:tcPr>
            <w:tcW w:w="0" w:type="auto"/>
            <w:hideMark/>
          </w:tcPr>
          <w:p w14:paraId="46558D7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Baxter et al. (2022)</w:t>
            </w:r>
          </w:p>
        </w:tc>
        <w:tc>
          <w:tcPr>
            <w:tcW w:w="0" w:type="auto"/>
            <w:hideMark/>
          </w:tcPr>
          <w:p w14:paraId="5B20300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7CE009D5"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approach</w:t>
            </w:r>
          </w:p>
        </w:tc>
        <w:tc>
          <w:tcPr>
            <w:tcW w:w="0" w:type="auto"/>
            <w:hideMark/>
          </w:tcPr>
          <w:p w14:paraId="39E6298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Adequately reported</w:t>
            </w:r>
          </w:p>
        </w:tc>
        <w:tc>
          <w:tcPr>
            <w:tcW w:w="0" w:type="auto"/>
            <w:hideMark/>
          </w:tcPr>
          <w:p w14:paraId="4DD4620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Considered</w:t>
            </w:r>
          </w:p>
        </w:tc>
        <w:tc>
          <w:tcPr>
            <w:tcW w:w="0" w:type="auto"/>
            <w:hideMark/>
          </w:tcPr>
          <w:p w14:paraId="67C1B10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analysis</w:t>
            </w:r>
          </w:p>
        </w:tc>
        <w:tc>
          <w:tcPr>
            <w:tcW w:w="0" w:type="auto"/>
            <w:hideMark/>
          </w:tcPr>
          <w:p w14:paraId="0CB08D5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3C4F5E2C" w14:textId="77777777" w:rsidTr="003776F1">
        <w:tc>
          <w:tcPr>
            <w:tcW w:w="0" w:type="auto"/>
            <w:hideMark/>
          </w:tcPr>
          <w:p w14:paraId="4E7EA11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Broad et al. (2017)</w:t>
            </w:r>
          </w:p>
        </w:tc>
        <w:tc>
          <w:tcPr>
            <w:tcW w:w="0" w:type="auto"/>
            <w:hideMark/>
          </w:tcPr>
          <w:p w14:paraId="6AF78B4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35A645E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synthesis</w:t>
            </w:r>
          </w:p>
        </w:tc>
        <w:tc>
          <w:tcPr>
            <w:tcW w:w="0" w:type="auto"/>
            <w:hideMark/>
          </w:tcPr>
          <w:p w14:paraId="46D3BFF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Based on included qualitative evidence</w:t>
            </w:r>
          </w:p>
        </w:tc>
        <w:tc>
          <w:tcPr>
            <w:tcW w:w="0" w:type="auto"/>
            <w:hideMark/>
          </w:tcPr>
          <w:p w14:paraId="4477A6B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Reported within synthesis</w:t>
            </w:r>
          </w:p>
        </w:tc>
        <w:tc>
          <w:tcPr>
            <w:tcW w:w="0" w:type="auto"/>
            <w:hideMark/>
          </w:tcPr>
          <w:p w14:paraId="3D449C3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Systematic thematic synthesis</w:t>
            </w:r>
          </w:p>
        </w:tc>
        <w:tc>
          <w:tcPr>
            <w:tcW w:w="0" w:type="auto"/>
            <w:hideMark/>
          </w:tcPr>
          <w:p w14:paraId="0C29D7F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22437E1A" w14:textId="77777777" w:rsidTr="003776F1">
        <w:tc>
          <w:tcPr>
            <w:tcW w:w="0" w:type="auto"/>
            <w:hideMark/>
          </w:tcPr>
          <w:p w14:paraId="4BDC9B58"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lang w:eastAsia="en-GB"/>
              </w:rPr>
              <w:t>Burlibasa</w:t>
            </w:r>
            <w:proofErr w:type="spellEnd"/>
            <w:r w:rsidRPr="007D5CF2">
              <w:rPr>
                <w:rFonts w:ascii="Arial" w:eastAsia="Times New Roman" w:hAnsi="Arial" w:cs="Arial"/>
                <w:lang w:eastAsia="en-GB"/>
              </w:rPr>
              <w:t xml:space="preserve"> et al. (2025)</w:t>
            </w:r>
          </w:p>
        </w:tc>
        <w:tc>
          <w:tcPr>
            <w:tcW w:w="0" w:type="auto"/>
            <w:hideMark/>
          </w:tcPr>
          <w:p w14:paraId="6940653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6678F96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design</w:t>
            </w:r>
          </w:p>
        </w:tc>
        <w:tc>
          <w:tcPr>
            <w:tcW w:w="0" w:type="auto"/>
            <w:hideMark/>
          </w:tcPr>
          <w:p w14:paraId="4A04C44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interviews reported</w:t>
            </w:r>
          </w:p>
        </w:tc>
        <w:tc>
          <w:tcPr>
            <w:tcW w:w="0" w:type="auto"/>
            <w:hideMark/>
          </w:tcPr>
          <w:p w14:paraId="33E9B14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Considered</w:t>
            </w:r>
          </w:p>
        </w:tc>
        <w:tc>
          <w:tcPr>
            <w:tcW w:w="0" w:type="auto"/>
            <w:hideMark/>
          </w:tcPr>
          <w:p w14:paraId="2743BFF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Structured qualitative analysis</w:t>
            </w:r>
          </w:p>
        </w:tc>
        <w:tc>
          <w:tcPr>
            <w:tcW w:w="0" w:type="auto"/>
            <w:hideMark/>
          </w:tcPr>
          <w:p w14:paraId="6D27931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1D55E80E" w14:textId="77777777" w:rsidTr="003776F1">
        <w:tc>
          <w:tcPr>
            <w:tcW w:w="0" w:type="auto"/>
            <w:hideMark/>
          </w:tcPr>
          <w:p w14:paraId="124978B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Dorata et al. (2025)</w:t>
            </w:r>
          </w:p>
        </w:tc>
        <w:tc>
          <w:tcPr>
            <w:tcW w:w="0" w:type="auto"/>
            <w:hideMark/>
          </w:tcPr>
          <w:p w14:paraId="27A828E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79369A8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interview design</w:t>
            </w:r>
          </w:p>
        </w:tc>
        <w:tc>
          <w:tcPr>
            <w:tcW w:w="0" w:type="auto"/>
            <w:hideMark/>
          </w:tcPr>
          <w:p w14:paraId="3ED43BF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Participant recruitment and interviews reported</w:t>
            </w:r>
          </w:p>
        </w:tc>
        <w:tc>
          <w:tcPr>
            <w:tcW w:w="0" w:type="auto"/>
            <w:hideMark/>
          </w:tcPr>
          <w:p w14:paraId="6F0D284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66D00D4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Reflexive thematic analysis</w:t>
            </w:r>
          </w:p>
        </w:tc>
        <w:tc>
          <w:tcPr>
            <w:tcW w:w="0" w:type="auto"/>
            <w:hideMark/>
          </w:tcPr>
          <w:p w14:paraId="569B429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52A175D8" w14:textId="77777777" w:rsidTr="003776F1">
        <w:tc>
          <w:tcPr>
            <w:tcW w:w="0" w:type="auto"/>
            <w:hideMark/>
          </w:tcPr>
          <w:p w14:paraId="03B4351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Gee et al. (2021)</w:t>
            </w:r>
          </w:p>
        </w:tc>
        <w:tc>
          <w:tcPr>
            <w:tcW w:w="0" w:type="auto"/>
            <w:hideMark/>
          </w:tcPr>
          <w:p w14:paraId="336531D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4C36867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thematic synthesis</w:t>
            </w:r>
          </w:p>
        </w:tc>
        <w:tc>
          <w:tcPr>
            <w:tcW w:w="0" w:type="auto"/>
            <w:hideMark/>
          </w:tcPr>
          <w:p w14:paraId="62D21A69"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Evidence selection and synthesis described</w:t>
            </w:r>
          </w:p>
        </w:tc>
        <w:tc>
          <w:tcPr>
            <w:tcW w:w="0" w:type="auto"/>
            <w:hideMark/>
          </w:tcPr>
          <w:p w14:paraId="314C266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Considered within included evidence</w:t>
            </w:r>
          </w:p>
        </w:tc>
        <w:tc>
          <w:tcPr>
            <w:tcW w:w="0" w:type="auto"/>
            <w:hideMark/>
          </w:tcPr>
          <w:p w14:paraId="516A2BB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synthesis</w:t>
            </w:r>
          </w:p>
        </w:tc>
        <w:tc>
          <w:tcPr>
            <w:tcW w:w="0" w:type="auto"/>
            <w:hideMark/>
          </w:tcPr>
          <w:p w14:paraId="711BCD5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564BBF6E" w14:textId="77777777" w:rsidTr="003776F1">
        <w:tc>
          <w:tcPr>
            <w:tcW w:w="0" w:type="auto"/>
            <w:hideMark/>
          </w:tcPr>
          <w:p w14:paraId="1732C76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Holding et al. (2022)</w:t>
            </w:r>
          </w:p>
        </w:tc>
        <w:tc>
          <w:tcPr>
            <w:tcW w:w="0" w:type="auto"/>
            <w:hideMark/>
          </w:tcPr>
          <w:p w14:paraId="1218451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481E225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design</w:t>
            </w:r>
          </w:p>
        </w:tc>
        <w:tc>
          <w:tcPr>
            <w:tcW w:w="0" w:type="auto"/>
            <w:hideMark/>
          </w:tcPr>
          <w:p w14:paraId="4718784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Focus group methodology reported</w:t>
            </w:r>
          </w:p>
        </w:tc>
        <w:tc>
          <w:tcPr>
            <w:tcW w:w="0" w:type="auto"/>
            <w:hideMark/>
          </w:tcPr>
          <w:p w14:paraId="10CA8A9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procedures reported</w:t>
            </w:r>
          </w:p>
        </w:tc>
        <w:tc>
          <w:tcPr>
            <w:tcW w:w="0" w:type="auto"/>
            <w:hideMark/>
          </w:tcPr>
          <w:p w14:paraId="4532A98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analysis</w:t>
            </w:r>
          </w:p>
        </w:tc>
        <w:tc>
          <w:tcPr>
            <w:tcW w:w="0" w:type="auto"/>
            <w:hideMark/>
          </w:tcPr>
          <w:p w14:paraId="439F6E0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24FD2449" w14:textId="77777777" w:rsidTr="003776F1">
        <w:tc>
          <w:tcPr>
            <w:tcW w:w="0" w:type="auto"/>
            <w:hideMark/>
          </w:tcPr>
          <w:p w14:paraId="32FBB91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Kitchen et al. (2023)</w:t>
            </w:r>
          </w:p>
        </w:tc>
        <w:tc>
          <w:tcPr>
            <w:tcW w:w="0" w:type="auto"/>
            <w:hideMark/>
          </w:tcPr>
          <w:p w14:paraId="7DF8E1A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4FF4A665"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evaluation</w:t>
            </w:r>
          </w:p>
        </w:tc>
        <w:tc>
          <w:tcPr>
            <w:tcW w:w="0" w:type="auto"/>
            <w:hideMark/>
          </w:tcPr>
          <w:p w14:paraId="77A0407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Interviews with relevant participant groups</w:t>
            </w:r>
          </w:p>
        </w:tc>
        <w:tc>
          <w:tcPr>
            <w:tcW w:w="0" w:type="auto"/>
            <w:hideMark/>
          </w:tcPr>
          <w:p w14:paraId="59D6E66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24520C4F"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analysis</w:t>
            </w:r>
          </w:p>
        </w:tc>
        <w:tc>
          <w:tcPr>
            <w:tcW w:w="0" w:type="auto"/>
            <w:hideMark/>
          </w:tcPr>
          <w:p w14:paraId="7AAEF515"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23CA102E" w14:textId="77777777" w:rsidTr="003776F1">
        <w:tc>
          <w:tcPr>
            <w:tcW w:w="0" w:type="auto"/>
            <w:hideMark/>
          </w:tcPr>
          <w:p w14:paraId="1E65CF8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Plackett et al. (2026)</w:t>
            </w:r>
          </w:p>
        </w:tc>
        <w:tc>
          <w:tcPr>
            <w:tcW w:w="0" w:type="auto"/>
            <w:hideMark/>
          </w:tcPr>
          <w:p w14:paraId="42D71AB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512828C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interview design</w:t>
            </w:r>
          </w:p>
        </w:tc>
        <w:tc>
          <w:tcPr>
            <w:tcW w:w="0" w:type="auto"/>
            <w:hideMark/>
          </w:tcPr>
          <w:p w14:paraId="0CB06B4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Recruitment and interviews reported</w:t>
            </w:r>
          </w:p>
        </w:tc>
        <w:tc>
          <w:tcPr>
            <w:tcW w:w="0" w:type="auto"/>
            <w:hideMark/>
          </w:tcPr>
          <w:p w14:paraId="670F48B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5066A0B3"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analysis</w:t>
            </w:r>
          </w:p>
        </w:tc>
        <w:tc>
          <w:tcPr>
            <w:tcW w:w="0" w:type="auto"/>
            <w:hideMark/>
          </w:tcPr>
          <w:p w14:paraId="0C2FE0A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666C6ACD" w14:textId="77777777" w:rsidTr="003776F1">
        <w:tc>
          <w:tcPr>
            <w:tcW w:w="0" w:type="auto"/>
            <w:hideMark/>
          </w:tcPr>
          <w:p w14:paraId="19DB8051"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lang w:eastAsia="en-GB"/>
              </w:rPr>
              <w:t>Punton</w:t>
            </w:r>
            <w:proofErr w:type="spellEnd"/>
            <w:r w:rsidRPr="007D5CF2">
              <w:rPr>
                <w:rFonts w:ascii="Arial" w:eastAsia="Times New Roman" w:hAnsi="Arial" w:cs="Arial"/>
                <w:lang w:eastAsia="en-GB"/>
              </w:rPr>
              <w:t xml:space="preserve"> et al. (2022)</w:t>
            </w:r>
          </w:p>
        </w:tc>
        <w:tc>
          <w:tcPr>
            <w:tcW w:w="0" w:type="auto"/>
            <w:hideMark/>
          </w:tcPr>
          <w:p w14:paraId="14D66178"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7F65FB5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interpretative phenomenological design</w:t>
            </w:r>
          </w:p>
        </w:tc>
        <w:tc>
          <w:tcPr>
            <w:tcW w:w="0" w:type="auto"/>
            <w:hideMark/>
          </w:tcPr>
          <w:p w14:paraId="0668A5D5"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Participant recruitment and interviews reported</w:t>
            </w:r>
          </w:p>
        </w:tc>
        <w:tc>
          <w:tcPr>
            <w:tcW w:w="0" w:type="auto"/>
            <w:hideMark/>
          </w:tcPr>
          <w:p w14:paraId="77AE92D9"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procedures reported</w:t>
            </w:r>
          </w:p>
        </w:tc>
        <w:tc>
          <w:tcPr>
            <w:tcW w:w="0" w:type="auto"/>
            <w:hideMark/>
          </w:tcPr>
          <w:p w14:paraId="7F44910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Interpretative phenomenological analysis</w:t>
            </w:r>
          </w:p>
        </w:tc>
        <w:tc>
          <w:tcPr>
            <w:tcW w:w="0" w:type="auto"/>
            <w:hideMark/>
          </w:tcPr>
          <w:p w14:paraId="047DBA9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76E290B0" w14:textId="77777777" w:rsidTr="003776F1">
        <w:tc>
          <w:tcPr>
            <w:tcW w:w="0" w:type="auto"/>
            <w:hideMark/>
          </w:tcPr>
          <w:p w14:paraId="684A37E7" w14:textId="77777777" w:rsidR="00CC55C1" w:rsidRPr="007D5CF2" w:rsidRDefault="00CC55C1" w:rsidP="00781D67">
            <w:pPr>
              <w:spacing w:before="240" w:after="240" w:line="360" w:lineRule="auto"/>
              <w:rPr>
                <w:rFonts w:ascii="Arial" w:eastAsia="Times New Roman" w:hAnsi="Arial" w:cs="Arial"/>
                <w:lang w:eastAsia="en-GB"/>
              </w:rPr>
            </w:pPr>
            <w:proofErr w:type="spellStart"/>
            <w:r w:rsidRPr="007D5CF2">
              <w:rPr>
                <w:rFonts w:ascii="Arial" w:eastAsia="Times New Roman" w:hAnsi="Arial" w:cs="Arial"/>
                <w:lang w:eastAsia="en-GB"/>
              </w:rPr>
              <w:t>Radez</w:t>
            </w:r>
            <w:proofErr w:type="spellEnd"/>
            <w:r w:rsidRPr="007D5CF2">
              <w:rPr>
                <w:rFonts w:ascii="Arial" w:eastAsia="Times New Roman" w:hAnsi="Arial" w:cs="Arial"/>
                <w:lang w:eastAsia="en-GB"/>
              </w:rPr>
              <w:t xml:space="preserve"> et al. (2024)</w:t>
            </w:r>
          </w:p>
        </w:tc>
        <w:tc>
          <w:tcPr>
            <w:tcW w:w="0" w:type="auto"/>
            <w:hideMark/>
          </w:tcPr>
          <w:p w14:paraId="024F754F"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3D5409C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interview design</w:t>
            </w:r>
          </w:p>
        </w:tc>
        <w:tc>
          <w:tcPr>
            <w:tcW w:w="0" w:type="auto"/>
            <w:hideMark/>
          </w:tcPr>
          <w:p w14:paraId="5C06F17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Recruitment and interviews reported</w:t>
            </w:r>
          </w:p>
        </w:tc>
        <w:tc>
          <w:tcPr>
            <w:tcW w:w="0" w:type="auto"/>
            <w:hideMark/>
          </w:tcPr>
          <w:p w14:paraId="116AC74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486C1FEC"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Qualitative thematic analysis</w:t>
            </w:r>
          </w:p>
        </w:tc>
        <w:tc>
          <w:tcPr>
            <w:tcW w:w="0" w:type="auto"/>
            <w:hideMark/>
          </w:tcPr>
          <w:p w14:paraId="771189DB"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0CC0C459" w14:textId="77777777" w:rsidTr="003776F1">
        <w:tc>
          <w:tcPr>
            <w:tcW w:w="0" w:type="auto"/>
            <w:hideMark/>
          </w:tcPr>
          <w:p w14:paraId="6CD5B322"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Reed et al. (2025)</w:t>
            </w:r>
          </w:p>
        </w:tc>
        <w:tc>
          <w:tcPr>
            <w:tcW w:w="0" w:type="auto"/>
            <w:hideMark/>
          </w:tcPr>
          <w:p w14:paraId="5D4621A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6685D8B6"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qualitative implementation design</w:t>
            </w:r>
          </w:p>
        </w:tc>
        <w:tc>
          <w:tcPr>
            <w:tcW w:w="0" w:type="auto"/>
            <w:hideMark/>
          </w:tcPr>
          <w:p w14:paraId="37D79E2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Focus groups with relevant professionals</w:t>
            </w:r>
          </w:p>
        </w:tc>
        <w:tc>
          <w:tcPr>
            <w:tcW w:w="0" w:type="auto"/>
            <w:hideMark/>
          </w:tcPr>
          <w:p w14:paraId="65DBF8F1"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42EA122A" w14:textId="03F89CBF" w:rsidR="00CC55C1" w:rsidRPr="007D5CF2" w:rsidRDefault="00C26F99"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Framework-informed</w:t>
            </w:r>
            <w:r w:rsidR="00CC55C1" w:rsidRPr="007D5CF2">
              <w:rPr>
                <w:rFonts w:ascii="Arial" w:eastAsia="Times New Roman" w:hAnsi="Arial" w:cs="Arial"/>
                <w:lang w:eastAsia="en-GB"/>
              </w:rPr>
              <w:t xml:space="preserve"> thematic analysis</w:t>
            </w:r>
          </w:p>
        </w:tc>
        <w:tc>
          <w:tcPr>
            <w:tcW w:w="0" w:type="auto"/>
            <w:hideMark/>
          </w:tcPr>
          <w:p w14:paraId="28C79C3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r w:rsidR="00CC55C1" w:rsidRPr="007D5CF2" w14:paraId="450B6428" w14:textId="77777777" w:rsidTr="003776F1">
        <w:tc>
          <w:tcPr>
            <w:tcW w:w="0" w:type="auto"/>
            <w:hideMark/>
          </w:tcPr>
          <w:p w14:paraId="5A39400E"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Salaheddin and Mason (2016)</w:t>
            </w:r>
          </w:p>
        </w:tc>
        <w:tc>
          <w:tcPr>
            <w:tcW w:w="0" w:type="auto"/>
            <w:hideMark/>
          </w:tcPr>
          <w:p w14:paraId="615B3BFD"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Clearly reported</w:t>
            </w:r>
          </w:p>
        </w:tc>
        <w:tc>
          <w:tcPr>
            <w:tcW w:w="0" w:type="auto"/>
            <w:hideMark/>
          </w:tcPr>
          <w:p w14:paraId="04195020"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Appropriate survey design with qualitative analysis</w:t>
            </w:r>
          </w:p>
        </w:tc>
        <w:tc>
          <w:tcPr>
            <w:tcW w:w="0" w:type="auto"/>
            <w:hideMark/>
          </w:tcPr>
          <w:p w14:paraId="5A238EBA"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Online recruitment and data collection reported</w:t>
            </w:r>
          </w:p>
        </w:tc>
        <w:tc>
          <w:tcPr>
            <w:tcW w:w="0" w:type="auto"/>
            <w:hideMark/>
          </w:tcPr>
          <w:p w14:paraId="21274AC4"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Ethical considerations reported</w:t>
            </w:r>
          </w:p>
        </w:tc>
        <w:tc>
          <w:tcPr>
            <w:tcW w:w="0" w:type="auto"/>
            <w:hideMark/>
          </w:tcPr>
          <w:p w14:paraId="7B6C08D5"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lang w:eastAsia="en-GB"/>
              </w:rPr>
              <w:t>Thematic analysis of qualitative responses</w:t>
            </w:r>
          </w:p>
        </w:tc>
        <w:tc>
          <w:tcPr>
            <w:tcW w:w="0" w:type="auto"/>
            <w:hideMark/>
          </w:tcPr>
          <w:p w14:paraId="7A9BC617" w14:textId="77777777" w:rsidR="00CC55C1" w:rsidRPr="007D5CF2" w:rsidRDefault="00CC55C1" w:rsidP="00781D67">
            <w:pPr>
              <w:spacing w:before="240" w:after="240" w:line="360" w:lineRule="auto"/>
              <w:rPr>
                <w:rFonts w:ascii="Arial" w:eastAsia="Times New Roman" w:hAnsi="Arial" w:cs="Arial"/>
                <w:lang w:eastAsia="en-GB"/>
              </w:rPr>
            </w:pPr>
            <w:r w:rsidRPr="007D5CF2">
              <w:rPr>
                <w:rFonts w:ascii="Arial" w:eastAsia="Times New Roman" w:hAnsi="Arial" w:cs="Arial"/>
                <w:bCs/>
                <w:lang w:eastAsia="en-GB"/>
              </w:rPr>
              <w:t>Methodologically sound</w:t>
            </w:r>
          </w:p>
        </w:tc>
      </w:tr>
    </w:tbl>
    <w:p w14:paraId="610E197D" w14:textId="52DB7376"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kern w:val="0"/>
          <w:lang w:eastAsia="en-GB"/>
          <w14:ligatures w14:val="none"/>
        </w:rPr>
        <w:t xml:space="preserve">Table 4.2 </w:t>
      </w:r>
      <w:r w:rsidRPr="007D5CF2">
        <w:rPr>
          <w:rFonts w:ascii="Arial" w:eastAsia="Times New Roman" w:hAnsi="Arial" w:cs="Arial"/>
          <w:bCs/>
          <w:kern w:val="0"/>
          <w:lang w:eastAsia="en-GB"/>
          <w14:ligatures w14:val="none"/>
        </w:rPr>
        <w:t>Quality Appraisal of the Included Studies</w:t>
      </w:r>
    </w:p>
    <w:p w14:paraId="186A6035" w14:textId="77777777" w:rsidR="0085048A" w:rsidRPr="007D5CF2" w:rsidRDefault="0085048A" w:rsidP="00781D67">
      <w:pPr>
        <w:spacing w:before="240" w:after="240" w:line="360" w:lineRule="auto"/>
        <w:jc w:val="both"/>
        <w:rPr>
          <w:rFonts w:ascii="Arial" w:eastAsia="Times New Roman" w:hAnsi="Arial" w:cs="Arial"/>
          <w:bCs/>
          <w:kern w:val="0"/>
          <w:lang w:eastAsia="en-GB"/>
          <w14:ligatures w14:val="none"/>
        </w:rPr>
        <w:sectPr w:rsidR="0085048A" w:rsidRPr="007D5CF2" w:rsidSect="0085048A">
          <w:pgSz w:w="16838" w:h="11906" w:orient="landscape"/>
          <w:pgMar w:top="1440" w:right="1440" w:bottom="1440" w:left="1440" w:header="708" w:footer="708" w:gutter="0"/>
          <w:cols w:space="708"/>
          <w:docGrid w:linePitch="360"/>
        </w:sectPr>
      </w:pPr>
    </w:p>
    <w:p w14:paraId="74F4AAC5" w14:textId="0BB98291"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aims of the research were sufficiently clear and, in general, were consonant with the research method across the different studies. Qualitative methods were employed in studies that aimed to understand young people's experiences, allowing them to express their personal experiences in seeking assistance and interacting with a health service. For instance, mental health assessments focused on participants' perceptions and experiences, with the approaches used aiming to capture these in depth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Dorata et al., 2025;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Qualitative methods were also adopted in studies to understand the organisational and professional perspectives in the context of service implementation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Reed et al., 2025; </w:t>
      </w:r>
      <w:r w:rsidRPr="007D5CF2">
        <w:rPr>
          <w:rFonts w:ascii="Arial" w:eastAsia="Calibri" w:hAnsi="Arial" w:cs="Arial"/>
          <w:kern w:val="0"/>
          <w:lang w:eastAsia="en-US"/>
          <w14:ligatures w14:val="none"/>
        </w:rPr>
        <w:t>Prescott et al., 2019; Adeane and Gibson, 2023</w:t>
      </w:r>
      <w:r w:rsidRPr="007D5CF2">
        <w:rPr>
          <w:rFonts w:ascii="Arial" w:eastAsia="Times New Roman" w:hAnsi="Arial" w:cs="Arial"/>
          <w:kern w:val="0"/>
          <w:lang w:eastAsia="en-GB"/>
          <w14:ligatures w14:val="none"/>
        </w:rPr>
        <w:t>).</w:t>
      </w:r>
    </w:p>
    <w:p w14:paraId="69484A04" w14:textId="102AB6A1"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Some methodological variation was also identified during an appraisal that should be </w:t>
      </w:r>
      <w:r w:rsidR="006A5427"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for interpretation of the synthesis. Not all studies included were based on the same population or service context. Some targeted young adults, while others targeted adolescents, parents, professionals or those with personal experiences with mental health issues. Furthermore, Broad et al. (2017) and Gee et al. (2021) were qualitative evidence syntheses, and not primary qualitative investigations. Their inclusion thus gives additional evidence of transition and implementation, although it is not primary participant data as in studies that report the data. This variation does not invalidate the evidence, but it is important to take findings in the context and population on which they were based.</w:t>
      </w:r>
    </w:p>
    <w:p w14:paraId="154C5E70" w14:textId="0AAF7DFE"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Another aspect is the transferability of the evidence. Qualitative studies often involve small, purposeful samples that afford the opportunity to gain insight into the experiences of the participants in the study and do not provide for statistical generalisation. This issue is significant for the current synthesis as experiences with mental health services are likely to vary by age, ethnicity, socioeconomic status, geographic location and type of services accessed. Methodological limitations of the evidence base were therefore </w:t>
      </w:r>
      <w:r w:rsidR="007D5CF2"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when creating the thematic </w:t>
      </w:r>
      <w:r w:rsidR="007D5CF2" w:rsidRPr="007D5CF2">
        <w:rPr>
          <w:rFonts w:ascii="Arial" w:eastAsia="Times New Roman" w:hAnsi="Arial" w:cs="Arial"/>
          <w:kern w:val="0"/>
          <w:lang w:eastAsia="en-GB"/>
          <w14:ligatures w14:val="none"/>
        </w:rPr>
        <w:t>synthesis and</w:t>
      </w:r>
      <w:r w:rsidRPr="007D5CF2">
        <w:rPr>
          <w:rFonts w:ascii="Arial" w:eastAsia="Times New Roman" w:hAnsi="Arial" w:cs="Arial"/>
          <w:kern w:val="0"/>
          <w:lang w:eastAsia="en-GB"/>
          <w14:ligatures w14:val="none"/>
        </w:rPr>
        <w:t xml:space="preserve"> were not treated as equally transferable.</w:t>
      </w:r>
    </w:p>
    <w:p w14:paraId="2DCFA024" w14:textId="7F5EF470"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Thematic synthesis was possible </w:t>
      </w:r>
      <w:r w:rsidR="007D5CF2" w:rsidRPr="007D5CF2">
        <w:rPr>
          <w:rFonts w:ascii="Arial" w:eastAsia="Times New Roman" w:hAnsi="Arial" w:cs="Arial"/>
          <w:kern w:val="0"/>
          <w:lang w:eastAsia="en-GB"/>
          <w14:ligatures w14:val="none"/>
        </w:rPr>
        <w:t>based on</w:t>
      </w:r>
      <w:r w:rsidRPr="007D5CF2">
        <w:rPr>
          <w:rFonts w:ascii="Arial" w:eastAsia="Times New Roman" w:hAnsi="Arial" w:cs="Arial"/>
          <w:kern w:val="0"/>
          <w:lang w:eastAsia="en-GB"/>
          <w14:ligatures w14:val="none"/>
        </w:rPr>
        <w:t xml:space="preserve"> the evidence that was collected, verified and presented through the CASP appraisal overall. The assessment aimed to improve the methodological transparency of the review by providing evidence that the studies were not included just because they were relevant but also because of their methodological quality, credibility and relevance. This methodology is consistent with that used in Chapter Three, in which critical appraisal was used to minimise the likelihood that methodologically weak evidence would unduly affect the synthesis.</w:t>
      </w:r>
    </w:p>
    <w:p w14:paraId="113F5A6D"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4.5 Overview of the Thematic Findings</w:t>
      </w:r>
    </w:p>
    <w:p w14:paraId="467CB6CD"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Four broad themes were identified in the 12 studies analysed for this research, relating to barriers and enablers in accessing mental health services for young people and young adults in the United Kingdom. Themes were generated through coding and clustering of the commonalities across the evidence included, following a reflexive thematic analysis approach used in Chapter Three. </w:t>
      </w:r>
    </w:p>
    <w:p w14:paraId="397DC0F2"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Individual barriers to accessing mental health services included stigma, fear of being judged, not knowing what services to access, and not wanting to tell others about mental health issues and preferences for dealing with mental health issues alone. Studies focused on help-seeking, mental health assessment and primary care experiences highlighted these issues, especially those by Salaheddin and Mason (2016), Holding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Dorata et al. (2025), and Plackett et al. (2026).</w:t>
      </w:r>
    </w:p>
    <w:p w14:paraId="285FE207"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second theme, structural and organisational barriers, referred to issues of organisation, availability and delivery of mental health services. Common issues that arose were around waiting times, transitions between services, limited organisational capacity, resource issues, training needs and issues with implementing youth mental health interventions (Broad et al., 2017; Gee et al., 2021; Kitchen et al., 2023;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Reed et al., 2025). </w:t>
      </w:r>
    </w:p>
    <w:p w14:paraId="016EDF6B"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Socioeconomic and cultural influences encompassed financial and transport challenges, community resources and lack of resources, socioeconomic inequalities, cultural expectations, family influences and differing perspectives on mental health and professional help (Baxter et al., 2022; Holding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Salaheddin and Mason, 2016). </w:t>
      </w:r>
    </w:p>
    <w:p w14:paraId="157DBA2E"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Enablers to accessing mental health services included: person-centred care, respectful communication, positive therapeutic relationships, flexible provision, continuity and coordination, multidisciplinary working, community engagement and digital support (Baxter et al., 2022; Broad et al., 2017;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Dorata et al., 2025; Kitchen et al., 2023; Reed et al., 2025). </w:t>
      </w:r>
    </w:p>
    <w:p w14:paraId="135C33EE" w14:textId="1E24181C"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Themes were related to each other, with certain studies providing multiple findings to multiple themes. For instance, </w:t>
      </w:r>
      <w:proofErr w:type="gramStart"/>
      <w:r w:rsidRPr="007D5CF2">
        <w:rPr>
          <w:rFonts w:ascii="Arial" w:eastAsia="Times New Roman" w:hAnsi="Arial" w:cs="Arial"/>
          <w:kern w:val="0"/>
          <w:lang w:eastAsia="en-GB"/>
          <w14:ligatures w14:val="none"/>
        </w:rPr>
        <w:t>Holding</w:t>
      </w:r>
      <w:proofErr w:type="gramEnd"/>
      <w:r w:rsidRPr="007D5CF2">
        <w:rPr>
          <w:rFonts w:ascii="Arial" w:eastAsia="Times New Roman" w:hAnsi="Arial" w:cs="Arial"/>
          <w:kern w:val="0"/>
          <w:lang w:eastAsia="en-GB"/>
          <w14:ligatures w14:val="none"/>
        </w:rPr>
        <w:t xml:space="preserve"> et al. (2022) </w:t>
      </w:r>
      <w:r w:rsidR="007D5CF2" w:rsidRPr="007D5CF2">
        <w:rPr>
          <w:rFonts w:ascii="Arial" w:eastAsia="Times New Roman" w:hAnsi="Arial" w:cs="Arial"/>
          <w:kern w:val="0"/>
          <w:lang w:eastAsia="en-GB"/>
          <w14:ligatures w14:val="none"/>
        </w:rPr>
        <w:t>contributed</w:t>
      </w:r>
      <w:r w:rsidRPr="007D5CF2">
        <w:rPr>
          <w:rFonts w:ascii="Arial" w:eastAsia="Times New Roman" w:hAnsi="Arial" w:cs="Arial"/>
          <w:kern w:val="0"/>
          <w:lang w:eastAsia="en-GB"/>
          <w14:ligatures w14:val="none"/>
        </w:rPr>
        <w:t xml:space="preserve"> on individual and socioeconomic factors, and Baxter et al. (2022) </w:t>
      </w:r>
      <w:r w:rsidR="007D5CF2" w:rsidRPr="007D5CF2">
        <w:rPr>
          <w:rFonts w:ascii="Arial" w:eastAsia="Times New Roman" w:hAnsi="Arial" w:cs="Arial"/>
          <w:kern w:val="0"/>
          <w:lang w:eastAsia="en-GB"/>
          <w14:ligatures w14:val="none"/>
        </w:rPr>
        <w:t>contributed</w:t>
      </w:r>
      <w:r w:rsidRPr="007D5CF2">
        <w:rPr>
          <w:rFonts w:ascii="Arial" w:eastAsia="Times New Roman" w:hAnsi="Arial" w:cs="Arial"/>
          <w:kern w:val="0"/>
          <w:lang w:eastAsia="en-GB"/>
          <w14:ligatures w14:val="none"/>
        </w:rPr>
        <w:t xml:space="preserve"> on socioeconomic influences and enablers. The results related to the different themes are presented without interpretation in the following sections, while theoretical and policy implications are discussed in Chapter Five. </w:t>
      </w:r>
    </w:p>
    <w:p w14:paraId="5340FFCC"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4.6 Theme One: Individual Barriers to Accessing Mental Health Services</w:t>
      </w:r>
    </w:p>
    <w:p w14:paraId="7FA21E7E"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There were several studies that referred to individual barriers, which included young people's perceptions of mental health and help-seeking and interactions with professionals. Stigma, fear of judgement, uncertainty about seeking support, difficulties communicating experiences and preferences for self-management were common themes (Salaheddin and Mason, 2016; Holding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Dorata et al., 2025; Plackett et al., 2026). </w:t>
      </w:r>
    </w:p>
    <w:p w14:paraId="0978C728"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Salaheddin and Mason (2016) found that some young adults were not seeking informal or formal help due to a fear of being judged, and a fear of experiencing difficulties in recognising and communicating their mental health concerns.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also found cultural and interpersonal factors affecting youth's willingness to reach out and access professional help.</w:t>
      </w:r>
    </w:p>
    <w:p w14:paraId="797CF4E9"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Access was also affected by experiences of healthcare professionals. Dorata et al. (2025) found that youth's experiences of mental health assessment were related to whether they felt they were listened to and understood as a person. Plackett et al. (2026) found that uncertainty in talking to Primary Care Professionals about social media and mental health, and concerns about whether any support was offered or understood, were identified as concerns.</w:t>
      </w:r>
    </w:p>
    <w:p w14:paraId="49CC955E"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Holding et al. (2022) found that there were challenges with the mental health services that are available and what young people would prefer in terms of the method of providing mental health services. Kitchen et al. (2023) also found barriers such as treatment preferences, comorbidities and limited parental support to engagement with behavioural activation and facilitators of participation such as positive therapeutic relationships and appropriate parent participation.</w:t>
      </w:r>
    </w:p>
    <w:p w14:paraId="488B0167"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Overall, individual barriers took place at different points in accessing care related to the recognition of difficulties, deciding to seek help, communicating needs and keeping people engaged in interventions (Salaheddin and Mason, 2016; Kitchen et al., 2023; Dorata et al., 2025).</w:t>
      </w:r>
    </w:p>
    <w:p w14:paraId="17C1A67C"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4.7 Theme Two: Structural and Organisational Barriers</w:t>
      </w:r>
    </w:p>
    <w:p w14:paraId="7B1CA342"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Structural and organisational barriers relate to the structure and organisation of mental health services. The evidence highlighted was waiting times, challenges with service transition, organisational capacity, workforce and training needs, resource limitations and implementation barriers (Broad et al., 2017; Gee et al., 2021; Kitchen et al., 2023;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Reed et al., 2025). </w:t>
      </w:r>
    </w:p>
    <w:p w14:paraId="14B00E5E"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Wait lists were cited as a major accessibility obstacle for young adults in receiving mental health support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The effects on psychological wellbeing, on everyday functioning and on how the participants managed difficulties waiting were described.</w:t>
      </w:r>
    </w:p>
    <w:p w14:paraId="4123FB7F"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Broad et al. (2017) found that challenges with transition from CAMHS to AMHS involved poor preparation, lack of communication and lack of continuity. The features of good transition identified included the provision of individual transition plans, flexibility, continuity of information and relationships and working together between services.</w:t>
      </w:r>
    </w:p>
    <w:p w14:paraId="1C741EB1"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According to Gee et al. (2021), several factors that impact the implementation of psychological interventions in education were identified: organisational capacity, staff resources, training, school routines and logistical needs. Similarly, Kitchen et al. (2023) found that treatment preferences, comorbidities, and parental support may be important factors that affect engagement.</w:t>
      </w:r>
    </w:p>
    <w:p w14:paraId="2DCA20D4"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There were other organisational needs for delivering digital services.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noted resources, training, supervision and organisational support as the key elements to delivering webchat mental health services. Reed et al. (2025) also found that implementation of youth mental health services was facilitated by the aspects of communication, leadership, collaboration, and co-production, with organisational and resource constraints a challenge.</w:t>
      </w:r>
    </w:p>
    <w:p w14:paraId="3E5A2528"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In general, the results suggest that access was both dependent on the availability of help-seeking services and their organisation and delivery. </w:t>
      </w:r>
    </w:p>
    <w:p w14:paraId="23503597"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4.8 Theme Three: Socioeconomic and Cultural Influences</w:t>
      </w:r>
    </w:p>
    <w:p w14:paraId="5724B553"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third theme was related to socioeconomic status, community resources, cultural beliefs and family expectations. The factors identified by Baxter et al. (2022), Holding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and Salaheddin and Mason (2016) included financial factors, transport, availability of local resources, deprivation, cultural expectations and attitudes towards professional support. </w:t>
      </w:r>
    </w:p>
    <w:p w14:paraId="364D1854"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Holding et al. (2022) reported a lack of mental health support for young people in deprived communities and that reduced services in the youth and voluntary sector were a factor in restricting support. Baxter et al. (2022) found that affordability, the costs of travelling to participate in cultural and community activities and the lack of community resources were identified as barriers to participation in community and cultural activities to support mental wellbeing.</w:t>
      </w:r>
    </w:p>
    <w:p w14:paraId="46AB2CED"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found that there are cultural and family factors that affect the understanding of mental health and seeking help in young people from Eastern European backgrounds. In a similar finding, Salaheddin and Mason (2016) found that stigma and preferences for self-management affect decisions to seek professional support </w:t>
      </w:r>
      <w:r w:rsidRPr="007D5CF2">
        <w:rPr>
          <w:rFonts w:ascii="Arial" w:eastAsia="Calibri" w:hAnsi="Arial" w:cs="Arial"/>
          <w:kern w:val="0"/>
          <w:lang w:eastAsia="en-US"/>
          <w14:ligatures w14:val="none"/>
        </w:rPr>
        <w:t>(</w:t>
      </w:r>
      <w:r w:rsidRPr="007D5CF2">
        <w:rPr>
          <w:rFonts w:ascii="Arial" w:eastAsia="Calibri" w:hAnsi="Arial" w:cs="Arial"/>
          <w:bCs/>
          <w:kern w:val="0"/>
          <w:lang w:eastAsia="en-US"/>
          <w14:ligatures w14:val="none"/>
        </w:rPr>
        <w:t>Evans-Lacko et al., 2019; MacDonald et al., 2018</w:t>
      </w:r>
      <w:r w:rsidRPr="007D5CF2">
        <w:rPr>
          <w:rFonts w:ascii="Arial" w:eastAsia="Calibri" w:hAnsi="Arial" w:cs="Arial"/>
          <w:kern w:val="0"/>
          <w:lang w:eastAsia="en-US"/>
          <w14:ligatures w14:val="none"/>
        </w:rPr>
        <w:t>)</w:t>
      </w:r>
      <w:r w:rsidRPr="007D5CF2">
        <w:rPr>
          <w:rFonts w:ascii="Arial" w:eastAsia="Times New Roman" w:hAnsi="Arial" w:cs="Arial"/>
          <w:kern w:val="0"/>
          <w:lang w:eastAsia="en-GB"/>
          <w14:ligatures w14:val="none"/>
        </w:rPr>
        <w:t>.</w:t>
      </w:r>
    </w:p>
    <w:p w14:paraId="2FE754D8"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Thus, it was concluded that there were socioeconomic and cultural dimensions that intertwined with service availability and engagement. There may be limited community resources that can provide alternative means of support, and cultural and family expectations that impact disclosure and help-seeking by professionals (Baxter et al., 2022; Holding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w:t>
      </w:r>
    </w:p>
    <w:p w14:paraId="58AEA6A7"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4.9 Theme Four: Enablers to Accessing Mental Health Services</w:t>
      </w:r>
    </w:p>
    <w:p w14:paraId="3F3C39BF"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4th theme was access and engagement, which included person-centred care, respectful communication, therapeutic relationships, continuity, flexible delivery, multidisciplinary working, community engagement and digital support (Baxter et al., 2022; Broad et al., 2017;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Dorata et al., 2025; Kitchen et al., 2023; Reed et al., 2025). </w:t>
      </w:r>
    </w:p>
    <w:p w14:paraId="04802F81"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Young people appreciated being listened to and their personal experiences recognised in assessments, as described by Dorata et al. (2025). Treatment tailored to individual preferences, appropriate parental involvement, and collaborative therapeutic relationships were identified as facilitators of engagement (Kitchen et al., 2023).</w:t>
      </w:r>
    </w:p>
    <w:p w14:paraId="44AB168B"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Flexible transition planning, continuity of information and relationships, and communication and collaboration between CAMHS and AMHS were identified by Broad et al. (2017) as facilitators. Similarly, Reed et al. (2025) named effective communication, leadership, multidisciplinary collaboration and co-production as factors that facilitate implementation.</w:t>
      </w:r>
    </w:p>
    <w:p w14:paraId="728CB28D"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Baxter et al. (2022) noted that community and cultural activities had a positive impact on social connectedness and wellbeing; however, accessibility was important.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found that digital webchat support constituted an additional pathway to accessing mental health services, which can be delivered well with training, supervision and organisational infrastructure. Other facilitators identified were flexibility and offering services to young people that were tailored to their circumstances (Gee et al., 2021; Kitchen et al., 2023; </w:t>
      </w:r>
      <w:r w:rsidRPr="007D5CF2">
        <w:rPr>
          <w:rFonts w:ascii="Arial" w:eastAsia="Calibri" w:hAnsi="Arial" w:cs="Arial"/>
          <w:color w:val="222222"/>
          <w:kern w:val="0"/>
          <w:shd w:val="clear" w:color="auto" w:fill="FFFFFF"/>
          <w:lang w:eastAsia="en-US"/>
          <w14:ligatures w14:val="none"/>
        </w:rPr>
        <w:t>Hikmat et al., 2025</w:t>
      </w:r>
      <w:r w:rsidRPr="007D5CF2">
        <w:rPr>
          <w:rFonts w:ascii="Arial" w:eastAsia="Times New Roman" w:hAnsi="Arial" w:cs="Arial"/>
          <w:kern w:val="0"/>
          <w:lang w:eastAsia="en-GB"/>
          <w14:ligatures w14:val="none"/>
        </w:rPr>
        <w:t>).</w:t>
      </w:r>
    </w:p>
    <w:p w14:paraId="1AAAC62F"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Overall, the evidence highlighted the following enablers: respectful communication, person-centred care, collaborative relationships, co-ordinated services, flexible provision, community engagement and appropriately supported digital services. </w:t>
      </w:r>
    </w:p>
    <w:p w14:paraId="2481AF66"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4.10 Chapter Summary</w:t>
      </w:r>
    </w:p>
    <w:p w14:paraId="1E32A9FC" w14:textId="47BD690D"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This chapter summarised data from the 12 studies that were included and identified four themes: individual barriers; structural/organisational barriers; socioeconomic/cultural barriers; and facilitators to accessing mental health services. Stigma and uncertainty, and challenges in seeking help were individual barriers and waiting time, service transition, organisational capacity and resource constraints were structural barriers. The socioeconomic and cultural factors included were financial, community, cultural beliefs and family expectations. The key enablers </w:t>
      </w:r>
      <w:r w:rsidR="00465F20" w:rsidRPr="007D5CF2">
        <w:rPr>
          <w:rFonts w:ascii="Arial" w:eastAsia="Times New Roman" w:hAnsi="Arial" w:cs="Arial"/>
          <w:kern w:val="0"/>
          <w:lang w:eastAsia="en-GB"/>
          <w14:ligatures w14:val="none"/>
        </w:rPr>
        <w:t>were</w:t>
      </w:r>
      <w:r w:rsidRPr="007D5CF2">
        <w:rPr>
          <w:rFonts w:ascii="Arial" w:eastAsia="Times New Roman" w:hAnsi="Arial" w:cs="Arial"/>
          <w:kern w:val="0"/>
          <w:lang w:eastAsia="en-GB"/>
          <w14:ligatures w14:val="none"/>
        </w:rPr>
        <w:t xml:space="preserve"> person centred care, therapeutic relationships, coordinated services, flexible provision, community engagement and digital support (Baxter et al., 2022; Broad et al., 2017;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Dorata et al., 2025; Holding et al., 2022; Kitchen et al., 2023; Plackett et al., 2026;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Reed et al., 2025; Salaheddin and Mason, 2016). These findings are discussed and interpreted in Chapter Five.</w:t>
      </w:r>
    </w:p>
    <w:p w14:paraId="08B94E4C" w14:textId="7FF78AC8" w:rsidR="00E62522" w:rsidRPr="007D5CF2" w:rsidRDefault="00E62522" w:rsidP="00781D67">
      <w:pPr>
        <w:spacing w:before="240" w:after="240" w:line="360" w:lineRule="auto"/>
        <w:jc w:val="both"/>
        <w:rPr>
          <w:rFonts w:ascii="Arial" w:eastAsia="Calibri" w:hAnsi="Arial" w:cs="Arial"/>
          <w:kern w:val="0"/>
          <w:lang w:eastAsia="en-US"/>
          <w14:ligatures w14:val="none"/>
        </w:rPr>
      </w:pPr>
    </w:p>
    <w:p w14:paraId="56940547" w14:textId="6E74BE8C"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0FBEF839" w14:textId="131C4EE5"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400B5B6B" w14:textId="06143423"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5020CFE5" w14:textId="6E9827BA"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5E390A52" w14:textId="31BE02BF"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617C2DAE" w14:textId="5B1CFF80"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0282B0E3" w14:textId="34559237"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51D70725" w14:textId="1D394903"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72206568" w14:textId="585CAA4A"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75FDC54D" w14:textId="77777777" w:rsidR="000E2B9E" w:rsidRPr="007D5CF2" w:rsidRDefault="000E2B9E" w:rsidP="00781D67">
      <w:pPr>
        <w:spacing w:before="240" w:after="240" w:line="360" w:lineRule="auto"/>
        <w:jc w:val="both"/>
        <w:rPr>
          <w:rFonts w:ascii="Arial" w:eastAsia="Calibri" w:hAnsi="Arial" w:cs="Arial"/>
          <w:kern w:val="0"/>
          <w:lang w:eastAsia="en-US"/>
          <w14:ligatures w14:val="none"/>
        </w:rPr>
      </w:pPr>
    </w:p>
    <w:p w14:paraId="18AFD86E" w14:textId="77777777" w:rsidR="00CC55C1" w:rsidRPr="007D5CF2" w:rsidRDefault="00CC55C1" w:rsidP="00781D67">
      <w:pPr>
        <w:spacing w:before="240" w:after="240" w:line="360" w:lineRule="auto"/>
        <w:jc w:val="both"/>
        <w:outlineLvl w:val="0"/>
        <w:rPr>
          <w:rFonts w:ascii="Arial" w:eastAsia="Calibri" w:hAnsi="Arial" w:cs="Arial"/>
          <w:kern w:val="0"/>
          <w:lang w:eastAsia="en-US"/>
          <w14:ligatures w14:val="none"/>
        </w:rPr>
      </w:pPr>
    </w:p>
    <w:p w14:paraId="2D0EAA10" w14:textId="77777777" w:rsidR="00CC55C1" w:rsidRPr="00465F20" w:rsidRDefault="00CC55C1" w:rsidP="00781D67">
      <w:pPr>
        <w:spacing w:before="240" w:after="240" w:line="360" w:lineRule="auto"/>
        <w:jc w:val="center"/>
        <w:outlineLvl w:val="0"/>
        <w:rPr>
          <w:rFonts w:ascii="Arial" w:eastAsia="Times New Roman" w:hAnsi="Arial" w:cs="Arial"/>
          <w:b/>
          <w:kern w:val="36"/>
          <w:sz w:val="24"/>
          <w:szCs w:val="24"/>
          <w:lang w:eastAsia="en-GB"/>
          <w14:ligatures w14:val="none"/>
        </w:rPr>
      </w:pPr>
      <w:r w:rsidRPr="00465F20">
        <w:rPr>
          <w:rFonts w:ascii="Arial" w:eastAsia="Calibri" w:hAnsi="Arial" w:cs="Arial"/>
          <w:b/>
          <w:kern w:val="0"/>
          <w:sz w:val="24"/>
          <w:szCs w:val="24"/>
          <w:lang w:eastAsia="en-US"/>
          <w14:ligatures w14:val="none"/>
        </w:rPr>
        <w:t xml:space="preserve">Chapter Five: </w:t>
      </w:r>
      <w:r w:rsidRPr="00465F20">
        <w:rPr>
          <w:rFonts w:ascii="Arial" w:eastAsia="Times New Roman" w:hAnsi="Arial" w:cs="Arial"/>
          <w:b/>
          <w:kern w:val="36"/>
          <w:sz w:val="24"/>
          <w:szCs w:val="24"/>
          <w:lang w:eastAsia="en-GB"/>
          <w14:ligatures w14:val="none"/>
        </w:rPr>
        <w:t>Discussion</w:t>
      </w:r>
    </w:p>
    <w:p w14:paraId="269EE0D6" w14:textId="77777777" w:rsidR="00CC55C1" w:rsidRPr="00465F20" w:rsidRDefault="00CC55C1" w:rsidP="00781D67">
      <w:pPr>
        <w:spacing w:before="240" w:after="240" w:line="360" w:lineRule="auto"/>
        <w:jc w:val="both"/>
        <w:outlineLvl w:val="1"/>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 xml:space="preserve">5.1 Introduction </w:t>
      </w:r>
    </w:p>
    <w:p w14:paraId="38242DFC"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This chapter critically discusses the findings presented in Chapter Four in relation to the existing literature, theoretical frameworks, and current mental health policy in the United Kingdom. The discussion is organised around the four themes identified through the thematic analysis: individual barriers, structural and organisational barriers, socioeconomic and cultural influences, and enablers to accessing mental health services among young adults. The findings are interpreted using Andersen's Behavioural Model of Health Service Use (Andersen, 1995) and the Health Belief Model (Rosenstock et al., 1988) to explain how individual beliefs, healthcare systems and wider social determinants influence help-seeking behaviour. The chapter also considers the implications of these findings for policy, clinical practice and future research.</w:t>
      </w:r>
    </w:p>
    <w:p w14:paraId="5F04F7E2" w14:textId="77777777" w:rsidR="00CC55C1" w:rsidRPr="007D5CF2" w:rsidRDefault="00CC55C1" w:rsidP="00781D67">
      <w:pPr>
        <w:spacing w:before="240" w:after="240" w:line="360" w:lineRule="auto"/>
        <w:jc w:val="both"/>
        <w:outlineLvl w:val="0"/>
        <w:rPr>
          <w:rFonts w:ascii="Arial" w:eastAsia="Times New Roman" w:hAnsi="Arial" w:cs="Arial"/>
          <w:b/>
          <w:kern w:val="36"/>
          <w:lang w:eastAsia="en-GB"/>
          <w14:ligatures w14:val="none"/>
        </w:rPr>
      </w:pPr>
      <w:r w:rsidRPr="007D5CF2">
        <w:rPr>
          <w:rFonts w:ascii="Arial" w:eastAsia="Times New Roman" w:hAnsi="Arial" w:cs="Arial"/>
          <w:b/>
          <w:kern w:val="36"/>
          <w:lang w:eastAsia="en-GB"/>
          <w14:ligatures w14:val="none"/>
        </w:rPr>
        <w:t xml:space="preserve">5.2 Discussion of Individual Barriers to Accessing Mental Health Services </w:t>
      </w:r>
    </w:p>
    <w:p w14:paraId="5CA6830C"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results of this review suggest that in the United Kingdom, individual barriers continue to be an important factor in mental health service utilisation in young adults. Delays or barriers to seeking professional support were highlighted in the studies included in this review, such as stigma, fear of judgement, limited mental health literacy, and self-reliance, along with reduced trust in health professionals. These results imply that while there has been a rise in the awareness of mental health issues due to national campaigns and policy actions, there are still some psychological barriers that prevent young adults from engaging with mental health services in their early stage (Salaheddin and Mason, 2016; Holding et al., 2022; Dorata et al., 2025).</w:t>
      </w:r>
    </w:p>
    <w:p w14:paraId="7AFE5D6A" w14:textId="2AEB3441"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An interesting point of the studies reviewed is the fact that stigma is not eliminated even with improvements in public awareness, as it shows that improved awareness does not necessarily lead to increased willingness to seek professional support. Fear of being labelled or judged was a deterrent for many young adults who would not feel comfortable reporting any psychological problems (Salaheddin and Mason, 2016), and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demonstrated that these worries increased among young people from backgrounds in Eastern Europe where attitudes towards mental illness were influenced by cultural beliefs and family expectations. The results indicate that stigma is not a mere individual perception but a part of the wider cultural and social environment. This corroborates existing evidence that public education alone might not be enough to decrease stigma, especially when working alongside culturally responsive strategies that </w:t>
      </w:r>
      <w:r w:rsidR="007D5CF2" w:rsidRPr="007D5CF2">
        <w:rPr>
          <w:rFonts w:ascii="Arial" w:eastAsia="Times New Roman" w:hAnsi="Arial" w:cs="Arial"/>
          <w:kern w:val="0"/>
          <w:lang w:eastAsia="en-GB"/>
          <w14:ligatures w14:val="none"/>
        </w:rPr>
        <w:t>consider</w:t>
      </w:r>
      <w:r w:rsidRPr="007D5CF2">
        <w:rPr>
          <w:rFonts w:ascii="Arial" w:eastAsia="Times New Roman" w:hAnsi="Arial" w:cs="Arial"/>
          <w:kern w:val="0"/>
          <w:lang w:eastAsia="en-GB"/>
          <w14:ligatures w14:val="none"/>
        </w:rPr>
        <w:t xml:space="preserve"> the experiences of various communities (World Health Organisation, 2022). These results are consistent across the diverse groups of participants and lend credibility that stigma continues to be one of the most persistent challenges to help-seeking for mental health despite the growing public conversation about mental illness.</w:t>
      </w:r>
    </w:p>
    <w:p w14:paraId="0B52A798"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results also suggest that a lack of mental health knowledge leads to delays in identifying symptoms and support pathways. Conversations about mental wellbeing on social media and the impact on mental wellbeing have been reported as difficult to discuss during primary care consultations with young adults, who were also unsure of where to access services or how to navigate referral pathways, according to Holding et al. (2022). The results indicate that gaps don't just exist at the knowledge level of mental illness, but also at the level of what to do when seeking help from health services. This aligns with Andersen's Behavioural Model, which suggests that healthcare utilisation is not just a function of perceived need, but is also one of the enabling resources that would make it easier to access services (Andersen, 1995). Improper access to these enabling services is less likely to occur when young adults don't know what services are available, or when they find it difficult to communicate with healthcare providers.</w:t>
      </w:r>
    </w:p>
    <w:p w14:paraId="7CF41DE6" w14:textId="034666E6"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other major finding relates to the impact of trust and therapeutic relationships on service engagement. Dorata et al. (2025) found that individuals who received positive communication, listening and participation in decision-making when receiving mental health assessments were more likely to stay in the services. On the other hand, mental health assessments that were impersonal or diagnosis-focused led to low confidence in mental health services and discouragement from reattendance. Additionally, the focus on clinical symptoms wa</w:t>
      </w:r>
      <w:r w:rsidR="005C5A44" w:rsidRPr="007D5CF2">
        <w:rPr>
          <w:rFonts w:ascii="Arial" w:eastAsia="Times New Roman" w:hAnsi="Arial" w:cs="Arial"/>
          <w:kern w:val="0"/>
          <w:lang w:eastAsia="en-GB"/>
          <w14:ligatures w14:val="none"/>
        </w:rPr>
        <w:t>s noted by Plackett et al. (2026</w:t>
      </w:r>
      <w:r w:rsidRPr="007D5CF2">
        <w:rPr>
          <w:rFonts w:ascii="Arial" w:eastAsia="Times New Roman" w:hAnsi="Arial" w:cs="Arial"/>
          <w:kern w:val="0"/>
          <w:lang w:eastAsia="en-GB"/>
          <w14:ligatures w14:val="none"/>
        </w:rPr>
        <w:t xml:space="preserve">), and participants highlighted a need for healthcare practitioners to </w:t>
      </w:r>
      <w:r w:rsidR="007D5CF2" w:rsidRPr="007D5CF2">
        <w:rPr>
          <w:rFonts w:ascii="Arial" w:eastAsia="Times New Roman" w:hAnsi="Arial" w:cs="Arial"/>
          <w:kern w:val="0"/>
          <w:lang w:eastAsia="en-GB"/>
          <w14:ligatures w14:val="none"/>
        </w:rPr>
        <w:t>consider</w:t>
      </w:r>
      <w:r w:rsidRPr="007D5CF2">
        <w:rPr>
          <w:rFonts w:ascii="Arial" w:eastAsia="Times New Roman" w:hAnsi="Arial" w:cs="Arial"/>
          <w:kern w:val="0"/>
          <w:lang w:eastAsia="en-GB"/>
          <w14:ligatures w14:val="none"/>
        </w:rPr>
        <w:t xml:space="preserve"> the wider social context contributing to mental health rather than focusing solely on clinical symptoms. </w:t>
      </w:r>
      <w:r w:rsidR="007D5CF2" w:rsidRPr="007D5CF2">
        <w:rPr>
          <w:rFonts w:ascii="Arial" w:eastAsia="Times New Roman" w:hAnsi="Arial" w:cs="Arial"/>
          <w:kern w:val="0"/>
          <w:lang w:eastAsia="en-GB"/>
          <w14:ligatures w14:val="none"/>
        </w:rPr>
        <w:t>All</w:t>
      </w:r>
      <w:r w:rsidRPr="007D5CF2">
        <w:rPr>
          <w:rFonts w:ascii="Arial" w:eastAsia="Times New Roman" w:hAnsi="Arial" w:cs="Arial"/>
          <w:kern w:val="0"/>
          <w:lang w:eastAsia="en-GB"/>
          <w14:ligatures w14:val="none"/>
        </w:rPr>
        <w:t xml:space="preserve"> these results suggest that first contacts with health care providers can have a profound impact on subsequent service use.</w:t>
      </w:r>
    </w:p>
    <w:p w14:paraId="3C2BFCC9" w14:textId="2099DFEB"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These findings can be explained further by the Health Belief Model. The model posits that people are more likely to use health care services if they believe that the perceived benefits of using the services are greater than the perceived barriers. (Rosenstock et al., 1988) The stigma and concerns about judgement and confidentiality noted in this review are all barriers to help-seeking, which heightens the costs and perceptions of help-seeking even when psychological distress is known. The results indicate that psychological perceptions and healthcare experiences need to be targeted </w:t>
      </w:r>
      <w:r w:rsidR="007D5CF2" w:rsidRPr="007D5CF2">
        <w:rPr>
          <w:rFonts w:ascii="Arial" w:eastAsia="Times New Roman" w:hAnsi="Arial" w:cs="Arial"/>
          <w:kern w:val="0"/>
          <w:lang w:eastAsia="en-GB"/>
          <w14:ligatures w14:val="none"/>
        </w:rPr>
        <w:t>to</w:t>
      </w:r>
      <w:r w:rsidRPr="007D5CF2">
        <w:rPr>
          <w:rFonts w:ascii="Arial" w:eastAsia="Times New Roman" w:hAnsi="Arial" w:cs="Arial"/>
          <w:kern w:val="0"/>
          <w:lang w:eastAsia="en-GB"/>
          <w14:ligatures w14:val="none"/>
        </w:rPr>
        <w:t xml:space="preserve"> improve access. Findings indicate the need to enhance mental health literacy and the need to develop culturally responsive anti-stigma efforts as well as communication skills of healthcare providers to support trust, empathy, and person-centred care during first encounters with young adults in healthcare settings.</w:t>
      </w:r>
    </w:p>
    <w:p w14:paraId="7E8D8B26"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 xml:space="preserve">5.3 Discussion of Structural and Organisational Barriers to Accessing Mental Health Services </w:t>
      </w:r>
    </w:p>
    <w:p w14:paraId="172032BC"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results of this review show that structural and organisational issues remain major barriers to access to mental health services for young adults in the United Kingdom. Recent NHS policies, such as the NHS Long Term Plan and the Community Mental Health Framework, have focused on greater emphasis on early intervention, integrated care and better access, but the findings indicate that the service experience is still not as good as it could be to achieve these policy aims (NHS England, 2019; NHS England, 2024). In all of the studies included, long waiting times, poor continuity and coordination of services, and workforce shortages were identified as key challenges which caused delays in treatment and reduced continuity of care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Broad et al., 2017; Reed et al., 2025; MacDonald et al., 2018; Kirk et al., 2023).</w:t>
      </w:r>
    </w:p>
    <w:p w14:paraId="49470893"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One of the most important discoveries relates to the effect of delayed access to services on the willingness and capacity of young adults to access mental health services. </w:t>
      </w:r>
      <w:proofErr w:type="spellStart"/>
      <w:r w:rsidRPr="007D5CF2">
        <w:rPr>
          <w:rFonts w:ascii="Arial" w:eastAsia="Times New Roman" w:hAnsi="Arial" w:cs="Arial"/>
          <w:kern w:val="0"/>
          <w:lang w:eastAsia="en-GB"/>
          <w14:ligatures w14:val="none"/>
        </w:rPr>
        <w:t>Punton</w:t>
      </w:r>
      <w:proofErr w:type="spellEnd"/>
      <w:r w:rsidRPr="007D5CF2">
        <w:rPr>
          <w:rFonts w:ascii="Arial" w:eastAsia="Times New Roman" w:hAnsi="Arial" w:cs="Arial"/>
          <w:kern w:val="0"/>
          <w:lang w:eastAsia="en-GB"/>
          <w14:ligatures w14:val="none"/>
        </w:rPr>
        <w:t xml:space="preserve"> et al. (2022) showed that the waiting lists were a time of heightened psychological distress for participants, and that their psychological symptoms often worsened prior to professional help. Waiting lists were not seen as a delay but as part of the illness experience. This is consistent with the previous evidence that shows that delayed access to mental health care is linked to poorer clinical outcomes and lower service engagement (NHS England, 2024). Waiting time is defined in Andersen's Behavioural Model as a restriction on enabling resources; that is, the ability to access services for the health problems they have is impeded because the necessary services are not available during the time when they need them (Andersen, 1995). Given this, the success of the early intervention strategies relies on identification of mental health needs, as well as timely access to appropriate services.</w:t>
      </w:r>
    </w:p>
    <w:p w14:paraId="4520C4AC"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The results also underline the need for continuity of care in the transition from Child and Adolescent Mental Health Services (CAMHS) to Adult Mental Health Services (AMHS). Broad et al. (2017) found that young people often had a time in transition that was filled with uncertainty, with inconsistent planning, shifting therapeutic relationships and expectations of services changing. Reed et al. (2025) similarly highlighted the organisational issues that impacted the effectiveness of service delivery, including lack of continuity of referral pathways, limited inter-agency collaboration and poor agreement around the provision of youth mental health services and models. Broad et al. (2017) aggregated the findings from several qualitative studies but did not conduct original research; the uniformity of results across a range of settings, and the fact that transitional care has been cited as an issue in all studies, makes it easy to believe that transitional care continues to be a challenge. These findings also indicate that barriers to the organisation are not discrete but related: problems with communication, coordination and continuity all relate to service disengagement.</w:t>
      </w:r>
    </w:p>
    <w:p w14:paraId="1525C916"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A second key observation is about the capacity of the workforce and the delivery of services. Reed et al. (2025) found that low levels of staff, high demands on clinical services and limited availability of organisational resources limited the implementation of youth-centred models of care. The findings reflect those of NHS England (2024) on the rising demand for mental health services and the ongoing challenges to the NHS workforce. As the Review also shows, however, organisational improvement does not just happen because staffing numbers increase. Kitchen et al. (2023) found that flexible and personalised interventions and therapeutic relationships were associated with enhanced engagement with the service, indicating that service quality relates to both service capacity and how services are delivered. Likewise, Gee et al. (2021) emphasised the need for leadership, staff training and a joint relationship between education and healthcare services to ensure effective implementation of mental health interventions. Together, these studies point towards the need for investment in workforce development, interdisciplinary collaboration, organisational leadership, and an increase in the capacity of services, to achieve sustainable improvements.</w:t>
      </w:r>
    </w:p>
    <w:p w14:paraId="65A01939" w14:textId="0EC2013F"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Digital mental health services should be </w:t>
      </w:r>
      <w:r w:rsidR="007D5CF2"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as should shifts in the way mental health is delivered as a service.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found that webchat services enhanced accessibility due to their flexible and accessible nature in offering support at the most appropriate time, especially when young people were hesitant to access traditional face-to-face services. The results are consistent with the NHS priorities to scale up digital mental health services and access to services being enhanced through technology (NHS England, 2019). However, </w:t>
      </w:r>
      <w:r w:rsidR="007D5CF2" w:rsidRPr="007D5CF2">
        <w:rPr>
          <w:rFonts w:ascii="Arial" w:eastAsia="Times New Roman" w:hAnsi="Arial" w:cs="Arial"/>
          <w:kern w:val="0"/>
          <w:lang w:eastAsia="en-GB"/>
          <w14:ligatures w14:val="none"/>
        </w:rPr>
        <w:t>several</w:t>
      </w:r>
      <w:r w:rsidRPr="007D5CF2">
        <w:rPr>
          <w:rFonts w:ascii="Arial" w:eastAsia="Times New Roman" w:hAnsi="Arial" w:cs="Arial"/>
          <w:kern w:val="0"/>
          <w:lang w:eastAsia="en-GB"/>
          <w14:ligatures w14:val="none"/>
        </w:rPr>
        <w:t xml:space="preserve"> constraints for staff training, supervision and organisational infrastructure were also highlighted, demonstrating that more general structural barriers must be addressed to successfully implement digital innovation. It is therefore important to consider digital services as tools to complement, not replace, traditional clinical care for integrated provision.</w:t>
      </w:r>
    </w:p>
    <w:p w14:paraId="49F47D71"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 xml:space="preserve">5.4 Discussion of Socioeconomic, Cultural Barriers and Enablers to Accessing Mental Health Services </w:t>
      </w:r>
    </w:p>
    <w:p w14:paraId="437D3ACE"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This review provides evidence that beyond individual attitudes and organisational barriers, socioeconomic and cultural factors are significant influences on young adults' access to mental health services. Help-seeking behaviour and engagement with mental health services were influenced by a combination of factors, including financial hardship, cultural beliefs, family expectations, social inequalities and access to community resources. The results confirm that the availability of healthcare services is not the sole driver of their utilisation, but rather the individual's wider social determinants of health that affect their ability to identify need, seek care and maintain engagement with treatment (Marmot, 2020; World Health Organisation (WHO), 2022).</w:t>
      </w:r>
    </w:p>
    <w:p w14:paraId="3645DA1C" w14:textId="61AFBDAD"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Several of the most consistent results identified were factors relating to socioeconomic disadvantage and access to services. Financial issues, education and competing life demands were cited as barriers to accessing mental health services (Holding et al., 2022; Baxter et al., 2022). NHS mental health services are free at the point of delivery, but the findings reflect the impact of indirect barriers, such as transport costs, the lack of local community services and competing work or academic commitments. The results corroborate those of Marmot (2020), who suggested close links between health inequalities and socioeconomic deprivation, and unequal access to health-promoting resources. Socio-economic factors are defined as enabling resources in Andersen's Behavioural Model that determine if individuals </w:t>
      </w:r>
      <w:r w:rsidR="00465F20" w:rsidRPr="007D5CF2">
        <w:rPr>
          <w:rFonts w:ascii="Arial" w:eastAsia="Times New Roman" w:hAnsi="Arial" w:cs="Arial"/>
          <w:kern w:val="0"/>
          <w:lang w:eastAsia="en-GB"/>
          <w14:ligatures w14:val="none"/>
        </w:rPr>
        <w:t>can</w:t>
      </w:r>
      <w:r w:rsidRPr="007D5CF2">
        <w:rPr>
          <w:rFonts w:ascii="Arial" w:eastAsia="Times New Roman" w:hAnsi="Arial" w:cs="Arial"/>
          <w:kern w:val="0"/>
          <w:lang w:eastAsia="en-GB"/>
          <w14:ligatures w14:val="none"/>
        </w:rPr>
        <w:t xml:space="preserve"> obtain healthcare despite awareness of a need for help (1995). However, improving the accessibility of services involves more than just policies in the health sector; it also involves policies on poverty, educational disadvantage and social exclusion.</w:t>
      </w:r>
    </w:p>
    <w:p w14:paraId="30CD45E1" w14:textId="4F0E761B"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Cultural influences were also found to be an important determinant of help-seeking behaviour.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highlighted </w:t>
      </w:r>
      <w:r w:rsidR="007D5CF2" w:rsidRPr="007D5CF2">
        <w:rPr>
          <w:rFonts w:ascii="Arial" w:eastAsia="Times New Roman" w:hAnsi="Arial" w:cs="Arial"/>
          <w:kern w:val="0"/>
          <w:lang w:eastAsia="en-GB"/>
          <w14:ligatures w14:val="none"/>
        </w:rPr>
        <w:t>that young adult</w:t>
      </w:r>
      <w:r w:rsidRPr="007D5CF2">
        <w:rPr>
          <w:rFonts w:ascii="Arial" w:eastAsia="Times New Roman" w:hAnsi="Arial" w:cs="Arial"/>
          <w:kern w:val="0"/>
          <w:lang w:eastAsia="en-GB"/>
          <w14:ligatures w14:val="none"/>
        </w:rPr>
        <w:t xml:space="preserve"> with backgrounds from Eastern European countries often needed to reconcile conflicting cultural perspectives on mental disorders in their decision to access mental health services. Likewise, Salaheddin and Mason (2016) found that expected stigma and worries about negative judgements often prevented young adults from sharing experiences of emotional challenges. The results suggest that cultural beliefs affect mental illness perceptions, as well as trust in care systems and attendance at professional care. The reviewed studies were for specific groups of the population, but the consistency of these findings shows that culturally responsive mental health services will continue to be vital in enhancing equitable access to mental health services for the varied UK population. This is also consistent with the Health Belief Model, which suggests that perceived barriers such as the anticipated consequences of seeking help can also reduce the likelihood of help-seeking if the individual is aware of their psychological distress (Rosenstock et al., 1988).</w:t>
      </w:r>
    </w:p>
    <w:p w14:paraId="4DFE9D2F" w14:textId="7DEBA4B8"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review also revealed some key enablers which could help close the access gap to inequalities. Baxter et al. (2022) showed that participation in community and cultural activities promoted social connectedness, decreased isolation and increased motivation to partake in the activities that supported mental wellbeing, which led to greater recovery. Participants especially appreciated supportive environments where there </w:t>
      </w:r>
      <w:r w:rsidR="00465F20" w:rsidRPr="007D5CF2">
        <w:rPr>
          <w:rFonts w:ascii="Arial" w:eastAsia="Times New Roman" w:hAnsi="Arial" w:cs="Arial"/>
          <w:kern w:val="0"/>
          <w:lang w:eastAsia="en-GB"/>
          <w14:ligatures w14:val="none"/>
        </w:rPr>
        <w:t>were</w:t>
      </w:r>
      <w:r w:rsidRPr="007D5CF2">
        <w:rPr>
          <w:rFonts w:ascii="Arial" w:eastAsia="Times New Roman" w:hAnsi="Arial" w:cs="Arial"/>
          <w:kern w:val="0"/>
          <w:lang w:eastAsia="en-GB"/>
          <w14:ligatures w14:val="none"/>
        </w:rPr>
        <w:t xml:space="preserve"> meaningful dialogue and continued engagement. Likewise, Dorata et al. (2025) noted that using person-centred and respectful communication during mental health assessment contributed to trust and to the need to access services. Furthermore, Reed et al. (2025) pointed out that the use of integrated youth mental health models, multidisciplinary approaches and co-production with youth increased the accessibility of services, leading to better coordinated and responsive systems of care. The results indicate that interventions need not just focus on expanding service availability, but are also about service responsiveness to social, cultural and developmental needs of youth.</w:t>
      </w:r>
    </w:p>
    <w:p w14:paraId="3BE0E2C0"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Digital innovations were also a potential enabler of access.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found that the mental health services offered via webchat platforms offered flexible, timely and anonymous support and helped to circumvent some of the barriers of traditional face-to-face services. The use of digital communication was especially appreciated by participants, especially in the initial phase of help-seeking. The study also identified the need for adequate training of staff, organisational support and digital infrastructure to ensure quality of the services. Digital technologies can therefore help to increase accessibility, but should be used in addition to, and not instead of, face-to-face services, especially for young adults with complex or severe mental health needs.</w:t>
      </w:r>
    </w:p>
    <w:p w14:paraId="3D67AEF3" w14:textId="3011F08E"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findings overall reflect the need for a holistic approach to improving access to mental health services, which encompasses improvements to social determinants of health and the organisation of mental health services. Socio-economic disadvantage and cultural beliefs and supportive service environments imply that improvements in mental health access that can be sustained require a multi-sectoral approach in the healthcare, education, community and public policy arenas. The results support the need for person-centred, culturally responsive and integrated models of care that </w:t>
      </w:r>
      <w:r w:rsidR="00465F20" w:rsidRPr="007D5CF2">
        <w:rPr>
          <w:rFonts w:ascii="Arial" w:eastAsia="Times New Roman" w:hAnsi="Arial" w:cs="Arial"/>
          <w:kern w:val="0"/>
          <w:lang w:eastAsia="en-GB"/>
          <w14:ligatures w14:val="none"/>
        </w:rPr>
        <w:t>consider</w:t>
      </w:r>
      <w:r w:rsidRPr="007D5CF2">
        <w:rPr>
          <w:rFonts w:ascii="Arial" w:eastAsia="Times New Roman" w:hAnsi="Arial" w:cs="Arial"/>
          <w:kern w:val="0"/>
          <w:lang w:eastAsia="en-GB"/>
          <w14:ligatures w14:val="none"/>
        </w:rPr>
        <w:t xml:space="preserve"> the wide range of experiences of young adults in the United Kingdom.</w:t>
      </w:r>
    </w:p>
    <w:p w14:paraId="4DAF79E4" w14:textId="77777777" w:rsidR="00CC55C1" w:rsidRPr="00465F20" w:rsidRDefault="00CC55C1" w:rsidP="00781D67">
      <w:pPr>
        <w:spacing w:before="240" w:after="240" w:line="360" w:lineRule="auto"/>
        <w:jc w:val="both"/>
        <w:rPr>
          <w:rFonts w:ascii="Arial" w:eastAsia="Times New Roman" w:hAnsi="Arial" w:cs="Arial"/>
          <w:b/>
          <w:kern w:val="0"/>
          <w:sz w:val="24"/>
          <w:szCs w:val="24"/>
          <w:lang w:eastAsia="en-GB"/>
          <w14:ligatures w14:val="none"/>
        </w:rPr>
      </w:pPr>
      <w:r w:rsidRPr="00465F20">
        <w:rPr>
          <w:rFonts w:ascii="Arial" w:eastAsia="Times New Roman" w:hAnsi="Arial" w:cs="Arial"/>
          <w:b/>
          <w:kern w:val="0"/>
          <w:sz w:val="24"/>
          <w:szCs w:val="24"/>
          <w:lang w:eastAsia="en-GB"/>
          <w14:ligatures w14:val="none"/>
        </w:rPr>
        <w:t xml:space="preserve">5.5 Implications for Practice, Limitations and Future Research </w:t>
      </w:r>
    </w:p>
    <w:p w14:paraId="5FE402F5" w14:textId="77777777"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The results of this review have implications for mental health policy and clinical practice in the United Kingdom. First, lowering barriers to mental health service access necessitates actions beyond expanding the capacity to provide services. The results indicate that person-centred, youth-friendly and culturally responsive services are also a crucial component of improving access to mental health services, as are efforts to expand the mental health workforce. As outlined in the NHS Long Term Plan, the focus needs to be on enhancing early intervention, ensuring the seamless transition of young people between Child and Adolescent Mental Health Services (CAMHS) and Adult Mental Health Services (AMHS) and promote integrated multidisciplinary services for young adults, as these are likely to have a complex care need (NHS England, 2019; Reed et al., 2025; Broad et al., 2017). In addition, it is important for healthcare providers to receive ongoing training in culturally competent communication and shared decision-making to build trust, decrease stigma, and promote early access to mental health services (Dorata et al., 2025; </w:t>
      </w:r>
      <w:proofErr w:type="spellStart"/>
      <w:r w:rsidRPr="007D5CF2">
        <w:rPr>
          <w:rFonts w:ascii="Arial" w:eastAsia="Times New Roman" w:hAnsi="Arial" w:cs="Arial"/>
          <w:kern w:val="0"/>
          <w:lang w:eastAsia="en-GB"/>
          <w14:ligatures w14:val="none"/>
        </w:rPr>
        <w:t>Radez</w:t>
      </w:r>
      <w:proofErr w:type="spellEnd"/>
      <w:r w:rsidRPr="007D5CF2">
        <w:rPr>
          <w:rFonts w:ascii="Arial" w:eastAsia="Times New Roman" w:hAnsi="Arial" w:cs="Arial"/>
          <w:kern w:val="0"/>
          <w:lang w:eastAsia="en-GB"/>
          <w14:ligatures w14:val="none"/>
        </w:rPr>
        <w:t xml:space="preserve"> et al., 2024; </w:t>
      </w:r>
      <w:r w:rsidRPr="007D5CF2">
        <w:rPr>
          <w:rFonts w:ascii="Arial" w:eastAsia="Times New Roman" w:hAnsi="Arial" w:cs="Arial"/>
          <w:color w:val="222222"/>
          <w:kern w:val="0"/>
          <w:shd w:val="clear" w:color="auto" w:fill="FFFFFF"/>
          <w:lang w:eastAsia="en-GB"/>
          <w14:ligatures w14:val="none"/>
        </w:rPr>
        <w:t xml:space="preserve">Pilbeam et al., 2023; </w:t>
      </w:r>
      <w:r w:rsidRPr="007D5CF2">
        <w:rPr>
          <w:rFonts w:ascii="Arial" w:eastAsia="Times New Roman" w:hAnsi="Arial" w:cs="Arial"/>
          <w:kern w:val="0"/>
          <w:lang w:eastAsia="en-GB"/>
          <w14:ligatures w14:val="none"/>
        </w:rPr>
        <w:t>Fargas-Malet and McSherry, 2018).</w:t>
      </w:r>
    </w:p>
    <w:p w14:paraId="495256C2" w14:textId="2FD0B430" w:rsidR="00CC55C1" w:rsidRPr="007D5CF2" w:rsidRDefault="00CC55C1" w:rsidP="00781D67">
      <w:pPr>
        <w:spacing w:before="240" w:after="240" w:line="360" w:lineRule="auto"/>
        <w:jc w:val="both"/>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 few limitations should also be </w:t>
      </w:r>
      <w:r w:rsidR="00465F20"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in the interpretation of the results. This dissertation was of a qualitative secondary research design, and therefore the findings were based on the quality and range of the studies included and not based on primary data collected from the very respondents themselves. All included studies were critically appraised and included; however, methodological differences among studies may have affected the consistency of findings. Further, most of the studies employed small qualitative sample sizes, which restricts the generalisability of the results to the broader UK sample of young adults. Two of the studies included were qualitative evidence syntheses and not primary qualitative research studies, and they offered a more general perspective, but used existing, published evidence instead of new empirical data (Broad et al., 2017; Gee et al., 2021). The methodological differences should be </w:t>
      </w:r>
      <w:r w:rsidR="00465F20" w:rsidRPr="007D5CF2">
        <w:rPr>
          <w:rFonts w:ascii="Arial" w:eastAsia="Times New Roman" w:hAnsi="Arial" w:cs="Arial"/>
          <w:kern w:val="0"/>
          <w:lang w:eastAsia="en-GB"/>
          <w14:ligatures w14:val="none"/>
        </w:rPr>
        <w:t>considered</w:t>
      </w:r>
      <w:r w:rsidRPr="007D5CF2">
        <w:rPr>
          <w:rFonts w:ascii="Arial" w:eastAsia="Times New Roman" w:hAnsi="Arial" w:cs="Arial"/>
          <w:kern w:val="0"/>
          <w:lang w:eastAsia="en-GB"/>
          <w14:ligatures w14:val="none"/>
        </w:rPr>
        <w:t xml:space="preserve"> when interpreting the overall synthesis.</w:t>
      </w:r>
    </w:p>
    <w:p w14:paraId="76D71D93" w14:textId="77777777" w:rsidR="00CC55C1" w:rsidRPr="007D5CF2" w:rsidRDefault="00CC55C1" w:rsidP="00781D67">
      <w:pPr>
        <w:spacing w:before="240" w:after="240" w:line="360" w:lineRule="auto"/>
        <w:jc w:val="both"/>
        <w:rPr>
          <w:rFonts w:ascii="Arial" w:eastAsia="Times New Roman" w:hAnsi="Arial" w:cs="Arial"/>
          <w:b/>
          <w:kern w:val="0"/>
          <w:lang w:eastAsia="en-GB"/>
          <w14:ligatures w14:val="none"/>
        </w:rPr>
      </w:pPr>
      <w:r w:rsidRPr="007D5CF2">
        <w:rPr>
          <w:rFonts w:ascii="Arial" w:eastAsia="Times New Roman" w:hAnsi="Arial" w:cs="Arial"/>
          <w:kern w:val="0"/>
          <w:lang w:eastAsia="en-GB"/>
          <w14:ligatures w14:val="none"/>
        </w:rPr>
        <w:t>Ongoing investigations that explore the experiences of young people as they transition through CAMHS to AMHS, and how these experiences evolve over time, should be conducted in the future. Additional qualitative studies with ethnically underrepresented, socioeconomically disadvantaged and rural populations would help fill gaps in understanding inequities in access to services. Furthermore, there is a need for strong assessments of digital mental health interventions and integrated youth mental health models to ensure they are effective, accessible and sustainable within routine NHS practice in the long-term (</w:t>
      </w:r>
      <w:proofErr w:type="spellStart"/>
      <w:r w:rsidRPr="007D5CF2">
        <w:rPr>
          <w:rFonts w:ascii="Arial" w:eastAsia="Times New Roman" w:hAnsi="Arial" w:cs="Arial"/>
          <w:kern w:val="0"/>
          <w:lang w:eastAsia="en-GB"/>
          <w14:ligatures w14:val="none"/>
        </w:rPr>
        <w:t>Burlibasa</w:t>
      </w:r>
      <w:proofErr w:type="spellEnd"/>
      <w:r w:rsidRPr="007D5CF2">
        <w:rPr>
          <w:rFonts w:ascii="Arial" w:eastAsia="Times New Roman" w:hAnsi="Arial" w:cs="Arial"/>
          <w:kern w:val="0"/>
          <w:lang w:eastAsia="en-GB"/>
          <w14:ligatures w14:val="none"/>
        </w:rPr>
        <w:t xml:space="preserve"> et al., 2025; Reed et al., 2025).</w:t>
      </w:r>
    </w:p>
    <w:p w14:paraId="35968D15" w14:textId="35DFA9E7" w:rsidR="00CC55C1" w:rsidRPr="007D5CF2" w:rsidRDefault="00CC55C1" w:rsidP="00781D67">
      <w:pPr>
        <w:spacing w:before="240" w:after="240" w:line="360" w:lineRule="auto"/>
        <w:jc w:val="both"/>
        <w:rPr>
          <w:rFonts w:ascii="Arial" w:eastAsia="Times New Roman" w:hAnsi="Arial" w:cs="Arial"/>
          <w:b/>
          <w:kern w:val="0"/>
          <w:lang w:eastAsia="en-GB"/>
          <w14:ligatures w14:val="none"/>
        </w:rPr>
      </w:pPr>
      <w:r w:rsidRPr="007D5CF2">
        <w:rPr>
          <w:rFonts w:ascii="Arial" w:eastAsia="Times New Roman" w:hAnsi="Arial" w:cs="Arial"/>
          <w:bCs/>
          <w:kern w:val="0"/>
          <w:lang w:eastAsia="en-GB"/>
          <w14:ligatures w14:val="none"/>
        </w:rPr>
        <w:t xml:space="preserve">The results of the thematic analysis were critically examined </w:t>
      </w:r>
      <w:r w:rsidR="00465F20" w:rsidRPr="007D5CF2">
        <w:rPr>
          <w:rFonts w:ascii="Arial" w:eastAsia="Times New Roman" w:hAnsi="Arial" w:cs="Arial"/>
          <w:bCs/>
          <w:kern w:val="0"/>
          <w:lang w:eastAsia="en-GB"/>
          <w14:ligatures w14:val="none"/>
        </w:rPr>
        <w:t>considering</w:t>
      </w:r>
      <w:r w:rsidRPr="007D5CF2">
        <w:rPr>
          <w:rFonts w:ascii="Arial" w:eastAsia="Times New Roman" w:hAnsi="Arial" w:cs="Arial"/>
          <w:bCs/>
          <w:kern w:val="0"/>
          <w:lang w:eastAsia="en-GB"/>
          <w14:ligatures w14:val="none"/>
        </w:rPr>
        <w:t xml:space="preserve"> the existing literature, theories and the current mental health policy. Individual, organisational, socioeconomic and cultural factors can interact to produce barriers to mental health service access in youth, as opposed to individual barriers. Andersen's Behavioural Model and the Health Belief Model were helpful explanatory tools for understanding these factors and their impact on help-seeking behaviours and healthcare utilisation. The chapter also identified key policy and clinical implications of the review and identified priorities for future research, recognising the methodological limitations of the review. These results are all </w:t>
      </w:r>
      <w:r w:rsidR="00465F20" w:rsidRPr="007D5CF2">
        <w:rPr>
          <w:rFonts w:ascii="Arial" w:eastAsia="Times New Roman" w:hAnsi="Arial" w:cs="Arial"/>
          <w:bCs/>
          <w:kern w:val="0"/>
          <w:lang w:eastAsia="en-GB"/>
          <w14:ligatures w14:val="none"/>
        </w:rPr>
        <w:t>combined</w:t>
      </w:r>
      <w:r w:rsidRPr="007D5CF2">
        <w:rPr>
          <w:rFonts w:ascii="Arial" w:eastAsia="Times New Roman" w:hAnsi="Arial" w:cs="Arial"/>
          <w:bCs/>
          <w:kern w:val="0"/>
          <w:lang w:eastAsia="en-GB"/>
          <w14:ligatures w14:val="none"/>
        </w:rPr>
        <w:t xml:space="preserve"> in the concluding chapter, summarising the whole contribution of the study and giving its final recommendations.</w:t>
      </w:r>
    </w:p>
    <w:p w14:paraId="6BAF420E"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3D8614B6"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5BD56D3F"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25CCEFA4"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421233AE" w14:textId="77777777" w:rsidR="00CC55C1" w:rsidRPr="007D5CF2" w:rsidRDefault="00CC55C1" w:rsidP="00781D67">
      <w:pPr>
        <w:spacing w:before="240" w:after="240" w:line="360" w:lineRule="auto"/>
        <w:jc w:val="both"/>
        <w:rPr>
          <w:rFonts w:ascii="Arial" w:eastAsia="Calibri" w:hAnsi="Arial" w:cs="Arial"/>
          <w:kern w:val="0"/>
          <w:lang w:eastAsia="en-US"/>
          <w14:ligatures w14:val="none"/>
        </w:rPr>
      </w:pPr>
    </w:p>
    <w:p w14:paraId="4F557087"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1BCACE7A"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4E5FD338"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4D36EE53"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4F61BDF8"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73C1A86F"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6767A641"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0E61F63D"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5F3047D8"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5A410076"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0ABB844A"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56CEC10E"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54D11C70"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753CD32B" w14:textId="77777777" w:rsidR="00CC55C1" w:rsidRPr="007D5CF2" w:rsidRDefault="00CC55C1" w:rsidP="00781D67">
      <w:pPr>
        <w:spacing w:before="240" w:after="240" w:line="360" w:lineRule="auto"/>
        <w:jc w:val="both"/>
        <w:outlineLvl w:val="0"/>
        <w:rPr>
          <w:rFonts w:ascii="Arial" w:eastAsia="Times New Roman" w:hAnsi="Arial" w:cs="Arial"/>
          <w:kern w:val="36"/>
          <w:lang w:eastAsia="en-GB"/>
          <w14:ligatures w14:val="none"/>
        </w:rPr>
      </w:pPr>
    </w:p>
    <w:p w14:paraId="397E1AB3" w14:textId="32321EBD" w:rsidR="00CC55C1" w:rsidRPr="00465F20" w:rsidRDefault="00CC55C1" w:rsidP="00781D67">
      <w:pPr>
        <w:spacing w:before="240" w:after="240" w:line="360" w:lineRule="auto"/>
        <w:jc w:val="center"/>
        <w:outlineLvl w:val="0"/>
        <w:rPr>
          <w:rFonts w:ascii="Arial" w:eastAsia="Times New Roman" w:hAnsi="Arial" w:cs="Arial"/>
          <w:b/>
          <w:bCs/>
          <w:kern w:val="36"/>
          <w:sz w:val="24"/>
          <w:szCs w:val="24"/>
          <w:lang w:eastAsia="en-GB"/>
          <w14:ligatures w14:val="none"/>
        </w:rPr>
      </w:pPr>
      <w:r w:rsidRPr="00465F20">
        <w:rPr>
          <w:rFonts w:ascii="Arial" w:eastAsia="Times New Roman" w:hAnsi="Arial" w:cs="Arial"/>
          <w:b/>
          <w:bCs/>
          <w:kern w:val="36"/>
          <w:sz w:val="24"/>
          <w:szCs w:val="24"/>
          <w:lang w:eastAsia="en-GB"/>
          <w14:ligatures w14:val="none"/>
        </w:rPr>
        <w:t>Chapter 6: Conclusion</w:t>
      </w:r>
    </w:p>
    <w:p w14:paraId="35D30518"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6.1 Conclusion</w:t>
      </w:r>
    </w:p>
    <w:p w14:paraId="7B7728CE"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This dissertation examined the barriers and enablers influencing access to mental health services among young adults aged 18–25 years in the United Kingdom. The study addressed the research question: What barriers and enablers do young adults aged 18–25 years perceive and encounter when accessing mental health services in the United Kingdom? A qualitative secondary research design was used to synthesise published evidence, with 12 studies included following the defined search, screening and eligibility processes. The findings were analysed thematically and produced four overarching themes: individual barriers, structural and organisational barriers, socioeconomic and cultural influences, and enablers to accessing mental health services. </w:t>
      </w:r>
    </w:p>
    <w:p w14:paraId="256564CB"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Overall, the results show that there is more than one barrier to mental health services – individual, interpersonal, organisational and wider social levels. The stigma, fear of judgement, uncertainty about seeking help, the inability to communicate mental health needs and the preference for self-reliance may deter young people from seeking or staying engaged with professional help at the individual level. The following findings were observed in the studies included in the analysis that looked at help-seeking, experiences in assessment and primary care (Salaheddin and Mason, 2016; Holding et al., 2022; </w:t>
      </w:r>
      <w:proofErr w:type="spellStart"/>
      <w:r w:rsidRPr="007D5CF2">
        <w:rPr>
          <w:rFonts w:ascii="Arial" w:eastAsia="Times New Roman" w:hAnsi="Arial" w:cs="Arial"/>
          <w:bCs/>
          <w:kern w:val="0"/>
          <w:lang w:eastAsia="en-GB"/>
          <w14:ligatures w14:val="none"/>
        </w:rPr>
        <w:t>Radez</w:t>
      </w:r>
      <w:proofErr w:type="spellEnd"/>
      <w:r w:rsidRPr="007D5CF2">
        <w:rPr>
          <w:rFonts w:ascii="Arial" w:eastAsia="Times New Roman" w:hAnsi="Arial" w:cs="Arial"/>
          <w:bCs/>
          <w:kern w:val="0"/>
          <w:lang w:eastAsia="en-GB"/>
          <w14:ligatures w14:val="none"/>
        </w:rPr>
        <w:t xml:space="preserve"> et al., 2024; Dorata et al., 2025; Plackett et al., 2026). </w:t>
      </w:r>
    </w:p>
    <w:p w14:paraId="3DD88043"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 study also confirmed that structural and organisational factors can have a significant impact on access. The evidence highlighted a range of issues that included: waiting times; problems with transition between CAMHS and AMHS; limited organisational capacity; resource issues; workforce needs; and issues with the implementation of appropriate youth mental health models (Broad et al., 2017; Gee et al., 2021; Kitchen et al., 2023; </w:t>
      </w:r>
      <w:proofErr w:type="spellStart"/>
      <w:r w:rsidRPr="007D5CF2">
        <w:rPr>
          <w:rFonts w:ascii="Arial" w:eastAsia="Times New Roman" w:hAnsi="Arial" w:cs="Arial"/>
          <w:bCs/>
          <w:kern w:val="0"/>
          <w:lang w:eastAsia="en-GB"/>
          <w14:ligatures w14:val="none"/>
        </w:rPr>
        <w:t>Punton</w:t>
      </w:r>
      <w:proofErr w:type="spellEnd"/>
      <w:r w:rsidRPr="007D5CF2">
        <w:rPr>
          <w:rFonts w:ascii="Arial" w:eastAsia="Times New Roman" w:hAnsi="Arial" w:cs="Arial"/>
          <w:bCs/>
          <w:kern w:val="0"/>
          <w:lang w:eastAsia="en-GB"/>
          <w14:ligatures w14:val="none"/>
        </w:rPr>
        <w:t xml:space="preserve"> et al., 2022; </w:t>
      </w:r>
      <w:proofErr w:type="spellStart"/>
      <w:r w:rsidRPr="007D5CF2">
        <w:rPr>
          <w:rFonts w:ascii="Arial" w:eastAsia="Times New Roman" w:hAnsi="Arial" w:cs="Arial"/>
          <w:bCs/>
          <w:kern w:val="0"/>
          <w:lang w:eastAsia="en-GB"/>
          <w14:ligatures w14:val="none"/>
        </w:rPr>
        <w:t>Burlibasa</w:t>
      </w:r>
      <w:proofErr w:type="spellEnd"/>
      <w:r w:rsidRPr="007D5CF2">
        <w:rPr>
          <w:rFonts w:ascii="Arial" w:eastAsia="Times New Roman" w:hAnsi="Arial" w:cs="Arial"/>
          <w:bCs/>
          <w:kern w:val="0"/>
          <w:lang w:eastAsia="en-GB"/>
          <w14:ligatures w14:val="none"/>
        </w:rPr>
        <w:t xml:space="preserve"> et al., 2025; Reed et al., 2025). These findings illustrate that young people's access should not be interpreted as being only about young people's willingness to seek help. The availability and responsiveness, continuity and organisation of services also play a part.</w:t>
      </w:r>
    </w:p>
    <w:p w14:paraId="35BD4CE1" w14:textId="0B924338"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A second dimension of access was socioeconomic and cultural conditions. Baxter et al. (2022); Holding et al. (2022); </w:t>
      </w:r>
      <w:proofErr w:type="spellStart"/>
      <w:r w:rsidRPr="007D5CF2">
        <w:rPr>
          <w:rFonts w:ascii="Arial" w:eastAsia="Times New Roman" w:hAnsi="Arial" w:cs="Arial"/>
          <w:bCs/>
          <w:kern w:val="0"/>
          <w:lang w:eastAsia="en-GB"/>
          <w14:ligatures w14:val="none"/>
        </w:rPr>
        <w:t>Radez</w:t>
      </w:r>
      <w:proofErr w:type="spellEnd"/>
      <w:r w:rsidRPr="007D5CF2">
        <w:rPr>
          <w:rFonts w:ascii="Arial" w:eastAsia="Times New Roman" w:hAnsi="Arial" w:cs="Arial"/>
          <w:bCs/>
          <w:kern w:val="0"/>
          <w:lang w:eastAsia="en-GB"/>
          <w14:ligatures w14:val="none"/>
        </w:rPr>
        <w:t xml:space="preserve"> et al. (2024); and Salaheddin and Mason (2016) highlighted financial and transport challenges, community resources, socioeconomic disadvantage, and cultural expectations and family influences as factors that impact experiences of mental health support. This implies that when thinking about equitable access, factors in the circumstances of young adults' lives must be </w:t>
      </w:r>
      <w:r w:rsidR="00465F20" w:rsidRPr="007D5CF2">
        <w:rPr>
          <w:rFonts w:ascii="Arial" w:eastAsia="Times New Roman" w:hAnsi="Arial" w:cs="Arial"/>
          <w:bCs/>
          <w:kern w:val="0"/>
          <w:lang w:eastAsia="en-GB"/>
          <w14:ligatures w14:val="none"/>
        </w:rPr>
        <w:t>considered</w:t>
      </w:r>
      <w:r w:rsidRPr="007D5CF2">
        <w:rPr>
          <w:rFonts w:ascii="Arial" w:eastAsia="Times New Roman" w:hAnsi="Arial" w:cs="Arial"/>
          <w:bCs/>
          <w:kern w:val="0"/>
          <w:lang w:eastAsia="en-GB"/>
          <w14:ligatures w14:val="none"/>
        </w:rPr>
        <w:t>, not just service-based interventions.</w:t>
      </w:r>
    </w:p>
    <w:p w14:paraId="3A3B129B" w14:textId="22F76FAB"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On the other hand, there were </w:t>
      </w:r>
      <w:r w:rsidR="00465F20" w:rsidRPr="007D5CF2">
        <w:rPr>
          <w:rFonts w:ascii="Arial" w:eastAsia="Times New Roman" w:hAnsi="Arial" w:cs="Arial"/>
          <w:bCs/>
          <w:kern w:val="0"/>
          <w:lang w:eastAsia="en-GB"/>
          <w14:ligatures w14:val="none"/>
        </w:rPr>
        <w:t>several</w:t>
      </w:r>
      <w:r w:rsidRPr="007D5CF2">
        <w:rPr>
          <w:rFonts w:ascii="Arial" w:eastAsia="Times New Roman" w:hAnsi="Arial" w:cs="Arial"/>
          <w:bCs/>
          <w:kern w:val="0"/>
          <w:lang w:eastAsia="en-GB"/>
          <w14:ligatures w14:val="none"/>
        </w:rPr>
        <w:t xml:space="preserve"> enablers that were found. Factors that were seen to support engagement included person-centred care, respectful communication, positive therapeutic relationships, continuity, coordinated services, flexibility in provision, multidisciplinary working, community engagement and appropriately supported digital services (Baxter et al., 2022; Broad et al., 2017; </w:t>
      </w:r>
      <w:proofErr w:type="spellStart"/>
      <w:r w:rsidRPr="007D5CF2">
        <w:rPr>
          <w:rFonts w:ascii="Arial" w:eastAsia="Times New Roman" w:hAnsi="Arial" w:cs="Arial"/>
          <w:bCs/>
          <w:kern w:val="0"/>
          <w:lang w:eastAsia="en-GB"/>
          <w14:ligatures w14:val="none"/>
        </w:rPr>
        <w:t>Burlibasa</w:t>
      </w:r>
      <w:proofErr w:type="spellEnd"/>
      <w:r w:rsidRPr="007D5CF2">
        <w:rPr>
          <w:rFonts w:ascii="Arial" w:eastAsia="Times New Roman" w:hAnsi="Arial" w:cs="Arial"/>
          <w:bCs/>
          <w:kern w:val="0"/>
          <w:lang w:eastAsia="en-GB"/>
          <w14:ligatures w14:val="none"/>
        </w:rPr>
        <w:t xml:space="preserve"> et al., 2025; Dorata et al., 2025; Kitchen et al., 2023; Reed et al., 2025). These results indicate that, as well as increasing access to services, there is a need to enhance the attributes of services that young people find acceptable, responsive and supportive.</w:t>
      </w:r>
    </w:p>
    <w:p w14:paraId="07458700"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6.2 Answer to the Research Question</w:t>
      </w:r>
    </w:p>
    <w:p w14:paraId="1158B171"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This research question can thus be resolved as a conclusion to the research: young adults face numerous and interrelated individual, structural, socioeconomic and cultural barriers when accessing mental health services in the UK. Individual barriers affect willingness to seek and accept help, or to seek out and engage professionals; structural barriers affect the timely and ongoing availability of support; and socioeconomic and cultural factors affect the availability and acceptance of available supports. Access can be supported simultaneously by person-centred communication, supportive therapeutic relationships, flexible and coordinated services, community engagement and appropriately implemented digital support.</w:t>
      </w:r>
    </w:p>
    <w:p w14:paraId="129BF67F"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The evidence also indicates that barriers and enablers should not be considered separately. For instance, although a young person might be interested in accessing support, access may be delayed if there is a waiting list, difficulties with transitioning from one service to another or a lack of service provision. The availability of a service also doesn't mean that the young person will engage in the service if they feel stigma, are unheard when being assessed, or the service doesn't match their situation. The results therefore help to develop a more comprehensive picture of the availability of mental health services.</w:t>
      </w:r>
    </w:p>
    <w:p w14:paraId="044C33B1"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6.3 Reflection on the Research Approach</w:t>
      </w:r>
    </w:p>
    <w:p w14:paraId="7A67C0B3"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The qualitative secondary research approach proved effective in answering the research question as it allowed the evidence drawn from various service contexts in the UK to be synthesised and then analysed thematically. The 12 studies included focused on various aspects of access such as help seeking, assessment, waiting lists, service transition, community engagement, digital support, and implementation of youth mental health services. This methodological variety enabled a more comprehensive insight into access than would have been achieved if a single service or population had been looked at.</w:t>
      </w:r>
    </w:p>
    <w:p w14:paraId="79588417" w14:textId="1D35EF41"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 thematic approach was especially suitable, since the question of the study was related to perceptions and experiences, i.e. barriers and facilitators. The evidence identified four common themes that were used to structure the response(s) to the research objectives. The study also uncovered an important methodological issue, however, as the evidence they included was not fully homogeneous. There were studies that had a specific focus on young adults, others that included adolescents, and others that included professionals or a larger population. Qualitative evidence synthesis studies were also not primary qualitative studies, as was the case with Broad et al. (2017) and Gee et al. (2021). These differences should be </w:t>
      </w:r>
      <w:r w:rsidR="00465F20" w:rsidRPr="007D5CF2">
        <w:rPr>
          <w:rFonts w:ascii="Arial" w:eastAsia="Times New Roman" w:hAnsi="Arial" w:cs="Arial"/>
          <w:bCs/>
          <w:kern w:val="0"/>
          <w:lang w:eastAsia="en-GB"/>
          <w14:ligatures w14:val="none"/>
        </w:rPr>
        <w:t>considered</w:t>
      </w:r>
      <w:r w:rsidRPr="007D5CF2">
        <w:rPr>
          <w:rFonts w:ascii="Arial" w:eastAsia="Times New Roman" w:hAnsi="Arial" w:cs="Arial"/>
          <w:bCs/>
          <w:kern w:val="0"/>
          <w:lang w:eastAsia="en-GB"/>
          <w14:ligatures w14:val="none"/>
        </w:rPr>
        <w:t xml:space="preserve"> when trying to understand the transferability of the results.</w:t>
      </w:r>
    </w:p>
    <w:p w14:paraId="53D06A4E"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The research also identified issues that require further exploration, especially around transitions between mental health services for children and young people and adults, the feasibility and acceptability of implementing services that are digital and community-based, and better ways of supporting mental health and wellbeing services to account for socioeconomic and cultural differences.</w:t>
      </w:r>
    </w:p>
    <w:p w14:paraId="7D8B073A"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6.4 Recommendations for Practice and Policy</w:t>
      </w:r>
    </w:p>
    <w:p w14:paraId="59A1348E"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Based on the findings, several recommendations can be proposed.</w:t>
      </w:r>
    </w:p>
    <w:p w14:paraId="186A086D"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First, mental health services could strengthen person-centred and youth-responsive communication. Young adults should be given opportunities to explain their experiences in their own terms, with assessments that recognise individual circumstances rather than relying solely on diagnostic categories. This recommendation reflects evidence that being listened to and understood was important to young people's experiences of assessment (Dorata et al., 2025). </w:t>
      </w:r>
    </w:p>
    <w:p w14:paraId="36D1F319"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Second, services could improve continuity between CAMHS and AMHS. Transition planning could begin earlier and involve clearer communication, continuity of information and relationships, and greater flexibility around individual needs. Broad et al. (2017) identified these factors as important facilitators of transition. </w:t>
      </w:r>
    </w:p>
    <w:p w14:paraId="2F67D415"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Third, service providers could consider more flexible and accessible models of support. Digital services, community-based provision and flexible psychological interventions may provide additional routes into care, particularly where they are supported by appropriate training, supervision and organisational infrastructure (Baxter et al., 2022; </w:t>
      </w:r>
      <w:proofErr w:type="spellStart"/>
      <w:r w:rsidRPr="007D5CF2">
        <w:rPr>
          <w:rFonts w:ascii="Arial" w:eastAsia="Times New Roman" w:hAnsi="Arial" w:cs="Arial"/>
          <w:bCs/>
          <w:kern w:val="0"/>
          <w:lang w:eastAsia="en-GB"/>
          <w14:ligatures w14:val="none"/>
        </w:rPr>
        <w:t>Burlibasa</w:t>
      </w:r>
      <w:proofErr w:type="spellEnd"/>
      <w:r w:rsidRPr="007D5CF2">
        <w:rPr>
          <w:rFonts w:ascii="Arial" w:eastAsia="Times New Roman" w:hAnsi="Arial" w:cs="Arial"/>
          <w:bCs/>
          <w:kern w:val="0"/>
          <w:lang w:eastAsia="en-GB"/>
          <w14:ligatures w14:val="none"/>
        </w:rPr>
        <w:t xml:space="preserve"> et al., 2025). </w:t>
      </w:r>
    </w:p>
    <w:p w14:paraId="3D4006D7"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Fourth, services could strengthen culturally responsive and equitable provision. Socioeconomic circumstances, cultural expectations, family influences and community resources should be considered when designing and delivering services because access is affected by circumstances beyond the individual.</w:t>
      </w:r>
    </w:p>
    <w:p w14:paraId="5C533E72"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Finally, organisations could strengthen multidisciplinary collaboration and co-production with young people. Effective communication, leadership and collaboration were identified as facilitators of implementing youth and young adult mental health models (Reed et al., 2025). </w:t>
      </w:r>
    </w:p>
    <w:p w14:paraId="008F7B2D" w14:textId="77777777" w:rsidR="00CC55C1" w:rsidRPr="00465F20" w:rsidRDefault="00CC55C1" w:rsidP="00781D67">
      <w:pPr>
        <w:spacing w:before="240" w:after="240" w:line="360" w:lineRule="auto"/>
        <w:jc w:val="both"/>
        <w:rPr>
          <w:rFonts w:ascii="Arial" w:eastAsia="Times New Roman" w:hAnsi="Arial" w:cs="Arial"/>
          <w:b/>
          <w:bCs/>
          <w:kern w:val="0"/>
          <w:sz w:val="24"/>
          <w:szCs w:val="24"/>
          <w:lang w:eastAsia="en-GB"/>
          <w14:ligatures w14:val="none"/>
        </w:rPr>
      </w:pPr>
      <w:r w:rsidRPr="00465F20">
        <w:rPr>
          <w:rFonts w:ascii="Arial" w:eastAsia="Times New Roman" w:hAnsi="Arial" w:cs="Arial"/>
          <w:b/>
          <w:bCs/>
          <w:kern w:val="0"/>
          <w:sz w:val="24"/>
          <w:szCs w:val="24"/>
          <w:lang w:eastAsia="en-GB"/>
          <w14:ligatures w14:val="none"/>
        </w:rPr>
        <w:t>6.5 Recommendations for Future Research</w:t>
      </w:r>
    </w:p>
    <w:p w14:paraId="1B752612"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Future research could investigate the experiences of 18–25-year-olds specifically, as some existing evidence combines younger adolescents and young adults. Research could also compare experiences across different UK regions to examine how variations in service availability and local provision influence access. Further qualitative research could explore the experiences of young adults from different ethnic and socioeconomic backgrounds, particularly groups whose experiences may be underrepresented in existing evidence.</w:t>
      </w:r>
    </w:p>
    <w:p w14:paraId="78424745"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Longitudinal research could also examine how experiences of CAMHS to AMHS transition influence longer-term engagement with adult services. Finally, future studies could evaluate the accessibility and acceptability of digital, community-based and integrated youth mental health models, including whether these approaches reduce or reproduce existing inequalities.</w:t>
      </w:r>
    </w:p>
    <w:p w14:paraId="21B51964" w14:textId="77777777" w:rsidR="00CC55C1" w:rsidRPr="007D5CF2" w:rsidRDefault="00CC55C1" w:rsidP="00781D67">
      <w:pPr>
        <w:spacing w:before="240" w:after="240" w:line="360" w:lineRule="auto"/>
        <w:jc w:val="both"/>
        <w:rPr>
          <w:rFonts w:ascii="Arial" w:eastAsia="Times New Roman" w:hAnsi="Arial" w:cs="Arial"/>
          <w:b/>
          <w:bCs/>
          <w:kern w:val="0"/>
          <w:lang w:eastAsia="en-GB"/>
          <w14:ligatures w14:val="none"/>
        </w:rPr>
      </w:pPr>
      <w:r w:rsidRPr="007D5CF2">
        <w:rPr>
          <w:rFonts w:ascii="Arial" w:eastAsia="Times New Roman" w:hAnsi="Arial" w:cs="Arial"/>
          <w:b/>
          <w:bCs/>
          <w:kern w:val="0"/>
          <w:lang w:eastAsia="en-GB"/>
          <w14:ligatures w14:val="none"/>
        </w:rPr>
        <w:t>6.6 Contribution of the Study</w:t>
      </w:r>
    </w:p>
    <w:p w14:paraId="3B9BE22D"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 xml:space="preserve">The principal contribution of this dissertation is the synthesis of evidence demonstrating that access to UK mental health services among young adults is multidimensional. The study brings together individual experiences, service organisation and wider socioeconomic and cultural influences rather than treating access as simply an issue of help-seeking. It also identifies enablers alongside barriers, highlighting the importance of person-centred care, therapeutic relationships, continuity, flexibility, community engagement and appropriately supported digital provision. </w:t>
      </w:r>
    </w:p>
    <w:p w14:paraId="6640B1CF" w14:textId="77777777" w:rsidR="00CC55C1" w:rsidRPr="007D5CF2" w:rsidRDefault="00CC55C1" w:rsidP="00781D67">
      <w:pPr>
        <w:spacing w:before="240" w:after="240" w:line="360" w:lineRule="auto"/>
        <w:jc w:val="both"/>
        <w:rPr>
          <w:rFonts w:ascii="Arial" w:eastAsia="Times New Roman" w:hAnsi="Arial" w:cs="Arial"/>
          <w:bCs/>
          <w:kern w:val="0"/>
          <w:lang w:eastAsia="en-GB"/>
          <w14:ligatures w14:val="none"/>
        </w:rPr>
      </w:pPr>
      <w:r w:rsidRPr="007D5CF2">
        <w:rPr>
          <w:rFonts w:ascii="Arial" w:eastAsia="Times New Roman" w:hAnsi="Arial" w:cs="Arial"/>
          <w:bCs/>
          <w:kern w:val="0"/>
          <w:lang w:eastAsia="en-GB"/>
          <w14:ligatures w14:val="none"/>
        </w:rPr>
        <w:t>In conclusion, improving mental health service access for young adults requires attention to both the barriers that prevent engagement and the characteristics that make services accessible and acceptable. A more coordinated, flexible, person-centred, and equitable approach could better respond to the complex circumstances influencing mental health service access during the transition into adulthood. The findings provide a consolidated evidence base from which future research, service development and policy discussions can build.</w:t>
      </w:r>
    </w:p>
    <w:p w14:paraId="5BA5ACF4" w14:textId="374AAEB9" w:rsidR="00CC55C1" w:rsidRPr="007D5CF2" w:rsidRDefault="00CC55C1" w:rsidP="00781D67">
      <w:pPr>
        <w:spacing w:line="360" w:lineRule="auto"/>
        <w:rPr>
          <w:rFonts w:ascii="Arial" w:hAnsi="Arial" w:cs="Arial"/>
        </w:rPr>
      </w:pPr>
    </w:p>
    <w:p w14:paraId="471DB02B" w14:textId="77777777" w:rsidR="00CC55C1" w:rsidRPr="007D5CF2" w:rsidRDefault="00CC55C1" w:rsidP="00781D67">
      <w:pPr>
        <w:spacing w:line="360" w:lineRule="auto"/>
        <w:rPr>
          <w:rFonts w:ascii="Arial" w:hAnsi="Arial" w:cs="Arial"/>
        </w:rPr>
      </w:pPr>
    </w:p>
    <w:p w14:paraId="2A2394B3" w14:textId="1851AAA9" w:rsidR="009F64C5" w:rsidRPr="00465F20" w:rsidRDefault="009F64C5" w:rsidP="00781D67">
      <w:pPr>
        <w:pStyle w:val="Heading1"/>
        <w:spacing w:line="360" w:lineRule="auto"/>
        <w:ind w:left="12" w:right="6"/>
        <w:rPr>
          <w:rFonts w:ascii="Arial" w:hAnsi="Arial" w:cs="Arial"/>
          <w:szCs w:val="24"/>
        </w:rPr>
      </w:pPr>
      <w:r w:rsidRPr="00465F20">
        <w:rPr>
          <w:rFonts w:ascii="Arial" w:hAnsi="Arial" w:cs="Arial"/>
          <w:szCs w:val="24"/>
        </w:rPr>
        <w:t xml:space="preserve">Reference list </w:t>
      </w:r>
      <w:bookmarkEnd w:id="3"/>
    </w:p>
    <w:p w14:paraId="2E549509"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Adeane, E. and Gibson, K. (2023) ‘Using web-based content to connect young people with real-life mental health support: qualitative interview study’, </w:t>
      </w:r>
      <w:r w:rsidRPr="007D5CF2">
        <w:rPr>
          <w:rFonts w:ascii="Arial" w:eastAsia="Times New Roman" w:hAnsi="Arial" w:cs="Arial"/>
          <w:i/>
          <w:iCs/>
          <w:kern w:val="0"/>
          <w:lang w:eastAsia="en-GB"/>
          <w14:ligatures w14:val="none"/>
        </w:rPr>
        <w:t>JMIR Formative Research</w:t>
      </w:r>
      <w:r w:rsidRPr="007D5CF2">
        <w:rPr>
          <w:rFonts w:ascii="Arial" w:eastAsia="Times New Roman" w:hAnsi="Arial" w:cs="Arial"/>
          <w:kern w:val="0"/>
          <w:lang w:eastAsia="en-GB"/>
          <w14:ligatures w14:val="none"/>
        </w:rPr>
        <w:t xml:space="preserve">, 7, e38296.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18" w:tgtFrame="_blank" w:history="1">
        <w:r w:rsidRPr="007D5CF2">
          <w:rPr>
            <w:rFonts w:ascii="Arial" w:eastAsia="Times New Roman" w:hAnsi="Arial" w:cs="Arial"/>
            <w:color w:val="0000FF"/>
            <w:kern w:val="0"/>
            <w:u w:val="single"/>
            <w:lang w:eastAsia="en-GB"/>
            <w14:ligatures w14:val="none"/>
          </w:rPr>
          <w:t>10.2196/38296</w:t>
        </w:r>
      </w:hyperlink>
      <w:r w:rsidRPr="007D5CF2">
        <w:rPr>
          <w:rFonts w:ascii="Arial" w:eastAsia="Times New Roman" w:hAnsi="Arial" w:cs="Arial"/>
          <w:kern w:val="0"/>
          <w:lang w:eastAsia="en-GB"/>
          <w14:ligatures w14:val="none"/>
        </w:rPr>
        <w:t xml:space="preserve">. </w:t>
      </w:r>
    </w:p>
    <w:p w14:paraId="7DE63A54"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Aguirre Velasco, A., Cruz, I.S.S., Billings, J., Jimenez, M. and Rowe, S. (2020) ‘What are the barriers, facilitators and interventions targeting help seeking behaviours for common mental health problems in adolescents? A systematic review’,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20, 293. </w:t>
      </w:r>
      <w:hyperlink r:id="rId19" w:history="1">
        <w:r w:rsidRPr="007D5CF2">
          <w:rPr>
            <w:rFonts w:ascii="Arial" w:eastAsia="Times New Roman" w:hAnsi="Arial" w:cs="Arial"/>
            <w:color w:val="0563C1"/>
            <w:kern w:val="0"/>
            <w:u w:val="single"/>
            <w:lang w:eastAsia="en-GB"/>
            <w14:ligatures w14:val="none"/>
          </w:rPr>
          <w:t>doi.org/10.1186/s12888-020-02691-0</w:t>
        </w:r>
      </w:hyperlink>
      <w:r w:rsidRPr="007D5CF2">
        <w:rPr>
          <w:rFonts w:ascii="Arial" w:eastAsia="Times New Roman" w:hAnsi="Arial" w:cs="Arial"/>
          <w:kern w:val="0"/>
          <w:lang w:eastAsia="en-GB"/>
          <w14:ligatures w14:val="none"/>
        </w:rPr>
        <w:t xml:space="preserve"> </w:t>
      </w:r>
    </w:p>
    <w:p w14:paraId="0458B456"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Ahmed, S.K., Mohammed, R.A., Nashwan, A.J., Ibrahim, R.H., Abdalla, A.Q., Ameen, B.M.M. and </w:t>
      </w:r>
      <w:proofErr w:type="spellStart"/>
      <w:r w:rsidRPr="007D5CF2">
        <w:rPr>
          <w:rFonts w:ascii="Arial" w:eastAsia="Times New Roman" w:hAnsi="Arial" w:cs="Arial"/>
          <w:bCs/>
          <w:kern w:val="0"/>
          <w:lang w:eastAsia="en-GB"/>
          <w14:ligatures w14:val="none"/>
        </w:rPr>
        <w:t>Khdhir</w:t>
      </w:r>
      <w:proofErr w:type="spellEnd"/>
      <w:r w:rsidRPr="007D5CF2">
        <w:rPr>
          <w:rFonts w:ascii="Arial" w:eastAsia="Times New Roman" w:hAnsi="Arial" w:cs="Arial"/>
          <w:bCs/>
          <w:kern w:val="0"/>
          <w:lang w:eastAsia="en-GB"/>
          <w14:ligatures w14:val="none"/>
        </w:rPr>
        <w:t>, R.M. (2025)</w:t>
      </w:r>
      <w:r w:rsidRPr="007D5CF2">
        <w:rPr>
          <w:rFonts w:ascii="Arial" w:eastAsia="Times New Roman" w:hAnsi="Arial" w:cs="Arial"/>
          <w:kern w:val="0"/>
          <w:lang w:eastAsia="en-GB"/>
          <w14:ligatures w14:val="none"/>
        </w:rPr>
        <w:t xml:space="preserve"> ‘Using thematic analysis in qualitative research’, </w:t>
      </w:r>
      <w:r w:rsidRPr="007D5CF2">
        <w:rPr>
          <w:rFonts w:ascii="Arial" w:eastAsia="Times New Roman" w:hAnsi="Arial" w:cs="Arial"/>
          <w:i/>
          <w:iCs/>
          <w:kern w:val="0"/>
          <w:lang w:eastAsia="en-GB"/>
          <w14:ligatures w14:val="none"/>
        </w:rPr>
        <w:t>Journal of Medicine, Surgery, and Public Health</w:t>
      </w:r>
      <w:r w:rsidRPr="007D5CF2">
        <w:rPr>
          <w:rFonts w:ascii="Arial" w:eastAsia="Times New Roman" w:hAnsi="Arial" w:cs="Arial"/>
          <w:kern w:val="0"/>
          <w:lang w:eastAsia="en-GB"/>
          <w14:ligatures w14:val="none"/>
        </w:rPr>
        <w:t>, 6, 100198.</w:t>
      </w:r>
    </w:p>
    <w:p w14:paraId="5A0AF89E"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Alam, S., O’Halloran, S. and Fowke, A. (2024) ‘What are the barriers to mental health support for </w:t>
      </w:r>
      <w:proofErr w:type="gramStart"/>
      <w:r w:rsidRPr="007D5CF2">
        <w:rPr>
          <w:rFonts w:ascii="Arial" w:eastAsia="Times New Roman" w:hAnsi="Arial" w:cs="Arial"/>
          <w:kern w:val="0"/>
          <w:lang w:eastAsia="en-GB"/>
          <w14:ligatures w14:val="none"/>
        </w:rPr>
        <w:t>racially-minoritised</w:t>
      </w:r>
      <w:proofErr w:type="gramEnd"/>
      <w:r w:rsidRPr="007D5CF2">
        <w:rPr>
          <w:rFonts w:ascii="Arial" w:eastAsia="Times New Roman" w:hAnsi="Arial" w:cs="Arial"/>
          <w:kern w:val="0"/>
          <w:lang w:eastAsia="en-GB"/>
          <w14:ligatures w14:val="none"/>
        </w:rPr>
        <w:t xml:space="preserve"> people within the UK? A systematic review and thematic synthesis’, </w:t>
      </w:r>
      <w:r w:rsidRPr="007D5CF2">
        <w:rPr>
          <w:rFonts w:ascii="Arial" w:eastAsia="Times New Roman" w:hAnsi="Arial" w:cs="Arial"/>
          <w:i/>
          <w:iCs/>
          <w:kern w:val="0"/>
          <w:lang w:eastAsia="en-GB"/>
          <w14:ligatures w14:val="none"/>
        </w:rPr>
        <w:t>The Cognitive Behaviour Therapist</w:t>
      </w:r>
      <w:r w:rsidRPr="007D5CF2">
        <w:rPr>
          <w:rFonts w:ascii="Arial" w:eastAsia="Times New Roman" w:hAnsi="Arial" w:cs="Arial"/>
          <w:kern w:val="0"/>
          <w:lang w:eastAsia="en-GB"/>
          <w14:ligatures w14:val="none"/>
        </w:rPr>
        <w:t xml:space="preserve">, 17, e10.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0" w:tgtFrame="_blank" w:history="1">
        <w:r w:rsidRPr="007D5CF2">
          <w:rPr>
            <w:rFonts w:ascii="Arial" w:eastAsia="Times New Roman" w:hAnsi="Arial" w:cs="Arial"/>
            <w:color w:val="0563C1"/>
            <w:kern w:val="0"/>
            <w:u w:val="single"/>
            <w:lang w:eastAsia="en-GB"/>
            <w14:ligatures w14:val="none"/>
          </w:rPr>
          <w:t>10.1017/S1754470X24000084</w:t>
        </w:r>
      </w:hyperlink>
      <w:r w:rsidRPr="007D5CF2">
        <w:rPr>
          <w:rFonts w:ascii="Arial" w:eastAsia="Times New Roman" w:hAnsi="Arial" w:cs="Arial"/>
          <w:kern w:val="0"/>
          <w:lang w:eastAsia="en-GB"/>
          <w14:ligatures w14:val="none"/>
        </w:rPr>
        <w:t xml:space="preserve">. </w:t>
      </w:r>
    </w:p>
    <w:p w14:paraId="71F0BA22"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Ali, K., Fassnacht, D.B., Farrer, L., Rieger, E., </w:t>
      </w:r>
      <w:proofErr w:type="spellStart"/>
      <w:r w:rsidRPr="007D5CF2">
        <w:rPr>
          <w:rFonts w:ascii="Arial" w:eastAsia="Times New Roman" w:hAnsi="Arial" w:cs="Arial"/>
          <w:kern w:val="0"/>
          <w:lang w:eastAsia="en-GB"/>
          <w14:ligatures w14:val="none"/>
        </w:rPr>
        <w:t>Feldhege</w:t>
      </w:r>
      <w:proofErr w:type="spellEnd"/>
      <w:r w:rsidRPr="007D5CF2">
        <w:rPr>
          <w:rFonts w:ascii="Arial" w:eastAsia="Times New Roman" w:hAnsi="Arial" w:cs="Arial"/>
          <w:kern w:val="0"/>
          <w:lang w:eastAsia="en-GB"/>
          <w14:ligatures w14:val="none"/>
        </w:rPr>
        <w:t xml:space="preserve">, J., Moessner, M., Griffiths, K.M. and Bauer, S. (2020) ‘What prevents young adults from seeking help? Barriers toward help-seeking for eating disorder symptomatology’, </w:t>
      </w:r>
      <w:r w:rsidRPr="007D5CF2">
        <w:rPr>
          <w:rFonts w:ascii="Arial" w:eastAsia="Times New Roman" w:hAnsi="Arial" w:cs="Arial"/>
          <w:i/>
          <w:iCs/>
          <w:kern w:val="0"/>
          <w:lang w:eastAsia="en-GB"/>
          <w14:ligatures w14:val="none"/>
        </w:rPr>
        <w:t>International Journal of Eating Disorders</w:t>
      </w:r>
      <w:r w:rsidRPr="007D5CF2">
        <w:rPr>
          <w:rFonts w:ascii="Arial" w:eastAsia="Times New Roman" w:hAnsi="Arial" w:cs="Arial"/>
          <w:kern w:val="0"/>
          <w:lang w:eastAsia="en-GB"/>
          <w14:ligatures w14:val="none"/>
        </w:rPr>
        <w:t xml:space="preserve">, 53(6), pp. 894–906. </w:t>
      </w:r>
      <w:hyperlink r:id="rId21" w:history="1">
        <w:r w:rsidRPr="007D5CF2">
          <w:rPr>
            <w:rFonts w:ascii="Arial" w:eastAsia="Times New Roman" w:hAnsi="Arial" w:cs="Arial"/>
            <w:color w:val="0563C1"/>
            <w:kern w:val="0"/>
            <w:u w:val="single"/>
            <w:lang w:eastAsia="en-GB"/>
            <w14:ligatures w14:val="none"/>
          </w:rPr>
          <w:t>doi.org/10.1002/eat.23266</w:t>
        </w:r>
      </w:hyperlink>
      <w:r w:rsidRPr="007D5CF2">
        <w:rPr>
          <w:rFonts w:ascii="Arial" w:eastAsia="Times New Roman" w:hAnsi="Arial" w:cs="Arial"/>
          <w:kern w:val="0"/>
          <w:lang w:eastAsia="en-GB"/>
          <w14:ligatures w14:val="none"/>
        </w:rPr>
        <w:t xml:space="preserve"> </w:t>
      </w:r>
    </w:p>
    <w:p w14:paraId="3B21AA6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Andersen, R.M. (1995) ‘Revisiting the </w:t>
      </w:r>
      <w:proofErr w:type="spellStart"/>
      <w:r w:rsidRPr="007D5CF2">
        <w:rPr>
          <w:rFonts w:ascii="Arial" w:eastAsia="Times New Roman" w:hAnsi="Arial" w:cs="Arial"/>
          <w:kern w:val="0"/>
          <w:lang w:eastAsia="en-GB"/>
          <w14:ligatures w14:val="none"/>
        </w:rPr>
        <w:t>behavioral</w:t>
      </w:r>
      <w:proofErr w:type="spellEnd"/>
      <w:r w:rsidRPr="007D5CF2">
        <w:rPr>
          <w:rFonts w:ascii="Arial" w:eastAsia="Times New Roman" w:hAnsi="Arial" w:cs="Arial"/>
          <w:kern w:val="0"/>
          <w:lang w:eastAsia="en-GB"/>
          <w14:ligatures w14:val="none"/>
        </w:rPr>
        <w:t xml:space="preserve"> model and access to medical care: does it matter?’, </w:t>
      </w:r>
      <w:r w:rsidRPr="007D5CF2">
        <w:rPr>
          <w:rFonts w:ascii="Arial" w:eastAsia="Times New Roman" w:hAnsi="Arial" w:cs="Arial"/>
          <w:i/>
          <w:iCs/>
          <w:kern w:val="0"/>
          <w:lang w:eastAsia="en-GB"/>
          <w14:ligatures w14:val="none"/>
        </w:rPr>
        <w:t xml:space="preserve">Journal of Health and Social </w:t>
      </w:r>
      <w:proofErr w:type="spellStart"/>
      <w:r w:rsidRPr="007D5CF2">
        <w:rPr>
          <w:rFonts w:ascii="Arial" w:eastAsia="Times New Roman" w:hAnsi="Arial" w:cs="Arial"/>
          <w:i/>
          <w:iCs/>
          <w:kern w:val="0"/>
          <w:lang w:eastAsia="en-GB"/>
          <w14:ligatures w14:val="none"/>
        </w:rPr>
        <w:t>Behavior</w:t>
      </w:r>
      <w:proofErr w:type="spellEnd"/>
      <w:r w:rsidRPr="007D5CF2">
        <w:rPr>
          <w:rFonts w:ascii="Arial" w:eastAsia="Times New Roman" w:hAnsi="Arial" w:cs="Arial"/>
          <w:kern w:val="0"/>
          <w:lang w:eastAsia="en-GB"/>
          <w14:ligatures w14:val="none"/>
        </w:rPr>
        <w:t xml:space="preserve">, 36(1), pp. 1–10.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2" w:tgtFrame="_blank" w:history="1">
        <w:r w:rsidRPr="007D5CF2">
          <w:rPr>
            <w:rFonts w:ascii="Arial" w:eastAsia="Times New Roman" w:hAnsi="Arial" w:cs="Arial"/>
            <w:color w:val="0563C1"/>
            <w:kern w:val="0"/>
            <w:u w:val="single"/>
            <w:lang w:eastAsia="en-GB"/>
            <w14:ligatures w14:val="none"/>
          </w:rPr>
          <w:t>10.2307/2137284</w:t>
        </w:r>
      </w:hyperlink>
      <w:r w:rsidRPr="007D5CF2">
        <w:rPr>
          <w:rFonts w:ascii="Arial" w:eastAsia="Times New Roman" w:hAnsi="Arial" w:cs="Arial"/>
          <w:kern w:val="0"/>
          <w:lang w:eastAsia="en-GB"/>
          <w14:ligatures w14:val="none"/>
        </w:rPr>
        <w:t xml:space="preserve">. </w:t>
      </w:r>
    </w:p>
    <w:p w14:paraId="15931B9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Appleton, R., </w:t>
      </w:r>
      <w:proofErr w:type="spellStart"/>
      <w:r w:rsidRPr="007D5CF2">
        <w:rPr>
          <w:rFonts w:ascii="Arial" w:eastAsia="Times New Roman" w:hAnsi="Arial" w:cs="Arial"/>
          <w:bCs/>
          <w:kern w:val="0"/>
          <w:lang w:eastAsia="en-GB"/>
          <w14:ligatures w14:val="none"/>
        </w:rPr>
        <w:t>Gauly</w:t>
      </w:r>
      <w:proofErr w:type="spellEnd"/>
      <w:r w:rsidRPr="007D5CF2">
        <w:rPr>
          <w:rFonts w:ascii="Arial" w:eastAsia="Times New Roman" w:hAnsi="Arial" w:cs="Arial"/>
          <w:bCs/>
          <w:kern w:val="0"/>
          <w:lang w:eastAsia="en-GB"/>
          <w14:ligatures w14:val="none"/>
        </w:rPr>
        <w:t>, J., Mughal, F., Singh, S. and Tuomainen, H. (2021)</w:t>
      </w:r>
      <w:r w:rsidRPr="007D5CF2">
        <w:rPr>
          <w:rFonts w:ascii="Arial" w:eastAsia="Times New Roman" w:hAnsi="Arial" w:cs="Arial"/>
          <w:kern w:val="0"/>
          <w:lang w:eastAsia="en-GB"/>
          <w14:ligatures w14:val="none"/>
        </w:rPr>
        <w:t xml:space="preserve"> ‘The experiences, perspectives, and needs of young people who access support for mental health in primary care: a systematic review’, </w:t>
      </w:r>
      <w:r w:rsidRPr="007D5CF2">
        <w:rPr>
          <w:rFonts w:ascii="Arial" w:eastAsia="Times New Roman" w:hAnsi="Arial" w:cs="Arial"/>
          <w:i/>
          <w:iCs/>
          <w:kern w:val="0"/>
          <w:lang w:eastAsia="en-GB"/>
          <w14:ligatures w14:val="none"/>
        </w:rPr>
        <w:t>British Journal of General Practice</w:t>
      </w:r>
      <w:r w:rsidRPr="007D5CF2">
        <w:rPr>
          <w:rFonts w:ascii="Arial" w:eastAsia="Times New Roman" w:hAnsi="Arial" w:cs="Arial"/>
          <w:kern w:val="0"/>
          <w:lang w:eastAsia="en-GB"/>
          <w14:ligatures w14:val="none"/>
        </w:rPr>
        <w:t>.</w:t>
      </w:r>
    </w:p>
    <w:p w14:paraId="47965875"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Arnett, J.J. (2000) ‘Emerging adulthood: a theory of development from the late teens through the twenties’, </w:t>
      </w:r>
      <w:r w:rsidRPr="007D5CF2">
        <w:rPr>
          <w:rFonts w:ascii="Arial" w:eastAsia="Times New Roman" w:hAnsi="Arial" w:cs="Arial"/>
          <w:i/>
          <w:iCs/>
          <w:kern w:val="0"/>
          <w:lang w:eastAsia="en-GB"/>
          <w14:ligatures w14:val="none"/>
        </w:rPr>
        <w:t>American Psychologist</w:t>
      </w:r>
      <w:r w:rsidRPr="007D5CF2">
        <w:rPr>
          <w:rFonts w:ascii="Arial" w:eastAsia="Times New Roman" w:hAnsi="Arial" w:cs="Arial"/>
          <w:kern w:val="0"/>
          <w:lang w:eastAsia="en-GB"/>
          <w14:ligatures w14:val="none"/>
        </w:rPr>
        <w:t xml:space="preserve">, 55(5), pp. 469–480.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3" w:tgtFrame="_blank" w:history="1">
        <w:r w:rsidRPr="007D5CF2">
          <w:rPr>
            <w:rFonts w:ascii="Arial" w:eastAsia="Times New Roman" w:hAnsi="Arial" w:cs="Arial"/>
            <w:color w:val="0563C1"/>
            <w:kern w:val="0"/>
            <w:u w:val="single"/>
            <w:lang w:eastAsia="en-GB"/>
            <w14:ligatures w14:val="none"/>
          </w:rPr>
          <w:t>10.1037/0003-066X.55.5.469</w:t>
        </w:r>
      </w:hyperlink>
      <w:r w:rsidRPr="007D5CF2">
        <w:rPr>
          <w:rFonts w:ascii="Arial" w:eastAsia="Times New Roman" w:hAnsi="Arial" w:cs="Arial"/>
          <w:kern w:val="0"/>
          <w:lang w:eastAsia="en-GB"/>
          <w14:ligatures w14:val="none"/>
        </w:rPr>
        <w:t>.</w:t>
      </w:r>
    </w:p>
    <w:p w14:paraId="6DCC49DB"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Arnett, J.J. (2018) ‘Conceptual foundations of emerging adulthood’, in Arnett, J.J. (ed.) </w:t>
      </w:r>
      <w:r w:rsidRPr="007D5CF2">
        <w:rPr>
          <w:rFonts w:ascii="Arial" w:eastAsia="Times New Roman" w:hAnsi="Arial" w:cs="Arial"/>
          <w:i/>
          <w:iCs/>
          <w:kern w:val="0"/>
          <w:lang w:eastAsia="en-GB"/>
          <w14:ligatures w14:val="none"/>
        </w:rPr>
        <w:t>Emerging Adulthood and Higher Education: A New Student Development Paradigm</w:t>
      </w:r>
      <w:r w:rsidRPr="007D5CF2">
        <w:rPr>
          <w:rFonts w:ascii="Arial" w:eastAsia="Times New Roman" w:hAnsi="Arial" w:cs="Arial"/>
          <w:kern w:val="0"/>
          <w:lang w:eastAsia="en-GB"/>
          <w14:ligatures w14:val="none"/>
        </w:rPr>
        <w:t xml:space="preserve">. London: Routledge, pp. 11–24. </w:t>
      </w:r>
      <w:hyperlink r:id="rId24" w:history="1">
        <w:r w:rsidRPr="007D5CF2">
          <w:rPr>
            <w:rFonts w:ascii="Arial" w:eastAsia="Times New Roman" w:hAnsi="Arial" w:cs="Arial"/>
            <w:color w:val="0563C1"/>
            <w:kern w:val="0"/>
            <w:u w:val="single"/>
            <w:lang w:eastAsia="en-GB"/>
            <w14:ligatures w14:val="none"/>
          </w:rPr>
          <w:t>doi.org/10.4324/9781315623405-2</w:t>
        </w:r>
      </w:hyperlink>
      <w:r w:rsidRPr="007D5CF2">
        <w:rPr>
          <w:rFonts w:ascii="Arial" w:eastAsia="Times New Roman" w:hAnsi="Arial" w:cs="Arial"/>
          <w:kern w:val="0"/>
          <w:lang w:eastAsia="en-GB"/>
          <w14:ligatures w14:val="none"/>
        </w:rPr>
        <w:t xml:space="preserve"> </w:t>
      </w:r>
    </w:p>
    <w:p w14:paraId="513A501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Bansal, N., Karlsen, S., </w:t>
      </w:r>
      <w:proofErr w:type="spellStart"/>
      <w:r w:rsidRPr="007D5CF2">
        <w:rPr>
          <w:rFonts w:ascii="Arial" w:eastAsia="Times New Roman" w:hAnsi="Arial" w:cs="Arial"/>
          <w:kern w:val="0"/>
          <w:lang w:eastAsia="en-GB"/>
          <w14:ligatures w14:val="none"/>
        </w:rPr>
        <w:t>Sashidharan</w:t>
      </w:r>
      <w:proofErr w:type="spellEnd"/>
      <w:r w:rsidRPr="007D5CF2">
        <w:rPr>
          <w:rFonts w:ascii="Arial" w:eastAsia="Times New Roman" w:hAnsi="Arial" w:cs="Arial"/>
          <w:kern w:val="0"/>
          <w:lang w:eastAsia="en-GB"/>
          <w14:ligatures w14:val="none"/>
        </w:rPr>
        <w:t xml:space="preserve">, S.P., Cohen, R., Chew-Graham, C.A. and Malpass, A. (2022) ‘Understanding ethnic inequalities in mental healthcare in the UK: a meta-ethnography’, </w:t>
      </w:r>
      <w:proofErr w:type="spellStart"/>
      <w:r w:rsidRPr="007D5CF2">
        <w:rPr>
          <w:rFonts w:ascii="Arial" w:eastAsia="Times New Roman" w:hAnsi="Arial" w:cs="Arial"/>
          <w:i/>
          <w:iCs/>
          <w:kern w:val="0"/>
          <w:lang w:eastAsia="en-GB"/>
          <w14:ligatures w14:val="none"/>
        </w:rPr>
        <w:t>PLoS</w:t>
      </w:r>
      <w:proofErr w:type="spellEnd"/>
      <w:r w:rsidRPr="007D5CF2">
        <w:rPr>
          <w:rFonts w:ascii="Arial" w:eastAsia="Times New Roman" w:hAnsi="Arial" w:cs="Arial"/>
          <w:i/>
          <w:iCs/>
          <w:kern w:val="0"/>
          <w:lang w:eastAsia="en-GB"/>
          <w14:ligatures w14:val="none"/>
        </w:rPr>
        <w:t xml:space="preserve"> Medicine</w:t>
      </w:r>
      <w:r w:rsidRPr="007D5CF2">
        <w:rPr>
          <w:rFonts w:ascii="Arial" w:eastAsia="Times New Roman" w:hAnsi="Arial" w:cs="Arial"/>
          <w:kern w:val="0"/>
          <w:lang w:eastAsia="en-GB"/>
          <w14:ligatures w14:val="none"/>
        </w:rPr>
        <w:t xml:space="preserve">, 19(12), e1004139.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5" w:tgtFrame="_blank" w:history="1">
        <w:r w:rsidRPr="007D5CF2">
          <w:rPr>
            <w:rFonts w:ascii="Arial" w:eastAsia="Times New Roman" w:hAnsi="Arial" w:cs="Arial"/>
            <w:color w:val="0563C1"/>
            <w:kern w:val="0"/>
            <w:u w:val="single"/>
            <w:lang w:eastAsia="en-GB"/>
            <w14:ligatures w14:val="none"/>
          </w:rPr>
          <w:t>10.1371/journal.pmed.1004139</w:t>
        </w:r>
      </w:hyperlink>
      <w:r w:rsidRPr="007D5CF2">
        <w:rPr>
          <w:rFonts w:ascii="Arial" w:eastAsia="Times New Roman" w:hAnsi="Arial" w:cs="Arial"/>
          <w:kern w:val="0"/>
          <w:lang w:eastAsia="en-GB"/>
          <w14:ligatures w14:val="none"/>
        </w:rPr>
        <w:t xml:space="preserve">. </w:t>
      </w:r>
    </w:p>
    <w:p w14:paraId="451F742C"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Barnett, P., Arundell, L.-L., Matthews, H., Saunders, R. and Pilling, S. (2021) ‘“Five hours to sort out your life”: qualitative study of the experiences of university students who access mental health support’, </w:t>
      </w:r>
      <w:proofErr w:type="spellStart"/>
      <w:r w:rsidRPr="007D5CF2">
        <w:rPr>
          <w:rFonts w:ascii="Arial" w:eastAsia="Times New Roman" w:hAnsi="Arial" w:cs="Arial"/>
          <w:i/>
          <w:iCs/>
          <w:kern w:val="0"/>
          <w:lang w:eastAsia="en-GB"/>
          <w14:ligatures w14:val="none"/>
        </w:rPr>
        <w:t>BJPsych</w:t>
      </w:r>
      <w:proofErr w:type="spellEnd"/>
      <w:r w:rsidRPr="007D5CF2">
        <w:rPr>
          <w:rFonts w:ascii="Arial" w:eastAsia="Times New Roman" w:hAnsi="Arial" w:cs="Arial"/>
          <w:i/>
          <w:iCs/>
          <w:kern w:val="0"/>
          <w:lang w:eastAsia="en-GB"/>
          <w14:ligatures w14:val="none"/>
        </w:rPr>
        <w:t xml:space="preserve"> Open</w:t>
      </w:r>
      <w:r w:rsidRPr="007D5CF2">
        <w:rPr>
          <w:rFonts w:ascii="Arial" w:eastAsia="Times New Roman" w:hAnsi="Arial" w:cs="Arial"/>
          <w:kern w:val="0"/>
          <w:lang w:eastAsia="en-GB"/>
          <w14:ligatures w14:val="none"/>
        </w:rPr>
        <w:t xml:space="preserve">, 7(4), e118. </w:t>
      </w:r>
      <w:hyperlink r:id="rId26" w:history="1">
        <w:r w:rsidRPr="007D5CF2">
          <w:rPr>
            <w:rFonts w:ascii="Arial" w:eastAsia="Times New Roman" w:hAnsi="Arial" w:cs="Arial"/>
            <w:color w:val="0563C1"/>
            <w:kern w:val="0"/>
            <w:u w:val="single"/>
            <w:lang w:eastAsia="en-GB"/>
            <w14:ligatures w14:val="none"/>
          </w:rPr>
          <w:t>doi.org/10.1192/bjo.2021.947</w:t>
        </w:r>
      </w:hyperlink>
      <w:r w:rsidRPr="007D5CF2">
        <w:rPr>
          <w:rFonts w:ascii="Arial" w:eastAsia="Times New Roman" w:hAnsi="Arial" w:cs="Arial"/>
          <w:kern w:val="0"/>
          <w:lang w:eastAsia="en-GB"/>
          <w14:ligatures w14:val="none"/>
        </w:rPr>
        <w:t xml:space="preserve"> </w:t>
      </w:r>
    </w:p>
    <w:p w14:paraId="62B89273"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Barrow, E. and Thomas, G. (2022)</w:t>
      </w:r>
      <w:r w:rsidRPr="007D5CF2">
        <w:rPr>
          <w:rFonts w:ascii="Arial" w:eastAsia="Calibri" w:hAnsi="Arial" w:cs="Arial"/>
          <w:color w:val="222222"/>
          <w:kern w:val="0"/>
          <w:shd w:val="clear" w:color="auto" w:fill="FFFFFF"/>
          <w:lang w:eastAsia="en-US"/>
          <w14:ligatures w14:val="none"/>
        </w:rPr>
        <w:t xml:space="preserve"> ‘Exploring perceived barriers and facilitators to mental health help-seeking in adolescents: a systematic literature review’, </w:t>
      </w:r>
      <w:r w:rsidRPr="007D5CF2">
        <w:rPr>
          <w:rFonts w:ascii="Arial" w:eastAsia="Calibri" w:hAnsi="Arial" w:cs="Arial"/>
          <w:i/>
          <w:iCs/>
          <w:color w:val="222222"/>
          <w:kern w:val="0"/>
          <w:shd w:val="clear" w:color="auto" w:fill="FFFFFF"/>
          <w:lang w:eastAsia="en-US"/>
          <w14:ligatures w14:val="none"/>
        </w:rPr>
        <w:t>Educational Psychology in Practice</w:t>
      </w:r>
      <w:r w:rsidRPr="007D5CF2">
        <w:rPr>
          <w:rFonts w:ascii="Arial" w:eastAsia="Calibri" w:hAnsi="Arial" w:cs="Arial"/>
          <w:color w:val="222222"/>
          <w:kern w:val="0"/>
          <w:shd w:val="clear" w:color="auto" w:fill="FFFFFF"/>
          <w:lang w:eastAsia="en-US"/>
          <w14:ligatures w14:val="none"/>
        </w:rPr>
        <w:t xml:space="preserve">, 38(2), pp. 173–193.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27" w:history="1">
        <w:r w:rsidRPr="007D5CF2">
          <w:rPr>
            <w:rFonts w:ascii="Arial" w:eastAsia="Calibri" w:hAnsi="Arial" w:cs="Arial"/>
            <w:color w:val="0563C1"/>
            <w:kern w:val="0"/>
            <w:u w:val="single"/>
            <w:shd w:val="clear" w:color="auto" w:fill="FFFFFF"/>
            <w:lang w:eastAsia="en-US"/>
            <w14:ligatures w14:val="none"/>
          </w:rPr>
          <w:t>https://doi.org/10.1080/02667363.2022.2051371</w:t>
        </w:r>
      </w:hyperlink>
      <w:r w:rsidRPr="007D5CF2">
        <w:rPr>
          <w:rFonts w:ascii="Arial" w:eastAsia="Calibri" w:hAnsi="Arial" w:cs="Arial"/>
          <w:color w:val="222222"/>
          <w:kern w:val="0"/>
          <w:shd w:val="clear" w:color="auto" w:fill="FFFFFF"/>
          <w:lang w:eastAsia="en-US"/>
          <w14:ligatures w14:val="none"/>
        </w:rPr>
        <w:t xml:space="preserve"> </w:t>
      </w:r>
    </w:p>
    <w:p w14:paraId="5DD73724"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Baxter, L., Burton, A. and Fancourt, D. (2022) ‘Community and cultural engagement for people with lived experience of mental health conditions: what are the barriers and enablers?’, </w:t>
      </w:r>
      <w:r w:rsidRPr="007D5CF2">
        <w:rPr>
          <w:rFonts w:ascii="Arial" w:eastAsia="Times New Roman" w:hAnsi="Arial" w:cs="Arial"/>
          <w:i/>
          <w:iCs/>
          <w:kern w:val="0"/>
          <w:lang w:eastAsia="en-GB"/>
          <w14:ligatures w14:val="none"/>
        </w:rPr>
        <w:t>BMC Psychology</w:t>
      </w:r>
      <w:r w:rsidRPr="007D5CF2">
        <w:rPr>
          <w:rFonts w:ascii="Arial" w:eastAsia="Times New Roman" w:hAnsi="Arial" w:cs="Arial"/>
          <w:kern w:val="0"/>
          <w:lang w:eastAsia="en-GB"/>
          <w14:ligatures w14:val="none"/>
        </w:rPr>
        <w:t xml:space="preserve">, 10, 71.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8" w:tgtFrame="_blank" w:history="1">
        <w:r w:rsidRPr="007D5CF2">
          <w:rPr>
            <w:rFonts w:ascii="Arial" w:eastAsia="Times New Roman" w:hAnsi="Arial" w:cs="Arial"/>
            <w:color w:val="0563C1"/>
            <w:kern w:val="0"/>
            <w:u w:val="single"/>
            <w:lang w:eastAsia="en-GB"/>
            <w14:ligatures w14:val="none"/>
          </w:rPr>
          <w:t>10.1186/s40359-022-00775-y</w:t>
        </w:r>
      </w:hyperlink>
      <w:r w:rsidRPr="007D5CF2">
        <w:rPr>
          <w:rFonts w:ascii="Arial" w:eastAsia="Times New Roman" w:hAnsi="Arial" w:cs="Arial"/>
          <w:kern w:val="0"/>
          <w:lang w:eastAsia="en-GB"/>
          <w14:ligatures w14:val="none"/>
        </w:rPr>
        <w:t xml:space="preserve">. </w:t>
      </w:r>
    </w:p>
    <w:p w14:paraId="246B597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Biddle, L., Derges, J., Cliffe, B., </w:t>
      </w:r>
      <w:proofErr w:type="spellStart"/>
      <w:r w:rsidRPr="007D5CF2">
        <w:rPr>
          <w:rFonts w:ascii="Arial" w:eastAsia="Times New Roman" w:hAnsi="Arial" w:cs="Arial"/>
          <w:kern w:val="0"/>
          <w:lang w:eastAsia="en-GB"/>
          <w14:ligatures w14:val="none"/>
        </w:rPr>
        <w:t>Gooberman</w:t>
      </w:r>
      <w:proofErr w:type="spellEnd"/>
      <w:r w:rsidRPr="007D5CF2">
        <w:rPr>
          <w:rFonts w:ascii="Arial" w:eastAsia="Times New Roman" w:hAnsi="Arial" w:cs="Arial"/>
          <w:kern w:val="0"/>
          <w:lang w:eastAsia="en-GB"/>
          <w14:ligatures w14:val="none"/>
        </w:rPr>
        <w:t xml:space="preserve">-Hill, R., Linton, M.-J., Moran, P. and Bould, H. (2023) ‘“Pouring their heart out in Sainsbury’s”: qualitative study of young people’s, parents’ and mental health practitioners’ experiences of adapting to remote online mental health appointments during COVID-19’,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23, 641.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29" w:tgtFrame="_blank" w:history="1">
        <w:r w:rsidRPr="007D5CF2">
          <w:rPr>
            <w:rFonts w:ascii="Arial" w:eastAsia="Times New Roman" w:hAnsi="Arial" w:cs="Arial"/>
            <w:color w:val="0000FF"/>
            <w:kern w:val="0"/>
            <w:u w:val="single"/>
            <w:lang w:eastAsia="en-GB"/>
            <w14:ligatures w14:val="none"/>
          </w:rPr>
          <w:t>10.1186/s12888-023-05126-8</w:t>
        </w:r>
      </w:hyperlink>
      <w:r w:rsidRPr="007D5CF2">
        <w:rPr>
          <w:rFonts w:ascii="Arial" w:eastAsia="Times New Roman" w:hAnsi="Arial" w:cs="Arial"/>
          <w:kern w:val="0"/>
          <w:lang w:eastAsia="en-GB"/>
          <w14:ligatures w14:val="none"/>
        </w:rPr>
        <w:t xml:space="preserve">. </w:t>
      </w:r>
    </w:p>
    <w:p w14:paraId="4553E799"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Booth, A., Sutton, A. and Papaioannou, D. (2016) </w:t>
      </w:r>
      <w:r w:rsidRPr="007D5CF2">
        <w:rPr>
          <w:rFonts w:ascii="Arial" w:eastAsia="Times New Roman" w:hAnsi="Arial" w:cs="Arial"/>
          <w:i/>
          <w:iCs/>
          <w:kern w:val="0"/>
          <w:lang w:eastAsia="en-GB"/>
          <w14:ligatures w14:val="none"/>
        </w:rPr>
        <w:t>Systematic Approaches to a Successful Literature Review</w:t>
      </w:r>
      <w:r w:rsidRPr="007D5CF2">
        <w:rPr>
          <w:rFonts w:ascii="Arial" w:eastAsia="Times New Roman" w:hAnsi="Arial" w:cs="Arial"/>
          <w:kern w:val="0"/>
          <w:lang w:eastAsia="en-GB"/>
          <w14:ligatures w14:val="none"/>
        </w:rPr>
        <w:t xml:space="preserve">. 2nd </w:t>
      </w:r>
      <w:proofErr w:type="spellStart"/>
      <w:r w:rsidRPr="007D5CF2">
        <w:rPr>
          <w:rFonts w:ascii="Arial" w:eastAsia="Times New Roman" w:hAnsi="Arial" w:cs="Arial"/>
          <w:kern w:val="0"/>
          <w:lang w:eastAsia="en-GB"/>
          <w14:ligatures w14:val="none"/>
        </w:rPr>
        <w:t>edn</w:t>
      </w:r>
      <w:proofErr w:type="spellEnd"/>
      <w:r w:rsidRPr="007D5CF2">
        <w:rPr>
          <w:rFonts w:ascii="Arial" w:eastAsia="Times New Roman" w:hAnsi="Arial" w:cs="Arial"/>
          <w:kern w:val="0"/>
          <w:lang w:eastAsia="en-GB"/>
          <w14:ligatures w14:val="none"/>
        </w:rPr>
        <w:t>. London: Sage.</w:t>
      </w:r>
    </w:p>
    <w:p w14:paraId="3EE8A95B"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Braun, V. and Clarke, V. (2022) </w:t>
      </w:r>
      <w:r w:rsidRPr="007D5CF2">
        <w:rPr>
          <w:rFonts w:ascii="Arial" w:eastAsia="Times New Roman" w:hAnsi="Arial" w:cs="Arial"/>
          <w:i/>
          <w:iCs/>
          <w:kern w:val="0"/>
          <w:lang w:eastAsia="en-GB"/>
          <w14:ligatures w14:val="none"/>
        </w:rPr>
        <w:t>Thematic Analysis: A Practical Guide</w:t>
      </w:r>
      <w:r w:rsidRPr="007D5CF2">
        <w:rPr>
          <w:rFonts w:ascii="Arial" w:eastAsia="Times New Roman" w:hAnsi="Arial" w:cs="Arial"/>
          <w:kern w:val="0"/>
          <w:lang w:eastAsia="en-GB"/>
          <w14:ligatures w14:val="none"/>
        </w:rPr>
        <w:t>. London: Sage.</w:t>
      </w:r>
    </w:p>
    <w:p w14:paraId="7EB5DA8D"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Brennan, S.E. and Munn, Z. (2021)</w:t>
      </w:r>
      <w:r w:rsidRPr="007D5CF2">
        <w:rPr>
          <w:rFonts w:ascii="Arial" w:eastAsia="Times New Roman" w:hAnsi="Arial" w:cs="Arial"/>
          <w:kern w:val="0"/>
          <w:lang w:eastAsia="en-GB"/>
          <w14:ligatures w14:val="none"/>
        </w:rPr>
        <w:t xml:space="preserve"> ‘PRISMA 2020: a reporting guideline for the next generation of systematic reviews’, </w:t>
      </w:r>
      <w:r w:rsidRPr="007D5CF2">
        <w:rPr>
          <w:rFonts w:ascii="Arial" w:eastAsia="Times New Roman" w:hAnsi="Arial" w:cs="Arial"/>
          <w:i/>
          <w:iCs/>
          <w:kern w:val="0"/>
          <w:lang w:eastAsia="en-GB"/>
          <w14:ligatures w14:val="none"/>
        </w:rPr>
        <w:t>JBI Evidence Synthesis</w:t>
      </w:r>
      <w:r w:rsidRPr="007D5CF2">
        <w:rPr>
          <w:rFonts w:ascii="Arial" w:eastAsia="Times New Roman" w:hAnsi="Arial" w:cs="Arial"/>
          <w:kern w:val="0"/>
          <w:lang w:eastAsia="en-GB"/>
          <w14:ligatures w14:val="none"/>
        </w:rPr>
        <w:t xml:space="preserve">, 19(5), pp. 906–908.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30" w:history="1">
        <w:r w:rsidRPr="007D5CF2">
          <w:rPr>
            <w:rFonts w:ascii="Arial" w:eastAsia="Times New Roman" w:hAnsi="Arial" w:cs="Arial"/>
            <w:color w:val="0563C1"/>
            <w:kern w:val="0"/>
            <w:u w:val="single"/>
            <w:lang w:eastAsia="en-GB"/>
            <w14:ligatures w14:val="none"/>
          </w:rPr>
          <w:t>https://doi.org/10.11124/JBIES-21-00010</w:t>
        </w:r>
      </w:hyperlink>
      <w:r w:rsidRPr="007D5CF2">
        <w:rPr>
          <w:rFonts w:ascii="Arial" w:eastAsia="Times New Roman" w:hAnsi="Arial" w:cs="Arial"/>
          <w:kern w:val="0"/>
          <w:lang w:eastAsia="en-GB"/>
          <w14:ligatures w14:val="none"/>
        </w:rPr>
        <w:t xml:space="preserve">. </w:t>
      </w:r>
    </w:p>
    <w:p w14:paraId="218E52E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British Psychological Society (2021) </w:t>
      </w:r>
      <w:r w:rsidRPr="007D5CF2">
        <w:rPr>
          <w:rFonts w:ascii="Arial" w:eastAsia="Times New Roman" w:hAnsi="Arial" w:cs="Arial"/>
          <w:i/>
          <w:iCs/>
          <w:kern w:val="0"/>
          <w:lang w:eastAsia="en-GB"/>
          <w14:ligatures w14:val="none"/>
        </w:rPr>
        <w:t>Code of Human Research Ethics</w:t>
      </w:r>
      <w:r w:rsidRPr="007D5CF2">
        <w:rPr>
          <w:rFonts w:ascii="Arial" w:eastAsia="Times New Roman" w:hAnsi="Arial" w:cs="Arial"/>
          <w:kern w:val="0"/>
          <w:lang w:eastAsia="en-GB"/>
          <w14:ligatures w14:val="none"/>
        </w:rPr>
        <w:t xml:space="preserve">. Leicester: British Psychological Society. </w:t>
      </w:r>
      <w:r w:rsidRPr="007D5CF2">
        <w:rPr>
          <w:rFonts w:ascii="Arial" w:eastAsia="Times New Roman" w:hAnsi="Arial" w:cs="Arial"/>
          <w:bCs/>
          <w:kern w:val="0"/>
          <w:lang w:eastAsia="en-GB"/>
          <w14:ligatures w14:val="none"/>
        </w:rPr>
        <w:t>Available</w:t>
      </w:r>
      <w:r w:rsidRPr="007D5CF2">
        <w:rPr>
          <w:rFonts w:ascii="Arial" w:eastAsia="Times New Roman" w:hAnsi="Arial" w:cs="Arial"/>
          <w:kern w:val="0"/>
          <w:lang w:eastAsia="en-GB"/>
          <w14:ligatures w14:val="none"/>
        </w:rPr>
        <w:t xml:space="preserve"> at: </w:t>
      </w:r>
      <w:hyperlink r:id="rId31" w:history="1">
        <w:r w:rsidRPr="007D5CF2">
          <w:rPr>
            <w:rFonts w:ascii="Arial" w:eastAsia="Times New Roman" w:hAnsi="Arial" w:cs="Arial"/>
            <w:color w:val="0563C1"/>
            <w:kern w:val="0"/>
            <w:u w:val="single"/>
            <w:lang w:eastAsia="en-GB"/>
            <w14:ligatures w14:val="none"/>
          </w:rPr>
          <w:t>https://www.bps.org.uk/guideline/code-human-research-ethics?utm</w:t>
        </w:r>
      </w:hyperlink>
      <w:r w:rsidRPr="007D5CF2">
        <w:rPr>
          <w:rFonts w:ascii="Arial" w:eastAsia="Times New Roman" w:hAnsi="Arial" w:cs="Arial"/>
          <w:kern w:val="0"/>
          <w:lang w:eastAsia="en-GB"/>
          <w14:ligatures w14:val="none"/>
        </w:rPr>
        <w:t xml:space="preserve"> </w:t>
      </w:r>
      <w:r w:rsidRPr="007D5CF2">
        <w:rPr>
          <w:rFonts w:ascii="Arial" w:eastAsia="Times New Roman" w:hAnsi="Arial" w:cs="Arial"/>
          <w:bCs/>
          <w:kern w:val="0"/>
          <w:lang w:eastAsia="en-GB"/>
          <w14:ligatures w14:val="none"/>
        </w:rPr>
        <w:t>(Accessed: 21 July 2026).</w:t>
      </w:r>
      <w:r w:rsidRPr="007D5CF2">
        <w:rPr>
          <w:rFonts w:ascii="Arial" w:eastAsia="Times New Roman" w:hAnsi="Arial" w:cs="Arial"/>
          <w:kern w:val="0"/>
          <w:lang w:eastAsia="en-GB"/>
          <w14:ligatures w14:val="none"/>
        </w:rPr>
        <w:t xml:space="preserve"> </w:t>
      </w:r>
    </w:p>
    <w:p w14:paraId="6C0F2F2C"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Broad, K.L., Sandhu, V.K., Sunderji, N. and </w:t>
      </w:r>
      <w:proofErr w:type="spellStart"/>
      <w:r w:rsidRPr="007D5CF2">
        <w:rPr>
          <w:rFonts w:ascii="Arial" w:eastAsia="Times New Roman" w:hAnsi="Arial" w:cs="Arial"/>
          <w:kern w:val="0"/>
          <w:lang w:eastAsia="en-GB"/>
          <w14:ligatures w14:val="none"/>
        </w:rPr>
        <w:t>Charach</w:t>
      </w:r>
      <w:proofErr w:type="spellEnd"/>
      <w:r w:rsidRPr="007D5CF2">
        <w:rPr>
          <w:rFonts w:ascii="Arial" w:eastAsia="Times New Roman" w:hAnsi="Arial" w:cs="Arial"/>
          <w:kern w:val="0"/>
          <w:lang w:eastAsia="en-GB"/>
          <w14:ligatures w14:val="none"/>
        </w:rPr>
        <w:t xml:space="preserve">, A. (2017) ‘Youth experiences of transition from child mental health services to adult mental health services: a qualitative thematic synthesis’,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17, 380.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32" w:tgtFrame="_blank" w:history="1">
        <w:r w:rsidRPr="007D5CF2">
          <w:rPr>
            <w:rFonts w:ascii="Arial" w:eastAsia="Times New Roman" w:hAnsi="Arial" w:cs="Arial"/>
            <w:color w:val="0563C1"/>
            <w:kern w:val="0"/>
            <w:u w:val="single"/>
            <w:lang w:eastAsia="en-GB"/>
            <w14:ligatures w14:val="none"/>
          </w:rPr>
          <w:t>10.1186/s12888-017-1538-1</w:t>
        </w:r>
      </w:hyperlink>
      <w:r w:rsidRPr="007D5CF2">
        <w:rPr>
          <w:rFonts w:ascii="Arial" w:eastAsia="Times New Roman" w:hAnsi="Arial" w:cs="Arial"/>
          <w:kern w:val="0"/>
          <w:lang w:eastAsia="en-GB"/>
          <w14:ligatures w14:val="none"/>
        </w:rPr>
        <w:t>.</w:t>
      </w:r>
    </w:p>
    <w:p w14:paraId="1D91A139"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proofErr w:type="spellStart"/>
      <w:r w:rsidRPr="007D5CF2">
        <w:rPr>
          <w:rFonts w:ascii="Arial" w:eastAsia="Calibri" w:hAnsi="Arial" w:cs="Arial"/>
          <w:bCs/>
          <w:color w:val="222222"/>
          <w:kern w:val="0"/>
          <w:shd w:val="clear" w:color="auto" w:fill="FFFFFF"/>
          <w:lang w:eastAsia="en-US"/>
          <w14:ligatures w14:val="none"/>
        </w:rPr>
        <w:t>Burlibasa</w:t>
      </w:r>
      <w:proofErr w:type="spellEnd"/>
      <w:r w:rsidRPr="007D5CF2">
        <w:rPr>
          <w:rFonts w:ascii="Arial" w:eastAsia="Calibri" w:hAnsi="Arial" w:cs="Arial"/>
          <w:bCs/>
          <w:color w:val="222222"/>
          <w:kern w:val="0"/>
          <w:shd w:val="clear" w:color="auto" w:fill="FFFFFF"/>
          <w:lang w:eastAsia="en-US"/>
          <w14:ligatures w14:val="none"/>
        </w:rPr>
        <w:t>, A., Campagnola, M. and Gutman, L.M. (2025)</w:t>
      </w:r>
      <w:r w:rsidRPr="007D5CF2">
        <w:rPr>
          <w:rFonts w:ascii="Arial" w:eastAsia="Calibri" w:hAnsi="Arial" w:cs="Arial"/>
          <w:color w:val="222222"/>
          <w:kern w:val="0"/>
          <w:shd w:val="clear" w:color="auto" w:fill="FFFFFF"/>
          <w:lang w:eastAsia="en-US"/>
          <w14:ligatures w14:val="none"/>
        </w:rPr>
        <w:t xml:space="preserve"> ‘Barriers and facilitators to delivery of a webchat mental health helpline service for young people: a qualitative study using the Behaviour Change Wheel’, </w:t>
      </w:r>
      <w:r w:rsidRPr="007D5CF2">
        <w:rPr>
          <w:rFonts w:ascii="Arial" w:eastAsia="Calibri" w:hAnsi="Arial" w:cs="Arial"/>
          <w:i/>
          <w:iCs/>
          <w:color w:val="222222"/>
          <w:kern w:val="0"/>
          <w:shd w:val="clear" w:color="auto" w:fill="FFFFFF"/>
          <w:lang w:eastAsia="en-US"/>
          <w14:ligatures w14:val="none"/>
        </w:rPr>
        <w:t>British Journal of Guidance &amp; Counselling</w:t>
      </w:r>
      <w:r w:rsidRPr="007D5CF2">
        <w:rPr>
          <w:rFonts w:ascii="Arial" w:eastAsia="Calibri" w:hAnsi="Arial" w:cs="Arial"/>
          <w:color w:val="222222"/>
          <w:kern w:val="0"/>
          <w:shd w:val="clear" w:color="auto" w:fill="FFFFFF"/>
          <w:lang w:eastAsia="en-US"/>
          <w14:ligatures w14:val="none"/>
        </w:rPr>
        <w:t xml:space="preserve">, 53(2), pp. 179–189.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33" w:tgtFrame="_new" w:history="1">
        <w:r w:rsidRPr="007D5CF2">
          <w:rPr>
            <w:rFonts w:ascii="Arial" w:eastAsia="Calibri" w:hAnsi="Arial" w:cs="Arial"/>
            <w:color w:val="0563C1"/>
            <w:kern w:val="0"/>
            <w:u w:val="single"/>
            <w:shd w:val="clear" w:color="auto" w:fill="FFFFFF"/>
            <w:lang w:eastAsia="en-US"/>
            <w14:ligatures w14:val="none"/>
          </w:rPr>
          <w:t>https://doi.org/10.1080/03069885.2024.2449010</w:t>
        </w:r>
      </w:hyperlink>
    </w:p>
    <w:p w14:paraId="76E2D375"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Clark, T., Foster, L., Bryman, A. and Sloan, L. (2021)</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Bryman's Social Research Methods</w:t>
      </w:r>
      <w:r w:rsidRPr="007D5CF2">
        <w:rPr>
          <w:rFonts w:ascii="Arial" w:eastAsia="Calibri" w:hAnsi="Arial" w:cs="Arial"/>
          <w:color w:val="222222"/>
          <w:kern w:val="0"/>
          <w:shd w:val="clear" w:color="auto" w:fill="FFFFFF"/>
          <w:lang w:eastAsia="en-US"/>
          <w14:ligatures w14:val="none"/>
        </w:rPr>
        <w:t>. Oxford: Oxford University Press.</w:t>
      </w:r>
    </w:p>
    <w:p w14:paraId="76D721D7"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 xml:space="preserve">Clement, S., Schauman, O., Graham, T., Maggioni, F., Evans-Lacko, S., </w:t>
      </w:r>
      <w:proofErr w:type="spellStart"/>
      <w:r w:rsidRPr="007D5CF2">
        <w:rPr>
          <w:rFonts w:ascii="Arial" w:eastAsia="Calibri" w:hAnsi="Arial" w:cs="Arial"/>
          <w:bCs/>
          <w:color w:val="222222"/>
          <w:kern w:val="0"/>
          <w:shd w:val="clear" w:color="auto" w:fill="FFFFFF"/>
          <w:lang w:eastAsia="en-US"/>
          <w14:ligatures w14:val="none"/>
        </w:rPr>
        <w:t>Bezborodovs</w:t>
      </w:r>
      <w:proofErr w:type="spellEnd"/>
      <w:r w:rsidRPr="007D5CF2">
        <w:rPr>
          <w:rFonts w:ascii="Arial" w:eastAsia="Calibri" w:hAnsi="Arial" w:cs="Arial"/>
          <w:bCs/>
          <w:color w:val="222222"/>
          <w:kern w:val="0"/>
          <w:shd w:val="clear" w:color="auto" w:fill="FFFFFF"/>
          <w:lang w:eastAsia="en-US"/>
          <w14:ligatures w14:val="none"/>
        </w:rPr>
        <w:t xml:space="preserve">, N. </w:t>
      </w:r>
      <w:r w:rsidRPr="007D5CF2">
        <w:rPr>
          <w:rFonts w:ascii="Arial" w:eastAsia="Calibri" w:hAnsi="Arial" w:cs="Arial"/>
          <w:bCs/>
          <w:i/>
          <w:iCs/>
          <w:color w:val="222222"/>
          <w:kern w:val="0"/>
          <w:shd w:val="clear" w:color="auto" w:fill="FFFFFF"/>
          <w:lang w:eastAsia="en-US"/>
          <w14:ligatures w14:val="none"/>
        </w:rPr>
        <w:t>et al.</w:t>
      </w:r>
      <w:r w:rsidRPr="007D5CF2">
        <w:rPr>
          <w:rFonts w:ascii="Arial" w:eastAsia="Calibri" w:hAnsi="Arial" w:cs="Arial"/>
          <w:bCs/>
          <w:color w:val="222222"/>
          <w:kern w:val="0"/>
          <w:shd w:val="clear" w:color="auto" w:fill="FFFFFF"/>
          <w:lang w:eastAsia="en-US"/>
          <w14:ligatures w14:val="none"/>
        </w:rPr>
        <w:t xml:space="preserve"> (2015)</w:t>
      </w:r>
      <w:r w:rsidRPr="007D5CF2">
        <w:rPr>
          <w:rFonts w:ascii="Arial" w:eastAsia="Calibri" w:hAnsi="Arial" w:cs="Arial"/>
          <w:color w:val="222222"/>
          <w:kern w:val="0"/>
          <w:shd w:val="clear" w:color="auto" w:fill="FFFFFF"/>
          <w:lang w:eastAsia="en-US"/>
          <w14:ligatures w14:val="none"/>
        </w:rPr>
        <w:t xml:space="preserve"> ‘What is the impact of mental health-related stigma on help-seeking? A systematic review of quantitative and qualitative studies’, </w:t>
      </w:r>
      <w:r w:rsidRPr="007D5CF2">
        <w:rPr>
          <w:rFonts w:ascii="Arial" w:eastAsia="Calibri" w:hAnsi="Arial" w:cs="Arial"/>
          <w:i/>
          <w:iCs/>
          <w:color w:val="222222"/>
          <w:kern w:val="0"/>
          <w:shd w:val="clear" w:color="auto" w:fill="FFFFFF"/>
          <w:lang w:eastAsia="en-US"/>
          <w14:ligatures w14:val="none"/>
        </w:rPr>
        <w:t>Psychological Medicine</w:t>
      </w:r>
      <w:r w:rsidRPr="007D5CF2">
        <w:rPr>
          <w:rFonts w:ascii="Arial" w:eastAsia="Calibri" w:hAnsi="Arial" w:cs="Arial"/>
          <w:color w:val="222222"/>
          <w:kern w:val="0"/>
          <w:shd w:val="clear" w:color="auto" w:fill="FFFFFF"/>
          <w:lang w:eastAsia="en-US"/>
          <w14:ligatures w14:val="none"/>
        </w:rPr>
        <w:t xml:space="preserve">, 45(1), pp. 11–27.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34" w:tgtFrame="_new" w:history="1">
        <w:r w:rsidRPr="007D5CF2">
          <w:rPr>
            <w:rFonts w:ascii="Arial" w:eastAsia="Calibri" w:hAnsi="Arial" w:cs="Arial"/>
            <w:color w:val="0563C1"/>
            <w:kern w:val="0"/>
            <w:u w:val="single"/>
            <w:shd w:val="clear" w:color="auto" w:fill="FFFFFF"/>
            <w:lang w:eastAsia="en-US"/>
            <w14:ligatures w14:val="none"/>
          </w:rPr>
          <w:t>https://doi.org/10.1017/S0033291714000129</w:t>
        </w:r>
      </w:hyperlink>
    </w:p>
    <w:p w14:paraId="363A3C8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Coleman-Fountain, E., Buckley, C. and Beresford, B. (2020) ‘Improving mental health in autistic young adults: a qualitative study exploring help-seeking barriers in UK primary care’, </w:t>
      </w:r>
      <w:r w:rsidRPr="007D5CF2">
        <w:rPr>
          <w:rFonts w:ascii="Arial" w:eastAsia="Times New Roman" w:hAnsi="Arial" w:cs="Arial"/>
          <w:i/>
          <w:iCs/>
          <w:kern w:val="0"/>
          <w:lang w:eastAsia="en-GB"/>
          <w14:ligatures w14:val="none"/>
        </w:rPr>
        <w:t>British Journal of General Practice</w:t>
      </w:r>
      <w:r w:rsidRPr="007D5CF2">
        <w:rPr>
          <w:rFonts w:ascii="Arial" w:eastAsia="Times New Roman" w:hAnsi="Arial" w:cs="Arial"/>
          <w:kern w:val="0"/>
          <w:lang w:eastAsia="en-GB"/>
          <w14:ligatures w14:val="none"/>
        </w:rPr>
        <w:t xml:space="preserve">, 70(694), pp. e356–e363. </w:t>
      </w:r>
      <w:hyperlink r:id="rId35" w:history="1">
        <w:r w:rsidRPr="007D5CF2">
          <w:rPr>
            <w:rFonts w:ascii="Arial" w:eastAsia="Times New Roman" w:hAnsi="Arial" w:cs="Arial"/>
            <w:color w:val="0563C1"/>
            <w:kern w:val="0"/>
            <w:u w:val="single"/>
            <w:lang w:eastAsia="en-GB"/>
            <w14:ligatures w14:val="none"/>
          </w:rPr>
          <w:t>doi.org/10.3399/bjgp20X709421</w:t>
        </w:r>
      </w:hyperlink>
      <w:r w:rsidRPr="007D5CF2">
        <w:rPr>
          <w:rFonts w:ascii="Arial" w:eastAsia="Times New Roman" w:hAnsi="Arial" w:cs="Arial"/>
          <w:kern w:val="0"/>
          <w:lang w:eastAsia="en-GB"/>
          <w14:ligatures w14:val="none"/>
        </w:rPr>
        <w:t xml:space="preserve"> </w:t>
      </w:r>
    </w:p>
    <w:p w14:paraId="732FDD07"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Creswell, J.W. and Creswell, J.D. (2017)</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Research Design: Qualitative, Quantitative, and Mixed Methods Approaches</w:t>
      </w:r>
      <w:r w:rsidRPr="007D5CF2">
        <w:rPr>
          <w:rFonts w:ascii="Arial" w:eastAsia="Calibri" w:hAnsi="Arial" w:cs="Arial"/>
          <w:color w:val="222222"/>
          <w:kern w:val="0"/>
          <w:shd w:val="clear" w:color="auto" w:fill="FFFFFF"/>
          <w:lang w:eastAsia="en-US"/>
          <w14:ligatures w14:val="none"/>
        </w:rPr>
        <w:t xml:space="preserve">. 5th </w:t>
      </w:r>
      <w:proofErr w:type="spellStart"/>
      <w:r w:rsidRPr="007D5CF2">
        <w:rPr>
          <w:rFonts w:ascii="Arial" w:eastAsia="Calibri" w:hAnsi="Arial" w:cs="Arial"/>
          <w:color w:val="222222"/>
          <w:kern w:val="0"/>
          <w:shd w:val="clear" w:color="auto" w:fill="FFFFFF"/>
          <w:lang w:eastAsia="en-US"/>
          <w14:ligatures w14:val="none"/>
        </w:rPr>
        <w:t>edn</w:t>
      </w:r>
      <w:proofErr w:type="spellEnd"/>
      <w:r w:rsidRPr="007D5CF2">
        <w:rPr>
          <w:rFonts w:ascii="Arial" w:eastAsia="Calibri" w:hAnsi="Arial" w:cs="Arial"/>
          <w:color w:val="222222"/>
          <w:kern w:val="0"/>
          <w:shd w:val="clear" w:color="auto" w:fill="FFFFFF"/>
          <w:lang w:eastAsia="en-US"/>
          <w14:ligatures w14:val="none"/>
        </w:rPr>
        <w:t>. Thousand Oaks, CA: Sage.</w:t>
      </w:r>
    </w:p>
    <w:p w14:paraId="0E3F504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Divin, N., Harper, P., Curran, E., Corry, D. and Leavey, G. (2018) ‘Help-seeking measures and their use in adolescents: a systematic review’, </w:t>
      </w:r>
      <w:r w:rsidRPr="007D5CF2">
        <w:rPr>
          <w:rFonts w:ascii="Arial" w:eastAsia="Times New Roman" w:hAnsi="Arial" w:cs="Arial"/>
          <w:i/>
          <w:iCs/>
          <w:kern w:val="0"/>
          <w:lang w:eastAsia="en-GB"/>
          <w14:ligatures w14:val="none"/>
        </w:rPr>
        <w:t>Adolescent Research Review</w:t>
      </w:r>
      <w:r w:rsidRPr="007D5CF2">
        <w:rPr>
          <w:rFonts w:ascii="Arial" w:eastAsia="Times New Roman" w:hAnsi="Arial" w:cs="Arial"/>
          <w:kern w:val="0"/>
          <w:lang w:eastAsia="en-GB"/>
          <w14:ligatures w14:val="none"/>
        </w:rPr>
        <w:t xml:space="preserve">, 3(1), pp. 113–122.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36" w:tgtFrame="_blank" w:history="1">
        <w:r w:rsidRPr="007D5CF2">
          <w:rPr>
            <w:rFonts w:ascii="Arial" w:eastAsia="Times New Roman" w:hAnsi="Arial" w:cs="Arial"/>
            <w:color w:val="0000FF"/>
            <w:kern w:val="0"/>
            <w:u w:val="single"/>
            <w:lang w:eastAsia="en-GB"/>
            <w14:ligatures w14:val="none"/>
          </w:rPr>
          <w:t>10.1007/s40894-017-0078-8</w:t>
        </w:r>
      </w:hyperlink>
      <w:r w:rsidRPr="007D5CF2">
        <w:rPr>
          <w:rFonts w:ascii="Arial" w:eastAsia="Times New Roman" w:hAnsi="Arial" w:cs="Arial"/>
          <w:kern w:val="0"/>
          <w:lang w:eastAsia="en-GB"/>
          <w14:ligatures w14:val="none"/>
        </w:rPr>
        <w:t>.</w:t>
      </w:r>
    </w:p>
    <w:p w14:paraId="2DF77BA7"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 xml:space="preserve">Dorata, A., Andersen, H., </w:t>
      </w:r>
      <w:proofErr w:type="spellStart"/>
      <w:r w:rsidRPr="007D5CF2">
        <w:rPr>
          <w:rFonts w:ascii="Arial" w:eastAsia="Calibri" w:hAnsi="Arial" w:cs="Arial"/>
          <w:bCs/>
          <w:color w:val="222222"/>
          <w:kern w:val="0"/>
          <w:shd w:val="clear" w:color="auto" w:fill="FFFFFF"/>
          <w:lang w:eastAsia="en-US"/>
          <w14:ligatures w14:val="none"/>
        </w:rPr>
        <w:t>Bisp</w:t>
      </w:r>
      <w:proofErr w:type="spellEnd"/>
      <w:r w:rsidRPr="007D5CF2">
        <w:rPr>
          <w:rFonts w:ascii="Arial" w:eastAsia="Calibri" w:hAnsi="Arial" w:cs="Arial"/>
          <w:bCs/>
          <w:color w:val="222222"/>
          <w:kern w:val="0"/>
          <w:shd w:val="clear" w:color="auto" w:fill="FFFFFF"/>
          <w:lang w:eastAsia="en-US"/>
          <w14:ligatures w14:val="none"/>
        </w:rPr>
        <w:t>, S. and Appleton, R. (2025)</w:t>
      </w:r>
      <w:r w:rsidRPr="007D5CF2">
        <w:rPr>
          <w:rFonts w:ascii="Arial" w:eastAsia="Calibri" w:hAnsi="Arial" w:cs="Arial"/>
          <w:color w:val="222222"/>
          <w:kern w:val="0"/>
          <w:shd w:val="clear" w:color="auto" w:fill="FFFFFF"/>
          <w:lang w:eastAsia="en-US"/>
          <w14:ligatures w14:val="none"/>
        </w:rPr>
        <w:t xml:space="preserve"> ‘“I wish they heard my story rather than my conditions.” – A qualitative exploration of young people’s experiences during mental health assessment in the UK’, </w:t>
      </w:r>
      <w:r w:rsidRPr="007D5CF2">
        <w:rPr>
          <w:rFonts w:ascii="Arial" w:eastAsia="Calibri" w:hAnsi="Arial" w:cs="Arial"/>
          <w:i/>
          <w:iCs/>
          <w:color w:val="222222"/>
          <w:kern w:val="0"/>
          <w:shd w:val="clear" w:color="auto" w:fill="FFFFFF"/>
          <w:lang w:eastAsia="en-US"/>
          <w14:ligatures w14:val="none"/>
        </w:rPr>
        <w:t>PLOS Mental Health</w:t>
      </w:r>
      <w:r w:rsidRPr="007D5CF2">
        <w:rPr>
          <w:rFonts w:ascii="Arial" w:eastAsia="Calibri" w:hAnsi="Arial" w:cs="Arial"/>
          <w:color w:val="222222"/>
          <w:kern w:val="0"/>
          <w:shd w:val="clear" w:color="auto" w:fill="FFFFFF"/>
          <w:lang w:eastAsia="en-US"/>
          <w14:ligatures w14:val="none"/>
        </w:rPr>
        <w:t xml:space="preserve">, 2(9), e0000436.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37" w:tgtFrame="_new" w:history="1">
        <w:r w:rsidRPr="007D5CF2">
          <w:rPr>
            <w:rFonts w:ascii="Arial" w:eastAsia="Calibri" w:hAnsi="Arial" w:cs="Arial"/>
            <w:color w:val="0563C1"/>
            <w:kern w:val="0"/>
            <w:u w:val="single"/>
            <w:shd w:val="clear" w:color="auto" w:fill="FFFFFF"/>
            <w:lang w:eastAsia="en-US"/>
            <w14:ligatures w14:val="none"/>
          </w:rPr>
          <w:t>https://doi.org/10.1371/journal.pmen.0000436</w:t>
        </w:r>
      </w:hyperlink>
    </w:p>
    <w:p w14:paraId="0A4F7091"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Elliott, R. and </w:t>
      </w:r>
      <w:proofErr w:type="spellStart"/>
      <w:r w:rsidRPr="007D5CF2">
        <w:rPr>
          <w:rFonts w:ascii="Arial" w:eastAsia="Times New Roman" w:hAnsi="Arial" w:cs="Arial"/>
          <w:bCs/>
          <w:kern w:val="0"/>
          <w:lang w:eastAsia="en-GB"/>
          <w14:ligatures w14:val="none"/>
        </w:rPr>
        <w:t>Timulak</w:t>
      </w:r>
      <w:proofErr w:type="spellEnd"/>
      <w:r w:rsidRPr="007D5CF2">
        <w:rPr>
          <w:rFonts w:ascii="Arial" w:eastAsia="Times New Roman" w:hAnsi="Arial" w:cs="Arial"/>
          <w:bCs/>
          <w:kern w:val="0"/>
          <w:lang w:eastAsia="en-GB"/>
          <w14:ligatures w14:val="none"/>
        </w:rPr>
        <w:t>, L. (2021)</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Essentials of Descriptive-Interpretive Qualitative Research: A Generic Approach</w:t>
      </w:r>
      <w:r w:rsidRPr="007D5CF2">
        <w:rPr>
          <w:rFonts w:ascii="Arial" w:eastAsia="Times New Roman" w:hAnsi="Arial" w:cs="Arial"/>
          <w:kern w:val="0"/>
          <w:lang w:eastAsia="en-GB"/>
          <w14:ligatures w14:val="none"/>
        </w:rPr>
        <w:t xml:space="preserve">. Washington, DC: American Psychological Association.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38" w:history="1">
        <w:r w:rsidRPr="007D5CF2">
          <w:rPr>
            <w:rFonts w:ascii="Arial" w:eastAsia="Times New Roman" w:hAnsi="Arial" w:cs="Arial"/>
            <w:color w:val="0563C1"/>
            <w:kern w:val="0"/>
            <w:u w:val="single"/>
            <w:lang w:eastAsia="en-GB"/>
            <w14:ligatures w14:val="none"/>
          </w:rPr>
          <w:t>https://doi.org/10.1037/0000227-000</w:t>
        </w:r>
      </w:hyperlink>
      <w:r w:rsidRPr="007D5CF2">
        <w:rPr>
          <w:rFonts w:ascii="Arial" w:eastAsia="Times New Roman" w:hAnsi="Arial" w:cs="Arial"/>
          <w:kern w:val="0"/>
          <w:lang w:eastAsia="en-GB"/>
          <w14:ligatures w14:val="none"/>
        </w:rPr>
        <w:t xml:space="preserve"> </w:t>
      </w:r>
    </w:p>
    <w:p w14:paraId="249E155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Evans-Lacko, S., Stolzenburg, S., Gronholm, P.C., Ribeiro, W., York-Smith, M. and </w:t>
      </w:r>
      <w:proofErr w:type="spellStart"/>
      <w:r w:rsidRPr="007D5CF2">
        <w:rPr>
          <w:rFonts w:ascii="Arial" w:eastAsia="Times New Roman" w:hAnsi="Arial" w:cs="Arial"/>
          <w:kern w:val="0"/>
          <w:lang w:eastAsia="en-GB"/>
          <w14:ligatures w14:val="none"/>
        </w:rPr>
        <w:t>Schomerus</w:t>
      </w:r>
      <w:proofErr w:type="spellEnd"/>
      <w:r w:rsidRPr="007D5CF2">
        <w:rPr>
          <w:rFonts w:ascii="Arial" w:eastAsia="Times New Roman" w:hAnsi="Arial" w:cs="Arial"/>
          <w:kern w:val="0"/>
          <w:lang w:eastAsia="en-GB"/>
          <w14:ligatures w14:val="none"/>
        </w:rPr>
        <w:t xml:space="preserve">, G. (2019) ‘Psychometric validation of the self-identification of having a mental illness (SELF-I) scale and the relationship with stigma and help-seeking among young people’, </w:t>
      </w:r>
      <w:r w:rsidRPr="007D5CF2">
        <w:rPr>
          <w:rFonts w:ascii="Arial" w:eastAsia="Times New Roman" w:hAnsi="Arial" w:cs="Arial"/>
          <w:i/>
          <w:iCs/>
          <w:kern w:val="0"/>
          <w:lang w:eastAsia="en-GB"/>
          <w14:ligatures w14:val="none"/>
        </w:rPr>
        <w:t>Social Psychiatry and Psychiatric Epidemiology</w:t>
      </w:r>
      <w:r w:rsidRPr="007D5CF2">
        <w:rPr>
          <w:rFonts w:ascii="Arial" w:eastAsia="Times New Roman" w:hAnsi="Arial" w:cs="Arial"/>
          <w:kern w:val="0"/>
          <w:lang w:eastAsia="en-GB"/>
          <w14:ligatures w14:val="none"/>
        </w:rPr>
        <w:t xml:space="preserve">, 54(1), pp. 59–67. </w:t>
      </w:r>
      <w:hyperlink r:id="rId39" w:history="1">
        <w:r w:rsidRPr="007D5CF2">
          <w:rPr>
            <w:rFonts w:ascii="Arial" w:eastAsia="Times New Roman" w:hAnsi="Arial" w:cs="Arial"/>
            <w:color w:val="0563C1"/>
            <w:kern w:val="0"/>
            <w:u w:val="single"/>
            <w:lang w:eastAsia="en-GB"/>
            <w14:ligatures w14:val="none"/>
          </w:rPr>
          <w:t>https://doi.org/10.1007/s00127-018-1602-2</w:t>
        </w:r>
      </w:hyperlink>
      <w:r w:rsidRPr="007D5CF2">
        <w:rPr>
          <w:rFonts w:ascii="Arial" w:eastAsia="Times New Roman" w:hAnsi="Arial" w:cs="Arial"/>
          <w:kern w:val="0"/>
          <w:lang w:eastAsia="en-GB"/>
          <w14:ligatures w14:val="none"/>
        </w:rPr>
        <w:t xml:space="preserve"> </w:t>
      </w:r>
    </w:p>
    <w:p w14:paraId="5FA45F19"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Fargas-Malet, M. and McSherry, D. (2018) ‘The mental health and help-seeking behaviour of children and young people in care in Northern Ireland: making services accessible and engaging’, </w:t>
      </w:r>
      <w:r w:rsidRPr="007D5CF2">
        <w:rPr>
          <w:rFonts w:ascii="Arial" w:eastAsia="Times New Roman" w:hAnsi="Arial" w:cs="Arial"/>
          <w:i/>
          <w:iCs/>
          <w:kern w:val="0"/>
          <w:lang w:eastAsia="en-GB"/>
          <w14:ligatures w14:val="none"/>
        </w:rPr>
        <w:t>British Journal of Social Work</w:t>
      </w:r>
      <w:r w:rsidRPr="007D5CF2">
        <w:rPr>
          <w:rFonts w:ascii="Arial" w:eastAsia="Times New Roman" w:hAnsi="Arial" w:cs="Arial"/>
          <w:kern w:val="0"/>
          <w:lang w:eastAsia="en-GB"/>
          <w14:ligatures w14:val="none"/>
        </w:rPr>
        <w:t xml:space="preserve">, 48(3), pp. 578–595. </w:t>
      </w:r>
      <w:hyperlink r:id="rId40" w:history="1">
        <w:r w:rsidRPr="007D5CF2">
          <w:rPr>
            <w:rFonts w:ascii="Arial" w:eastAsia="Times New Roman" w:hAnsi="Arial" w:cs="Arial"/>
            <w:color w:val="0563C1"/>
            <w:kern w:val="0"/>
            <w:u w:val="single"/>
            <w:lang w:eastAsia="en-GB"/>
            <w14:ligatures w14:val="none"/>
          </w:rPr>
          <w:t>https://doi.org/10.1093/bjsw/bcx062</w:t>
        </w:r>
      </w:hyperlink>
      <w:r w:rsidRPr="007D5CF2">
        <w:rPr>
          <w:rFonts w:ascii="Arial" w:eastAsia="Times New Roman" w:hAnsi="Arial" w:cs="Arial"/>
          <w:kern w:val="0"/>
          <w:lang w:eastAsia="en-GB"/>
          <w14:ligatures w14:val="none"/>
        </w:rPr>
        <w:t xml:space="preserve"> </w:t>
      </w:r>
    </w:p>
    <w:p w14:paraId="3FE13566"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Frain, J. (2025)</w:t>
      </w:r>
      <w:r w:rsidRPr="007D5CF2">
        <w:rPr>
          <w:rFonts w:ascii="Arial" w:eastAsia="Calibri" w:hAnsi="Arial" w:cs="Arial"/>
          <w:color w:val="222222"/>
          <w:kern w:val="0"/>
          <w:shd w:val="clear" w:color="auto" w:fill="FFFFFF"/>
          <w:lang w:eastAsia="en-US"/>
          <w14:ligatures w14:val="none"/>
        </w:rPr>
        <w:t xml:space="preserve"> ‘Critical appraisal’, in </w:t>
      </w:r>
      <w:r w:rsidRPr="007D5CF2">
        <w:rPr>
          <w:rFonts w:ascii="Arial" w:eastAsia="Calibri" w:hAnsi="Arial" w:cs="Arial"/>
          <w:i/>
          <w:iCs/>
          <w:color w:val="222222"/>
          <w:kern w:val="0"/>
          <w:shd w:val="clear" w:color="auto" w:fill="FFFFFF"/>
          <w:lang w:eastAsia="en-US"/>
          <w14:ligatures w14:val="none"/>
        </w:rPr>
        <w:t>ABC of Evidence-Based Healthcare</w:t>
      </w:r>
      <w:r w:rsidRPr="007D5CF2">
        <w:rPr>
          <w:rFonts w:ascii="Arial" w:eastAsia="Calibri" w:hAnsi="Arial" w:cs="Arial"/>
          <w:color w:val="222222"/>
          <w:kern w:val="0"/>
          <w:shd w:val="clear" w:color="auto" w:fill="FFFFFF"/>
          <w:lang w:eastAsia="en-US"/>
          <w14:ligatures w14:val="none"/>
        </w:rPr>
        <w:t>, pp. 57–64.</w:t>
      </w:r>
    </w:p>
    <w:p w14:paraId="3DCA527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proofErr w:type="spellStart"/>
      <w:r w:rsidRPr="007D5CF2">
        <w:rPr>
          <w:rFonts w:ascii="Arial" w:eastAsia="Times New Roman" w:hAnsi="Arial" w:cs="Arial"/>
          <w:kern w:val="0"/>
          <w:lang w:eastAsia="en-GB"/>
          <w14:ligatures w14:val="none"/>
        </w:rPr>
        <w:t>Gaiha</w:t>
      </w:r>
      <w:proofErr w:type="spellEnd"/>
      <w:r w:rsidRPr="007D5CF2">
        <w:rPr>
          <w:rFonts w:ascii="Arial" w:eastAsia="Times New Roman" w:hAnsi="Arial" w:cs="Arial"/>
          <w:kern w:val="0"/>
          <w:lang w:eastAsia="en-GB"/>
          <w14:ligatures w14:val="none"/>
        </w:rPr>
        <w:t xml:space="preserve">, S.M., Salisbury, T.T., </w:t>
      </w:r>
      <w:proofErr w:type="spellStart"/>
      <w:r w:rsidRPr="007D5CF2">
        <w:rPr>
          <w:rFonts w:ascii="Arial" w:eastAsia="Times New Roman" w:hAnsi="Arial" w:cs="Arial"/>
          <w:kern w:val="0"/>
          <w:lang w:eastAsia="en-GB"/>
          <w14:ligatures w14:val="none"/>
        </w:rPr>
        <w:t>Koschorke</w:t>
      </w:r>
      <w:proofErr w:type="spellEnd"/>
      <w:r w:rsidRPr="007D5CF2">
        <w:rPr>
          <w:rFonts w:ascii="Arial" w:eastAsia="Times New Roman" w:hAnsi="Arial" w:cs="Arial"/>
          <w:kern w:val="0"/>
          <w:lang w:eastAsia="en-GB"/>
          <w14:ligatures w14:val="none"/>
        </w:rPr>
        <w:t xml:space="preserve">, M., Raman, U. and Petticrew, M. (2020) ‘Stigma associated with mental health problems among young people in India: a systematic review of magnitude, manifestations and recommendations’,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20, 538. </w:t>
      </w:r>
      <w:hyperlink r:id="rId41" w:history="1">
        <w:r w:rsidRPr="007D5CF2">
          <w:rPr>
            <w:rFonts w:ascii="Arial" w:eastAsia="Times New Roman" w:hAnsi="Arial" w:cs="Arial"/>
            <w:color w:val="0563C1"/>
            <w:kern w:val="0"/>
            <w:u w:val="single"/>
            <w:lang w:eastAsia="en-GB"/>
            <w14:ligatures w14:val="none"/>
          </w:rPr>
          <w:t>https://doi.org/10.1186/s12888-020-02937-x</w:t>
        </w:r>
      </w:hyperlink>
      <w:r w:rsidRPr="007D5CF2">
        <w:rPr>
          <w:rFonts w:ascii="Arial" w:eastAsia="Times New Roman" w:hAnsi="Arial" w:cs="Arial"/>
          <w:kern w:val="0"/>
          <w:lang w:eastAsia="en-GB"/>
          <w14:ligatures w14:val="none"/>
        </w:rPr>
        <w:t xml:space="preserve"> </w:t>
      </w:r>
    </w:p>
    <w:p w14:paraId="15C95800"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Gallimore, J.B., Gonzalez Diaz, K., Gunasinghe, C., Thornicroft, G., Taylor Salisbury, T. and Gronholm, P.C. (2023)</w:t>
      </w:r>
      <w:r w:rsidRPr="007D5CF2">
        <w:rPr>
          <w:rFonts w:ascii="Arial" w:eastAsia="Calibri" w:hAnsi="Arial" w:cs="Arial"/>
          <w:color w:val="222222"/>
          <w:kern w:val="0"/>
          <w:shd w:val="clear" w:color="auto" w:fill="FFFFFF"/>
          <w:lang w:eastAsia="en-US"/>
          <w14:ligatures w14:val="none"/>
        </w:rPr>
        <w:t xml:space="preserve"> ‘Impact of mental health stigma on help-seeking in the Caribbean: systematic review’, </w:t>
      </w:r>
      <w:r w:rsidRPr="007D5CF2">
        <w:rPr>
          <w:rFonts w:ascii="Arial" w:eastAsia="Calibri" w:hAnsi="Arial" w:cs="Arial"/>
          <w:i/>
          <w:iCs/>
          <w:color w:val="222222"/>
          <w:kern w:val="0"/>
          <w:shd w:val="clear" w:color="auto" w:fill="FFFFFF"/>
          <w:lang w:eastAsia="en-US"/>
          <w14:ligatures w14:val="none"/>
        </w:rPr>
        <w:t>PLOS ONE</w:t>
      </w:r>
      <w:r w:rsidRPr="007D5CF2">
        <w:rPr>
          <w:rFonts w:ascii="Arial" w:eastAsia="Calibri" w:hAnsi="Arial" w:cs="Arial"/>
          <w:color w:val="222222"/>
          <w:kern w:val="0"/>
          <w:shd w:val="clear" w:color="auto" w:fill="FFFFFF"/>
          <w:lang w:eastAsia="en-US"/>
          <w14:ligatures w14:val="none"/>
        </w:rPr>
        <w:t xml:space="preserve">, 18(9), e0291307.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42" w:tgtFrame="_new" w:history="1">
        <w:r w:rsidRPr="007D5CF2">
          <w:rPr>
            <w:rFonts w:ascii="Arial" w:eastAsia="Calibri" w:hAnsi="Arial" w:cs="Arial"/>
            <w:color w:val="0563C1"/>
            <w:kern w:val="0"/>
            <w:u w:val="single"/>
            <w:shd w:val="clear" w:color="auto" w:fill="FFFFFF"/>
            <w:lang w:eastAsia="en-US"/>
            <w14:ligatures w14:val="none"/>
          </w:rPr>
          <w:t>https://doi.org/10.1371/journal.pone.0291307</w:t>
        </w:r>
      </w:hyperlink>
    </w:p>
    <w:p w14:paraId="6841AC26"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Gee, B., Wilson, J., Clarke, T., Farthing, S., Carroll, B., Jackson, C., King, K., Murdoch, J., Fonagy, P. and Notley, C. (2021)</w:t>
      </w:r>
      <w:r w:rsidRPr="007D5CF2">
        <w:rPr>
          <w:rFonts w:ascii="Arial" w:eastAsia="Calibri" w:hAnsi="Arial" w:cs="Arial"/>
          <w:color w:val="222222"/>
          <w:kern w:val="0"/>
          <w:shd w:val="clear" w:color="auto" w:fill="FFFFFF"/>
          <w:lang w:eastAsia="en-US"/>
          <w14:ligatures w14:val="none"/>
        </w:rPr>
        <w:t xml:space="preserve"> ‘Review: Delivering mental health support within schools and colleges – a thematic synthesis of barriers and facilitators to implementation of indicated psychological interventions for adolescents’, </w:t>
      </w:r>
      <w:r w:rsidRPr="007D5CF2">
        <w:rPr>
          <w:rFonts w:ascii="Arial" w:eastAsia="Calibri" w:hAnsi="Arial" w:cs="Arial"/>
          <w:i/>
          <w:iCs/>
          <w:color w:val="222222"/>
          <w:kern w:val="0"/>
          <w:shd w:val="clear" w:color="auto" w:fill="FFFFFF"/>
          <w:lang w:eastAsia="en-US"/>
          <w14:ligatures w14:val="none"/>
        </w:rPr>
        <w:t>Child and Adolescent Mental Health</w:t>
      </w:r>
      <w:r w:rsidRPr="007D5CF2">
        <w:rPr>
          <w:rFonts w:ascii="Arial" w:eastAsia="Calibri" w:hAnsi="Arial" w:cs="Arial"/>
          <w:color w:val="222222"/>
          <w:kern w:val="0"/>
          <w:shd w:val="clear" w:color="auto" w:fill="FFFFFF"/>
          <w:lang w:eastAsia="en-US"/>
          <w14:ligatures w14:val="none"/>
        </w:rPr>
        <w:t xml:space="preserve">, 26(1), pp. 34–46.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43" w:tgtFrame="_new" w:history="1">
        <w:r w:rsidRPr="007D5CF2">
          <w:rPr>
            <w:rFonts w:ascii="Arial" w:eastAsia="Calibri" w:hAnsi="Arial" w:cs="Arial"/>
            <w:color w:val="0563C1"/>
            <w:kern w:val="0"/>
            <w:u w:val="single"/>
            <w:shd w:val="clear" w:color="auto" w:fill="FFFFFF"/>
            <w:lang w:eastAsia="en-US"/>
            <w14:ligatures w14:val="none"/>
          </w:rPr>
          <w:t>https://doi.org/10.1111/camh.12381</w:t>
        </w:r>
      </w:hyperlink>
    </w:p>
    <w:p w14:paraId="3A7617D4"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Glasper, A. and Rees, C. (eds) (2016)</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 xml:space="preserve">Nursing and Healthcare Research </w:t>
      </w:r>
      <w:proofErr w:type="gramStart"/>
      <w:r w:rsidRPr="007D5CF2">
        <w:rPr>
          <w:rFonts w:ascii="Arial" w:eastAsia="Times New Roman" w:hAnsi="Arial" w:cs="Arial"/>
          <w:i/>
          <w:iCs/>
          <w:kern w:val="0"/>
          <w:lang w:eastAsia="en-GB"/>
          <w14:ligatures w14:val="none"/>
        </w:rPr>
        <w:t>at a Glance</w:t>
      </w:r>
      <w:proofErr w:type="gramEnd"/>
      <w:r w:rsidRPr="007D5CF2">
        <w:rPr>
          <w:rFonts w:ascii="Arial" w:eastAsia="Times New Roman" w:hAnsi="Arial" w:cs="Arial"/>
          <w:kern w:val="0"/>
          <w:lang w:eastAsia="en-GB"/>
          <w14:ligatures w14:val="none"/>
        </w:rPr>
        <w:t>. Chichester: Wiley-Blackwell.</w:t>
      </w:r>
    </w:p>
    <w:p w14:paraId="5F7CFAAD"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Gough, D. and Richardson, M. (2024)</w:t>
      </w:r>
      <w:r w:rsidRPr="007D5CF2">
        <w:rPr>
          <w:rFonts w:ascii="Arial" w:eastAsia="Calibri" w:hAnsi="Arial" w:cs="Arial"/>
          <w:color w:val="222222"/>
          <w:kern w:val="0"/>
          <w:shd w:val="clear" w:color="auto" w:fill="FFFFFF"/>
          <w:lang w:eastAsia="en-US"/>
          <w14:ligatures w14:val="none"/>
        </w:rPr>
        <w:t xml:space="preserve"> ‘Systematic reviews’, in </w:t>
      </w:r>
      <w:r w:rsidRPr="007D5CF2">
        <w:rPr>
          <w:rFonts w:ascii="Arial" w:eastAsia="Calibri" w:hAnsi="Arial" w:cs="Arial"/>
          <w:i/>
          <w:iCs/>
          <w:color w:val="222222"/>
          <w:kern w:val="0"/>
          <w:shd w:val="clear" w:color="auto" w:fill="FFFFFF"/>
          <w:lang w:eastAsia="en-US"/>
          <w14:ligatures w14:val="none"/>
        </w:rPr>
        <w:t>Advanced Research Methods for Applied Psychology</w:t>
      </w:r>
      <w:r w:rsidRPr="007D5CF2">
        <w:rPr>
          <w:rFonts w:ascii="Arial" w:eastAsia="Calibri" w:hAnsi="Arial" w:cs="Arial"/>
          <w:color w:val="222222"/>
          <w:kern w:val="0"/>
          <w:shd w:val="clear" w:color="auto" w:fill="FFFFFF"/>
          <w:lang w:eastAsia="en-US"/>
          <w14:ligatures w14:val="none"/>
        </w:rPr>
        <w:t>, pp. 71–86.</w:t>
      </w:r>
    </w:p>
    <w:p w14:paraId="58A9B6CF"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Green, J. and Thorogood, N. (2018)</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Qualitative Methods for Health Research</w:t>
      </w:r>
      <w:r w:rsidRPr="007D5CF2">
        <w:rPr>
          <w:rFonts w:ascii="Arial" w:eastAsia="Calibri" w:hAnsi="Arial" w:cs="Arial"/>
          <w:color w:val="222222"/>
          <w:kern w:val="0"/>
          <w:shd w:val="clear" w:color="auto" w:fill="FFFFFF"/>
          <w:lang w:eastAsia="en-US"/>
          <w14:ligatures w14:val="none"/>
        </w:rPr>
        <w:t xml:space="preserve">. 4th </w:t>
      </w:r>
      <w:proofErr w:type="spellStart"/>
      <w:r w:rsidRPr="007D5CF2">
        <w:rPr>
          <w:rFonts w:ascii="Arial" w:eastAsia="Calibri" w:hAnsi="Arial" w:cs="Arial"/>
          <w:color w:val="222222"/>
          <w:kern w:val="0"/>
          <w:shd w:val="clear" w:color="auto" w:fill="FFFFFF"/>
          <w:lang w:eastAsia="en-US"/>
          <w14:ligatures w14:val="none"/>
        </w:rPr>
        <w:t>edn</w:t>
      </w:r>
      <w:proofErr w:type="spellEnd"/>
      <w:r w:rsidRPr="007D5CF2">
        <w:rPr>
          <w:rFonts w:ascii="Arial" w:eastAsia="Calibri" w:hAnsi="Arial" w:cs="Arial"/>
          <w:color w:val="222222"/>
          <w:kern w:val="0"/>
          <w:shd w:val="clear" w:color="auto" w:fill="FFFFFF"/>
          <w:lang w:eastAsia="en-US"/>
          <w14:ligatures w14:val="none"/>
        </w:rPr>
        <w:t>. London: Sage.</w:t>
      </w:r>
    </w:p>
    <w:p w14:paraId="01D6F5A0"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Gulliver, A., Griffiths, K.M. and Christensen, H. (2010)</w:t>
      </w:r>
      <w:r w:rsidRPr="007D5CF2">
        <w:rPr>
          <w:rFonts w:ascii="Arial" w:eastAsia="Calibri" w:hAnsi="Arial" w:cs="Arial"/>
          <w:color w:val="222222"/>
          <w:kern w:val="0"/>
          <w:shd w:val="clear" w:color="auto" w:fill="FFFFFF"/>
          <w:lang w:eastAsia="en-US"/>
          <w14:ligatures w14:val="none"/>
        </w:rPr>
        <w:t xml:space="preserve"> ‘Perceived barriers and facilitators to mental health help-seeking in young people: a systematic review’, </w:t>
      </w:r>
      <w:r w:rsidRPr="007D5CF2">
        <w:rPr>
          <w:rFonts w:ascii="Arial" w:eastAsia="Calibri" w:hAnsi="Arial" w:cs="Arial"/>
          <w:i/>
          <w:iCs/>
          <w:color w:val="222222"/>
          <w:kern w:val="0"/>
          <w:shd w:val="clear" w:color="auto" w:fill="FFFFFF"/>
          <w:lang w:eastAsia="en-US"/>
          <w14:ligatures w14:val="none"/>
        </w:rPr>
        <w:t>BMC Psychiatry</w:t>
      </w:r>
      <w:r w:rsidRPr="007D5CF2">
        <w:rPr>
          <w:rFonts w:ascii="Arial" w:eastAsia="Calibri" w:hAnsi="Arial" w:cs="Arial"/>
          <w:color w:val="222222"/>
          <w:kern w:val="0"/>
          <w:shd w:val="clear" w:color="auto" w:fill="FFFFFF"/>
          <w:lang w:eastAsia="en-US"/>
          <w14:ligatures w14:val="none"/>
        </w:rPr>
        <w:t xml:space="preserve">, 10(1), 113.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44" w:tgtFrame="_new" w:history="1">
        <w:r w:rsidRPr="007D5CF2">
          <w:rPr>
            <w:rFonts w:ascii="Arial" w:eastAsia="Calibri" w:hAnsi="Arial" w:cs="Arial"/>
            <w:color w:val="0563C1"/>
            <w:kern w:val="0"/>
            <w:u w:val="single"/>
            <w:shd w:val="clear" w:color="auto" w:fill="FFFFFF"/>
            <w:lang w:eastAsia="en-US"/>
            <w14:ligatures w14:val="none"/>
          </w:rPr>
          <w:t>https://doi.org/10.1186/1471-244X-10-113</w:t>
        </w:r>
      </w:hyperlink>
    </w:p>
    <w:p w14:paraId="2E99A71C"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Hazari, A. (2024)</w:t>
      </w:r>
      <w:r w:rsidRPr="007D5CF2">
        <w:rPr>
          <w:rFonts w:ascii="Arial" w:eastAsia="Calibri" w:hAnsi="Arial" w:cs="Arial"/>
          <w:color w:val="222222"/>
          <w:kern w:val="0"/>
          <w:shd w:val="clear" w:color="auto" w:fill="FFFFFF"/>
          <w:lang w:eastAsia="en-US"/>
          <w14:ligatures w14:val="none"/>
        </w:rPr>
        <w:t xml:space="preserve"> ‘Critical appraisal’, in </w:t>
      </w:r>
      <w:r w:rsidRPr="007D5CF2">
        <w:rPr>
          <w:rFonts w:ascii="Arial" w:eastAsia="Calibri" w:hAnsi="Arial" w:cs="Arial"/>
          <w:i/>
          <w:iCs/>
          <w:color w:val="222222"/>
          <w:kern w:val="0"/>
          <w:shd w:val="clear" w:color="auto" w:fill="FFFFFF"/>
          <w:lang w:eastAsia="en-US"/>
          <w14:ligatures w14:val="none"/>
        </w:rPr>
        <w:t>Research Methodology for Allied Health Professionals: A Comprehensive Guide to Thesis and Dissertation</w:t>
      </w:r>
      <w:r w:rsidRPr="007D5CF2">
        <w:rPr>
          <w:rFonts w:ascii="Arial" w:eastAsia="Calibri" w:hAnsi="Arial" w:cs="Arial"/>
          <w:color w:val="222222"/>
          <w:kern w:val="0"/>
          <w:shd w:val="clear" w:color="auto" w:fill="FFFFFF"/>
          <w:lang w:eastAsia="en-US"/>
          <w14:ligatures w14:val="none"/>
        </w:rPr>
        <w:t>, pp. 121–128.</w:t>
      </w:r>
    </w:p>
    <w:p w14:paraId="57ACA88D"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Health and Social Care Committee (2023)</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Workforce: Recruitment, Training and Retention in Health and Social Care</w:t>
      </w:r>
      <w:r w:rsidRPr="007D5CF2">
        <w:rPr>
          <w:rFonts w:ascii="Arial" w:eastAsia="Calibri" w:hAnsi="Arial" w:cs="Arial"/>
          <w:color w:val="222222"/>
          <w:kern w:val="0"/>
          <w:shd w:val="clear" w:color="auto" w:fill="FFFFFF"/>
          <w:lang w:eastAsia="en-US"/>
          <w14:ligatures w14:val="none"/>
        </w:rPr>
        <w:t xml:space="preserve">. London: House of Commons. Available at: </w:t>
      </w:r>
      <w:hyperlink r:id="rId45" w:tgtFrame="_new" w:history="1">
        <w:r w:rsidRPr="007D5CF2">
          <w:rPr>
            <w:rFonts w:ascii="Arial" w:eastAsia="Calibri" w:hAnsi="Arial" w:cs="Arial"/>
            <w:color w:val="0563C1"/>
            <w:kern w:val="0"/>
            <w:u w:val="single"/>
            <w:shd w:val="clear" w:color="auto" w:fill="FFFFFF"/>
            <w:lang w:eastAsia="en-US"/>
            <w14:ligatures w14:val="none"/>
          </w:rPr>
          <w:t>https://committees.parliament.uk/</w:t>
        </w:r>
      </w:hyperlink>
      <w:r w:rsidRPr="007D5CF2">
        <w:rPr>
          <w:rFonts w:ascii="Arial" w:eastAsia="Calibri" w:hAnsi="Arial" w:cs="Arial"/>
          <w:color w:val="222222"/>
          <w:kern w:val="0"/>
          <w:shd w:val="clear" w:color="auto" w:fill="FFFFFF"/>
          <w:lang w:eastAsia="en-US"/>
          <w14:ligatures w14:val="none"/>
        </w:rPr>
        <w:t xml:space="preserve"> (Accessed: 21 July 2026).</w:t>
      </w:r>
    </w:p>
    <w:p w14:paraId="15CB0FBA"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Heinze, K., Lin, A., Nelson, B. </w:t>
      </w:r>
      <w:r w:rsidRPr="007D5CF2">
        <w:rPr>
          <w:rFonts w:ascii="Arial" w:eastAsia="Times New Roman" w:hAnsi="Arial" w:cs="Arial"/>
          <w:i/>
          <w:iCs/>
          <w:kern w:val="0"/>
          <w:lang w:eastAsia="en-GB"/>
          <w14:ligatures w14:val="none"/>
        </w:rPr>
        <w:t>et al.</w:t>
      </w:r>
      <w:r w:rsidRPr="007D5CF2">
        <w:rPr>
          <w:rFonts w:ascii="Arial" w:eastAsia="Times New Roman" w:hAnsi="Arial" w:cs="Arial"/>
          <w:kern w:val="0"/>
          <w:lang w:eastAsia="en-GB"/>
          <w14:ligatures w14:val="none"/>
        </w:rPr>
        <w:t xml:space="preserve"> (2018) ‘The impact of psychotic experiences in the early stages of mental health problems in young people’,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18, 214. </w:t>
      </w:r>
      <w:hyperlink r:id="rId46" w:history="1">
        <w:r w:rsidRPr="007D5CF2">
          <w:rPr>
            <w:rFonts w:ascii="Arial" w:eastAsia="Times New Roman" w:hAnsi="Arial" w:cs="Arial"/>
            <w:color w:val="0563C1"/>
            <w:kern w:val="0"/>
            <w:u w:val="single"/>
            <w:lang w:eastAsia="en-GB"/>
            <w14:ligatures w14:val="none"/>
          </w:rPr>
          <w:t>https://doi.org/10.1186/s12888-018-1767</w:t>
        </w:r>
      </w:hyperlink>
      <w:r w:rsidRPr="007D5CF2">
        <w:rPr>
          <w:rFonts w:ascii="Arial" w:eastAsia="Times New Roman" w:hAnsi="Arial" w:cs="Arial"/>
          <w:kern w:val="0"/>
          <w:lang w:eastAsia="en-GB"/>
          <w14:ligatures w14:val="none"/>
        </w:rPr>
        <w:t xml:space="preserve"> </w:t>
      </w:r>
    </w:p>
    <w:p w14:paraId="2A2718A1"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 xml:space="preserve">Hikmat, R., Yosep, I., </w:t>
      </w:r>
      <w:proofErr w:type="spellStart"/>
      <w:r w:rsidRPr="007D5CF2">
        <w:rPr>
          <w:rFonts w:ascii="Arial" w:eastAsia="Calibri" w:hAnsi="Arial" w:cs="Arial"/>
          <w:bCs/>
          <w:color w:val="222222"/>
          <w:kern w:val="0"/>
          <w:shd w:val="clear" w:color="auto" w:fill="FFFFFF"/>
          <w:lang w:eastAsia="en-US"/>
          <w14:ligatures w14:val="none"/>
        </w:rPr>
        <w:t>Mardhiyah</w:t>
      </w:r>
      <w:proofErr w:type="spellEnd"/>
      <w:r w:rsidRPr="007D5CF2">
        <w:rPr>
          <w:rFonts w:ascii="Arial" w:eastAsia="Calibri" w:hAnsi="Arial" w:cs="Arial"/>
          <w:bCs/>
          <w:color w:val="222222"/>
          <w:kern w:val="0"/>
          <w:shd w:val="clear" w:color="auto" w:fill="FFFFFF"/>
          <w:lang w:eastAsia="en-US"/>
          <w14:ligatures w14:val="none"/>
        </w:rPr>
        <w:t>, A., Kurniawan, K. and Syabana, M.N. (2025)</w:t>
      </w:r>
      <w:r w:rsidRPr="007D5CF2">
        <w:rPr>
          <w:rFonts w:ascii="Arial" w:eastAsia="Calibri" w:hAnsi="Arial" w:cs="Arial"/>
          <w:color w:val="222222"/>
          <w:kern w:val="0"/>
          <w:shd w:val="clear" w:color="auto" w:fill="FFFFFF"/>
          <w:lang w:eastAsia="en-US"/>
          <w14:ligatures w14:val="none"/>
        </w:rPr>
        <w:t xml:space="preserve"> ‘A scoping review of school-based psychological interventions for adolescent mental health in secondary education: addressing anxiety, depression, and well-being’, </w:t>
      </w:r>
      <w:r w:rsidRPr="007D5CF2">
        <w:rPr>
          <w:rFonts w:ascii="Arial" w:eastAsia="Calibri" w:hAnsi="Arial" w:cs="Arial"/>
          <w:i/>
          <w:iCs/>
          <w:color w:val="222222"/>
          <w:kern w:val="0"/>
          <w:shd w:val="clear" w:color="auto" w:fill="FFFFFF"/>
          <w:lang w:eastAsia="en-US"/>
          <w14:ligatures w14:val="none"/>
        </w:rPr>
        <w:t>Discover Mental Health</w:t>
      </w:r>
      <w:r w:rsidRPr="007D5CF2">
        <w:rPr>
          <w:rFonts w:ascii="Arial" w:eastAsia="Calibri" w:hAnsi="Arial" w:cs="Arial"/>
          <w:color w:val="222222"/>
          <w:kern w:val="0"/>
          <w:shd w:val="clear" w:color="auto" w:fill="FFFFFF"/>
          <w:lang w:eastAsia="en-US"/>
          <w14:ligatures w14:val="none"/>
        </w:rPr>
        <w:t>, 6(1), 11.</w:t>
      </w:r>
    </w:p>
    <w:p w14:paraId="38E8ABF6"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Holding, E., Crowder, M., Woodrow, N., Griffin, N., Knights, N., Goyder, E. and Fairbrother, H. (2022)</w:t>
      </w:r>
      <w:r w:rsidRPr="007D5CF2">
        <w:rPr>
          <w:rFonts w:ascii="Arial" w:eastAsia="Calibri" w:hAnsi="Arial" w:cs="Arial"/>
          <w:color w:val="222222"/>
          <w:kern w:val="0"/>
          <w:shd w:val="clear" w:color="auto" w:fill="FFFFFF"/>
          <w:lang w:eastAsia="en-US"/>
          <w14:ligatures w14:val="none"/>
        </w:rPr>
        <w:t xml:space="preserve"> ‘Exploring young people's perspectives on mental health support: a qualitative study across three geographical areas in England, UK’, </w:t>
      </w:r>
      <w:r w:rsidRPr="007D5CF2">
        <w:rPr>
          <w:rFonts w:ascii="Arial" w:eastAsia="Calibri" w:hAnsi="Arial" w:cs="Arial"/>
          <w:i/>
          <w:iCs/>
          <w:color w:val="222222"/>
          <w:kern w:val="0"/>
          <w:shd w:val="clear" w:color="auto" w:fill="FFFFFF"/>
          <w:lang w:eastAsia="en-US"/>
          <w14:ligatures w14:val="none"/>
        </w:rPr>
        <w:t>Health &amp; Social Care in the Community</w:t>
      </w:r>
      <w:r w:rsidRPr="007D5CF2">
        <w:rPr>
          <w:rFonts w:ascii="Arial" w:eastAsia="Calibri" w:hAnsi="Arial" w:cs="Arial"/>
          <w:color w:val="222222"/>
          <w:kern w:val="0"/>
          <w:shd w:val="clear" w:color="auto" w:fill="FFFFFF"/>
          <w:lang w:eastAsia="en-US"/>
          <w14:ligatures w14:val="none"/>
        </w:rPr>
        <w:t xml:space="preserve">, 30(6), pp. e6366–e6375.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47" w:history="1">
        <w:r w:rsidRPr="007D5CF2">
          <w:rPr>
            <w:rFonts w:ascii="Arial" w:eastAsia="Calibri" w:hAnsi="Arial" w:cs="Arial"/>
            <w:color w:val="0563C1"/>
            <w:kern w:val="0"/>
            <w:u w:val="single"/>
            <w:shd w:val="clear" w:color="auto" w:fill="FFFFFF"/>
            <w:lang w:eastAsia="en-US"/>
            <w14:ligatures w14:val="none"/>
          </w:rPr>
          <w:t>https://doi.org/10.1111/hsc.14078</w:t>
        </w:r>
      </w:hyperlink>
      <w:r w:rsidRPr="007D5CF2">
        <w:rPr>
          <w:rFonts w:ascii="Arial" w:eastAsia="Calibri" w:hAnsi="Arial" w:cs="Arial"/>
          <w:color w:val="222222"/>
          <w:kern w:val="0"/>
          <w:shd w:val="clear" w:color="auto" w:fill="FFFFFF"/>
          <w:lang w:eastAsia="en-US"/>
          <w14:ligatures w14:val="none"/>
        </w:rPr>
        <w:t xml:space="preserve"> </w:t>
      </w:r>
    </w:p>
    <w:p w14:paraId="5119BD2E"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Johnston, M.P. (2017)</w:t>
      </w:r>
      <w:r w:rsidRPr="007D5CF2">
        <w:rPr>
          <w:rFonts w:ascii="Arial" w:eastAsia="Calibri" w:hAnsi="Arial" w:cs="Arial"/>
          <w:color w:val="222222"/>
          <w:kern w:val="0"/>
          <w:shd w:val="clear" w:color="auto" w:fill="FFFFFF"/>
          <w:lang w:eastAsia="en-US"/>
          <w14:ligatures w14:val="none"/>
        </w:rPr>
        <w:t xml:space="preserve"> ‘Secondary data analysis: a method of which the time has come’, </w:t>
      </w:r>
      <w:r w:rsidRPr="007D5CF2">
        <w:rPr>
          <w:rFonts w:ascii="Arial" w:eastAsia="Calibri" w:hAnsi="Arial" w:cs="Arial"/>
          <w:i/>
          <w:iCs/>
          <w:color w:val="222222"/>
          <w:kern w:val="0"/>
          <w:shd w:val="clear" w:color="auto" w:fill="FFFFFF"/>
          <w:lang w:eastAsia="en-US"/>
          <w14:ligatures w14:val="none"/>
        </w:rPr>
        <w:t>Qualitative and Quantitative Methods in Libraries</w:t>
      </w:r>
      <w:r w:rsidRPr="007D5CF2">
        <w:rPr>
          <w:rFonts w:ascii="Arial" w:eastAsia="Calibri" w:hAnsi="Arial" w:cs="Arial"/>
          <w:color w:val="222222"/>
          <w:kern w:val="0"/>
          <w:shd w:val="clear" w:color="auto" w:fill="FFFFFF"/>
          <w:lang w:eastAsia="en-US"/>
          <w14:ligatures w14:val="none"/>
        </w:rPr>
        <w:t>, 3(3), pp. 619–626.</w:t>
      </w:r>
    </w:p>
    <w:p w14:paraId="637B6C1E"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Kirk, S., Fraser, C., Evans, N., Lane, R., Crooks, J., Naughton, G. and Pryjmachuk, S. (2023) ‘Perceptions of the key components of effective, acceptable and accessible services for children and young people experiencing common mental health problems: a qualitative study’, </w:t>
      </w:r>
      <w:r w:rsidRPr="007D5CF2">
        <w:rPr>
          <w:rFonts w:ascii="Arial" w:eastAsia="Times New Roman" w:hAnsi="Arial" w:cs="Arial"/>
          <w:i/>
          <w:iCs/>
          <w:kern w:val="0"/>
          <w:lang w:eastAsia="en-GB"/>
          <w14:ligatures w14:val="none"/>
        </w:rPr>
        <w:t>BMC Health Services Research</w:t>
      </w:r>
      <w:r w:rsidRPr="007D5CF2">
        <w:rPr>
          <w:rFonts w:ascii="Arial" w:eastAsia="Times New Roman" w:hAnsi="Arial" w:cs="Arial"/>
          <w:kern w:val="0"/>
          <w:lang w:eastAsia="en-GB"/>
          <w14:ligatures w14:val="none"/>
        </w:rPr>
        <w:t xml:space="preserve">, 23, 391. </w:t>
      </w:r>
      <w:hyperlink r:id="rId48" w:history="1">
        <w:r w:rsidRPr="007D5CF2">
          <w:rPr>
            <w:rFonts w:ascii="Arial" w:eastAsia="Times New Roman" w:hAnsi="Arial" w:cs="Arial"/>
            <w:color w:val="0563C1"/>
            <w:kern w:val="0"/>
            <w:u w:val="single"/>
            <w:lang w:eastAsia="en-GB"/>
            <w14:ligatures w14:val="none"/>
          </w:rPr>
          <w:t>https://doi.org/10.1186/s12913-023-09300-2</w:t>
        </w:r>
      </w:hyperlink>
      <w:r w:rsidRPr="007D5CF2">
        <w:rPr>
          <w:rFonts w:ascii="Arial" w:eastAsia="Times New Roman" w:hAnsi="Arial" w:cs="Arial"/>
          <w:kern w:val="0"/>
          <w:lang w:eastAsia="en-GB"/>
          <w14:ligatures w14:val="none"/>
        </w:rPr>
        <w:t xml:space="preserve"> </w:t>
      </w:r>
    </w:p>
    <w:p w14:paraId="10EFB602"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Kitchen, C.E., Lewis, S., Ekers, D., Gega, L. and Tiffin, P.A. (2023)</w:t>
      </w:r>
      <w:r w:rsidRPr="007D5CF2">
        <w:rPr>
          <w:rFonts w:ascii="Arial" w:eastAsia="Calibri" w:hAnsi="Arial" w:cs="Arial"/>
          <w:color w:val="222222"/>
          <w:kern w:val="0"/>
          <w:shd w:val="clear" w:color="auto" w:fill="FFFFFF"/>
          <w:lang w:eastAsia="en-US"/>
          <w14:ligatures w14:val="none"/>
        </w:rPr>
        <w:t xml:space="preserve"> ‘Barriers and enablers for young people, parents and therapists undertaking behavioural activation for depression: a qualitative evaluation within a randomised controlled trial’, </w:t>
      </w:r>
      <w:r w:rsidRPr="007D5CF2">
        <w:rPr>
          <w:rFonts w:ascii="Arial" w:eastAsia="Calibri" w:hAnsi="Arial" w:cs="Arial"/>
          <w:i/>
          <w:iCs/>
          <w:color w:val="222222"/>
          <w:kern w:val="0"/>
          <w:shd w:val="clear" w:color="auto" w:fill="FFFFFF"/>
          <w:lang w:eastAsia="en-US"/>
          <w14:ligatures w14:val="none"/>
        </w:rPr>
        <w:t>Psychology and Psychotherapy: Theory, Research and Practice</w:t>
      </w:r>
      <w:r w:rsidRPr="007D5CF2">
        <w:rPr>
          <w:rFonts w:ascii="Arial" w:eastAsia="Calibri" w:hAnsi="Arial" w:cs="Arial"/>
          <w:color w:val="222222"/>
          <w:kern w:val="0"/>
          <w:shd w:val="clear" w:color="auto" w:fill="FFFFFF"/>
          <w:lang w:eastAsia="en-US"/>
          <w14:ligatures w14:val="none"/>
        </w:rPr>
        <w:t xml:space="preserve">, 96(2), pp. 504–524.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49" w:history="1">
        <w:r w:rsidRPr="007D5CF2">
          <w:rPr>
            <w:rFonts w:ascii="Arial" w:eastAsia="Calibri" w:hAnsi="Arial" w:cs="Arial"/>
            <w:color w:val="0563C1"/>
            <w:kern w:val="0"/>
            <w:u w:val="single"/>
            <w:shd w:val="clear" w:color="auto" w:fill="FFFFFF"/>
            <w:lang w:eastAsia="en-US"/>
            <w14:ligatures w14:val="none"/>
          </w:rPr>
          <w:t>https://doi.org/10.1111/papt.12452</w:t>
        </w:r>
      </w:hyperlink>
      <w:r w:rsidRPr="007D5CF2">
        <w:rPr>
          <w:rFonts w:ascii="Arial" w:eastAsia="Calibri" w:hAnsi="Arial" w:cs="Arial"/>
          <w:color w:val="222222"/>
          <w:kern w:val="0"/>
          <w:shd w:val="clear" w:color="auto" w:fill="FFFFFF"/>
          <w:lang w:eastAsia="en-US"/>
          <w14:ligatures w14:val="none"/>
        </w:rPr>
        <w:t xml:space="preserve"> </w:t>
      </w:r>
    </w:p>
    <w:p w14:paraId="57262EE9"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Lee, S.H. (2022)</w:t>
      </w:r>
      <w:r w:rsidRPr="007D5CF2">
        <w:rPr>
          <w:rFonts w:ascii="Arial" w:eastAsia="Calibri" w:hAnsi="Arial" w:cs="Arial"/>
          <w:color w:val="222222"/>
          <w:kern w:val="0"/>
          <w:shd w:val="clear" w:color="auto" w:fill="FFFFFF"/>
          <w:lang w:eastAsia="en-US"/>
          <w14:ligatures w14:val="none"/>
        </w:rPr>
        <w:t xml:space="preserve"> ‘Naturalistic Inquiry/Qualitative Studies’, in </w:t>
      </w:r>
      <w:r w:rsidRPr="007D5CF2">
        <w:rPr>
          <w:rFonts w:ascii="Arial" w:eastAsia="Calibri" w:hAnsi="Arial" w:cs="Arial"/>
          <w:i/>
          <w:iCs/>
          <w:color w:val="222222"/>
          <w:kern w:val="0"/>
          <w:shd w:val="clear" w:color="auto" w:fill="FFFFFF"/>
          <w:lang w:eastAsia="en-US"/>
          <w14:ligatures w14:val="none"/>
        </w:rPr>
        <w:t>Scholarly Research in Music: Shared and Disciplinary-Specific Practices</w:t>
      </w:r>
      <w:r w:rsidRPr="007D5CF2">
        <w:rPr>
          <w:rFonts w:ascii="Arial" w:eastAsia="Calibri" w:hAnsi="Arial" w:cs="Arial"/>
          <w:color w:val="222222"/>
          <w:kern w:val="0"/>
          <w:shd w:val="clear" w:color="auto" w:fill="FFFFFF"/>
          <w:lang w:eastAsia="en-US"/>
          <w14:ligatures w14:val="none"/>
        </w:rPr>
        <w:t>, pp. 87–94.</w:t>
      </w:r>
    </w:p>
    <w:p w14:paraId="6EE285B8"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Lincoln, Y.S. and Guba, E.G. (1985)</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Naturalistic Inquiry</w:t>
      </w:r>
      <w:r w:rsidRPr="007D5CF2">
        <w:rPr>
          <w:rFonts w:ascii="Arial" w:eastAsia="Calibri" w:hAnsi="Arial" w:cs="Arial"/>
          <w:color w:val="222222"/>
          <w:kern w:val="0"/>
          <w:shd w:val="clear" w:color="auto" w:fill="FFFFFF"/>
          <w:lang w:eastAsia="en-US"/>
          <w14:ligatures w14:val="none"/>
        </w:rPr>
        <w:t>. Beverly Hills, CA: Sage.</w:t>
      </w:r>
    </w:p>
    <w:p w14:paraId="0330E553"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Long, J., Knowles, E., Bishop-Edwards, L. and </w:t>
      </w:r>
      <w:proofErr w:type="spellStart"/>
      <w:r w:rsidRPr="007D5CF2">
        <w:rPr>
          <w:rFonts w:ascii="Arial" w:eastAsia="Times New Roman" w:hAnsi="Arial" w:cs="Arial"/>
          <w:kern w:val="0"/>
          <w:lang w:eastAsia="en-GB"/>
          <w14:ligatures w14:val="none"/>
        </w:rPr>
        <w:t>O’Cathain</w:t>
      </w:r>
      <w:proofErr w:type="spellEnd"/>
      <w:r w:rsidRPr="007D5CF2">
        <w:rPr>
          <w:rFonts w:ascii="Arial" w:eastAsia="Times New Roman" w:hAnsi="Arial" w:cs="Arial"/>
          <w:kern w:val="0"/>
          <w:lang w:eastAsia="en-GB"/>
          <w14:ligatures w14:val="none"/>
        </w:rPr>
        <w:t xml:space="preserve">, A. (2021) ‘Understanding young adults’ reasons for seeking “clinically unnecessary” urgent and emergency care: a qualitative interview study’, </w:t>
      </w:r>
      <w:r w:rsidRPr="007D5CF2">
        <w:rPr>
          <w:rFonts w:ascii="Arial" w:eastAsia="Times New Roman" w:hAnsi="Arial" w:cs="Arial"/>
          <w:i/>
          <w:iCs/>
          <w:kern w:val="0"/>
          <w:lang w:eastAsia="en-GB"/>
          <w14:ligatures w14:val="none"/>
        </w:rPr>
        <w:t>Health Expectations</w:t>
      </w:r>
      <w:r w:rsidRPr="007D5CF2">
        <w:rPr>
          <w:rFonts w:ascii="Arial" w:eastAsia="Times New Roman" w:hAnsi="Arial" w:cs="Arial"/>
          <w:kern w:val="0"/>
          <w:lang w:eastAsia="en-GB"/>
          <w14:ligatures w14:val="none"/>
        </w:rPr>
        <w:t xml:space="preserve">, 24(4), pp. 1535–1544. </w:t>
      </w:r>
      <w:hyperlink r:id="rId50" w:history="1">
        <w:r w:rsidRPr="007D5CF2">
          <w:rPr>
            <w:rFonts w:ascii="Arial" w:eastAsia="Times New Roman" w:hAnsi="Arial" w:cs="Arial"/>
            <w:color w:val="0563C1"/>
            <w:kern w:val="0"/>
            <w:u w:val="single"/>
            <w:lang w:eastAsia="en-GB"/>
            <w14:ligatures w14:val="none"/>
          </w:rPr>
          <w:t>https://doi.org/10.1111/hex.13301</w:t>
        </w:r>
      </w:hyperlink>
      <w:r w:rsidRPr="007D5CF2">
        <w:rPr>
          <w:rFonts w:ascii="Arial" w:eastAsia="Times New Roman" w:hAnsi="Arial" w:cs="Arial"/>
          <w:kern w:val="0"/>
          <w:lang w:eastAsia="en-GB"/>
          <w14:ligatures w14:val="none"/>
        </w:rPr>
        <w:t xml:space="preserve"> </w:t>
      </w:r>
    </w:p>
    <w:p w14:paraId="05DA4FD6"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Macdonald, G.M. and Lucas, P.J. (2025) ‘The barriers and facilitators to help-seeking: what young people in the UK say: a systematic review’, </w:t>
      </w:r>
      <w:r w:rsidRPr="007D5CF2">
        <w:rPr>
          <w:rFonts w:ascii="Arial" w:eastAsia="Times New Roman" w:hAnsi="Arial" w:cs="Arial"/>
          <w:i/>
          <w:iCs/>
          <w:kern w:val="0"/>
          <w:lang w:eastAsia="en-GB"/>
          <w14:ligatures w14:val="none"/>
        </w:rPr>
        <w:t>British Journal of Social Work</w:t>
      </w:r>
      <w:r w:rsidRPr="007D5CF2">
        <w:rPr>
          <w:rFonts w:ascii="Arial" w:eastAsia="Times New Roman" w:hAnsi="Arial" w:cs="Arial"/>
          <w:kern w:val="0"/>
          <w:lang w:eastAsia="en-GB"/>
          <w14:ligatures w14:val="none"/>
        </w:rPr>
        <w:t xml:space="preserve">, 56(3), pp. 1263–1285.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1" w:tgtFrame="_blank" w:history="1">
        <w:r w:rsidRPr="007D5CF2">
          <w:rPr>
            <w:rFonts w:ascii="Arial" w:eastAsia="Times New Roman" w:hAnsi="Arial" w:cs="Arial"/>
            <w:color w:val="0000FF"/>
            <w:kern w:val="0"/>
            <w:u w:val="single"/>
            <w:lang w:eastAsia="en-GB"/>
            <w14:ligatures w14:val="none"/>
          </w:rPr>
          <w:t>10.1093/</w:t>
        </w:r>
        <w:proofErr w:type="spellStart"/>
        <w:r w:rsidRPr="007D5CF2">
          <w:rPr>
            <w:rFonts w:ascii="Arial" w:eastAsia="Times New Roman" w:hAnsi="Arial" w:cs="Arial"/>
            <w:color w:val="0000FF"/>
            <w:kern w:val="0"/>
            <w:u w:val="single"/>
            <w:lang w:eastAsia="en-GB"/>
            <w14:ligatures w14:val="none"/>
          </w:rPr>
          <w:t>bjsw</w:t>
        </w:r>
        <w:proofErr w:type="spellEnd"/>
        <w:r w:rsidRPr="007D5CF2">
          <w:rPr>
            <w:rFonts w:ascii="Arial" w:eastAsia="Times New Roman" w:hAnsi="Arial" w:cs="Arial"/>
            <w:color w:val="0000FF"/>
            <w:kern w:val="0"/>
            <w:u w:val="single"/>
            <w:lang w:eastAsia="en-GB"/>
            <w14:ligatures w14:val="none"/>
          </w:rPr>
          <w:t>/bcaf278</w:t>
        </w:r>
      </w:hyperlink>
      <w:r w:rsidRPr="007D5CF2">
        <w:rPr>
          <w:rFonts w:ascii="Arial" w:eastAsia="Times New Roman" w:hAnsi="Arial" w:cs="Arial"/>
          <w:kern w:val="0"/>
          <w:lang w:eastAsia="en-GB"/>
          <w14:ligatures w14:val="none"/>
        </w:rPr>
        <w:t>.</w:t>
      </w:r>
    </w:p>
    <w:p w14:paraId="23357E71"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MacDonald, K., </w:t>
      </w:r>
      <w:proofErr w:type="spellStart"/>
      <w:r w:rsidRPr="007D5CF2">
        <w:rPr>
          <w:rFonts w:ascii="Arial" w:eastAsia="Times New Roman" w:hAnsi="Arial" w:cs="Arial"/>
          <w:kern w:val="0"/>
          <w:lang w:eastAsia="en-GB"/>
          <w14:ligatures w14:val="none"/>
        </w:rPr>
        <w:t>Fainman</w:t>
      </w:r>
      <w:proofErr w:type="spellEnd"/>
      <w:r w:rsidRPr="007D5CF2">
        <w:rPr>
          <w:rFonts w:ascii="Arial" w:eastAsia="Times New Roman" w:hAnsi="Arial" w:cs="Arial"/>
          <w:kern w:val="0"/>
          <w:lang w:eastAsia="en-GB"/>
          <w14:ligatures w14:val="none"/>
        </w:rPr>
        <w:t xml:space="preserve">-Adelman, N., Anderson, K.K. and Iyer, S.N. (2018) ‘Pathways to mental health services for young people: a systematic review’, </w:t>
      </w:r>
      <w:r w:rsidRPr="007D5CF2">
        <w:rPr>
          <w:rFonts w:ascii="Arial" w:eastAsia="Times New Roman" w:hAnsi="Arial" w:cs="Arial"/>
          <w:i/>
          <w:iCs/>
          <w:kern w:val="0"/>
          <w:lang w:eastAsia="en-GB"/>
          <w14:ligatures w14:val="none"/>
        </w:rPr>
        <w:t>Social Psychiatry and Psychiatric Epidemiology</w:t>
      </w:r>
      <w:r w:rsidRPr="007D5CF2">
        <w:rPr>
          <w:rFonts w:ascii="Arial" w:eastAsia="Times New Roman" w:hAnsi="Arial" w:cs="Arial"/>
          <w:kern w:val="0"/>
          <w:lang w:eastAsia="en-GB"/>
          <w14:ligatures w14:val="none"/>
        </w:rPr>
        <w:t xml:space="preserve">, 53(10), pp. 1005–1038.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2" w:tgtFrame="_blank" w:history="1">
        <w:r w:rsidRPr="007D5CF2">
          <w:rPr>
            <w:rFonts w:ascii="Arial" w:eastAsia="Times New Roman" w:hAnsi="Arial" w:cs="Arial"/>
            <w:color w:val="0000FF"/>
            <w:kern w:val="0"/>
            <w:u w:val="single"/>
            <w:lang w:eastAsia="en-GB"/>
            <w14:ligatures w14:val="none"/>
          </w:rPr>
          <w:t>10.1007/s00127-018-1578-y</w:t>
        </w:r>
      </w:hyperlink>
      <w:r w:rsidRPr="007D5CF2">
        <w:rPr>
          <w:rFonts w:ascii="Arial" w:eastAsia="Times New Roman" w:hAnsi="Arial" w:cs="Arial"/>
          <w:kern w:val="0"/>
          <w:lang w:eastAsia="en-GB"/>
          <w14:ligatures w14:val="none"/>
        </w:rPr>
        <w:t>.</w:t>
      </w:r>
    </w:p>
    <w:p w14:paraId="56407A46"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Madigan, S., Racine, N., Vaillancourt, T., Korczak, D.J., Hewitt, J.M., </w:t>
      </w:r>
      <w:proofErr w:type="spellStart"/>
      <w:r w:rsidRPr="007D5CF2">
        <w:rPr>
          <w:rFonts w:ascii="Arial" w:eastAsia="Times New Roman" w:hAnsi="Arial" w:cs="Arial"/>
          <w:bCs/>
          <w:kern w:val="0"/>
          <w:lang w:eastAsia="en-GB"/>
          <w14:ligatures w14:val="none"/>
        </w:rPr>
        <w:t>Pador</w:t>
      </w:r>
      <w:proofErr w:type="spellEnd"/>
      <w:r w:rsidRPr="007D5CF2">
        <w:rPr>
          <w:rFonts w:ascii="Arial" w:eastAsia="Times New Roman" w:hAnsi="Arial" w:cs="Arial"/>
          <w:bCs/>
          <w:kern w:val="0"/>
          <w:lang w:eastAsia="en-GB"/>
          <w14:ligatures w14:val="none"/>
        </w:rPr>
        <w:t xml:space="preserve">, P.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(2023)</w:t>
      </w:r>
      <w:r w:rsidRPr="007D5CF2">
        <w:rPr>
          <w:rFonts w:ascii="Arial" w:eastAsia="Times New Roman" w:hAnsi="Arial" w:cs="Arial"/>
          <w:kern w:val="0"/>
          <w:lang w:eastAsia="en-GB"/>
          <w14:ligatures w14:val="none"/>
        </w:rPr>
        <w:t xml:space="preserve"> ‘Changes in depression and anxiety among children and adolescents from before to during the COVID-19 pandemic: a systematic review and meta-analysis’, </w:t>
      </w:r>
      <w:r w:rsidRPr="007D5CF2">
        <w:rPr>
          <w:rFonts w:ascii="Arial" w:eastAsia="Times New Roman" w:hAnsi="Arial" w:cs="Arial"/>
          <w:i/>
          <w:iCs/>
          <w:kern w:val="0"/>
          <w:lang w:eastAsia="en-GB"/>
          <w14:ligatures w14:val="none"/>
        </w:rPr>
        <w:t xml:space="preserve">JAMA </w:t>
      </w:r>
      <w:proofErr w:type="spellStart"/>
      <w:r w:rsidRPr="007D5CF2">
        <w:rPr>
          <w:rFonts w:ascii="Arial" w:eastAsia="Times New Roman" w:hAnsi="Arial" w:cs="Arial"/>
          <w:i/>
          <w:iCs/>
          <w:kern w:val="0"/>
          <w:lang w:eastAsia="en-GB"/>
          <w14:ligatures w14:val="none"/>
        </w:rPr>
        <w:t>Pediatrics</w:t>
      </w:r>
      <w:proofErr w:type="spellEnd"/>
      <w:r w:rsidRPr="007D5CF2">
        <w:rPr>
          <w:rFonts w:ascii="Arial" w:eastAsia="Times New Roman" w:hAnsi="Arial" w:cs="Arial"/>
          <w:kern w:val="0"/>
          <w:lang w:eastAsia="en-GB"/>
          <w14:ligatures w14:val="none"/>
        </w:rPr>
        <w:t xml:space="preserve">, 177(6), pp. 567–581.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3" w:tgtFrame="_new" w:history="1">
        <w:r w:rsidRPr="007D5CF2">
          <w:rPr>
            <w:rFonts w:ascii="Arial" w:eastAsia="Times New Roman" w:hAnsi="Arial" w:cs="Arial"/>
            <w:color w:val="0000FF"/>
            <w:kern w:val="0"/>
            <w:u w:val="single"/>
            <w:lang w:eastAsia="en-GB"/>
            <w14:ligatures w14:val="none"/>
          </w:rPr>
          <w:t>https://doi.org/10.1001/jamapediatrics.2023.0846</w:t>
        </w:r>
      </w:hyperlink>
      <w:r w:rsidRPr="007D5CF2">
        <w:rPr>
          <w:rFonts w:ascii="Arial" w:eastAsia="Times New Roman" w:hAnsi="Arial" w:cs="Arial"/>
          <w:kern w:val="0"/>
          <w:lang w:eastAsia="en-GB"/>
          <w14:ligatures w14:val="none"/>
        </w:rPr>
        <w:t>.</w:t>
      </w:r>
    </w:p>
    <w:p w14:paraId="029FBA1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Malla, A., Iyer, S., McGorry, P., Cannon, M., Coughlan, H., Singh, S.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(2016)</w:t>
      </w:r>
      <w:r w:rsidRPr="007D5CF2">
        <w:rPr>
          <w:rFonts w:ascii="Arial" w:eastAsia="Times New Roman" w:hAnsi="Arial" w:cs="Arial"/>
          <w:kern w:val="0"/>
          <w:lang w:eastAsia="en-GB"/>
          <w14:ligatures w14:val="none"/>
        </w:rPr>
        <w:t xml:space="preserve"> ‘From early intervention in psychosis to youth mental health reform: a review of the evolution and transformation of mental health services for young people’, </w:t>
      </w:r>
      <w:r w:rsidRPr="007D5CF2">
        <w:rPr>
          <w:rFonts w:ascii="Arial" w:eastAsia="Times New Roman" w:hAnsi="Arial" w:cs="Arial"/>
          <w:i/>
          <w:iCs/>
          <w:kern w:val="0"/>
          <w:lang w:eastAsia="en-GB"/>
          <w14:ligatures w14:val="none"/>
        </w:rPr>
        <w:t>Social Psychiatry and Psychiatric Epidemiology</w:t>
      </w:r>
      <w:r w:rsidRPr="007D5CF2">
        <w:rPr>
          <w:rFonts w:ascii="Arial" w:eastAsia="Times New Roman" w:hAnsi="Arial" w:cs="Arial"/>
          <w:kern w:val="0"/>
          <w:lang w:eastAsia="en-GB"/>
          <w14:ligatures w14:val="none"/>
        </w:rPr>
        <w:t xml:space="preserve">, 51(3), pp. 319–326.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4" w:history="1">
        <w:r w:rsidRPr="007D5CF2">
          <w:rPr>
            <w:rFonts w:ascii="Arial" w:eastAsia="Times New Roman" w:hAnsi="Arial" w:cs="Arial"/>
            <w:color w:val="0563C1"/>
            <w:kern w:val="0"/>
            <w:u w:val="single"/>
            <w:lang w:eastAsia="en-GB"/>
            <w14:ligatures w14:val="none"/>
          </w:rPr>
          <w:t>https://doi.org/10.1007/s00127-015-1165-4</w:t>
        </w:r>
      </w:hyperlink>
      <w:r w:rsidRPr="007D5CF2">
        <w:rPr>
          <w:rFonts w:ascii="Arial" w:eastAsia="Times New Roman" w:hAnsi="Arial" w:cs="Arial"/>
          <w:kern w:val="0"/>
          <w:lang w:eastAsia="en-GB"/>
          <w14:ligatures w14:val="none"/>
        </w:rPr>
        <w:t xml:space="preserve">. </w:t>
      </w:r>
    </w:p>
    <w:p w14:paraId="44B2E0AB"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color w:val="222222"/>
          <w:kern w:val="0"/>
          <w:shd w:val="clear" w:color="auto" w:fill="FFFFFF"/>
          <w:lang w:eastAsia="en-US"/>
          <w14:ligatures w14:val="none"/>
        </w:rPr>
        <w:t xml:space="preserve">Marmot, M. (2020). Health equity in England: </w:t>
      </w:r>
      <w:proofErr w:type="gramStart"/>
      <w:r w:rsidRPr="007D5CF2">
        <w:rPr>
          <w:rFonts w:ascii="Arial" w:eastAsia="Calibri" w:hAnsi="Arial" w:cs="Arial"/>
          <w:color w:val="222222"/>
          <w:kern w:val="0"/>
          <w:shd w:val="clear" w:color="auto" w:fill="FFFFFF"/>
          <w:lang w:eastAsia="en-US"/>
          <w14:ligatures w14:val="none"/>
        </w:rPr>
        <w:t>the</w:t>
      </w:r>
      <w:proofErr w:type="gramEnd"/>
      <w:r w:rsidRPr="007D5CF2">
        <w:rPr>
          <w:rFonts w:ascii="Arial" w:eastAsia="Calibri" w:hAnsi="Arial" w:cs="Arial"/>
          <w:color w:val="222222"/>
          <w:kern w:val="0"/>
          <w:shd w:val="clear" w:color="auto" w:fill="FFFFFF"/>
          <w:lang w:eastAsia="en-US"/>
          <w14:ligatures w14:val="none"/>
        </w:rPr>
        <w:t xml:space="preserve"> Marmot review 10 years on. </w:t>
      </w:r>
      <w:proofErr w:type="spellStart"/>
      <w:r w:rsidRPr="007D5CF2">
        <w:rPr>
          <w:rFonts w:ascii="Arial" w:eastAsia="Calibri" w:hAnsi="Arial" w:cs="Arial"/>
          <w:i/>
          <w:iCs/>
          <w:color w:val="222222"/>
          <w:kern w:val="0"/>
          <w:shd w:val="clear" w:color="auto" w:fill="FFFFFF"/>
          <w:lang w:eastAsia="en-US"/>
          <w14:ligatures w14:val="none"/>
        </w:rPr>
        <w:t>Bmj</w:t>
      </w:r>
      <w:proofErr w:type="spellEnd"/>
      <w:r w:rsidRPr="007D5CF2">
        <w:rPr>
          <w:rFonts w:ascii="Arial" w:eastAsia="Calibri" w:hAnsi="Arial" w:cs="Arial"/>
          <w:color w:val="222222"/>
          <w:kern w:val="0"/>
          <w:shd w:val="clear" w:color="auto" w:fill="FFFFFF"/>
          <w:lang w:eastAsia="en-US"/>
          <w14:ligatures w14:val="none"/>
        </w:rPr>
        <w:t>, </w:t>
      </w:r>
      <w:r w:rsidRPr="007D5CF2">
        <w:rPr>
          <w:rFonts w:ascii="Arial" w:eastAsia="Calibri" w:hAnsi="Arial" w:cs="Arial"/>
          <w:i/>
          <w:iCs/>
          <w:color w:val="222222"/>
          <w:kern w:val="0"/>
          <w:shd w:val="clear" w:color="auto" w:fill="FFFFFF"/>
          <w:lang w:eastAsia="en-US"/>
          <w14:ligatures w14:val="none"/>
        </w:rPr>
        <w:t>368</w:t>
      </w:r>
      <w:r w:rsidRPr="007D5CF2">
        <w:rPr>
          <w:rFonts w:ascii="Arial" w:eastAsia="Calibri" w:hAnsi="Arial" w:cs="Arial"/>
          <w:color w:val="222222"/>
          <w:kern w:val="0"/>
          <w:shd w:val="clear" w:color="auto" w:fill="FFFFFF"/>
          <w:lang w:eastAsia="en-US"/>
          <w14:ligatures w14:val="none"/>
        </w:rPr>
        <w:t>.</w:t>
      </w:r>
    </w:p>
    <w:p w14:paraId="1D61D193"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McDonagh, J.E., </w:t>
      </w:r>
      <w:proofErr w:type="spellStart"/>
      <w:r w:rsidRPr="007D5CF2">
        <w:rPr>
          <w:rFonts w:ascii="Arial" w:eastAsia="Times New Roman" w:hAnsi="Arial" w:cs="Arial"/>
          <w:bCs/>
          <w:kern w:val="0"/>
          <w:lang w:eastAsia="en-GB"/>
          <w14:ligatures w14:val="none"/>
        </w:rPr>
        <w:t>Ambresin</w:t>
      </w:r>
      <w:proofErr w:type="spellEnd"/>
      <w:r w:rsidRPr="007D5CF2">
        <w:rPr>
          <w:rFonts w:ascii="Arial" w:eastAsia="Times New Roman" w:hAnsi="Arial" w:cs="Arial"/>
          <w:bCs/>
          <w:kern w:val="0"/>
          <w:lang w:eastAsia="en-GB"/>
          <w14:ligatures w14:val="none"/>
        </w:rPr>
        <w:t xml:space="preserve">, A.E., Boisen, K.A., Fonseca, H., Kruse, P.J., Meynard, A.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(2018)</w:t>
      </w:r>
      <w:r w:rsidRPr="007D5CF2">
        <w:rPr>
          <w:rFonts w:ascii="Arial" w:eastAsia="Times New Roman" w:hAnsi="Arial" w:cs="Arial"/>
          <w:kern w:val="0"/>
          <w:lang w:eastAsia="en-GB"/>
          <w14:ligatures w14:val="none"/>
        </w:rPr>
        <w:t xml:space="preserve"> ‘The age of adolescence… and young adulthood’, </w:t>
      </w:r>
      <w:r w:rsidRPr="007D5CF2">
        <w:rPr>
          <w:rFonts w:ascii="Arial" w:eastAsia="Times New Roman" w:hAnsi="Arial" w:cs="Arial"/>
          <w:i/>
          <w:iCs/>
          <w:kern w:val="0"/>
          <w:lang w:eastAsia="en-GB"/>
          <w14:ligatures w14:val="none"/>
        </w:rPr>
        <w:t>The Lancet Child &amp; Adolescent Health</w:t>
      </w:r>
      <w:r w:rsidRPr="007D5CF2">
        <w:rPr>
          <w:rFonts w:ascii="Arial" w:eastAsia="Times New Roman" w:hAnsi="Arial" w:cs="Arial"/>
          <w:kern w:val="0"/>
          <w:lang w:eastAsia="en-GB"/>
          <w14:ligatures w14:val="none"/>
        </w:rPr>
        <w:t xml:space="preserve">, 2(4), e6.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5" w:history="1">
        <w:r w:rsidRPr="007D5CF2">
          <w:rPr>
            <w:rFonts w:ascii="Arial" w:eastAsia="Times New Roman" w:hAnsi="Arial" w:cs="Arial"/>
            <w:color w:val="0563C1"/>
            <w:kern w:val="0"/>
            <w:u w:val="single"/>
            <w:lang w:eastAsia="en-GB"/>
            <w14:ligatures w14:val="none"/>
          </w:rPr>
          <w:t>https://doi.org/10.1016/S2352-4642(18)30074-9</w:t>
        </w:r>
      </w:hyperlink>
      <w:r w:rsidRPr="007D5CF2">
        <w:rPr>
          <w:rFonts w:ascii="Arial" w:eastAsia="Times New Roman" w:hAnsi="Arial" w:cs="Arial"/>
          <w:kern w:val="0"/>
          <w:lang w:eastAsia="en-GB"/>
          <w14:ligatures w14:val="none"/>
        </w:rPr>
        <w:t xml:space="preserve"> </w:t>
      </w:r>
    </w:p>
    <w:p w14:paraId="4CB1A98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McGorry, P.D. and Mei, C. (2018)</w:t>
      </w:r>
      <w:r w:rsidRPr="007D5CF2">
        <w:rPr>
          <w:rFonts w:ascii="Arial" w:eastAsia="Times New Roman" w:hAnsi="Arial" w:cs="Arial"/>
          <w:kern w:val="0"/>
          <w:lang w:eastAsia="en-GB"/>
          <w14:ligatures w14:val="none"/>
        </w:rPr>
        <w:t xml:space="preserve"> ‘Early intervention in youth mental health: progress and future directions’, </w:t>
      </w:r>
      <w:r w:rsidRPr="007D5CF2">
        <w:rPr>
          <w:rFonts w:ascii="Arial" w:eastAsia="Times New Roman" w:hAnsi="Arial" w:cs="Arial"/>
          <w:i/>
          <w:iCs/>
          <w:kern w:val="0"/>
          <w:lang w:eastAsia="en-GB"/>
          <w14:ligatures w14:val="none"/>
        </w:rPr>
        <w:t>Evidence-Based Mental Health</w:t>
      </w:r>
      <w:r w:rsidRPr="007D5CF2">
        <w:rPr>
          <w:rFonts w:ascii="Arial" w:eastAsia="Times New Roman" w:hAnsi="Arial" w:cs="Arial"/>
          <w:kern w:val="0"/>
          <w:lang w:eastAsia="en-GB"/>
          <w14:ligatures w14:val="none"/>
        </w:rPr>
        <w:t xml:space="preserve">, 21(4), pp. 182–184.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6" w:tgtFrame="_new" w:history="1">
        <w:r w:rsidRPr="007D5CF2">
          <w:rPr>
            <w:rFonts w:ascii="Arial" w:eastAsia="Times New Roman" w:hAnsi="Arial" w:cs="Arial"/>
            <w:color w:val="0000FF"/>
            <w:kern w:val="0"/>
            <w:u w:val="single"/>
            <w:lang w:eastAsia="en-GB"/>
            <w14:ligatures w14:val="none"/>
          </w:rPr>
          <w:t>https://doi.org/10.1136/ebmental-2018-300060</w:t>
        </w:r>
      </w:hyperlink>
      <w:r w:rsidRPr="007D5CF2">
        <w:rPr>
          <w:rFonts w:ascii="Arial" w:eastAsia="Times New Roman" w:hAnsi="Arial" w:cs="Arial"/>
          <w:kern w:val="0"/>
          <w:lang w:eastAsia="en-GB"/>
          <w14:ligatures w14:val="none"/>
        </w:rPr>
        <w:t>.</w:t>
      </w:r>
    </w:p>
    <w:p w14:paraId="56C1719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McGrath, J.J., Al-</w:t>
      </w:r>
      <w:proofErr w:type="spellStart"/>
      <w:r w:rsidRPr="007D5CF2">
        <w:rPr>
          <w:rFonts w:ascii="Arial" w:eastAsia="Times New Roman" w:hAnsi="Arial" w:cs="Arial"/>
          <w:bCs/>
          <w:kern w:val="0"/>
          <w:lang w:eastAsia="en-GB"/>
          <w14:ligatures w14:val="none"/>
        </w:rPr>
        <w:t>Hamzawi</w:t>
      </w:r>
      <w:proofErr w:type="spellEnd"/>
      <w:r w:rsidRPr="007D5CF2">
        <w:rPr>
          <w:rFonts w:ascii="Arial" w:eastAsia="Times New Roman" w:hAnsi="Arial" w:cs="Arial"/>
          <w:bCs/>
          <w:kern w:val="0"/>
          <w:lang w:eastAsia="en-GB"/>
          <w14:ligatures w14:val="none"/>
        </w:rPr>
        <w:t xml:space="preserve">, A., Alonso, J., </w:t>
      </w:r>
      <w:proofErr w:type="spellStart"/>
      <w:r w:rsidRPr="007D5CF2">
        <w:rPr>
          <w:rFonts w:ascii="Arial" w:eastAsia="Times New Roman" w:hAnsi="Arial" w:cs="Arial"/>
          <w:bCs/>
          <w:kern w:val="0"/>
          <w:lang w:eastAsia="en-GB"/>
          <w14:ligatures w14:val="none"/>
        </w:rPr>
        <w:t>Altwaijri</w:t>
      </w:r>
      <w:proofErr w:type="spellEnd"/>
      <w:r w:rsidRPr="007D5CF2">
        <w:rPr>
          <w:rFonts w:ascii="Arial" w:eastAsia="Times New Roman" w:hAnsi="Arial" w:cs="Arial"/>
          <w:bCs/>
          <w:kern w:val="0"/>
          <w:lang w:eastAsia="en-GB"/>
          <w14:ligatures w14:val="none"/>
        </w:rPr>
        <w:t xml:space="preserve">, Y., Andrade, L.H., </w:t>
      </w:r>
      <w:proofErr w:type="spellStart"/>
      <w:r w:rsidRPr="007D5CF2">
        <w:rPr>
          <w:rFonts w:ascii="Arial" w:eastAsia="Times New Roman" w:hAnsi="Arial" w:cs="Arial"/>
          <w:bCs/>
          <w:kern w:val="0"/>
          <w:lang w:eastAsia="en-GB"/>
          <w14:ligatures w14:val="none"/>
        </w:rPr>
        <w:t>Bromet</w:t>
      </w:r>
      <w:proofErr w:type="spellEnd"/>
      <w:r w:rsidRPr="007D5CF2">
        <w:rPr>
          <w:rFonts w:ascii="Arial" w:eastAsia="Times New Roman" w:hAnsi="Arial" w:cs="Arial"/>
          <w:bCs/>
          <w:kern w:val="0"/>
          <w:lang w:eastAsia="en-GB"/>
          <w14:ligatures w14:val="none"/>
        </w:rPr>
        <w:t xml:space="preserve">, E.J.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(2023)</w:t>
      </w:r>
      <w:r w:rsidRPr="007D5CF2">
        <w:rPr>
          <w:rFonts w:ascii="Arial" w:eastAsia="Times New Roman" w:hAnsi="Arial" w:cs="Arial"/>
          <w:kern w:val="0"/>
          <w:lang w:eastAsia="en-GB"/>
          <w14:ligatures w14:val="none"/>
        </w:rPr>
        <w:t xml:space="preserve"> ‘Age of onset and cumulative risk of mental disorders: a cross-national analysis of population surveys from 29 countries’, </w:t>
      </w:r>
      <w:r w:rsidRPr="007D5CF2">
        <w:rPr>
          <w:rFonts w:ascii="Arial" w:eastAsia="Times New Roman" w:hAnsi="Arial" w:cs="Arial"/>
          <w:i/>
          <w:iCs/>
          <w:kern w:val="0"/>
          <w:lang w:eastAsia="en-GB"/>
          <w14:ligatures w14:val="none"/>
        </w:rPr>
        <w:t>The Lancet Psychiatry</w:t>
      </w:r>
      <w:r w:rsidRPr="007D5CF2">
        <w:rPr>
          <w:rFonts w:ascii="Arial" w:eastAsia="Times New Roman" w:hAnsi="Arial" w:cs="Arial"/>
          <w:kern w:val="0"/>
          <w:lang w:eastAsia="en-GB"/>
          <w14:ligatures w14:val="none"/>
        </w:rPr>
        <w:t xml:space="preserve">, 10(9), pp. 668–681.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57" w:history="1">
        <w:r w:rsidRPr="007D5CF2">
          <w:rPr>
            <w:rFonts w:ascii="Arial" w:eastAsia="Times New Roman" w:hAnsi="Arial" w:cs="Arial"/>
            <w:color w:val="0563C1"/>
            <w:kern w:val="0"/>
            <w:u w:val="single"/>
            <w:lang w:eastAsia="en-GB"/>
            <w14:ligatures w14:val="none"/>
          </w:rPr>
          <w:t>https://doi.org/10.1016/S2215-0366(23)00193-1</w:t>
        </w:r>
      </w:hyperlink>
      <w:r w:rsidRPr="007D5CF2">
        <w:rPr>
          <w:rFonts w:ascii="Arial" w:eastAsia="Times New Roman" w:hAnsi="Arial" w:cs="Arial"/>
          <w:kern w:val="0"/>
          <w:lang w:eastAsia="en-GB"/>
          <w14:ligatures w14:val="none"/>
        </w:rPr>
        <w:t xml:space="preserve"> </w:t>
      </w:r>
    </w:p>
    <w:p w14:paraId="562E9321"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Miles, M.B., Huberman, A.M. and Saldaña, J. (2013)</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Qualitative Data Analysis: A Methods Sourcebook</w:t>
      </w:r>
      <w:r w:rsidRPr="007D5CF2">
        <w:rPr>
          <w:rFonts w:ascii="Arial" w:eastAsia="Times New Roman" w:hAnsi="Arial" w:cs="Arial"/>
          <w:kern w:val="0"/>
          <w:lang w:eastAsia="en-GB"/>
          <w14:ligatures w14:val="none"/>
        </w:rPr>
        <w:t xml:space="preserve">. 3rd </w:t>
      </w:r>
      <w:proofErr w:type="spellStart"/>
      <w:r w:rsidRPr="007D5CF2">
        <w:rPr>
          <w:rFonts w:ascii="Arial" w:eastAsia="Times New Roman" w:hAnsi="Arial" w:cs="Arial"/>
          <w:kern w:val="0"/>
          <w:lang w:eastAsia="en-GB"/>
          <w14:ligatures w14:val="none"/>
        </w:rPr>
        <w:t>edn</w:t>
      </w:r>
      <w:proofErr w:type="spellEnd"/>
      <w:r w:rsidRPr="007D5CF2">
        <w:rPr>
          <w:rFonts w:ascii="Arial" w:eastAsia="Times New Roman" w:hAnsi="Arial" w:cs="Arial"/>
          <w:kern w:val="0"/>
          <w:lang w:eastAsia="en-GB"/>
          <w14:ligatures w14:val="none"/>
        </w:rPr>
        <w:t>. Thousand Oaks, CA: Sage.</w:t>
      </w:r>
    </w:p>
    <w:p w14:paraId="53CF2F74"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Moule, P. (2020)</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Making Sense of Research in Nursing, Health and Social Care</w:t>
      </w:r>
      <w:r w:rsidRPr="007D5CF2">
        <w:rPr>
          <w:rFonts w:ascii="Arial" w:eastAsia="Times New Roman" w:hAnsi="Arial" w:cs="Arial"/>
          <w:kern w:val="0"/>
          <w:lang w:eastAsia="en-GB"/>
          <w14:ligatures w14:val="none"/>
        </w:rPr>
        <w:t>. London: Sage.</w:t>
      </w:r>
    </w:p>
    <w:p w14:paraId="4E5C6682"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Calibri" w:hAnsi="Arial" w:cs="Arial"/>
          <w:color w:val="222222"/>
          <w:kern w:val="0"/>
          <w:shd w:val="clear" w:color="auto" w:fill="FFFFFF"/>
          <w:lang w:eastAsia="en-US"/>
          <w14:ligatures w14:val="none"/>
        </w:rPr>
        <w:t xml:space="preserve">Mughal, F., Troya, M. I., </w:t>
      </w:r>
      <w:proofErr w:type="spellStart"/>
      <w:r w:rsidRPr="007D5CF2">
        <w:rPr>
          <w:rFonts w:ascii="Arial" w:eastAsia="Calibri" w:hAnsi="Arial" w:cs="Arial"/>
          <w:color w:val="222222"/>
          <w:kern w:val="0"/>
          <w:shd w:val="clear" w:color="auto" w:fill="FFFFFF"/>
          <w:lang w:eastAsia="en-US"/>
          <w14:ligatures w14:val="none"/>
        </w:rPr>
        <w:t>Dikomitis</w:t>
      </w:r>
      <w:proofErr w:type="spellEnd"/>
      <w:r w:rsidRPr="007D5CF2">
        <w:rPr>
          <w:rFonts w:ascii="Arial" w:eastAsia="Calibri" w:hAnsi="Arial" w:cs="Arial"/>
          <w:color w:val="222222"/>
          <w:kern w:val="0"/>
          <w:shd w:val="clear" w:color="auto" w:fill="FFFFFF"/>
          <w:lang w:eastAsia="en-US"/>
          <w14:ligatures w14:val="none"/>
        </w:rPr>
        <w:t>, L., Tierney, S., Evans, N., Townsend, E., &amp; Chew-Graham, C. A. (2022). The experiences and needs of supporting individuals of young people who self-harm: A systematic review and thematic synthesis. </w:t>
      </w:r>
      <w:proofErr w:type="spellStart"/>
      <w:r w:rsidRPr="007D5CF2">
        <w:rPr>
          <w:rFonts w:ascii="Arial" w:eastAsia="Calibri" w:hAnsi="Arial" w:cs="Arial"/>
          <w:i/>
          <w:iCs/>
          <w:color w:val="222222"/>
          <w:kern w:val="0"/>
          <w:shd w:val="clear" w:color="auto" w:fill="FFFFFF"/>
          <w:lang w:eastAsia="en-US"/>
          <w14:ligatures w14:val="none"/>
        </w:rPr>
        <w:t>EClinicalMedicine</w:t>
      </w:r>
      <w:proofErr w:type="spellEnd"/>
      <w:r w:rsidRPr="007D5CF2">
        <w:rPr>
          <w:rFonts w:ascii="Arial" w:eastAsia="Calibri" w:hAnsi="Arial" w:cs="Arial"/>
          <w:color w:val="222222"/>
          <w:kern w:val="0"/>
          <w:shd w:val="clear" w:color="auto" w:fill="FFFFFF"/>
          <w:lang w:eastAsia="en-US"/>
          <w14:ligatures w14:val="none"/>
        </w:rPr>
        <w:t>, </w:t>
      </w:r>
      <w:r w:rsidRPr="007D5CF2">
        <w:rPr>
          <w:rFonts w:ascii="Arial" w:eastAsia="Calibri" w:hAnsi="Arial" w:cs="Arial"/>
          <w:i/>
          <w:iCs/>
          <w:color w:val="222222"/>
          <w:kern w:val="0"/>
          <w:shd w:val="clear" w:color="auto" w:fill="FFFFFF"/>
          <w:lang w:eastAsia="en-US"/>
          <w14:ligatures w14:val="none"/>
        </w:rPr>
        <w:t>48</w:t>
      </w:r>
      <w:r w:rsidRPr="007D5CF2">
        <w:rPr>
          <w:rFonts w:ascii="Arial" w:eastAsia="Calibri" w:hAnsi="Arial" w:cs="Arial"/>
          <w:color w:val="222222"/>
          <w:kern w:val="0"/>
          <w:shd w:val="clear" w:color="auto" w:fill="FFFFFF"/>
          <w:lang w:eastAsia="en-US"/>
          <w14:ligatures w14:val="none"/>
        </w:rPr>
        <w:t>.</w:t>
      </w:r>
    </w:p>
    <w:p w14:paraId="49D55C3F"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National Confidential Inquiry into Suicide and Safety in Mental Health (2016)</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Suicide by Children and Young People.</w:t>
      </w:r>
      <w:r w:rsidRPr="007D5CF2">
        <w:rPr>
          <w:rFonts w:ascii="Arial" w:eastAsia="Times New Roman" w:hAnsi="Arial" w:cs="Arial"/>
          <w:kern w:val="0"/>
          <w:lang w:eastAsia="en-GB"/>
          <w14:ligatures w14:val="none"/>
        </w:rPr>
        <w:t xml:space="preserve"> Manchester: University of Manchester.</w:t>
      </w:r>
      <w:r w:rsidRPr="007D5CF2">
        <w:rPr>
          <w:rFonts w:ascii="Arial" w:eastAsia="Times New Roman" w:hAnsi="Arial" w:cs="Arial"/>
          <w:kern w:val="0"/>
          <w:lang w:eastAsia="en-GB"/>
          <w14:ligatures w14:val="none"/>
        </w:rPr>
        <w:br/>
        <w:t xml:space="preserve">Available at: </w:t>
      </w:r>
      <w:hyperlink r:id="rId58" w:history="1">
        <w:r w:rsidRPr="007D5CF2">
          <w:rPr>
            <w:rFonts w:ascii="Arial" w:eastAsia="Times New Roman" w:hAnsi="Arial" w:cs="Arial"/>
            <w:color w:val="0000FF"/>
            <w:kern w:val="0"/>
            <w:u w:val="single"/>
            <w:lang w:eastAsia="en-GB"/>
            <w14:ligatures w14:val="none"/>
          </w:rPr>
          <w:t>https://sites.manchester.ac.uk/ncish/reports/suicide-by-children-and-young-people-in-england/</w:t>
        </w:r>
      </w:hyperlink>
      <w:r w:rsidRPr="007D5CF2">
        <w:rPr>
          <w:rFonts w:ascii="Arial" w:eastAsia="Times New Roman" w:hAnsi="Arial" w:cs="Arial"/>
          <w:kern w:val="0"/>
          <w:lang w:eastAsia="en-GB"/>
          <w14:ligatures w14:val="none"/>
        </w:rPr>
        <w:t xml:space="preserve"> (Accessed: 21 July 2026).</w:t>
      </w:r>
    </w:p>
    <w:p w14:paraId="1940C09E"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National Institute for Health and Care Excellence (NICE) (2022)</w:t>
      </w:r>
      <w:r w:rsidRPr="007D5CF2">
        <w:rPr>
          <w:rFonts w:ascii="Arial" w:eastAsia="Times New Roman" w:hAnsi="Arial" w:cs="Arial"/>
          <w:kern w:val="0"/>
          <w:lang w:eastAsia="en-GB"/>
          <w14:ligatures w14:val="none"/>
        </w:rPr>
        <w:t xml:space="preserve"> [Mental health guidance cited in the dissertation]. London: NICE.</w:t>
      </w:r>
      <w:r w:rsidRPr="007D5CF2">
        <w:rPr>
          <w:rFonts w:ascii="Arial" w:eastAsia="Times New Roman" w:hAnsi="Arial" w:cs="Arial"/>
          <w:kern w:val="0"/>
          <w:lang w:eastAsia="en-GB"/>
          <w14:ligatures w14:val="none"/>
        </w:rPr>
        <w:br/>
        <w:t xml:space="preserve">Available at: </w:t>
      </w:r>
      <w:hyperlink r:id="rId59" w:history="1">
        <w:r w:rsidRPr="007D5CF2">
          <w:rPr>
            <w:rFonts w:ascii="Arial" w:eastAsia="Times New Roman" w:hAnsi="Arial" w:cs="Arial"/>
            <w:color w:val="0000FF"/>
            <w:kern w:val="0"/>
            <w:u w:val="single"/>
            <w:lang w:eastAsia="en-GB"/>
            <w14:ligatures w14:val="none"/>
          </w:rPr>
          <w:t>https://www.nice.org.uk/</w:t>
        </w:r>
      </w:hyperlink>
      <w:r w:rsidRPr="007D5CF2">
        <w:rPr>
          <w:rFonts w:ascii="Arial" w:eastAsia="Times New Roman" w:hAnsi="Arial" w:cs="Arial"/>
          <w:kern w:val="0"/>
          <w:lang w:eastAsia="en-GB"/>
          <w14:ligatures w14:val="none"/>
        </w:rPr>
        <w:t xml:space="preserve"> (Accessed: 21 July 2026).</w:t>
      </w:r>
    </w:p>
    <w:p w14:paraId="642A3E2B"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National Institute for Health Research (NIHR) (2022)</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Experiences of Children and Young People from Ethnic Minorities in Accessing Mental Health Care and Support: A Rapid Scoping Review.</w:t>
      </w:r>
      <w:r w:rsidRPr="007D5CF2">
        <w:rPr>
          <w:rFonts w:ascii="Arial" w:eastAsia="Times New Roman" w:hAnsi="Arial" w:cs="Arial"/>
          <w:kern w:val="0"/>
          <w:lang w:eastAsia="en-GB"/>
          <w14:ligatures w14:val="none"/>
        </w:rPr>
        <w:t xml:space="preserve"> Southampton: NIHR.</w:t>
      </w:r>
      <w:r w:rsidRPr="007D5CF2">
        <w:rPr>
          <w:rFonts w:ascii="Arial" w:eastAsia="Times New Roman" w:hAnsi="Arial" w:cs="Arial"/>
          <w:kern w:val="0"/>
          <w:lang w:eastAsia="en-GB"/>
          <w14:ligatures w14:val="none"/>
        </w:rPr>
        <w:br/>
        <w:t xml:space="preserve">Available at: </w:t>
      </w:r>
      <w:hyperlink r:id="rId60" w:history="1">
        <w:r w:rsidRPr="007D5CF2">
          <w:rPr>
            <w:rFonts w:ascii="Arial" w:eastAsia="Times New Roman" w:hAnsi="Arial" w:cs="Arial"/>
            <w:color w:val="0000FF"/>
            <w:kern w:val="0"/>
            <w:u w:val="single"/>
            <w:lang w:eastAsia="en-GB"/>
            <w14:ligatures w14:val="none"/>
          </w:rPr>
          <w:t>https://doi.org/10.3310/XKWE8437</w:t>
        </w:r>
      </w:hyperlink>
      <w:r w:rsidRPr="007D5CF2">
        <w:rPr>
          <w:rFonts w:ascii="Arial" w:eastAsia="Times New Roman" w:hAnsi="Arial" w:cs="Arial"/>
          <w:kern w:val="0"/>
          <w:lang w:eastAsia="en-GB"/>
          <w14:ligatures w14:val="none"/>
        </w:rPr>
        <w:t xml:space="preserve"> (Accessed: 21 July 2026).</w:t>
      </w:r>
    </w:p>
    <w:p w14:paraId="439FF07B"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NHS Digital (2023)</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Mental Health of Children and Young People in England, 2023.</w:t>
      </w:r>
      <w:r w:rsidRPr="007D5CF2">
        <w:rPr>
          <w:rFonts w:ascii="Arial" w:eastAsia="Times New Roman" w:hAnsi="Arial" w:cs="Arial"/>
          <w:kern w:val="0"/>
          <w:lang w:eastAsia="en-GB"/>
          <w14:ligatures w14:val="none"/>
        </w:rPr>
        <w:t xml:space="preserve"> Leeds: NHS Digital.</w:t>
      </w:r>
      <w:r w:rsidRPr="007D5CF2">
        <w:rPr>
          <w:rFonts w:ascii="Arial" w:eastAsia="Times New Roman" w:hAnsi="Arial" w:cs="Arial"/>
          <w:kern w:val="0"/>
          <w:lang w:eastAsia="en-GB"/>
          <w14:ligatures w14:val="none"/>
        </w:rPr>
        <w:br/>
        <w:t xml:space="preserve">Available at: </w:t>
      </w:r>
      <w:hyperlink r:id="rId61" w:history="1">
        <w:r w:rsidRPr="007D5CF2">
          <w:rPr>
            <w:rFonts w:ascii="Arial" w:eastAsia="Times New Roman" w:hAnsi="Arial" w:cs="Arial"/>
            <w:color w:val="0000FF"/>
            <w:kern w:val="0"/>
            <w:u w:val="single"/>
            <w:lang w:eastAsia="en-GB"/>
            <w14:ligatures w14:val="none"/>
          </w:rPr>
          <w:t>https://digital.nhs.uk/data-and-information/publications/statistical/mental-health-of-children-and-young-people-in-england/2023-wave-4-follow-up</w:t>
        </w:r>
      </w:hyperlink>
      <w:r w:rsidRPr="007D5CF2">
        <w:rPr>
          <w:rFonts w:ascii="Arial" w:eastAsia="Times New Roman" w:hAnsi="Arial" w:cs="Arial"/>
          <w:kern w:val="0"/>
          <w:lang w:eastAsia="en-GB"/>
          <w14:ligatures w14:val="none"/>
        </w:rPr>
        <w:t xml:space="preserve"> (Accessed: 21 July 2026).</w:t>
      </w:r>
    </w:p>
    <w:p w14:paraId="69D977FF"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NHS England (2019)</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The NHS Long Term Plan.</w:t>
      </w:r>
      <w:r w:rsidRPr="007D5CF2">
        <w:rPr>
          <w:rFonts w:ascii="Arial" w:eastAsia="Times New Roman" w:hAnsi="Arial" w:cs="Arial"/>
          <w:kern w:val="0"/>
          <w:lang w:eastAsia="en-GB"/>
          <w14:ligatures w14:val="none"/>
        </w:rPr>
        <w:t xml:space="preserve"> London: NHS England.</w:t>
      </w:r>
      <w:r w:rsidRPr="007D5CF2">
        <w:rPr>
          <w:rFonts w:ascii="Arial" w:eastAsia="Times New Roman" w:hAnsi="Arial" w:cs="Arial"/>
          <w:kern w:val="0"/>
          <w:lang w:eastAsia="en-GB"/>
          <w14:ligatures w14:val="none"/>
        </w:rPr>
        <w:br/>
        <w:t xml:space="preserve">Available at: </w:t>
      </w:r>
      <w:hyperlink r:id="rId62" w:history="1">
        <w:r w:rsidRPr="007D5CF2">
          <w:rPr>
            <w:rFonts w:ascii="Arial" w:eastAsia="Times New Roman" w:hAnsi="Arial" w:cs="Arial"/>
            <w:color w:val="0000FF"/>
            <w:kern w:val="0"/>
            <w:u w:val="single"/>
            <w:lang w:eastAsia="en-GB"/>
            <w14:ligatures w14:val="none"/>
          </w:rPr>
          <w:t>https://www.longtermplan.nhs.uk/</w:t>
        </w:r>
      </w:hyperlink>
      <w:r w:rsidRPr="007D5CF2">
        <w:rPr>
          <w:rFonts w:ascii="Arial" w:eastAsia="Times New Roman" w:hAnsi="Arial" w:cs="Arial"/>
          <w:kern w:val="0"/>
          <w:lang w:eastAsia="en-GB"/>
          <w14:ligatures w14:val="none"/>
        </w:rPr>
        <w:t xml:space="preserve"> (Accessed: 21 July 2026).</w:t>
      </w:r>
    </w:p>
    <w:p w14:paraId="56DD5F41"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Nowell, L.S., Norris, J.M., White, D.E. and Moules, N.J. (2017)</w:t>
      </w:r>
      <w:r w:rsidRPr="007D5CF2">
        <w:rPr>
          <w:rFonts w:ascii="Arial" w:eastAsia="Times New Roman" w:hAnsi="Arial" w:cs="Arial"/>
          <w:kern w:val="0"/>
          <w:lang w:eastAsia="en-GB"/>
          <w14:ligatures w14:val="none"/>
        </w:rPr>
        <w:t xml:space="preserve"> ‘Thematic analysis: striving to meet the trustworthiness criteria’, </w:t>
      </w:r>
      <w:r w:rsidRPr="007D5CF2">
        <w:rPr>
          <w:rFonts w:ascii="Arial" w:eastAsia="Times New Roman" w:hAnsi="Arial" w:cs="Arial"/>
          <w:i/>
          <w:iCs/>
          <w:kern w:val="0"/>
          <w:lang w:eastAsia="en-GB"/>
          <w14:ligatures w14:val="none"/>
        </w:rPr>
        <w:t>International Journal of Qualitative Methods</w:t>
      </w:r>
      <w:r w:rsidRPr="007D5CF2">
        <w:rPr>
          <w:rFonts w:ascii="Arial" w:eastAsia="Times New Roman" w:hAnsi="Arial" w:cs="Arial"/>
          <w:kern w:val="0"/>
          <w:lang w:eastAsia="en-GB"/>
          <w14:ligatures w14:val="none"/>
        </w:rPr>
        <w:t xml:space="preserve">, 16, pp. 1–13.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63" w:tgtFrame="_new" w:history="1">
        <w:r w:rsidRPr="007D5CF2">
          <w:rPr>
            <w:rFonts w:ascii="Arial" w:eastAsia="Times New Roman" w:hAnsi="Arial" w:cs="Arial"/>
            <w:color w:val="0000FF"/>
            <w:kern w:val="0"/>
            <w:u w:val="single"/>
            <w:lang w:eastAsia="en-GB"/>
            <w14:ligatures w14:val="none"/>
          </w:rPr>
          <w:t>https://doi.org/10.1177/1609406917733847</w:t>
        </w:r>
      </w:hyperlink>
      <w:r w:rsidRPr="007D5CF2">
        <w:rPr>
          <w:rFonts w:ascii="Arial" w:eastAsia="Times New Roman" w:hAnsi="Arial" w:cs="Arial"/>
          <w:kern w:val="0"/>
          <w:lang w:eastAsia="en-GB"/>
          <w14:ligatures w14:val="none"/>
        </w:rPr>
        <w:t>.</w:t>
      </w:r>
    </w:p>
    <w:p w14:paraId="059C36DB"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Office for National Statistics (2023)</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[Mental health statistical source cited in the dissertation]</w:t>
      </w:r>
      <w:r w:rsidRPr="007D5CF2">
        <w:rPr>
          <w:rFonts w:ascii="Arial" w:eastAsia="Times New Roman" w:hAnsi="Arial" w:cs="Arial"/>
          <w:kern w:val="0"/>
          <w:lang w:eastAsia="en-GB"/>
          <w14:ligatures w14:val="none"/>
        </w:rPr>
        <w:t xml:space="preserve">. Newport: Office for National Statistics. Available at: </w:t>
      </w:r>
      <w:hyperlink r:id="rId64" w:history="1">
        <w:r w:rsidRPr="007D5CF2">
          <w:rPr>
            <w:rFonts w:ascii="Arial" w:eastAsia="Times New Roman" w:hAnsi="Arial" w:cs="Arial"/>
            <w:color w:val="0563C1"/>
            <w:kern w:val="0"/>
            <w:u w:val="single"/>
            <w:lang w:eastAsia="en-GB"/>
            <w14:ligatures w14:val="none"/>
          </w:rPr>
          <w:t>https://www.ons.gov.uk/</w:t>
        </w:r>
      </w:hyperlink>
      <w:r w:rsidRPr="007D5CF2">
        <w:rPr>
          <w:rFonts w:ascii="Arial" w:eastAsia="Times New Roman" w:hAnsi="Arial" w:cs="Arial"/>
          <w:kern w:val="0"/>
          <w:lang w:eastAsia="en-GB"/>
          <w14:ligatures w14:val="none"/>
        </w:rPr>
        <w:t xml:space="preserve"> (Accessed: 21 July 2026).</w:t>
      </w:r>
    </w:p>
    <w:p w14:paraId="54F114CC" w14:textId="77777777" w:rsidR="00CC55C1" w:rsidRPr="007D5CF2" w:rsidRDefault="00CC55C1" w:rsidP="00781D67">
      <w:pPr>
        <w:spacing w:before="100" w:beforeAutospacing="1" w:after="100" w:afterAutospacing="1" w:line="360" w:lineRule="auto"/>
        <w:rPr>
          <w:rFonts w:ascii="Arial" w:eastAsia="Calibri" w:hAnsi="Arial" w:cs="Arial"/>
          <w:kern w:val="0"/>
          <w:lang w:eastAsia="en-US"/>
          <w14:ligatures w14:val="none"/>
        </w:rPr>
      </w:pPr>
      <w:proofErr w:type="spellStart"/>
      <w:r w:rsidRPr="007D5CF2">
        <w:rPr>
          <w:rFonts w:ascii="Arial" w:eastAsia="Times New Roman" w:hAnsi="Arial" w:cs="Arial"/>
          <w:kern w:val="0"/>
          <w:lang w:eastAsia="en-GB"/>
          <w14:ligatures w14:val="none"/>
        </w:rPr>
        <w:t>Oexle</w:t>
      </w:r>
      <w:proofErr w:type="spellEnd"/>
      <w:r w:rsidRPr="007D5CF2">
        <w:rPr>
          <w:rFonts w:ascii="Arial" w:eastAsia="Times New Roman" w:hAnsi="Arial" w:cs="Arial"/>
          <w:kern w:val="0"/>
          <w:lang w:eastAsia="en-GB"/>
          <w14:ligatures w14:val="none"/>
        </w:rPr>
        <w:t xml:space="preserve">, N., Ribeiro, W.S., Fisher, H.L., Gronholm, P.C., Laurens, K.R., Pan, P., Owens, S., Romeo, R., </w:t>
      </w:r>
      <w:proofErr w:type="spellStart"/>
      <w:r w:rsidRPr="007D5CF2">
        <w:rPr>
          <w:rFonts w:ascii="Arial" w:eastAsia="Times New Roman" w:hAnsi="Arial" w:cs="Arial"/>
          <w:kern w:val="0"/>
          <w:lang w:eastAsia="en-GB"/>
          <w14:ligatures w14:val="none"/>
        </w:rPr>
        <w:t>Rüsch</w:t>
      </w:r>
      <w:proofErr w:type="spellEnd"/>
      <w:r w:rsidRPr="007D5CF2">
        <w:rPr>
          <w:rFonts w:ascii="Arial" w:eastAsia="Times New Roman" w:hAnsi="Arial" w:cs="Arial"/>
          <w:kern w:val="0"/>
          <w:lang w:eastAsia="en-GB"/>
          <w14:ligatures w14:val="none"/>
        </w:rPr>
        <w:t xml:space="preserve">, N. and Evans-Lacko, S. (2020) ‘Childhood bullying victimization, self-labelling, and help-seeking for mental health problems’, Social Psychiatry and Psychiatric Epidemiology, 55, pp. 81–88. </w:t>
      </w:r>
      <w:hyperlink r:id="rId65" w:history="1">
        <w:r w:rsidRPr="007D5CF2">
          <w:rPr>
            <w:rFonts w:ascii="Arial" w:eastAsia="Calibri" w:hAnsi="Arial" w:cs="Arial"/>
            <w:color w:val="0563C1"/>
            <w:kern w:val="0"/>
            <w:u w:val="single"/>
            <w:lang w:eastAsia="en-US"/>
            <w14:ligatures w14:val="none"/>
          </w:rPr>
          <w:t>https://doi.org/10.1007/s00127-019-01743-5</w:t>
        </w:r>
      </w:hyperlink>
      <w:r w:rsidRPr="007D5CF2">
        <w:rPr>
          <w:rFonts w:ascii="Arial" w:eastAsia="Calibri" w:hAnsi="Arial" w:cs="Arial"/>
          <w:kern w:val="0"/>
          <w:lang w:eastAsia="en-US"/>
          <w14:ligatures w14:val="none"/>
        </w:rPr>
        <w:t xml:space="preserve"> </w:t>
      </w:r>
    </w:p>
    <w:p w14:paraId="3FB7BA83"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p>
    <w:p w14:paraId="067B1CB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Page, M.J., McKenzie, J.E., Bossuyt, P.M., </w:t>
      </w:r>
      <w:proofErr w:type="spellStart"/>
      <w:r w:rsidRPr="007D5CF2">
        <w:rPr>
          <w:rFonts w:ascii="Arial" w:eastAsia="Times New Roman" w:hAnsi="Arial" w:cs="Arial"/>
          <w:bCs/>
          <w:kern w:val="0"/>
          <w:lang w:eastAsia="en-GB"/>
          <w14:ligatures w14:val="none"/>
        </w:rPr>
        <w:t>Boutron</w:t>
      </w:r>
      <w:proofErr w:type="spellEnd"/>
      <w:r w:rsidRPr="007D5CF2">
        <w:rPr>
          <w:rFonts w:ascii="Arial" w:eastAsia="Times New Roman" w:hAnsi="Arial" w:cs="Arial"/>
          <w:bCs/>
          <w:kern w:val="0"/>
          <w:lang w:eastAsia="en-GB"/>
          <w14:ligatures w14:val="none"/>
        </w:rPr>
        <w:t xml:space="preserve">, I., Hoffmann, T.C., Mulrow, C.D.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(2021)</w:t>
      </w:r>
      <w:r w:rsidRPr="007D5CF2">
        <w:rPr>
          <w:rFonts w:ascii="Arial" w:eastAsia="Times New Roman" w:hAnsi="Arial" w:cs="Arial"/>
          <w:kern w:val="0"/>
          <w:lang w:eastAsia="en-GB"/>
          <w14:ligatures w14:val="none"/>
        </w:rPr>
        <w:t xml:space="preserve"> ‘The PRISMA 2020 statement: an updated guideline for reporting systematic reviews’, </w:t>
      </w:r>
      <w:r w:rsidRPr="007D5CF2">
        <w:rPr>
          <w:rFonts w:ascii="Arial" w:eastAsia="Times New Roman" w:hAnsi="Arial" w:cs="Arial"/>
          <w:i/>
          <w:iCs/>
          <w:kern w:val="0"/>
          <w:lang w:eastAsia="en-GB"/>
          <w14:ligatures w14:val="none"/>
        </w:rPr>
        <w:t>BMJ</w:t>
      </w:r>
      <w:r w:rsidRPr="007D5CF2">
        <w:rPr>
          <w:rFonts w:ascii="Arial" w:eastAsia="Times New Roman" w:hAnsi="Arial" w:cs="Arial"/>
          <w:kern w:val="0"/>
          <w:lang w:eastAsia="en-GB"/>
          <w14:ligatures w14:val="none"/>
        </w:rPr>
        <w:t xml:space="preserve">, 372, n71.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66" w:tgtFrame="_new" w:history="1">
        <w:r w:rsidRPr="007D5CF2">
          <w:rPr>
            <w:rFonts w:ascii="Arial" w:eastAsia="Times New Roman" w:hAnsi="Arial" w:cs="Arial"/>
            <w:color w:val="0000FF"/>
            <w:kern w:val="0"/>
            <w:u w:val="single"/>
            <w:lang w:eastAsia="en-GB"/>
            <w14:ligatures w14:val="none"/>
          </w:rPr>
          <w:t>https://doi.org/10.1136/bmj.n71</w:t>
        </w:r>
      </w:hyperlink>
      <w:r w:rsidRPr="007D5CF2">
        <w:rPr>
          <w:rFonts w:ascii="Arial" w:eastAsia="Times New Roman" w:hAnsi="Arial" w:cs="Arial"/>
          <w:kern w:val="0"/>
          <w:lang w:eastAsia="en-GB"/>
          <w14:ligatures w14:val="none"/>
        </w:rPr>
        <w:t>.</w:t>
      </w:r>
    </w:p>
    <w:p w14:paraId="3C096C4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Patel, V., Saxena, S., Lund, C., Kohrt, B., Kieling, C., Sunkel, C.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(2023)</w:t>
      </w:r>
      <w:r w:rsidRPr="007D5CF2">
        <w:rPr>
          <w:rFonts w:ascii="Arial" w:eastAsia="Times New Roman" w:hAnsi="Arial" w:cs="Arial"/>
          <w:kern w:val="0"/>
          <w:lang w:eastAsia="en-GB"/>
          <w14:ligatures w14:val="none"/>
        </w:rPr>
        <w:t xml:space="preserve"> ‘Transforming mental health systems globally: principles and policy recommendations’, </w:t>
      </w:r>
      <w:r w:rsidRPr="007D5CF2">
        <w:rPr>
          <w:rFonts w:ascii="Arial" w:eastAsia="Times New Roman" w:hAnsi="Arial" w:cs="Arial"/>
          <w:i/>
          <w:iCs/>
          <w:kern w:val="0"/>
          <w:lang w:eastAsia="en-GB"/>
          <w14:ligatures w14:val="none"/>
        </w:rPr>
        <w:t>The Lancet</w:t>
      </w:r>
      <w:r w:rsidRPr="007D5CF2">
        <w:rPr>
          <w:rFonts w:ascii="Arial" w:eastAsia="Times New Roman" w:hAnsi="Arial" w:cs="Arial"/>
          <w:kern w:val="0"/>
          <w:lang w:eastAsia="en-GB"/>
          <w14:ligatures w14:val="none"/>
        </w:rPr>
        <w:t xml:space="preserve">, 402(10402), pp. 656–666.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67" w:history="1">
        <w:r w:rsidRPr="007D5CF2">
          <w:rPr>
            <w:rFonts w:ascii="Arial" w:eastAsia="Times New Roman" w:hAnsi="Arial" w:cs="Arial"/>
            <w:color w:val="0563C1"/>
            <w:kern w:val="0"/>
            <w:u w:val="single"/>
            <w:lang w:eastAsia="en-GB"/>
            <w14:ligatures w14:val="none"/>
          </w:rPr>
          <w:t>https://doi.org/10.1016/S0140-6736(23)00970-2</w:t>
        </w:r>
      </w:hyperlink>
      <w:r w:rsidRPr="007D5CF2">
        <w:rPr>
          <w:rFonts w:ascii="Arial" w:eastAsia="Times New Roman" w:hAnsi="Arial" w:cs="Arial"/>
          <w:kern w:val="0"/>
          <w:lang w:eastAsia="en-GB"/>
          <w14:ligatures w14:val="none"/>
        </w:rPr>
        <w:t xml:space="preserve"> </w:t>
      </w:r>
    </w:p>
    <w:p w14:paraId="508AAFF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Patel, V., Saxena, S., Lund, C., Thornicroft, G., Baingana, F., Bolton, P. and </w:t>
      </w:r>
      <w:proofErr w:type="spellStart"/>
      <w:r w:rsidRPr="007D5CF2">
        <w:rPr>
          <w:rFonts w:ascii="Arial" w:eastAsia="Times New Roman" w:hAnsi="Arial" w:cs="Arial"/>
          <w:bCs/>
          <w:kern w:val="0"/>
          <w:lang w:eastAsia="en-GB"/>
          <w14:ligatures w14:val="none"/>
        </w:rPr>
        <w:t>UnÜtzer</w:t>
      </w:r>
      <w:proofErr w:type="spellEnd"/>
      <w:r w:rsidRPr="007D5CF2">
        <w:rPr>
          <w:rFonts w:ascii="Arial" w:eastAsia="Times New Roman" w:hAnsi="Arial" w:cs="Arial"/>
          <w:bCs/>
          <w:kern w:val="0"/>
          <w:lang w:eastAsia="en-GB"/>
          <w14:ligatures w14:val="none"/>
        </w:rPr>
        <w:t>, J. (2018)</w:t>
      </w:r>
      <w:r w:rsidRPr="007D5CF2">
        <w:rPr>
          <w:rFonts w:ascii="Arial" w:eastAsia="Times New Roman" w:hAnsi="Arial" w:cs="Arial"/>
          <w:kern w:val="0"/>
          <w:lang w:eastAsia="en-GB"/>
          <w14:ligatures w14:val="none"/>
        </w:rPr>
        <w:t xml:space="preserve"> ‘The Lancet Commission on global mental health and sustainable development’, </w:t>
      </w:r>
      <w:r w:rsidRPr="007D5CF2">
        <w:rPr>
          <w:rFonts w:ascii="Arial" w:eastAsia="Times New Roman" w:hAnsi="Arial" w:cs="Arial"/>
          <w:i/>
          <w:iCs/>
          <w:kern w:val="0"/>
          <w:lang w:eastAsia="en-GB"/>
          <w14:ligatures w14:val="none"/>
        </w:rPr>
        <w:t>The Lancet</w:t>
      </w:r>
      <w:r w:rsidRPr="007D5CF2">
        <w:rPr>
          <w:rFonts w:ascii="Arial" w:eastAsia="Times New Roman" w:hAnsi="Arial" w:cs="Arial"/>
          <w:kern w:val="0"/>
          <w:lang w:eastAsia="en-GB"/>
          <w14:ligatures w14:val="none"/>
        </w:rPr>
        <w:t xml:space="preserve">, 392(10157), pp. 1553–1598.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68" w:tgtFrame="_new" w:history="1">
        <w:r w:rsidRPr="007D5CF2">
          <w:rPr>
            <w:rFonts w:ascii="Arial" w:eastAsia="Times New Roman" w:hAnsi="Arial" w:cs="Arial"/>
            <w:color w:val="0000FF"/>
            <w:kern w:val="0"/>
            <w:u w:val="single"/>
            <w:lang w:eastAsia="en-GB"/>
            <w14:ligatures w14:val="none"/>
          </w:rPr>
          <w:t>https://doi.org/10.1016/S0140-6736(18)31612-X</w:t>
        </w:r>
      </w:hyperlink>
      <w:r w:rsidRPr="007D5CF2">
        <w:rPr>
          <w:rFonts w:ascii="Arial" w:eastAsia="Times New Roman" w:hAnsi="Arial" w:cs="Arial"/>
          <w:kern w:val="0"/>
          <w:lang w:eastAsia="en-GB"/>
          <w14:ligatures w14:val="none"/>
        </w:rPr>
        <w:t>.</w:t>
      </w:r>
    </w:p>
    <w:p w14:paraId="738C581C"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Pilbeam, C., Walsh, E., Barnes, K., Scholz, B., Olsen, A. and Stone, L. (2023)</w:t>
      </w:r>
      <w:r w:rsidRPr="007D5CF2">
        <w:rPr>
          <w:rFonts w:ascii="Arial" w:eastAsia="Calibri" w:hAnsi="Arial" w:cs="Arial"/>
          <w:color w:val="222222"/>
          <w:kern w:val="0"/>
          <w:shd w:val="clear" w:color="auto" w:fill="FFFFFF"/>
          <w:lang w:eastAsia="en-US"/>
          <w14:ligatures w14:val="none"/>
        </w:rPr>
        <w:t xml:space="preserve"> ‘Mapping young people’s journeys through mental health services: a prospective longitudinal qualitative study protocol’, </w:t>
      </w:r>
      <w:r w:rsidRPr="007D5CF2">
        <w:rPr>
          <w:rFonts w:ascii="Arial" w:eastAsia="Calibri" w:hAnsi="Arial" w:cs="Arial"/>
          <w:i/>
          <w:iCs/>
          <w:color w:val="222222"/>
          <w:kern w:val="0"/>
          <w:shd w:val="clear" w:color="auto" w:fill="FFFFFF"/>
          <w:lang w:eastAsia="en-US"/>
          <w14:ligatures w14:val="none"/>
        </w:rPr>
        <w:t>PLOS ONE</w:t>
      </w:r>
      <w:r w:rsidRPr="007D5CF2">
        <w:rPr>
          <w:rFonts w:ascii="Arial" w:eastAsia="Calibri" w:hAnsi="Arial" w:cs="Arial"/>
          <w:color w:val="222222"/>
          <w:kern w:val="0"/>
          <w:shd w:val="clear" w:color="auto" w:fill="FFFFFF"/>
          <w:lang w:eastAsia="en-US"/>
          <w14:ligatures w14:val="none"/>
        </w:rPr>
        <w:t xml:space="preserve">, 18(6), e0287098.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69" w:history="1">
        <w:r w:rsidRPr="007D5CF2">
          <w:rPr>
            <w:rFonts w:ascii="Arial" w:eastAsia="Calibri" w:hAnsi="Arial" w:cs="Arial"/>
            <w:color w:val="0563C1"/>
            <w:kern w:val="0"/>
            <w:u w:val="single"/>
            <w:shd w:val="clear" w:color="auto" w:fill="FFFFFF"/>
            <w:lang w:eastAsia="en-US"/>
            <w14:ligatures w14:val="none"/>
          </w:rPr>
          <w:t>https://doi.org/10.1371/journal.pone.0287098</w:t>
        </w:r>
      </w:hyperlink>
      <w:r w:rsidRPr="007D5CF2">
        <w:rPr>
          <w:rFonts w:ascii="Arial" w:eastAsia="Calibri" w:hAnsi="Arial" w:cs="Arial"/>
          <w:color w:val="222222"/>
          <w:kern w:val="0"/>
          <w:shd w:val="clear" w:color="auto" w:fill="FFFFFF"/>
          <w:lang w:eastAsia="en-US"/>
          <w14:ligatures w14:val="none"/>
        </w:rPr>
        <w:t xml:space="preserve"> </w:t>
      </w:r>
    </w:p>
    <w:p w14:paraId="6A1D26C6"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Plackett, R., van der Scheer, I., Steward, J.M., Fadia, V., Sheringham, J., Cooper, S., Biddle, L., Kidger, J., </w:t>
      </w:r>
      <w:proofErr w:type="spellStart"/>
      <w:r w:rsidRPr="007D5CF2">
        <w:rPr>
          <w:rFonts w:ascii="Arial" w:eastAsia="Times New Roman" w:hAnsi="Arial" w:cs="Arial"/>
          <w:bCs/>
          <w:kern w:val="0"/>
          <w:lang w:eastAsia="en-GB"/>
          <w14:ligatures w14:val="none"/>
        </w:rPr>
        <w:t>Schartau</w:t>
      </w:r>
      <w:proofErr w:type="spellEnd"/>
      <w:r w:rsidRPr="007D5CF2">
        <w:rPr>
          <w:rFonts w:ascii="Arial" w:eastAsia="Times New Roman" w:hAnsi="Arial" w:cs="Arial"/>
          <w:bCs/>
          <w:kern w:val="0"/>
          <w:lang w:eastAsia="en-GB"/>
          <w14:ligatures w14:val="none"/>
        </w:rPr>
        <w:t>, P. and Walters, K. (2026)</w:t>
      </w:r>
      <w:r w:rsidRPr="007D5CF2">
        <w:rPr>
          <w:rFonts w:ascii="Arial" w:eastAsia="Times New Roman" w:hAnsi="Arial" w:cs="Arial"/>
          <w:kern w:val="0"/>
          <w:lang w:eastAsia="en-GB"/>
          <w14:ligatures w14:val="none"/>
        </w:rPr>
        <w:t xml:space="preserve"> ‘Exploring the barriers and facilitators to discussing social media in primary care for young adults with mental health concerns: a qualitative study’, </w:t>
      </w:r>
      <w:r w:rsidRPr="007D5CF2">
        <w:rPr>
          <w:rFonts w:ascii="Arial" w:eastAsia="Times New Roman" w:hAnsi="Arial" w:cs="Arial"/>
          <w:i/>
          <w:iCs/>
          <w:kern w:val="0"/>
          <w:lang w:eastAsia="en-GB"/>
          <w14:ligatures w14:val="none"/>
        </w:rPr>
        <w:t>BJGP Open</w:t>
      </w:r>
      <w:r w:rsidRPr="007D5CF2">
        <w:rPr>
          <w:rFonts w:ascii="Arial" w:eastAsia="Times New Roman" w:hAnsi="Arial" w:cs="Arial"/>
          <w:kern w:val="0"/>
          <w:lang w:eastAsia="en-GB"/>
          <w14:ligatures w14:val="none"/>
        </w:rPr>
        <w:t xml:space="preserve">.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0" w:tgtFrame="_new" w:history="1">
        <w:r w:rsidRPr="007D5CF2">
          <w:rPr>
            <w:rFonts w:ascii="Arial" w:eastAsia="Times New Roman" w:hAnsi="Arial" w:cs="Arial"/>
            <w:color w:val="0000FF"/>
            <w:kern w:val="0"/>
            <w:u w:val="single"/>
            <w:lang w:eastAsia="en-GB"/>
            <w14:ligatures w14:val="none"/>
          </w:rPr>
          <w:t>https://doi.org/10.3399/BJGPO.2025.0196</w:t>
        </w:r>
      </w:hyperlink>
      <w:r w:rsidRPr="007D5CF2">
        <w:rPr>
          <w:rFonts w:ascii="Arial" w:eastAsia="Times New Roman" w:hAnsi="Arial" w:cs="Arial"/>
          <w:kern w:val="0"/>
          <w:lang w:eastAsia="en-GB"/>
          <w14:ligatures w14:val="none"/>
        </w:rPr>
        <w:t>.</w:t>
      </w:r>
    </w:p>
    <w:p w14:paraId="7B657CD3"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Pope, C. and Mays, N. (eds.) (2019)</w:t>
      </w:r>
      <w:r w:rsidRPr="007D5CF2">
        <w:rPr>
          <w:rFonts w:ascii="Arial" w:eastAsia="Calibri" w:hAnsi="Arial" w:cs="Arial"/>
          <w:color w:val="222222"/>
          <w:kern w:val="0"/>
          <w:shd w:val="clear" w:color="auto" w:fill="FFFFFF"/>
          <w:lang w:eastAsia="en-US"/>
          <w14:ligatures w14:val="none"/>
        </w:rPr>
        <w:t xml:space="preserve"> </w:t>
      </w:r>
      <w:r w:rsidRPr="007D5CF2">
        <w:rPr>
          <w:rFonts w:ascii="Arial" w:eastAsia="Calibri" w:hAnsi="Arial" w:cs="Arial"/>
          <w:i/>
          <w:iCs/>
          <w:color w:val="222222"/>
          <w:kern w:val="0"/>
          <w:shd w:val="clear" w:color="auto" w:fill="FFFFFF"/>
          <w:lang w:eastAsia="en-US"/>
          <w14:ligatures w14:val="none"/>
        </w:rPr>
        <w:t>Qualitative Research in Health Care</w:t>
      </w:r>
      <w:r w:rsidRPr="007D5CF2">
        <w:rPr>
          <w:rFonts w:ascii="Arial" w:eastAsia="Calibri" w:hAnsi="Arial" w:cs="Arial"/>
          <w:color w:val="222222"/>
          <w:kern w:val="0"/>
          <w:shd w:val="clear" w:color="auto" w:fill="FFFFFF"/>
          <w:lang w:eastAsia="en-US"/>
          <w14:ligatures w14:val="none"/>
        </w:rPr>
        <w:t xml:space="preserve">. 4th </w:t>
      </w:r>
      <w:proofErr w:type="spellStart"/>
      <w:r w:rsidRPr="007D5CF2">
        <w:rPr>
          <w:rFonts w:ascii="Arial" w:eastAsia="Calibri" w:hAnsi="Arial" w:cs="Arial"/>
          <w:color w:val="222222"/>
          <w:kern w:val="0"/>
          <w:shd w:val="clear" w:color="auto" w:fill="FFFFFF"/>
          <w:lang w:eastAsia="en-US"/>
          <w14:ligatures w14:val="none"/>
        </w:rPr>
        <w:t>edn</w:t>
      </w:r>
      <w:proofErr w:type="spellEnd"/>
      <w:r w:rsidRPr="007D5CF2">
        <w:rPr>
          <w:rFonts w:ascii="Arial" w:eastAsia="Calibri" w:hAnsi="Arial" w:cs="Arial"/>
          <w:color w:val="222222"/>
          <w:kern w:val="0"/>
          <w:shd w:val="clear" w:color="auto" w:fill="FFFFFF"/>
          <w:lang w:eastAsia="en-US"/>
          <w14:ligatures w14:val="none"/>
        </w:rPr>
        <w:t>. Hoboken, NJ: Wiley-Blackwell.</w:t>
      </w:r>
    </w:p>
    <w:p w14:paraId="7F72B75D"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Potterton, R., Austin, A., Allen, K. </w:t>
      </w:r>
      <w:r w:rsidRPr="007D5CF2">
        <w:rPr>
          <w:rFonts w:ascii="Arial" w:eastAsia="Times New Roman" w:hAnsi="Arial" w:cs="Arial"/>
          <w:i/>
          <w:iCs/>
          <w:kern w:val="0"/>
          <w:lang w:eastAsia="en-GB"/>
          <w14:ligatures w14:val="none"/>
        </w:rPr>
        <w:t>et al.</w:t>
      </w:r>
      <w:r w:rsidRPr="007D5CF2">
        <w:rPr>
          <w:rFonts w:ascii="Arial" w:eastAsia="Times New Roman" w:hAnsi="Arial" w:cs="Arial"/>
          <w:kern w:val="0"/>
          <w:lang w:eastAsia="en-GB"/>
          <w14:ligatures w14:val="none"/>
        </w:rPr>
        <w:t xml:space="preserve"> (2020) ‘“I’m not a teenager, I’m 22. Why can’t I snap out of it?”: a qualitative exploration of seeking help for a </w:t>
      </w:r>
      <w:proofErr w:type="gramStart"/>
      <w:r w:rsidRPr="007D5CF2">
        <w:rPr>
          <w:rFonts w:ascii="Arial" w:eastAsia="Times New Roman" w:hAnsi="Arial" w:cs="Arial"/>
          <w:kern w:val="0"/>
          <w:lang w:eastAsia="en-GB"/>
          <w14:ligatures w14:val="none"/>
        </w:rPr>
        <w:t>first-episode</w:t>
      </w:r>
      <w:proofErr w:type="gramEnd"/>
      <w:r w:rsidRPr="007D5CF2">
        <w:rPr>
          <w:rFonts w:ascii="Arial" w:eastAsia="Times New Roman" w:hAnsi="Arial" w:cs="Arial"/>
          <w:kern w:val="0"/>
          <w:lang w:eastAsia="en-GB"/>
          <w14:ligatures w14:val="none"/>
        </w:rPr>
        <w:t xml:space="preserve"> eating disorder during emerging adulthood’, </w:t>
      </w:r>
      <w:r w:rsidRPr="007D5CF2">
        <w:rPr>
          <w:rFonts w:ascii="Arial" w:eastAsia="Times New Roman" w:hAnsi="Arial" w:cs="Arial"/>
          <w:i/>
          <w:iCs/>
          <w:kern w:val="0"/>
          <w:lang w:eastAsia="en-GB"/>
          <w14:ligatures w14:val="none"/>
        </w:rPr>
        <w:t>Journal of Eating Disorders</w:t>
      </w:r>
      <w:r w:rsidRPr="007D5CF2">
        <w:rPr>
          <w:rFonts w:ascii="Arial" w:eastAsia="Times New Roman" w:hAnsi="Arial" w:cs="Arial"/>
          <w:kern w:val="0"/>
          <w:lang w:eastAsia="en-GB"/>
          <w14:ligatures w14:val="none"/>
        </w:rPr>
        <w:t xml:space="preserve">, 8, 46.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1" w:tgtFrame="_blank" w:history="1">
        <w:r w:rsidRPr="007D5CF2">
          <w:rPr>
            <w:rFonts w:ascii="Arial" w:eastAsia="Times New Roman" w:hAnsi="Arial" w:cs="Arial"/>
            <w:color w:val="0000FF"/>
            <w:kern w:val="0"/>
            <w:u w:val="single"/>
            <w:lang w:eastAsia="en-GB"/>
            <w14:ligatures w14:val="none"/>
          </w:rPr>
          <w:t>10.1186/s40337-020-00320-5</w:t>
        </w:r>
      </w:hyperlink>
      <w:r w:rsidRPr="007D5CF2">
        <w:rPr>
          <w:rFonts w:ascii="Arial" w:eastAsia="Times New Roman" w:hAnsi="Arial" w:cs="Arial"/>
          <w:kern w:val="0"/>
          <w:lang w:eastAsia="en-GB"/>
          <w14:ligatures w14:val="none"/>
        </w:rPr>
        <w:t>.</w:t>
      </w:r>
    </w:p>
    <w:p w14:paraId="6EF16FC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Prajapati, R. and Liebling, H. (2022) ‘Accessing mental health services: a systematic review and meta-ethnography of the experiences of South Asian service users in the UK’, </w:t>
      </w:r>
      <w:r w:rsidRPr="007D5CF2">
        <w:rPr>
          <w:rFonts w:ascii="Arial" w:eastAsia="Times New Roman" w:hAnsi="Arial" w:cs="Arial"/>
          <w:i/>
          <w:iCs/>
          <w:kern w:val="0"/>
          <w:lang w:eastAsia="en-GB"/>
          <w14:ligatures w14:val="none"/>
        </w:rPr>
        <w:t>Journal of Racial and Ethnic Health Disparities</w:t>
      </w:r>
      <w:r w:rsidRPr="007D5CF2">
        <w:rPr>
          <w:rFonts w:ascii="Arial" w:eastAsia="Times New Roman" w:hAnsi="Arial" w:cs="Arial"/>
          <w:kern w:val="0"/>
          <w:lang w:eastAsia="en-GB"/>
          <w14:ligatures w14:val="none"/>
        </w:rPr>
        <w:t xml:space="preserve">, 9(2), pp. 598–619.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2" w:tgtFrame="_blank" w:history="1">
        <w:r w:rsidRPr="007D5CF2">
          <w:rPr>
            <w:rFonts w:ascii="Arial" w:eastAsia="Times New Roman" w:hAnsi="Arial" w:cs="Arial"/>
            <w:color w:val="0563C1"/>
            <w:kern w:val="0"/>
            <w:u w:val="single"/>
            <w:lang w:eastAsia="en-GB"/>
            <w14:ligatures w14:val="none"/>
          </w:rPr>
          <w:t>10.1007/s40615-021-00993-x</w:t>
        </w:r>
      </w:hyperlink>
      <w:r w:rsidRPr="007D5CF2">
        <w:rPr>
          <w:rFonts w:ascii="Arial" w:eastAsia="Times New Roman" w:hAnsi="Arial" w:cs="Arial"/>
          <w:kern w:val="0"/>
          <w:lang w:eastAsia="en-GB"/>
          <w14:ligatures w14:val="none"/>
        </w:rPr>
        <w:t xml:space="preserve">. </w:t>
      </w:r>
    </w:p>
    <w:p w14:paraId="3F5A3561"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Prescott, J., Hanley, T. and Ujhelyi Gomez, K. (2019) ‘Why do young people use online forums for mental health and emotional support? Benefits and challenges’, </w:t>
      </w:r>
      <w:r w:rsidRPr="007D5CF2">
        <w:rPr>
          <w:rFonts w:ascii="Arial" w:eastAsia="Times New Roman" w:hAnsi="Arial" w:cs="Arial"/>
          <w:i/>
          <w:iCs/>
          <w:kern w:val="0"/>
          <w:lang w:eastAsia="en-GB"/>
          <w14:ligatures w14:val="none"/>
        </w:rPr>
        <w:t>British Journal of Guidance &amp; Counselling</w:t>
      </w:r>
      <w:r w:rsidRPr="007D5CF2">
        <w:rPr>
          <w:rFonts w:ascii="Arial" w:eastAsia="Times New Roman" w:hAnsi="Arial" w:cs="Arial"/>
          <w:kern w:val="0"/>
          <w:lang w:eastAsia="en-GB"/>
          <w14:ligatures w14:val="none"/>
        </w:rPr>
        <w:t xml:space="preserve">, 47(3), pp. 317–327. </w:t>
      </w:r>
      <w:hyperlink r:id="rId73" w:history="1">
        <w:r w:rsidRPr="007D5CF2">
          <w:rPr>
            <w:rFonts w:ascii="Arial" w:eastAsia="Calibri" w:hAnsi="Arial" w:cs="Arial"/>
            <w:color w:val="0563C1"/>
            <w:kern w:val="0"/>
            <w:u w:val="single"/>
            <w:lang w:eastAsia="en-US"/>
            <w14:ligatures w14:val="none"/>
          </w:rPr>
          <w:t>https://doi.org/10.1080/03069885.2019.1619169</w:t>
        </w:r>
      </w:hyperlink>
      <w:r w:rsidRPr="007D5CF2">
        <w:rPr>
          <w:rFonts w:ascii="Arial" w:eastAsia="Calibri" w:hAnsi="Arial" w:cs="Arial"/>
          <w:kern w:val="0"/>
          <w:lang w:eastAsia="en-US"/>
          <w14:ligatures w14:val="none"/>
        </w:rPr>
        <w:t xml:space="preserve"> </w:t>
      </w:r>
    </w:p>
    <w:p w14:paraId="02BEAF7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Pretorius, C., Chambers, D. and Coyle, D. (2019)</w:t>
      </w:r>
      <w:r w:rsidRPr="007D5CF2">
        <w:rPr>
          <w:rFonts w:ascii="Arial" w:eastAsia="Times New Roman" w:hAnsi="Arial" w:cs="Arial"/>
          <w:kern w:val="0"/>
          <w:lang w:eastAsia="en-GB"/>
          <w14:ligatures w14:val="none"/>
        </w:rPr>
        <w:t xml:space="preserve"> ‘Young people’s online help-seeking and mental health difficulties: systematic narrative review’, </w:t>
      </w:r>
      <w:r w:rsidRPr="007D5CF2">
        <w:rPr>
          <w:rFonts w:ascii="Arial" w:eastAsia="Times New Roman" w:hAnsi="Arial" w:cs="Arial"/>
          <w:i/>
          <w:iCs/>
          <w:kern w:val="0"/>
          <w:lang w:eastAsia="en-GB"/>
          <w14:ligatures w14:val="none"/>
        </w:rPr>
        <w:t>Journal of Medical Internet Research</w:t>
      </w:r>
      <w:r w:rsidRPr="007D5CF2">
        <w:rPr>
          <w:rFonts w:ascii="Arial" w:eastAsia="Times New Roman" w:hAnsi="Arial" w:cs="Arial"/>
          <w:kern w:val="0"/>
          <w:lang w:eastAsia="en-GB"/>
          <w14:ligatures w14:val="none"/>
        </w:rPr>
        <w:t xml:space="preserve">, 21(11), e13873.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4" w:tgtFrame="_new" w:history="1">
        <w:r w:rsidRPr="007D5CF2">
          <w:rPr>
            <w:rFonts w:ascii="Arial" w:eastAsia="Times New Roman" w:hAnsi="Arial" w:cs="Arial"/>
            <w:color w:val="0000FF"/>
            <w:kern w:val="0"/>
            <w:u w:val="single"/>
            <w:lang w:eastAsia="en-GB"/>
            <w14:ligatures w14:val="none"/>
          </w:rPr>
          <w:t>https://doi.org/10.2196/13873</w:t>
        </w:r>
      </w:hyperlink>
      <w:r w:rsidRPr="007D5CF2">
        <w:rPr>
          <w:rFonts w:ascii="Arial" w:eastAsia="Times New Roman" w:hAnsi="Arial" w:cs="Arial"/>
          <w:kern w:val="0"/>
          <w:lang w:eastAsia="en-GB"/>
          <w14:ligatures w14:val="none"/>
        </w:rPr>
        <w:t>.</w:t>
      </w:r>
    </w:p>
    <w:p w14:paraId="685E514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proofErr w:type="spellStart"/>
      <w:r w:rsidRPr="007D5CF2">
        <w:rPr>
          <w:rFonts w:ascii="Arial" w:eastAsia="Times New Roman" w:hAnsi="Arial" w:cs="Arial"/>
          <w:bCs/>
          <w:kern w:val="0"/>
          <w:lang w:eastAsia="en-GB"/>
          <w14:ligatures w14:val="none"/>
        </w:rPr>
        <w:t>Punton</w:t>
      </w:r>
      <w:proofErr w:type="spellEnd"/>
      <w:r w:rsidRPr="007D5CF2">
        <w:rPr>
          <w:rFonts w:ascii="Arial" w:eastAsia="Times New Roman" w:hAnsi="Arial" w:cs="Arial"/>
          <w:bCs/>
          <w:kern w:val="0"/>
          <w:lang w:eastAsia="en-GB"/>
          <w14:ligatures w14:val="none"/>
        </w:rPr>
        <w:t>, G., Dodd, A.L. and McNeill, A. (2022)</w:t>
      </w:r>
      <w:r w:rsidRPr="007D5CF2">
        <w:rPr>
          <w:rFonts w:ascii="Arial" w:eastAsia="Times New Roman" w:hAnsi="Arial" w:cs="Arial"/>
          <w:kern w:val="0"/>
          <w:lang w:eastAsia="en-GB"/>
          <w14:ligatures w14:val="none"/>
        </w:rPr>
        <w:t xml:space="preserve"> ‘“You’re on the waiting list”: an interpretive phenomenological analysis of young adults’ experiences of waiting lists within mental health services in the UK’, </w:t>
      </w:r>
      <w:r w:rsidRPr="007D5CF2">
        <w:rPr>
          <w:rFonts w:ascii="Arial" w:eastAsia="Times New Roman" w:hAnsi="Arial" w:cs="Arial"/>
          <w:i/>
          <w:iCs/>
          <w:kern w:val="0"/>
          <w:lang w:eastAsia="en-GB"/>
          <w14:ligatures w14:val="none"/>
        </w:rPr>
        <w:t>PLOS ONE</w:t>
      </w:r>
      <w:r w:rsidRPr="007D5CF2">
        <w:rPr>
          <w:rFonts w:ascii="Arial" w:eastAsia="Times New Roman" w:hAnsi="Arial" w:cs="Arial"/>
          <w:kern w:val="0"/>
          <w:lang w:eastAsia="en-GB"/>
          <w14:ligatures w14:val="none"/>
        </w:rPr>
        <w:t xml:space="preserve">, 17(3), e0265542.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5" w:tgtFrame="_new" w:history="1">
        <w:r w:rsidRPr="007D5CF2">
          <w:rPr>
            <w:rFonts w:ascii="Arial" w:eastAsia="Times New Roman" w:hAnsi="Arial" w:cs="Arial"/>
            <w:color w:val="0000FF"/>
            <w:kern w:val="0"/>
            <w:u w:val="single"/>
            <w:lang w:eastAsia="en-GB"/>
            <w14:ligatures w14:val="none"/>
          </w:rPr>
          <w:t>https://doi.org/10.1371/journal.pone.0265542</w:t>
        </w:r>
      </w:hyperlink>
      <w:r w:rsidRPr="007D5CF2">
        <w:rPr>
          <w:rFonts w:ascii="Arial" w:eastAsia="Times New Roman" w:hAnsi="Arial" w:cs="Arial"/>
          <w:kern w:val="0"/>
          <w:lang w:eastAsia="en-GB"/>
          <w14:ligatures w14:val="none"/>
        </w:rPr>
        <w:t>.</w:t>
      </w:r>
    </w:p>
    <w:p w14:paraId="056103F7"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Racine, N., McArthur, B.A., Cooke, J.E., Eirich, R., Zhu, J. and Madigan, S. (2021)</w:t>
      </w:r>
      <w:r w:rsidRPr="007D5CF2">
        <w:rPr>
          <w:rFonts w:ascii="Arial" w:eastAsia="Times New Roman" w:hAnsi="Arial" w:cs="Arial"/>
          <w:kern w:val="0"/>
          <w:lang w:eastAsia="en-GB"/>
          <w14:ligatures w14:val="none"/>
        </w:rPr>
        <w:t xml:space="preserve"> ‘Global prevalence of depressive and anxiety symptoms in children and adolescents during COVID-19: a meta-analysis’, </w:t>
      </w:r>
      <w:r w:rsidRPr="007D5CF2">
        <w:rPr>
          <w:rFonts w:ascii="Arial" w:eastAsia="Times New Roman" w:hAnsi="Arial" w:cs="Arial"/>
          <w:i/>
          <w:iCs/>
          <w:kern w:val="0"/>
          <w:lang w:eastAsia="en-GB"/>
          <w14:ligatures w14:val="none"/>
        </w:rPr>
        <w:t xml:space="preserve">JAMA </w:t>
      </w:r>
      <w:proofErr w:type="spellStart"/>
      <w:r w:rsidRPr="007D5CF2">
        <w:rPr>
          <w:rFonts w:ascii="Arial" w:eastAsia="Times New Roman" w:hAnsi="Arial" w:cs="Arial"/>
          <w:i/>
          <w:iCs/>
          <w:kern w:val="0"/>
          <w:lang w:eastAsia="en-GB"/>
          <w14:ligatures w14:val="none"/>
        </w:rPr>
        <w:t>Pediatrics</w:t>
      </w:r>
      <w:proofErr w:type="spellEnd"/>
      <w:r w:rsidRPr="007D5CF2">
        <w:rPr>
          <w:rFonts w:ascii="Arial" w:eastAsia="Times New Roman" w:hAnsi="Arial" w:cs="Arial"/>
          <w:kern w:val="0"/>
          <w:lang w:eastAsia="en-GB"/>
          <w14:ligatures w14:val="none"/>
        </w:rPr>
        <w:t xml:space="preserve">, 175(11), pp. 1142–1150.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6" w:tgtFrame="_new" w:history="1">
        <w:r w:rsidRPr="007D5CF2">
          <w:rPr>
            <w:rFonts w:ascii="Arial" w:eastAsia="Times New Roman" w:hAnsi="Arial" w:cs="Arial"/>
            <w:color w:val="0000FF"/>
            <w:kern w:val="0"/>
            <w:u w:val="single"/>
            <w:lang w:eastAsia="en-GB"/>
            <w14:ligatures w14:val="none"/>
          </w:rPr>
          <w:t>https://doi.org/10.1001/jamapediatrics.2021.2482</w:t>
        </w:r>
      </w:hyperlink>
      <w:r w:rsidRPr="007D5CF2">
        <w:rPr>
          <w:rFonts w:ascii="Arial" w:eastAsia="Times New Roman" w:hAnsi="Arial" w:cs="Arial"/>
          <w:kern w:val="0"/>
          <w:lang w:eastAsia="en-GB"/>
          <w14:ligatures w14:val="none"/>
        </w:rPr>
        <w:t>.</w:t>
      </w:r>
    </w:p>
    <w:p w14:paraId="75E1C5D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Radez, J., Causier, C., Maughan, D., Waite, F. and Johns, L. (2024)</w:t>
      </w:r>
      <w:r w:rsidRPr="007D5CF2">
        <w:rPr>
          <w:rFonts w:ascii="Arial" w:eastAsia="Times New Roman" w:hAnsi="Arial" w:cs="Arial"/>
          <w:kern w:val="0"/>
          <w:lang w:eastAsia="en-GB"/>
          <w14:ligatures w14:val="none"/>
        </w:rPr>
        <w:t xml:space="preserve"> ‘The experience of seeking and accessing help from mental health services among young people of Eastern European backgrounds: a qualitative interview study’, </w:t>
      </w:r>
      <w:r w:rsidRPr="007D5CF2">
        <w:rPr>
          <w:rFonts w:ascii="Arial" w:eastAsia="Times New Roman" w:hAnsi="Arial" w:cs="Arial"/>
          <w:i/>
          <w:iCs/>
          <w:kern w:val="0"/>
          <w:lang w:eastAsia="en-GB"/>
          <w14:ligatures w14:val="none"/>
        </w:rPr>
        <w:t>Psychology and Psychotherapy: Theory, Research and Practice</w:t>
      </w:r>
      <w:r w:rsidRPr="007D5CF2">
        <w:rPr>
          <w:rFonts w:ascii="Arial" w:eastAsia="Times New Roman" w:hAnsi="Arial" w:cs="Arial"/>
          <w:kern w:val="0"/>
          <w:lang w:eastAsia="en-GB"/>
          <w14:ligatures w14:val="none"/>
        </w:rPr>
        <w:t xml:space="preserve">, 97(3), pp. 425–438.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7" w:tgtFrame="_new" w:history="1">
        <w:r w:rsidRPr="007D5CF2">
          <w:rPr>
            <w:rFonts w:ascii="Arial" w:eastAsia="Times New Roman" w:hAnsi="Arial" w:cs="Arial"/>
            <w:color w:val="0000FF"/>
            <w:kern w:val="0"/>
            <w:u w:val="single"/>
            <w:lang w:eastAsia="en-GB"/>
            <w14:ligatures w14:val="none"/>
          </w:rPr>
          <w:t>https://doi.org/10.1111/papt.12524</w:t>
        </w:r>
      </w:hyperlink>
      <w:r w:rsidRPr="007D5CF2">
        <w:rPr>
          <w:rFonts w:ascii="Arial" w:eastAsia="Times New Roman" w:hAnsi="Arial" w:cs="Arial"/>
          <w:kern w:val="0"/>
          <w:lang w:eastAsia="en-GB"/>
          <w14:ligatures w14:val="none"/>
        </w:rPr>
        <w:t>.</w:t>
      </w:r>
    </w:p>
    <w:p w14:paraId="716EA76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Radez, J., Reardon, T., Creswell, C., Lawrence, P.J., </w:t>
      </w:r>
      <w:proofErr w:type="spellStart"/>
      <w:r w:rsidRPr="007D5CF2">
        <w:rPr>
          <w:rFonts w:ascii="Arial" w:eastAsia="Times New Roman" w:hAnsi="Arial" w:cs="Arial"/>
          <w:bCs/>
          <w:kern w:val="0"/>
          <w:lang w:eastAsia="en-GB"/>
          <w14:ligatures w14:val="none"/>
        </w:rPr>
        <w:t>Evdoka</w:t>
      </w:r>
      <w:proofErr w:type="spellEnd"/>
      <w:r w:rsidRPr="007D5CF2">
        <w:rPr>
          <w:rFonts w:ascii="Arial" w:eastAsia="Times New Roman" w:hAnsi="Arial" w:cs="Arial"/>
          <w:bCs/>
          <w:kern w:val="0"/>
          <w:lang w:eastAsia="en-GB"/>
          <w14:ligatures w14:val="none"/>
        </w:rPr>
        <w:t>-Burton, G. and Waite, P. (2021)</w:t>
      </w:r>
      <w:r w:rsidRPr="007D5CF2">
        <w:rPr>
          <w:rFonts w:ascii="Arial" w:eastAsia="Times New Roman" w:hAnsi="Arial" w:cs="Arial"/>
          <w:kern w:val="0"/>
          <w:lang w:eastAsia="en-GB"/>
          <w14:ligatures w14:val="none"/>
        </w:rPr>
        <w:t xml:space="preserve"> ‘Why do children and adolescents (not) seek and access professional help for their mental health problems? A systematic review of quantitative and qualitative studies’, </w:t>
      </w:r>
      <w:r w:rsidRPr="007D5CF2">
        <w:rPr>
          <w:rFonts w:ascii="Arial" w:eastAsia="Times New Roman" w:hAnsi="Arial" w:cs="Arial"/>
          <w:i/>
          <w:iCs/>
          <w:kern w:val="0"/>
          <w:lang w:eastAsia="en-GB"/>
          <w14:ligatures w14:val="none"/>
        </w:rPr>
        <w:t>European Child &amp; Adolescent Psychiatry</w:t>
      </w:r>
      <w:r w:rsidRPr="007D5CF2">
        <w:rPr>
          <w:rFonts w:ascii="Arial" w:eastAsia="Times New Roman" w:hAnsi="Arial" w:cs="Arial"/>
          <w:kern w:val="0"/>
          <w:lang w:eastAsia="en-GB"/>
          <w14:ligatures w14:val="none"/>
        </w:rPr>
        <w:t xml:space="preserve">, 30(2), pp. 183–211.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8" w:tgtFrame="_new" w:history="1">
        <w:r w:rsidRPr="007D5CF2">
          <w:rPr>
            <w:rFonts w:ascii="Arial" w:eastAsia="Times New Roman" w:hAnsi="Arial" w:cs="Arial"/>
            <w:color w:val="0000FF"/>
            <w:kern w:val="0"/>
            <w:u w:val="single"/>
            <w:lang w:eastAsia="en-GB"/>
            <w14:ligatures w14:val="none"/>
          </w:rPr>
          <w:t>https://doi.org/10.1007/s00787-019-01469-4</w:t>
        </w:r>
      </w:hyperlink>
      <w:r w:rsidRPr="007D5CF2">
        <w:rPr>
          <w:rFonts w:ascii="Arial" w:eastAsia="Times New Roman" w:hAnsi="Arial" w:cs="Arial"/>
          <w:kern w:val="0"/>
          <w:lang w:eastAsia="en-GB"/>
          <w14:ligatures w14:val="none"/>
        </w:rPr>
        <w:t>.</w:t>
      </w:r>
    </w:p>
    <w:p w14:paraId="3D1941E2"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Ragab, M.A. and Arisha, A. (2018)</w:t>
      </w:r>
      <w:r w:rsidRPr="007D5CF2">
        <w:rPr>
          <w:rFonts w:ascii="Arial" w:eastAsia="Times New Roman" w:hAnsi="Arial" w:cs="Arial"/>
          <w:kern w:val="0"/>
          <w:lang w:eastAsia="en-GB"/>
          <w14:ligatures w14:val="none"/>
        </w:rPr>
        <w:t xml:space="preserve"> ‘Research methodology in business: a starter’s guide’, </w:t>
      </w:r>
      <w:r w:rsidRPr="007D5CF2">
        <w:rPr>
          <w:rFonts w:ascii="Arial" w:eastAsia="Times New Roman" w:hAnsi="Arial" w:cs="Arial"/>
          <w:i/>
          <w:iCs/>
          <w:kern w:val="0"/>
          <w:lang w:eastAsia="en-GB"/>
          <w14:ligatures w14:val="none"/>
        </w:rPr>
        <w:t>Management and Organisational Studies</w:t>
      </w:r>
      <w:r w:rsidRPr="007D5CF2">
        <w:rPr>
          <w:rFonts w:ascii="Arial" w:eastAsia="Times New Roman" w:hAnsi="Arial" w:cs="Arial"/>
          <w:kern w:val="0"/>
          <w:lang w:eastAsia="en-GB"/>
          <w14:ligatures w14:val="none"/>
        </w:rPr>
        <w:t xml:space="preserve">, 5(1), pp. 1–11.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79" w:history="1">
        <w:r w:rsidRPr="007D5CF2">
          <w:rPr>
            <w:rFonts w:ascii="Arial" w:eastAsia="Times New Roman" w:hAnsi="Arial" w:cs="Arial"/>
            <w:color w:val="0563C1"/>
            <w:kern w:val="0"/>
            <w:u w:val="single"/>
            <w:lang w:eastAsia="en-GB"/>
            <w14:ligatures w14:val="none"/>
          </w:rPr>
          <w:t>https://doi.org/10.5430/mos.v5n1p1</w:t>
        </w:r>
      </w:hyperlink>
      <w:r w:rsidRPr="007D5CF2">
        <w:rPr>
          <w:rFonts w:ascii="Arial" w:eastAsia="Times New Roman" w:hAnsi="Arial" w:cs="Arial"/>
          <w:kern w:val="0"/>
          <w:lang w:eastAsia="en-GB"/>
          <w14:ligatures w14:val="none"/>
        </w:rPr>
        <w:t xml:space="preserve"> </w:t>
      </w:r>
    </w:p>
    <w:p w14:paraId="0D0153BF"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Reardon, T., Harvey, K., Baranowska, M., O’Brien, D., Smith, L. and Creswell, C. (2017)</w:t>
      </w:r>
      <w:r w:rsidRPr="007D5CF2">
        <w:rPr>
          <w:rFonts w:ascii="Arial" w:eastAsia="Times New Roman" w:hAnsi="Arial" w:cs="Arial"/>
          <w:kern w:val="0"/>
          <w:lang w:eastAsia="en-GB"/>
          <w14:ligatures w14:val="none"/>
        </w:rPr>
        <w:t xml:space="preserve"> ‘What do parents perceive are the barriers and facilitators to accessing psychological treatment for mental health problems in children and adolescents? A systematic review of qualitative and quantitative studies’, </w:t>
      </w:r>
      <w:r w:rsidRPr="007D5CF2">
        <w:rPr>
          <w:rFonts w:ascii="Arial" w:eastAsia="Times New Roman" w:hAnsi="Arial" w:cs="Arial"/>
          <w:i/>
          <w:iCs/>
          <w:kern w:val="0"/>
          <w:lang w:eastAsia="en-GB"/>
          <w14:ligatures w14:val="none"/>
        </w:rPr>
        <w:t>European Child &amp; Adolescent Psychiatry</w:t>
      </w:r>
      <w:r w:rsidRPr="007D5CF2">
        <w:rPr>
          <w:rFonts w:ascii="Arial" w:eastAsia="Times New Roman" w:hAnsi="Arial" w:cs="Arial"/>
          <w:kern w:val="0"/>
          <w:lang w:eastAsia="en-GB"/>
          <w14:ligatures w14:val="none"/>
        </w:rPr>
        <w:t xml:space="preserve">, 26(6), pp. 623–647.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0" w:history="1">
        <w:r w:rsidRPr="007D5CF2">
          <w:rPr>
            <w:rFonts w:ascii="Arial" w:eastAsia="Times New Roman" w:hAnsi="Arial" w:cs="Arial"/>
            <w:color w:val="0563C1"/>
            <w:kern w:val="0"/>
            <w:u w:val="single"/>
            <w:lang w:eastAsia="en-GB"/>
            <w14:ligatures w14:val="none"/>
          </w:rPr>
          <w:t>https://doi.org/10.1007/s00787-016-0930-6</w:t>
        </w:r>
      </w:hyperlink>
      <w:r w:rsidRPr="007D5CF2">
        <w:rPr>
          <w:rFonts w:ascii="Arial" w:eastAsia="Times New Roman" w:hAnsi="Arial" w:cs="Arial"/>
          <w:kern w:val="0"/>
          <w:lang w:eastAsia="en-GB"/>
          <w14:ligatures w14:val="none"/>
        </w:rPr>
        <w:t xml:space="preserve"> </w:t>
      </w:r>
    </w:p>
    <w:p w14:paraId="06F6754C"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Reed, J., Hunn, L., Smith, T., Bosworth, R., Gee, B., Berry, C. and Clarke, T. (2025)</w:t>
      </w:r>
      <w:r w:rsidRPr="007D5CF2">
        <w:rPr>
          <w:rFonts w:ascii="Arial" w:eastAsia="Times New Roman" w:hAnsi="Arial" w:cs="Arial"/>
          <w:kern w:val="0"/>
          <w:lang w:eastAsia="en-GB"/>
          <w14:ligatures w14:val="none"/>
        </w:rPr>
        <w:t xml:space="preserve"> ‘Barriers and facilitators in the implementation of youth and young adult models of mental health care’, </w:t>
      </w:r>
      <w:r w:rsidRPr="007D5CF2">
        <w:rPr>
          <w:rFonts w:ascii="Arial" w:eastAsia="Times New Roman" w:hAnsi="Arial" w:cs="Arial"/>
          <w:i/>
          <w:iCs/>
          <w:kern w:val="0"/>
          <w:lang w:eastAsia="en-GB"/>
          <w14:ligatures w14:val="none"/>
        </w:rPr>
        <w:t>Early Intervention in Psychiatry</w:t>
      </w:r>
      <w:r w:rsidRPr="007D5CF2">
        <w:rPr>
          <w:rFonts w:ascii="Arial" w:eastAsia="Times New Roman" w:hAnsi="Arial" w:cs="Arial"/>
          <w:kern w:val="0"/>
          <w:lang w:eastAsia="en-GB"/>
          <w14:ligatures w14:val="none"/>
        </w:rPr>
        <w:t xml:space="preserve">, 19(1), e13555.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1" w:tgtFrame="_new" w:history="1">
        <w:r w:rsidRPr="007D5CF2">
          <w:rPr>
            <w:rFonts w:ascii="Arial" w:eastAsia="Times New Roman" w:hAnsi="Arial" w:cs="Arial"/>
            <w:color w:val="0000FF"/>
            <w:kern w:val="0"/>
            <w:u w:val="single"/>
            <w:lang w:eastAsia="en-GB"/>
            <w14:ligatures w14:val="none"/>
          </w:rPr>
          <w:t>https://doi.org/10.1111/eip.13555</w:t>
        </w:r>
      </w:hyperlink>
      <w:r w:rsidRPr="007D5CF2">
        <w:rPr>
          <w:rFonts w:ascii="Arial" w:eastAsia="Times New Roman" w:hAnsi="Arial" w:cs="Arial"/>
          <w:kern w:val="0"/>
          <w:lang w:eastAsia="en-GB"/>
          <w14:ligatures w14:val="none"/>
        </w:rPr>
        <w:t>.</w:t>
      </w:r>
    </w:p>
    <w:p w14:paraId="37FE8CD9"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Rickwood, D.J., </w:t>
      </w:r>
      <w:proofErr w:type="spellStart"/>
      <w:r w:rsidRPr="007D5CF2">
        <w:rPr>
          <w:rFonts w:ascii="Arial" w:eastAsia="Times New Roman" w:hAnsi="Arial" w:cs="Arial"/>
          <w:kern w:val="0"/>
          <w:lang w:eastAsia="en-GB"/>
          <w14:ligatures w14:val="none"/>
        </w:rPr>
        <w:t>Mazzer</w:t>
      </w:r>
      <w:proofErr w:type="spellEnd"/>
      <w:r w:rsidRPr="007D5CF2">
        <w:rPr>
          <w:rFonts w:ascii="Arial" w:eastAsia="Times New Roman" w:hAnsi="Arial" w:cs="Arial"/>
          <w:kern w:val="0"/>
          <w:lang w:eastAsia="en-GB"/>
          <w14:ligatures w14:val="none"/>
        </w:rPr>
        <w:t xml:space="preserve">, K.R. and Telford, N.R. (2015) ‘Social influences on seeking help from mental health services, in-person and online, during adolescence and young adulthood’, </w:t>
      </w:r>
      <w:r w:rsidRPr="007D5CF2">
        <w:rPr>
          <w:rFonts w:ascii="Arial" w:eastAsia="Times New Roman" w:hAnsi="Arial" w:cs="Arial"/>
          <w:i/>
          <w:iCs/>
          <w:kern w:val="0"/>
          <w:lang w:eastAsia="en-GB"/>
          <w14:ligatures w14:val="none"/>
        </w:rPr>
        <w:t>BMC Psychiatry</w:t>
      </w:r>
      <w:r w:rsidRPr="007D5CF2">
        <w:rPr>
          <w:rFonts w:ascii="Arial" w:eastAsia="Times New Roman" w:hAnsi="Arial" w:cs="Arial"/>
          <w:kern w:val="0"/>
          <w:lang w:eastAsia="en-GB"/>
          <w14:ligatures w14:val="none"/>
        </w:rPr>
        <w:t xml:space="preserve">, 15, 40.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2" w:tgtFrame="_blank" w:history="1">
        <w:r w:rsidRPr="007D5CF2">
          <w:rPr>
            <w:rFonts w:ascii="Arial" w:eastAsia="Times New Roman" w:hAnsi="Arial" w:cs="Arial"/>
            <w:color w:val="0000FF"/>
            <w:kern w:val="0"/>
            <w:u w:val="single"/>
            <w:lang w:eastAsia="en-GB"/>
            <w14:ligatures w14:val="none"/>
          </w:rPr>
          <w:t>10.1186/s12888-015-0429-6</w:t>
        </w:r>
      </w:hyperlink>
      <w:r w:rsidRPr="007D5CF2">
        <w:rPr>
          <w:rFonts w:ascii="Arial" w:eastAsia="Times New Roman" w:hAnsi="Arial" w:cs="Arial"/>
          <w:kern w:val="0"/>
          <w:lang w:eastAsia="en-GB"/>
          <w14:ligatures w14:val="none"/>
        </w:rPr>
        <w:t>.</w:t>
      </w:r>
    </w:p>
    <w:p w14:paraId="3B6E291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Rosenstock, I.M., </w:t>
      </w:r>
      <w:proofErr w:type="spellStart"/>
      <w:r w:rsidRPr="007D5CF2">
        <w:rPr>
          <w:rFonts w:ascii="Arial" w:eastAsia="Times New Roman" w:hAnsi="Arial" w:cs="Arial"/>
          <w:bCs/>
          <w:kern w:val="0"/>
          <w:lang w:eastAsia="en-GB"/>
          <w14:ligatures w14:val="none"/>
        </w:rPr>
        <w:t>Strecher</w:t>
      </w:r>
      <w:proofErr w:type="spellEnd"/>
      <w:r w:rsidRPr="007D5CF2">
        <w:rPr>
          <w:rFonts w:ascii="Arial" w:eastAsia="Times New Roman" w:hAnsi="Arial" w:cs="Arial"/>
          <w:bCs/>
          <w:kern w:val="0"/>
          <w:lang w:eastAsia="en-GB"/>
          <w14:ligatures w14:val="none"/>
        </w:rPr>
        <w:t>, V.J. and Becker, M.H. (1988)</w:t>
      </w:r>
      <w:r w:rsidRPr="007D5CF2">
        <w:rPr>
          <w:rFonts w:ascii="Arial" w:eastAsia="Times New Roman" w:hAnsi="Arial" w:cs="Arial"/>
          <w:kern w:val="0"/>
          <w:lang w:eastAsia="en-GB"/>
          <w14:ligatures w14:val="none"/>
        </w:rPr>
        <w:t xml:space="preserve"> ‘Social learning theory and the Health Belief Model’, </w:t>
      </w:r>
      <w:r w:rsidRPr="007D5CF2">
        <w:rPr>
          <w:rFonts w:ascii="Arial" w:eastAsia="Times New Roman" w:hAnsi="Arial" w:cs="Arial"/>
          <w:i/>
          <w:iCs/>
          <w:kern w:val="0"/>
          <w:lang w:eastAsia="en-GB"/>
          <w14:ligatures w14:val="none"/>
        </w:rPr>
        <w:t>Health Education Quarterly</w:t>
      </w:r>
      <w:r w:rsidRPr="007D5CF2">
        <w:rPr>
          <w:rFonts w:ascii="Arial" w:eastAsia="Times New Roman" w:hAnsi="Arial" w:cs="Arial"/>
          <w:kern w:val="0"/>
          <w:lang w:eastAsia="en-GB"/>
          <w14:ligatures w14:val="none"/>
        </w:rPr>
        <w:t xml:space="preserve">, 15(2), pp. 175–183.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3" w:tgtFrame="_new" w:history="1">
        <w:r w:rsidRPr="007D5CF2">
          <w:rPr>
            <w:rFonts w:ascii="Arial" w:eastAsia="Times New Roman" w:hAnsi="Arial" w:cs="Arial"/>
            <w:color w:val="0000FF"/>
            <w:kern w:val="0"/>
            <w:u w:val="single"/>
            <w:lang w:eastAsia="en-GB"/>
            <w14:ligatures w14:val="none"/>
          </w:rPr>
          <w:t>https://doi.org/10.1177/109019818801500203</w:t>
        </w:r>
      </w:hyperlink>
      <w:r w:rsidRPr="007D5CF2">
        <w:rPr>
          <w:rFonts w:ascii="Arial" w:eastAsia="Times New Roman" w:hAnsi="Arial" w:cs="Arial"/>
          <w:kern w:val="0"/>
          <w:lang w:eastAsia="en-GB"/>
          <w14:ligatures w14:val="none"/>
        </w:rPr>
        <w:t>.</w:t>
      </w:r>
    </w:p>
    <w:p w14:paraId="0C2A288D"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Salaheddin, K. and Mason, B. (2016)</w:t>
      </w:r>
      <w:r w:rsidRPr="007D5CF2">
        <w:rPr>
          <w:rFonts w:ascii="Arial" w:eastAsia="Times New Roman" w:hAnsi="Arial" w:cs="Arial"/>
          <w:kern w:val="0"/>
          <w:lang w:eastAsia="en-GB"/>
          <w14:ligatures w14:val="none"/>
        </w:rPr>
        <w:t xml:space="preserve"> ‘Identifying barriers to mental health help-seeking among young adults in the UK: a cross-sectional survey’, </w:t>
      </w:r>
      <w:r w:rsidRPr="007D5CF2">
        <w:rPr>
          <w:rFonts w:ascii="Arial" w:eastAsia="Times New Roman" w:hAnsi="Arial" w:cs="Arial"/>
          <w:i/>
          <w:iCs/>
          <w:kern w:val="0"/>
          <w:lang w:eastAsia="en-GB"/>
          <w14:ligatures w14:val="none"/>
        </w:rPr>
        <w:t>British Journal of General Practice</w:t>
      </w:r>
      <w:r w:rsidRPr="007D5CF2">
        <w:rPr>
          <w:rFonts w:ascii="Arial" w:eastAsia="Times New Roman" w:hAnsi="Arial" w:cs="Arial"/>
          <w:kern w:val="0"/>
          <w:lang w:eastAsia="en-GB"/>
          <w14:ligatures w14:val="none"/>
        </w:rPr>
        <w:t xml:space="preserve">, 66(651), pp. e686–e692.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4" w:tgtFrame="_new" w:history="1">
        <w:r w:rsidRPr="007D5CF2">
          <w:rPr>
            <w:rFonts w:ascii="Arial" w:eastAsia="Times New Roman" w:hAnsi="Arial" w:cs="Arial"/>
            <w:color w:val="0000FF"/>
            <w:kern w:val="0"/>
            <w:u w:val="single"/>
            <w:lang w:eastAsia="en-GB"/>
            <w14:ligatures w14:val="none"/>
          </w:rPr>
          <w:t>https://doi.org/10.3399/bjgp16X687313</w:t>
        </w:r>
      </w:hyperlink>
      <w:r w:rsidRPr="007D5CF2">
        <w:rPr>
          <w:rFonts w:ascii="Arial" w:eastAsia="Times New Roman" w:hAnsi="Arial" w:cs="Arial"/>
          <w:kern w:val="0"/>
          <w:lang w:eastAsia="en-GB"/>
          <w14:ligatures w14:val="none"/>
        </w:rPr>
        <w:t>.</w:t>
      </w:r>
    </w:p>
    <w:p w14:paraId="4862659D"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Saunders, M., Lewis, P. and Thornhill, A. (2012)</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Research Methods for Business Students</w:t>
      </w:r>
      <w:r w:rsidRPr="007D5CF2">
        <w:rPr>
          <w:rFonts w:ascii="Arial" w:eastAsia="Times New Roman" w:hAnsi="Arial" w:cs="Arial"/>
          <w:kern w:val="0"/>
          <w:lang w:eastAsia="en-GB"/>
          <w14:ligatures w14:val="none"/>
        </w:rPr>
        <w:t xml:space="preserve">. 6th </w:t>
      </w:r>
      <w:proofErr w:type="spellStart"/>
      <w:r w:rsidRPr="007D5CF2">
        <w:rPr>
          <w:rFonts w:ascii="Arial" w:eastAsia="Times New Roman" w:hAnsi="Arial" w:cs="Arial"/>
          <w:kern w:val="0"/>
          <w:lang w:eastAsia="en-GB"/>
          <w14:ligatures w14:val="none"/>
        </w:rPr>
        <w:t>edn</w:t>
      </w:r>
      <w:proofErr w:type="spellEnd"/>
      <w:r w:rsidRPr="007D5CF2">
        <w:rPr>
          <w:rFonts w:ascii="Arial" w:eastAsia="Times New Roman" w:hAnsi="Arial" w:cs="Arial"/>
          <w:kern w:val="0"/>
          <w:lang w:eastAsia="en-GB"/>
          <w14:ligatures w14:val="none"/>
        </w:rPr>
        <w:t>. Harlow: Pearson.</w:t>
      </w:r>
    </w:p>
    <w:p w14:paraId="01E1215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 xml:space="preserve">Sawyer, S.M., Azzopardi, P.S., </w:t>
      </w:r>
      <w:proofErr w:type="spellStart"/>
      <w:r w:rsidRPr="007D5CF2">
        <w:rPr>
          <w:rFonts w:ascii="Arial" w:eastAsia="Times New Roman" w:hAnsi="Arial" w:cs="Arial"/>
          <w:bCs/>
          <w:kern w:val="0"/>
          <w:lang w:eastAsia="en-GB"/>
          <w14:ligatures w14:val="none"/>
        </w:rPr>
        <w:t>Wickremarathne</w:t>
      </w:r>
      <w:proofErr w:type="spellEnd"/>
      <w:r w:rsidRPr="007D5CF2">
        <w:rPr>
          <w:rFonts w:ascii="Arial" w:eastAsia="Times New Roman" w:hAnsi="Arial" w:cs="Arial"/>
          <w:bCs/>
          <w:kern w:val="0"/>
          <w:lang w:eastAsia="en-GB"/>
          <w14:ligatures w14:val="none"/>
        </w:rPr>
        <w:t>, D. and Patton, G.C. (2018)</w:t>
      </w:r>
      <w:r w:rsidRPr="007D5CF2">
        <w:rPr>
          <w:rFonts w:ascii="Arial" w:eastAsia="Times New Roman" w:hAnsi="Arial" w:cs="Arial"/>
          <w:kern w:val="0"/>
          <w:lang w:eastAsia="en-GB"/>
          <w14:ligatures w14:val="none"/>
        </w:rPr>
        <w:t xml:space="preserve"> ‘The age of adolescence’, </w:t>
      </w:r>
      <w:r w:rsidRPr="007D5CF2">
        <w:rPr>
          <w:rFonts w:ascii="Arial" w:eastAsia="Times New Roman" w:hAnsi="Arial" w:cs="Arial"/>
          <w:i/>
          <w:iCs/>
          <w:kern w:val="0"/>
          <w:lang w:eastAsia="en-GB"/>
          <w14:ligatures w14:val="none"/>
        </w:rPr>
        <w:t>The Lancet Child &amp; Adolescent Health</w:t>
      </w:r>
      <w:r w:rsidRPr="007D5CF2">
        <w:rPr>
          <w:rFonts w:ascii="Arial" w:eastAsia="Times New Roman" w:hAnsi="Arial" w:cs="Arial"/>
          <w:kern w:val="0"/>
          <w:lang w:eastAsia="en-GB"/>
          <w14:ligatures w14:val="none"/>
        </w:rPr>
        <w:t xml:space="preserve">, 2(3), pp. 223–228.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5" w:tgtFrame="_new" w:history="1">
        <w:r w:rsidRPr="007D5CF2">
          <w:rPr>
            <w:rFonts w:ascii="Arial" w:eastAsia="Times New Roman" w:hAnsi="Arial" w:cs="Arial"/>
            <w:color w:val="0000FF"/>
            <w:kern w:val="0"/>
            <w:u w:val="single"/>
            <w:lang w:eastAsia="en-GB"/>
            <w14:ligatures w14:val="none"/>
          </w:rPr>
          <w:t>https://doi.org/10.1016/S2352-4642(18)30022-1</w:t>
        </w:r>
      </w:hyperlink>
      <w:r w:rsidRPr="007D5CF2">
        <w:rPr>
          <w:rFonts w:ascii="Arial" w:eastAsia="Times New Roman" w:hAnsi="Arial" w:cs="Arial"/>
          <w:kern w:val="0"/>
          <w:lang w:eastAsia="en-GB"/>
          <w14:ligatures w14:val="none"/>
        </w:rPr>
        <w:t>.</w:t>
      </w:r>
    </w:p>
    <w:p w14:paraId="34C7B568"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Schwartz, S.J. (2016) ‘Turning point for a turning point: advancing emerging adulthood theory and research’, </w:t>
      </w:r>
      <w:r w:rsidRPr="007D5CF2">
        <w:rPr>
          <w:rFonts w:ascii="Arial" w:eastAsia="Times New Roman" w:hAnsi="Arial" w:cs="Arial"/>
          <w:i/>
          <w:iCs/>
          <w:kern w:val="0"/>
          <w:lang w:eastAsia="en-GB"/>
          <w14:ligatures w14:val="none"/>
        </w:rPr>
        <w:t>Emerging Adulthood</w:t>
      </w:r>
      <w:r w:rsidRPr="007D5CF2">
        <w:rPr>
          <w:rFonts w:ascii="Arial" w:eastAsia="Times New Roman" w:hAnsi="Arial" w:cs="Arial"/>
          <w:kern w:val="0"/>
          <w:lang w:eastAsia="en-GB"/>
          <w14:ligatures w14:val="none"/>
        </w:rPr>
        <w:t xml:space="preserve">, 4(5), pp. 307–317. </w:t>
      </w:r>
      <w:hyperlink r:id="rId86" w:history="1">
        <w:r w:rsidRPr="007D5CF2">
          <w:rPr>
            <w:rFonts w:ascii="Arial" w:eastAsia="Times New Roman" w:hAnsi="Arial" w:cs="Arial"/>
            <w:color w:val="0563C1"/>
            <w:kern w:val="0"/>
            <w:u w:val="single"/>
            <w:lang w:eastAsia="en-GB"/>
            <w14:ligatures w14:val="none"/>
          </w:rPr>
          <w:t>doi.org/10.1177/2167696815624640</w:t>
        </w:r>
      </w:hyperlink>
      <w:r w:rsidRPr="007D5CF2">
        <w:rPr>
          <w:rFonts w:ascii="Arial" w:eastAsia="Times New Roman" w:hAnsi="Arial" w:cs="Arial"/>
          <w:kern w:val="0"/>
          <w:lang w:eastAsia="en-GB"/>
          <w14:ligatures w14:val="none"/>
        </w:rPr>
        <w:t xml:space="preserve"> </w:t>
      </w:r>
    </w:p>
    <w:p w14:paraId="6C872B3A"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Seidler, Z.E., Dawes, A.J., Rice, S.M., </w:t>
      </w:r>
      <w:proofErr w:type="spellStart"/>
      <w:r w:rsidRPr="007D5CF2">
        <w:rPr>
          <w:rFonts w:ascii="Arial" w:eastAsia="Times New Roman" w:hAnsi="Arial" w:cs="Arial"/>
          <w:kern w:val="0"/>
          <w:lang w:eastAsia="en-GB"/>
          <w14:ligatures w14:val="none"/>
        </w:rPr>
        <w:t>Oliffe</w:t>
      </w:r>
      <w:proofErr w:type="spellEnd"/>
      <w:r w:rsidRPr="007D5CF2">
        <w:rPr>
          <w:rFonts w:ascii="Arial" w:eastAsia="Times New Roman" w:hAnsi="Arial" w:cs="Arial"/>
          <w:kern w:val="0"/>
          <w:lang w:eastAsia="en-GB"/>
          <w14:ligatures w14:val="none"/>
        </w:rPr>
        <w:t xml:space="preserve">, J.L. and Dhillon, H.M. (2016) ‘The role of masculinity in men’s help-seeking for depression: a systematic review’, </w:t>
      </w:r>
      <w:r w:rsidRPr="007D5CF2">
        <w:rPr>
          <w:rFonts w:ascii="Arial" w:eastAsia="Times New Roman" w:hAnsi="Arial" w:cs="Arial"/>
          <w:i/>
          <w:iCs/>
          <w:kern w:val="0"/>
          <w:lang w:eastAsia="en-GB"/>
          <w14:ligatures w14:val="none"/>
        </w:rPr>
        <w:t>Clinical Psychology Review</w:t>
      </w:r>
      <w:r w:rsidRPr="007D5CF2">
        <w:rPr>
          <w:rFonts w:ascii="Arial" w:eastAsia="Times New Roman" w:hAnsi="Arial" w:cs="Arial"/>
          <w:kern w:val="0"/>
          <w:lang w:eastAsia="en-GB"/>
          <w14:ligatures w14:val="none"/>
        </w:rPr>
        <w:t xml:space="preserve">, 49, pp. 106–118.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7" w:tgtFrame="_blank" w:history="1">
        <w:r w:rsidRPr="007D5CF2">
          <w:rPr>
            <w:rFonts w:ascii="Arial" w:eastAsia="Times New Roman" w:hAnsi="Arial" w:cs="Arial"/>
            <w:color w:val="0000FF"/>
            <w:kern w:val="0"/>
            <w:u w:val="single"/>
            <w:lang w:eastAsia="en-GB"/>
            <w14:ligatures w14:val="none"/>
          </w:rPr>
          <w:t>10.1016/j.cpr.2016.09.002</w:t>
        </w:r>
      </w:hyperlink>
      <w:r w:rsidRPr="007D5CF2">
        <w:rPr>
          <w:rFonts w:ascii="Arial" w:eastAsia="Times New Roman" w:hAnsi="Arial" w:cs="Arial"/>
          <w:kern w:val="0"/>
          <w:lang w:eastAsia="en-GB"/>
          <w14:ligatures w14:val="none"/>
        </w:rPr>
        <w:t>.</w:t>
      </w:r>
    </w:p>
    <w:p w14:paraId="189235C0"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kern w:val="0"/>
          <w:lang w:eastAsia="en-GB"/>
          <w14:ligatures w14:val="none"/>
        </w:rPr>
        <w:t xml:space="preserve">Sheikh, A., Payne-Cook, C., Lisk, S., Carter, B. </w:t>
      </w:r>
      <w:r w:rsidRPr="007D5CF2">
        <w:rPr>
          <w:rFonts w:ascii="Arial" w:eastAsia="Times New Roman" w:hAnsi="Arial" w:cs="Arial"/>
          <w:i/>
          <w:iCs/>
          <w:kern w:val="0"/>
          <w:lang w:eastAsia="en-GB"/>
          <w14:ligatures w14:val="none"/>
        </w:rPr>
        <w:t>et al.</w:t>
      </w:r>
      <w:r w:rsidRPr="007D5CF2">
        <w:rPr>
          <w:rFonts w:ascii="Arial" w:eastAsia="Times New Roman" w:hAnsi="Arial" w:cs="Arial"/>
          <w:kern w:val="0"/>
          <w:lang w:eastAsia="en-GB"/>
          <w14:ligatures w14:val="none"/>
        </w:rPr>
        <w:t xml:space="preserve"> (2025) ‘Why do young men not seek help for affective mental health issues? A systematic review of perceived barriers and facilitators among adolescent boys and young men’, </w:t>
      </w:r>
      <w:r w:rsidRPr="007D5CF2">
        <w:rPr>
          <w:rFonts w:ascii="Arial" w:eastAsia="Times New Roman" w:hAnsi="Arial" w:cs="Arial"/>
          <w:i/>
          <w:iCs/>
          <w:kern w:val="0"/>
          <w:lang w:eastAsia="en-GB"/>
          <w14:ligatures w14:val="none"/>
        </w:rPr>
        <w:t>European Child &amp; Adolescent Psychiatry</w:t>
      </w:r>
      <w:r w:rsidRPr="007D5CF2">
        <w:rPr>
          <w:rFonts w:ascii="Arial" w:eastAsia="Times New Roman" w:hAnsi="Arial" w:cs="Arial"/>
          <w:kern w:val="0"/>
          <w:lang w:eastAsia="en-GB"/>
          <w14:ligatures w14:val="none"/>
        </w:rPr>
        <w:t xml:space="preserve">, 34, pp. 565–583.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8" w:tgtFrame="_blank" w:history="1">
        <w:r w:rsidRPr="007D5CF2">
          <w:rPr>
            <w:rFonts w:ascii="Arial" w:eastAsia="Times New Roman" w:hAnsi="Arial" w:cs="Arial"/>
            <w:color w:val="0000FF"/>
            <w:kern w:val="0"/>
            <w:u w:val="single"/>
            <w:lang w:eastAsia="en-GB"/>
            <w14:ligatures w14:val="none"/>
          </w:rPr>
          <w:t>10.1007/s00787-024-02520-9</w:t>
        </w:r>
      </w:hyperlink>
      <w:r w:rsidRPr="007D5CF2">
        <w:rPr>
          <w:rFonts w:ascii="Arial" w:eastAsia="Times New Roman" w:hAnsi="Arial" w:cs="Arial"/>
          <w:kern w:val="0"/>
          <w:lang w:eastAsia="en-GB"/>
          <w14:ligatures w14:val="none"/>
        </w:rPr>
        <w:t>.</w:t>
      </w:r>
    </w:p>
    <w:p w14:paraId="3C24CCF5"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Snyder, H. (2019)</w:t>
      </w:r>
      <w:r w:rsidRPr="007D5CF2">
        <w:rPr>
          <w:rFonts w:ascii="Arial" w:eastAsia="Times New Roman" w:hAnsi="Arial" w:cs="Arial"/>
          <w:kern w:val="0"/>
          <w:lang w:eastAsia="en-GB"/>
          <w14:ligatures w14:val="none"/>
        </w:rPr>
        <w:t xml:space="preserve"> ‘Literature review as a research methodology: an overview and guidelines’, </w:t>
      </w:r>
      <w:r w:rsidRPr="007D5CF2">
        <w:rPr>
          <w:rFonts w:ascii="Arial" w:eastAsia="Times New Roman" w:hAnsi="Arial" w:cs="Arial"/>
          <w:i/>
          <w:iCs/>
          <w:kern w:val="0"/>
          <w:lang w:eastAsia="en-GB"/>
          <w14:ligatures w14:val="none"/>
        </w:rPr>
        <w:t>Journal of Business Research</w:t>
      </w:r>
      <w:r w:rsidRPr="007D5CF2">
        <w:rPr>
          <w:rFonts w:ascii="Arial" w:eastAsia="Times New Roman" w:hAnsi="Arial" w:cs="Arial"/>
          <w:kern w:val="0"/>
          <w:lang w:eastAsia="en-GB"/>
          <w14:ligatures w14:val="none"/>
        </w:rPr>
        <w:t xml:space="preserve">, 104, pp. 333–339.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89" w:tgtFrame="_new" w:history="1">
        <w:r w:rsidRPr="007D5CF2">
          <w:rPr>
            <w:rFonts w:ascii="Arial" w:eastAsia="Times New Roman" w:hAnsi="Arial" w:cs="Arial"/>
            <w:color w:val="0000FF"/>
            <w:kern w:val="0"/>
            <w:u w:val="single"/>
            <w:lang w:eastAsia="en-GB"/>
            <w14:ligatures w14:val="none"/>
          </w:rPr>
          <w:t>https://doi.org/10.1016/j.jbusres.2019.07.039</w:t>
        </w:r>
      </w:hyperlink>
      <w:r w:rsidRPr="007D5CF2">
        <w:rPr>
          <w:rFonts w:ascii="Arial" w:eastAsia="Times New Roman" w:hAnsi="Arial" w:cs="Arial"/>
          <w:kern w:val="0"/>
          <w:lang w:eastAsia="en-GB"/>
          <w14:ligatures w14:val="none"/>
        </w:rPr>
        <w:t>.</w:t>
      </w:r>
    </w:p>
    <w:p w14:paraId="6AD7B469"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proofErr w:type="spellStart"/>
      <w:r w:rsidRPr="007D5CF2">
        <w:rPr>
          <w:rFonts w:ascii="Arial" w:eastAsia="Times New Roman" w:hAnsi="Arial" w:cs="Arial"/>
          <w:bCs/>
          <w:kern w:val="0"/>
          <w:lang w:eastAsia="en-GB"/>
          <w14:ligatures w14:val="none"/>
        </w:rPr>
        <w:t>Solmi</w:t>
      </w:r>
      <w:proofErr w:type="spellEnd"/>
      <w:r w:rsidRPr="007D5CF2">
        <w:rPr>
          <w:rFonts w:ascii="Arial" w:eastAsia="Times New Roman" w:hAnsi="Arial" w:cs="Arial"/>
          <w:bCs/>
          <w:kern w:val="0"/>
          <w:lang w:eastAsia="en-GB"/>
          <w14:ligatures w14:val="none"/>
        </w:rPr>
        <w:t xml:space="preserve">, M., </w:t>
      </w:r>
      <w:proofErr w:type="spellStart"/>
      <w:r w:rsidRPr="007D5CF2">
        <w:rPr>
          <w:rFonts w:ascii="Arial" w:eastAsia="Times New Roman" w:hAnsi="Arial" w:cs="Arial"/>
          <w:bCs/>
          <w:kern w:val="0"/>
          <w:lang w:eastAsia="en-GB"/>
          <w14:ligatures w14:val="none"/>
        </w:rPr>
        <w:t>Radua</w:t>
      </w:r>
      <w:proofErr w:type="spellEnd"/>
      <w:r w:rsidRPr="007D5CF2">
        <w:rPr>
          <w:rFonts w:ascii="Arial" w:eastAsia="Times New Roman" w:hAnsi="Arial" w:cs="Arial"/>
          <w:bCs/>
          <w:kern w:val="0"/>
          <w:lang w:eastAsia="en-GB"/>
          <w14:ligatures w14:val="none"/>
        </w:rPr>
        <w:t xml:space="preserve">, J., </w:t>
      </w:r>
      <w:proofErr w:type="spellStart"/>
      <w:r w:rsidRPr="007D5CF2">
        <w:rPr>
          <w:rFonts w:ascii="Arial" w:eastAsia="Times New Roman" w:hAnsi="Arial" w:cs="Arial"/>
          <w:bCs/>
          <w:kern w:val="0"/>
          <w:lang w:eastAsia="en-GB"/>
          <w14:ligatures w14:val="none"/>
        </w:rPr>
        <w:t>Olivola</w:t>
      </w:r>
      <w:proofErr w:type="spellEnd"/>
      <w:r w:rsidRPr="007D5CF2">
        <w:rPr>
          <w:rFonts w:ascii="Arial" w:eastAsia="Times New Roman" w:hAnsi="Arial" w:cs="Arial"/>
          <w:bCs/>
          <w:kern w:val="0"/>
          <w:lang w:eastAsia="en-GB"/>
          <w14:ligatures w14:val="none"/>
        </w:rPr>
        <w:t xml:space="preserve">, M., Croce, E., </w:t>
      </w:r>
      <w:proofErr w:type="spellStart"/>
      <w:r w:rsidRPr="007D5CF2">
        <w:rPr>
          <w:rFonts w:ascii="Arial" w:eastAsia="Times New Roman" w:hAnsi="Arial" w:cs="Arial"/>
          <w:bCs/>
          <w:kern w:val="0"/>
          <w:lang w:eastAsia="en-GB"/>
          <w14:ligatures w14:val="none"/>
        </w:rPr>
        <w:t>Soardo</w:t>
      </w:r>
      <w:proofErr w:type="spellEnd"/>
      <w:r w:rsidRPr="007D5CF2">
        <w:rPr>
          <w:rFonts w:ascii="Arial" w:eastAsia="Times New Roman" w:hAnsi="Arial" w:cs="Arial"/>
          <w:bCs/>
          <w:kern w:val="0"/>
          <w:lang w:eastAsia="en-GB"/>
          <w14:ligatures w14:val="none"/>
        </w:rPr>
        <w:t xml:space="preserve">, L., Salazar de Pablo, G.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(2022)</w:t>
      </w:r>
      <w:r w:rsidRPr="007D5CF2">
        <w:rPr>
          <w:rFonts w:ascii="Arial" w:eastAsia="Times New Roman" w:hAnsi="Arial" w:cs="Arial"/>
          <w:kern w:val="0"/>
          <w:lang w:eastAsia="en-GB"/>
          <w14:ligatures w14:val="none"/>
        </w:rPr>
        <w:t xml:space="preserve"> ‘Age at onset of mental disorders worldwide: large-scale meta-analysis of 192 epidemiological studies’, </w:t>
      </w:r>
      <w:r w:rsidRPr="007D5CF2">
        <w:rPr>
          <w:rFonts w:ascii="Arial" w:eastAsia="Times New Roman" w:hAnsi="Arial" w:cs="Arial"/>
          <w:i/>
          <w:iCs/>
          <w:kern w:val="0"/>
          <w:lang w:eastAsia="en-GB"/>
          <w14:ligatures w14:val="none"/>
        </w:rPr>
        <w:t>Molecular Psychiatry</w:t>
      </w:r>
      <w:r w:rsidRPr="007D5CF2">
        <w:rPr>
          <w:rFonts w:ascii="Arial" w:eastAsia="Times New Roman" w:hAnsi="Arial" w:cs="Arial"/>
          <w:kern w:val="0"/>
          <w:lang w:eastAsia="en-GB"/>
          <w14:ligatures w14:val="none"/>
        </w:rPr>
        <w:t xml:space="preserve">, 27(1), pp. 281–295.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90" w:tgtFrame="_new" w:history="1">
        <w:r w:rsidRPr="007D5CF2">
          <w:rPr>
            <w:rFonts w:ascii="Arial" w:eastAsia="Times New Roman" w:hAnsi="Arial" w:cs="Arial"/>
            <w:color w:val="0000FF"/>
            <w:kern w:val="0"/>
            <w:u w:val="single"/>
            <w:lang w:eastAsia="en-GB"/>
            <w14:ligatures w14:val="none"/>
          </w:rPr>
          <w:t>https://doi.org/10.1038/s41380-021-01161-7</w:t>
        </w:r>
      </w:hyperlink>
      <w:r w:rsidRPr="007D5CF2">
        <w:rPr>
          <w:rFonts w:ascii="Arial" w:eastAsia="Times New Roman" w:hAnsi="Arial" w:cs="Arial"/>
          <w:kern w:val="0"/>
          <w:lang w:eastAsia="en-GB"/>
          <w14:ligatures w14:val="none"/>
        </w:rPr>
        <w:t>.</w:t>
      </w:r>
    </w:p>
    <w:p w14:paraId="7030FF13"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proofErr w:type="spellStart"/>
      <w:r w:rsidRPr="007D5CF2">
        <w:rPr>
          <w:rFonts w:ascii="Arial" w:eastAsia="Times New Roman" w:hAnsi="Arial" w:cs="Arial"/>
          <w:bCs/>
          <w:kern w:val="0"/>
          <w:lang w:eastAsia="en-GB"/>
          <w14:ligatures w14:val="none"/>
        </w:rPr>
        <w:t>Stunden</w:t>
      </w:r>
      <w:proofErr w:type="spellEnd"/>
      <w:r w:rsidRPr="007D5CF2">
        <w:rPr>
          <w:rFonts w:ascii="Arial" w:eastAsia="Times New Roman" w:hAnsi="Arial" w:cs="Arial"/>
          <w:bCs/>
          <w:kern w:val="0"/>
          <w:lang w:eastAsia="en-GB"/>
          <w14:ligatures w14:val="none"/>
        </w:rPr>
        <w:t xml:space="preserve">, C., Zasada, J., </w:t>
      </w:r>
      <w:proofErr w:type="spellStart"/>
      <w:r w:rsidRPr="007D5CF2">
        <w:rPr>
          <w:rFonts w:ascii="Arial" w:eastAsia="Times New Roman" w:hAnsi="Arial" w:cs="Arial"/>
          <w:bCs/>
          <w:kern w:val="0"/>
          <w:lang w:eastAsia="en-GB"/>
          <w14:ligatures w14:val="none"/>
        </w:rPr>
        <w:t>VanHeerwaarden</w:t>
      </w:r>
      <w:proofErr w:type="spellEnd"/>
      <w:r w:rsidRPr="007D5CF2">
        <w:rPr>
          <w:rFonts w:ascii="Arial" w:eastAsia="Times New Roman" w:hAnsi="Arial" w:cs="Arial"/>
          <w:bCs/>
          <w:kern w:val="0"/>
          <w:lang w:eastAsia="en-GB"/>
          <w14:ligatures w14:val="none"/>
        </w:rPr>
        <w:t>, N., Hollenberg, E., Abi-</w:t>
      </w:r>
      <w:proofErr w:type="spellStart"/>
      <w:r w:rsidRPr="007D5CF2">
        <w:rPr>
          <w:rFonts w:ascii="Arial" w:eastAsia="Times New Roman" w:hAnsi="Arial" w:cs="Arial"/>
          <w:bCs/>
          <w:kern w:val="0"/>
          <w:lang w:eastAsia="en-GB"/>
          <w14:ligatures w14:val="none"/>
        </w:rPr>
        <w:t>Jaoudé</w:t>
      </w:r>
      <w:proofErr w:type="spellEnd"/>
      <w:r w:rsidRPr="007D5CF2">
        <w:rPr>
          <w:rFonts w:ascii="Arial" w:eastAsia="Times New Roman" w:hAnsi="Arial" w:cs="Arial"/>
          <w:bCs/>
          <w:kern w:val="0"/>
          <w:lang w:eastAsia="en-GB"/>
          <w14:ligatures w14:val="none"/>
        </w:rPr>
        <w:t xml:space="preserve">, A., Chaim, G. </w:t>
      </w:r>
      <w:r w:rsidRPr="007D5CF2">
        <w:rPr>
          <w:rFonts w:ascii="Arial" w:eastAsia="Times New Roman" w:hAnsi="Arial" w:cs="Arial"/>
          <w:bCs/>
          <w:i/>
          <w:iCs/>
          <w:kern w:val="0"/>
          <w:lang w:eastAsia="en-GB"/>
          <w14:ligatures w14:val="none"/>
        </w:rPr>
        <w:t>et al.</w:t>
      </w:r>
      <w:r w:rsidRPr="007D5CF2">
        <w:rPr>
          <w:rFonts w:ascii="Arial" w:eastAsia="Times New Roman" w:hAnsi="Arial" w:cs="Arial"/>
          <w:bCs/>
          <w:kern w:val="0"/>
          <w:lang w:eastAsia="en-GB"/>
          <w14:ligatures w14:val="none"/>
        </w:rPr>
        <w:t xml:space="preserve"> (2020)</w:t>
      </w:r>
      <w:r w:rsidRPr="007D5CF2">
        <w:rPr>
          <w:rFonts w:ascii="Arial" w:eastAsia="Times New Roman" w:hAnsi="Arial" w:cs="Arial"/>
          <w:kern w:val="0"/>
          <w:lang w:eastAsia="en-GB"/>
          <w14:ligatures w14:val="none"/>
        </w:rPr>
        <w:t xml:space="preserve"> ‘Help-seeking </w:t>
      </w:r>
      <w:proofErr w:type="spellStart"/>
      <w:r w:rsidRPr="007D5CF2">
        <w:rPr>
          <w:rFonts w:ascii="Arial" w:eastAsia="Times New Roman" w:hAnsi="Arial" w:cs="Arial"/>
          <w:kern w:val="0"/>
          <w:lang w:eastAsia="en-GB"/>
          <w14:ligatures w14:val="none"/>
        </w:rPr>
        <w:t>behaviors</w:t>
      </w:r>
      <w:proofErr w:type="spellEnd"/>
      <w:r w:rsidRPr="007D5CF2">
        <w:rPr>
          <w:rFonts w:ascii="Arial" w:eastAsia="Times New Roman" w:hAnsi="Arial" w:cs="Arial"/>
          <w:kern w:val="0"/>
          <w:lang w:eastAsia="en-GB"/>
          <w14:ligatures w14:val="none"/>
        </w:rPr>
        <w:t xml:space="preserve"> of transition-aged youth for mental health concerns: qualitative study’, </w:t>
      </w:r>
      <w:r w:rsidRPr="007D5CF2">
        <w:rPr>
          <w:rFonts w:ascii="Arial" w:eastAsia="Times New Roman" w:hAnsi="Arial" w:cs="Arial"/>
          <w:i/>
          <w:iCs/>
          <w:kern w:val="0"/>
          <w:lang w:eastAsia="en-GB"/>
          <w14:ligatures w14:val="none"/>
        </w:rPr>
        <w:t>Journal of Medical Internet Research</w:t>
      </w:r>
      <w:r w:rsidRPr="007D5CF2">
        <w:rPr>
          <w:rFonts w:ascii="Arial" w:eastAsia="Times New Roman" w:hAnsi="Arial" w:cs="Arial"/>
          <w:kern w:val="0"/>
          <w:lang w:eastAsia="en-GB"/>
          <w14:ligatures w14:val="none"/>
        </w:rPr>
        <w:t xml:space="preserve">, 22(10), e18514.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91" w:tgtFrame="_new" w:history="1">
        <w:r w:rsidRPr="007D5CF2">
          <w:rPr>
            <w:rFonts w:ascii="Arial" w:eastAsia="Times New Roman" w:hAnsi="Arial" w:cs="Arial"/>
            <w:color w:val="0000FF"/>
            <w:kern w:val="0"/>
            <w:u w:val="single"/>
            <w:lang w:eastAsia="en-GB"/>
            <w14:ligatures w14:val="none"/>
          </w:rPr>
          <w:t>https://doi.org/10.2196/18514</w:t>
        </w:r>
      </w:hyperlink>
      <w:r w:rsidRPr="007D5CF2">
        <w:rPr>
          <w:rFonts w:ascii="Arial" w:eastAsia="Times New Roman" w:hAnsi="Arial" w:cs="Arial"/>
          <w:kern w:val="0"/>
          <w:lang w:eastAsia="en-GB"/>
          <w14:ligatures w14:val="none"/>
        </w:rPr>
        <w:t>.</w:t>
      </w:r>
    </w:p>
    <w:p w14:paraId="22B68180"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proofErr w:type="spellStart"/>
      <w:r w:rsidRPr="007D5CF2">
        <w:rPr>
          <w:rFonts w:ascii="Arial" w:eastAsia="Calibri" w:hAnsi="Arial" w:cs="Arial"/>
          <w:bCs/>
          <w:color w:val="222222"/>
          <w:kern w:val="0"/>
          <w:shd w:val="clear" w:color="auto" w:fill="FFFFFF"/>
          <w:lang w:eastAsia="en-US"/>
          <w14:ligatures w14:val="none"/>
        </w:rPr>
        <w:t>Takona</w:t>
      </w:r>
      <w:proofErr w:type="spellEnd"/>
      <w:r w:rsidRPr="007D5CF2">
        <w:rPr>
          <w:rFonts w:ascii="Arial" w:eastAsia="Calibri" w:hAnsi="Arial" w:cs="Arial"/>
          <w:bCs/>
          <w:color w:val="222222"/>
          <w:kern w:val="0"/>
          <w:shd w:val="clear" w:color="auto" w:fill="FFFFFF"/>
          <w:lang w:eastAsia="en-US"/>
          <w14:ligatures w14:val="none"/>
        </w:rPr>
        <w:t>, J.P. (2024)</w:t>
      </w:r>
      <w:r w:rsidRPr="007D5CF2">
        <w:rPr>
          <w:rFonts w:ascii="Arial" w:eastAsia="Calibri" w:hAnsi="Arial" w:cs="Arial"/>
          <w:color w:val="222222"/>
          <w:kern w:val="0"/>
          <w:shd w:val="clear" w:color="auto" w:fill="FFFFFF"/>
          <w:lang w:eastAsia="en-US"/>
          <w14:ligatures w14:val="none"/>
        </w:rPr>
        <w:t xml:space="preserve"> ‘Research design: qualitative, quantitative, and mixed methods approaches’, </w:t>
      </w:r>
      <w:r w:rsidRPr="007D5CF2">
        <w:rPr>
          <w:rFonts w:ascii="Arial" w:eastAsia="Calibri" w:hAnsi="Arial" w:cs="Arial"/>
          <w:i/>
          <w:iCs/>
          <w:color w:val="222222"/>
          <w:kern w:val="0"/>
          <w:shd w:val="clear" w:color="auto" w:fill="FFFFFF"/>
          <w:lang w:eastAsia="en-US"/>
          <w14:ligatures w14:val="none"/>
        </w:rPr>
        <w:t>Quality &amp; Quantity</w:t>
      </w:r>
      <w:r w:rsidRPr="007D5CF2">
        <w:rPr>
          <w:rFonts w:ascii="Arial" w:eastAsia="Calibri" w:hAnsi="Arial" w:cs="Arial"/>
          <w:color w:val="222222"/>
          <w:kern w:val="0"/>
          <w:shd w:val="clear" w:color="auto" w:fill="FFFFFF"/>
          <w:lang w:eastAsia="en-US"/>
          <w14:ligatures w14:val="none"/>
        </w:rPr>
        <w:t>, 58(1), pp. 1011–1013.</w:t>
      </w:r>
    </w:p>
    <w:p w14:paraId="4E92E03E"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Tang, G. (2025)</w:t>
      </w:r>
      <w:r w:rsidRPr="007D5CF2">
        <w:rPr>
          <w:rFonts w:ascii="Arial" w:eastAsia="Calibri" w:hAnsi="Arial" w:cs="Arial"/>
          <w:color w:val="222222"/>
          <w:kern w:val="0"/>
          <w:shd w:val="clear" w:color="auto" w:fill="FFFFFF"/>
          <w:lang w:eastAsia="en-US"/>
          <w14:ligatures w14:val="none"/>
        </w:rPr>
        <w:t xml:space="preserve"> ‘Using mixed methods research to study research integrity: </w:t>
      </w:r>
      <w:proofErr w:type="gramStart"/>
      <w:r w:rsidRPr="007D5CF2">
        <w:rPr>
          <w:rFonts w:ascii="Arial" w:eastAsia="Calibri" w:hAnsi="Arial" w:cs="Arial"/>
          <w:color w:val="222222"/>
          <w:kern w:val="0"/>
          <w:shd w:val="clear" w:color="auto" w:fill="FFFFFF"/>
          <w:lang w:eastAsia="en-US"/>
          <w14:ligatures w14:val="none"/>
        </w:rPr>
        <w:t>current status</w:t>
      </w:r>
      <w:proofErr w:type="gramEnd"/>
      <w:r w:rsidRPr="007D5CF2">
        <w:rPr>
          <w:rFonts w:ascii="Arial" w:eastAsia="Calibri" w:hAnsi="Arial" w:cs="Arial"/>
          <w:color w:val="222222"/>
          <w:kern w:val="0"/>
          <w:shd w:val="clear" w:color="auto" w:fill="FFFFFF"/>
          <w:lang w:eastAsia="en-US"/>
          <w14:ligatures w14:val="none"/>
        </w:rPr>
        <w:t xml:space="preserve">, issues, and guidelines’, </w:t>
      </w:r>
      <w:r w:rsidRPr="007D5CF2">
        <w:rPr>
          <w:rFonts w:ascii="Arial" w:eastAsia="Calibri" w:hAnsi="Arial" w:cs="Arial"/>
          <w:i/>
          <w:iCs/>
          <w:color w:val="222222"/>
          <w:kern w:val="0"/>
          <w:shd w:val="clear" w:color="auto" w:fill="FFFFFF"/>
          <w:lang w:eastAsia="en-US"/>
          <w14:ligatures w14:val="none"/>
        </w:rPr>
        <w:t>Accountability in Research</w:t>
      </w:r>
      <w:r w:rsidRPr="007D5CF2">
        <w:rPr>
          <w:rFonts w:ascii="Arial" w:eastAsia="Calibri" w:hAnsi="Arial" w:cs="Arial"/>
          <w:color w:val="222222"/>
          <w:kern w:val="0"/>
          <w:shd w:val="clear" w:color="auto" w:fill="FFFFFF"/>
          <w:lang w:eastAsia="en-US"/>
          <w14:ligatures w14:val="none"/>
        </w:rPr>
        <w:t>, 32(5), pp. 807–828.</w:t>
      </w:r>
    </w:p>
    <w:p w14:paraId="73B19512" w14:textId="77777777" w:rsidR="00CC55C1"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Thomas, D.R. (2006)</w:t>
      </w:r>
      <w:r w:rsidRPr="007D5CF2">
        <w:rPr>
          <w:rFonts w:ascii="Arial" w:eastAsia="Times New Roman" w:hAnsi="Arial" w:cs="Arial"/>
          <w:kern w:val="0"/>
          <w:lang w:eastAsia="en-GB"/>
          <w14:ligatures w14:val="none"/>
        </w:rPr>
        <w:t xml:space="preserve"> ‘A general inductive approach for analysing qualitative evaluation data’, </w:t>
      </w:r>
      <w:r w:rsidRPr="007D5CF2">
        <w:rPr>
          <w:rFonts w:ascii="Arial" w:eastAsia="Times New Roman" w:hAnsi="Arial" w:cs="Arial"/>
          <w:i/>
          <w:iCs/>
          <w:kern w:val="0"/>
          <w:lang w:eastAsia="en-GB"/>
          <w14:ligatures w14:val="none"/>
        </w:rPr>
        <w:t>American Journal of Evaluation</w:t>
      </w:r>
      <w:r w:rsidRPr="007D5CF2">
        <w:rPr>
          <w:rFonts w:ascii="Arial" w:eastAsia="Times New Roman" w:hAnsi="Arial" w:cs="Arial"/>
          <w:kern w:val="0"/>
          <w:lang w:eastAsia="en-GB"/>
          <w14:ligatures w14:val="none"/>
        </w:rPr>
        <w:t xml:space="preserve">, 27(2), pp. 237–245. </w:t>
      </w:r>
      <w:proofErr w:type="spellStart"/>
      <w:r w:rsidRPr="007D5CF2">
        <w:rPr>
          <w:rFonts w:ascii="Arial" w:eastAsia="Times New Roman" w:hAnsi="Arial" w:cs="Arial"/>
          <w:kern w:val="0"/>
          <w:lang w:eastAsia="en-GB"/>
          <w14:ligatures w14:val="none"/>
        </w:rPr>
        <w:t>doi</w:t>
      </w:r>
      <w:proofErr w:type="spellEnd"/>
      <w:r w:rsidRPr="007D5CF2">
        <w:rPr>
          <w:rFonts w:ascii="Arial" w:eastAsia="Times New Roman" w:hAnsi="Arial" w:cs="Arial"/>
          <w:kern w:val="0"/>
          <w:lang w:eastAsia="en-GB"/>
          <w14:ligatures w14:val="none"/>
        </w:rPr>
        <w:t xml:space="preserve">: </w:t>
      </w:r>
      <w:hyperlink r:id="rId92" w:tgtFrame="_new" w:history="1">
        <w:r w:rsidRPr="007D5CF2">
          <w:rPr>
            <w:rFonts w:ascii="Arial" w:eastAsia="Times New Roman" w:hAnsi="Arial" w:cs="Arial"/>
            <w:color w:val="0000FF"/>
            <w:kern w:val="0"/>
            <w:u w:val="single"/>
            <w:lang w:eastAsia="en-GB"/>
            <w14:ligatures w14:val="none"/>
          </w:rPr>
          <w:t>https://doi.org/10.1177/1098214005283748</w:t>
        </w:r>
      </w:hyperlink>
      <w:r w:rsidRPr="007D5CF2">
        <w:rPr>
          <w:rFonts w:ascii="Arial" w:eastAsia="Times New Roman" w:hAnsi="Arial" w:cs="Arial"/>
          <w:kern w:val="0"/>
          <w:lang w:eastAsia="en-GB"/>
          <w14:ligatures w14:val="none"/>
        </w:rPr>
        <w:t>.</w:t>
      </w:r>
    </w:p>
    <w:p w14:paraId="7EB0B89D" w14:textId="77777777" w:rsidR="00CC55C1" w:rsidRPr="007D5CF2" w:rsidRDefault="00CC55C1" w:rsidP="00781D67">
      <w:pPr>
        <w:spacing w:before="100" w:beforeAutospacing="1" w:after="100" w:afterAutospacing="1" w:line="360" w:lineRule="auto"/>
        <w:rPr>
          <w:rFonts w:ascii="Arial" w:eastAsia="Calibri" w:hAnsi="Arial" w:cs="Arial"/>
          <w:color w:val="222222"/>
          <w:kern w:val="0"/>
          <w:shd w:val="clear" w:color="auto" w:fill="FFFFFF"/>
          <w:lang w:eastAsia="en-US"/>
          <w14:ligatures w14:val="none"/>
        </w:rPr>
      </w:pPr>
      <w:r w:rsidRPr="007D5CF2">
        <w:rPr>
          <w:rFonts w:ascii="Arial" w:eastAsia="Calibri" w:hAnsi="Arial" w:cs="Arial"/>
          <w:bCs/>
          <w:color w:val="222222"/>
          <w:kern w:val="0"/>
          <w:shd w:val="clear" w:color="auto" w:fill="FFFFFF"/>
          <w:lang w:eastAsia="en-US"/>
          <w14:ligatures w14:val="none"/>
        </w:rPr>
        <w:t>Wickham, R.J. (2019)</w:t>
      </w:r>
      <w:r w:rsidRPr="007D5CF2">
        <w:rPr>
          <w:rFonts w:ascii="Arial" w:eastAsia="Calibri" w:hAnsi="Arial" w:cs="Arial"/>
          <w:color w:val="222222"/>
          <w:kern w:val="0"/>
          <w:shd w:val="clear" w:color="auto" w:fill="FFFFFF"/>
          <w:lang w:eastAsia="en-US"/>
          <w14:ligatures w14:val="none"/>
        </w:rPr>
        <w:t xml:space="preserve"> ‘Secondary analysis research’, </w:t>
      </w:r>
      <w:r w:rsidRPr="007D5CF2">
        <w:rPr>
          <w:rFonts w:ascii="Arial" w:eastAsia="Calibri" w:hAnsi="Arial" w:cs="Arial"/>
          <w:i/>
          <w:iCs/>
          <w:color w:val="222222"/>
          <w:kern w:val="0"/>
          <w:shd w:val="clear" w:color="auto" w:fill="FFFFFF"/>
          <w:lang w:eastAsia="en-US"/>
          <w14:ligatures w14:val="none"/>
        </w:rPr>
        <w:t>Journal of the Advanced Practitioner in Oncology</w:t>
      </w:r>
      <w:r w:rsidRPr="007D5CF2">
        <w:rPr>
          <w:rFonts w:ascii="Arial" w:eastAsia="Calibri" w:hAnsi="Arial" w:cs="Arial"/>
          <w:color w:val="222222"/>
          <w:kern w:val="0"/>
          <w:shd w:val="clear" w:color="auto" w:fill="FFFFFF"/>
          <w:lang w:eastAsia="en-US"/>
          <w14:ligatures w14:val="none"/>
        </w:rPr>
        <w:t xml:space="preserve">, 10(4), pp. 395–400. </w:t>
      </w:r>
      <w:proofErr w:type="spellStart"/>
      <w:r w:rsidRPr="007D5CF2">
        <w:rPr>
          <w:rFonts w:ascii="Arial" w:eastAsia="Calibri" w:hAnsi="Arial" w:cs="Arial"/>
          <w:color w:val="222222"/>
          <w:kern w:val="0"/>
          <w:shd w:val="clear" w:color="auto" w:fill="FFFFFF"/>
          <w:lang w:eastAsia="en-US"/>
          <w14:ligatures w14:val="none"/>
        </w:rPr>
        <w:t>doi</w:t>
      </w:r>
      <w:proofErr w:type="spellEnd"/>
      <w:r w:rsidRPr="007D5CF2">
        <w:rPr>
          <w:rFonts w:ascii="Arial" w:eastAsia="Calibri" w:hAnsi="Arial" w:cs="Arial"/>
          <w:color w:val="222222"/>
          <w:kern w:val="0"/>
          <w:shd w:val="clear" w:color="auto" w:fill="FFFFFF"/>
          <w:lang w:eastAsia="en-US"/>
          <w14:ligatures w14:val="none"/>
        </w:rPr>
        <w:t xml:space="preserve">: </w:t>
      </w:r>
      <w:hyperlink r:id="rId93" w:history="1">
        <w:r w:rsidRPr="007D5CF2">
          <w:rPr>
            <w:rFonts w:ascii="Arial" w:eastAsia="Calibri" w:hAnsi="Arial" w:cs="Arial"/>
            <w:color w:val="0563C1"/>
            <w:kern w:val="0"/>
            <w:u w:val="single"/>
            <w:shd w:val="clear" w:color="auto" w:fill="FFFFFF"/>
            <w:lang w:eastAsia="en-US"/>
            <w14:ligatures w14:val="none"/>
          </w:rPr>
          <w:t>https://doi.org/10.6004/jadpro.2019.10.4.7</w:t>
        </w:r>
      </w:hyperlink>
      <w:r w:rsidRPr="007D5CF2">
        <w:rPr>
          <w:rFonts w:ascii="Arial" w:eastAsia="Calibri" w:hAnsi="Arial" w:cs="Arial"/>
          <w:color w:val="222222"/>
          <w:kern w:val="0"/>
          <w:shd w:val="clear" w:color="auto" w:fill="FFFFFF"/>
          <w:lang w:eastAsia="en-US"/>
          <w14:ligatures w14:val="none"/>
        </w:rPr>
        <w:t xml:space="preserve"> </w:t>
      </w:r>
    </w:p>
    <w:p w14:paraId="4FB6B7AE" w14:textId="221F7CF6" w:rsidR="009F64C5" w:rsidRPr="007D5CF2" w:rsidRDefault="00CC55C1" w:rsidP="00781D67">
      <w:pPr>
        <w:spacing w:before="100" w:beforeAutospacing="1" w:after="100" w:afterAutospacing="1" w:line="360" w:lineRule="auto"/>
        <w:rPr>
          <w:rFonts w:ascii="Arial" w:eastAsia="Times New Roman" w:hAnsi="Arial" w:cs="Arial"/>
          <w:kern w:val="0"/>
          <w:lang w:eastAsia="en-GB"/>
          <w14:ligatures w14:val="none"/>
        </w:rPr>
      </w:pPr>
      <w:r w:rsidRPr="007D5CF2">
        <w:rPr>
          <w:rFonts w:ascii="Arial" w:eastAsia="Times New Roman" w:hAnsi="Arial" w:cs="Arial"/>
          <w:bCs/>
          <w:kern w:val="0"/>
          <w:lang w:eastAsia="en-GB"/>
          <w14:ligatures w14:val="none"/>
        </w:rPr>
        <w:t>World Health Organization (2022)</w:t>
      </w:r>
      <w:r w:rsidRPr="007D5CF2">
        <w:rPr>
          <w:rFonts w:ascii="Arial" w:eastAsia="Times New Roman" w:hAnsi="Arial" w:cs="Arial"/>
          <w:kern w:val="0"/>
          <w:lang w:eastAsia="en-GB"/>
          <w14:ligatures w14:val="none"/>
        </w:rPr>
        <w:t xml:space="preserve"> </w:t>
      </w:r>
      <w:r w:rsidRPr="007D5CF2">
        <w:rPr>
          <w:rFonts w:ascii="Arial" w:eastAsia="Times New Roman" w:hAnsi="Arial" w:cs="Arial"/>
          <w:i/>
          <w:iCs/>
          <w:kern w:val="0"/>
          <w:lang w:eastAsia="en-GB"/>
          <w14:ligatures w14:val="none"/>
        </w:rPr>
        <w:t>World Mental Health Report: Transforming Mental Health for All</w:t>
      </w:r>
      <w:r w:rsidRPr="007D5CF2">
        <w:rPr>
          <w:rFonts w:ascii="Arial" w:eastAsia="Times New Roman" w:hAnsi="Arial" w:cs="Arial"/>
          <w:kern w:val="0"/>
          <w:lang w:eastAsia="en-GB"/>
          <w14:ligatures w14:val="none"/>
        </w:rPr>
        <w:t xml:space="preserve">. Geneva: World Health Organization. Available at: </w:t>
      </w:r>
      <w:hyperlink r:id="rId94" w:tgtFrame="_new" w:history="1">
        <w:r w:rsidRPr="007D5CF2">
          <w:rPr>
            <w:rFonts w:ascii="Arial" w:eastAsia="Times New Roman" w:hAnsi="Arial" w:cs="Arial"/>
            <w:color w:val="0000FF"/>
            <w:kern w:val="0"/>
            <w:u w:val="single"/>
            <w:lang w:eastAsia="en-GB"/>
            <w14:ligatures w14:val="none"/>
          </w:rPr>
          <w:t>https://www.who.int/publications/i/item/9789240049338</w:t>
        </w:r>
      </w:hyperlink>
      <w:r w:rsidRPr="007D5CF2">
        <w:rPr>
          <w:rFonts w:ascii="Arial" w:eastAsia="Times New Roman" w:hAnsi="Arial" w:cs="Arial"/>
          <w:kern w:val="0"/>
          <w:lang w:eastAsia="en-GB"/>
          <w14:ligatures w14:val="none"/>
        </w:rPr>
        <w:t xml:space="preserve"> (Accessed</w:t>
      </w:r>
      <w:r w:rsidR="00E56239" w:rsidRPr="007D5CF2">
        <w:rPr>
          <w:rFonts w:ascii="Arial" w:eastAsia="Times New Roman" w:hAnsi="Arial" w:cs="Arial"/>
          <w:kern w:val="0"/>
          <w:lang w:eastAsia="en-GB"/>
          <w14:ligatures w14:val="none"/>
        </w:rPr>
        <w:t>: 21 July 2026).</w:t>
      </w:r>
    </w:p>
    <w:p w14:paraId="2FB17B75" w14:textId="77777777" w:rsidR="009F64C5" w:rsidRPr="007D5CF2" w:rsidRDefault="009F64C5" w:rsidP="00781D67">
      <w:pPr>
        <w:spacing w:after="158" w:line="360" w:lineRule="auto"/>
        <w:rPr>
          <w:rFonts w:ascii="Arial" w:hAnsi="Arial" w:cs="Arial"/>
        </w:rPr>
      </w:pPr>
      <w:r w:rsidRPr="007D5CF2">
        <w:rPr>
          <w:rFonts w:ascii="Arial" w:eastAsia="Calibri" w:hAnsi="Arial" w:cs="Arial"/>
        </w:rPr>
        <w:t xml:space="preserve"> </w:t>
      </w:r>
    </w:p>
    <w:p w14:paraId="46DA0AE6" w14:textId="77777777" w:rsidR="009F64C5" w:rsidRPr="007D5CF2" w:rsidRDefault="009F64C5" w:rsidP="00781D67">
      <w:pPr>
        <w:spacing w:line="360" w:lineRule="auto"/>
        <w:rPr>
          <w:rFonts w:ascii="Arial" w:hAnsi="Arial" w:cs="Arial"/>
        </w:rPr>
      </w:pPr>
      <w:r w:rsidRPr="007D5CF2">
        <w:rPr>
          <w:rFonts w:ascii="Arial" w:eastAsia="Calibri" w:hAnsi="Arial" w:cs="Arial"/>
        </w:rPr>
        <w:t xml:space="preserve"> </w:t>
      </w:r>
    </w:p>
    <w:p w14:paraId="0EF5AC8F" w14:textId="217B19FE" w:rsidR="009F64C5" w:rsidRPr="007D5CF2" w:rsidRDefault="009F64C5" w:rsidP="00781D67">
      <w:pPr>
        <w:spacing w:after="158" w:line="360" w:lineRule="auto"/>
        <w:rPr>
          <w:rFonts w:ascii="Arial" w:hAnsi="Arial" w:cs="Arial"/>
        </w:rPr>
      </w:pPr>
      <w:r w:rsidRPr="007D5CF2">
        <w:rPr>
          <w:rFonts w:ascii="Arial" w:eastAsia="Calibri" w:hAnsi="Arial" w:cs="Arial"/>
        </w:rPr>
        <w:t xml:space="preserve"> </w:t>
      </w:r>
    </w:p>
    <w:sectPr w:rsidR="009F64C5" w:rsidRPr="007D5CF2" w:rsidSect="00AA2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D12E0" w14:textId="77777777" w:rsidR="00B411C0" w:rsidRDefault="00B411C0">
      <w:pPr>
        <w:spacing w:after="0" w:line="240" w:lineRule="auto"/>
      </w:pPr>
      <w:r>
        <w:separator/>
      </w:r>
    </w:p>
  </w:endnote>
  <w:endnote w:type="continuationSeparator" w:id="0">
    <w:p w14:paraId="7F18202B" w14:textId="77777777" w:rsidR="00B411C0" w:rsidRDefault="00B41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pg-7ff2">
    <w:altName w:val="Segoe Print"/>
    <w:charset w:val="00"/>
    <w:family w:val="auto"/>
    <w:pitch w:val="default"/>
  </w:font>
  <w:font w:name="pg-7ff1">
    <w:altName w:val="Segoe Print"/>
    <w:charset w:val="00"/>
    <w:family w:val="auto"/>
    <w:pitch w:val="default"/>
  </w:font>
  <w:font w:name="pg-7ff3">
    <w:altName w:val="Segoe Print"/>
    <w:charset w:val="00"/>
    <w:family w:val="auto"/>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33792B" w:rsidRDefault="0033792B">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33792B" w:rsidRDefault="0033792B">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3460174" w:rsidR="0033792B" w:rsidRDefault="0033792B">
    <w:pPr>
      <w:spacing w:after="0"/>
      <w:ind w:right="-3"/>
      <w:jc w:val="right"/>
    </w:pPr>
    <w:r>
      <w:fldChar w:fldCharType="begin"/>
    </w:r>
    <w:r>
      <w:instrText xml:space="preserve"> PAGE   \* MERGEFORMAT </w:instrText>
    </w:r>
    <w:r>
      <w:fldChar w:fldCharType="separate"/>
    </w:r>
    <w:r w:rsidR="00231AEE" w:rsidRPr="00231AEE">
      <w:rPr>
        <w:rFonts w:ascii="Calibri" w:eastAsia="Calibri" w:hAnsi="Calibri" w:cs="Calibri"/>
        <w:noProof/>
      </w:rPr>
      <w:t>40</w:t>
    </w:r>
    <w:r>
      <w:rPr>
        <w:rFonts w:ascii="Calibri" w:eastAsia="Calibri" w:hAnsi="Calibri" w:cs="Calibri"/>
      </w:rPr>
      <w:fldChar w:fldCharType="end"/>
    </w:r>
    <w:r>
      <w:rPr>
        <w:rFonts w:ascii="Calibri" w:eastAsia="Calibri" w:hAnsi="Calibri" w:cs="Calibri"/>
      </w:rPr>
      <w:t xml:space="preserve"> </w:t>
    </w:r>
  </w:p>
  <w:p w14:paraId="3B69E3F4" w14:textId="2F12FDB5" w:rsidR="0033792B" w:rsidRDefault="0033792B">
    <w:pPr>
      <w:tabs>
        <w:tab w:val="center" w:pos="4405"/>
      </w:tabs>
      <w:spacing w:after="0"/>
    </w:pPr>
    <w:r>
      <w:rPr>
        <w:rFonts w:asciiTheme="minorBidi" w:hAnsiTheme="minorBidi"/>
      </w:rPr>
      <w:t>Ohikhuare Irogho</w:t>
    </w:r>
    <w:r>
      <w:rPr>
        <w:rFonts w:ascii="Calibri" w:eastAsia="Calibri" w:hAnsi="Calibri" w:cs="Calibri"/>
      </w:rPr>
      <w:t xml:space="preserv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33792B" w:rsidRDefault="0033792B">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33792B" w:rsidRDefault="0033792B">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912E1" w14:textId="77777777" w:rsidR="00B411C0" w:rsidRDefault="00B411C0">
      <w:pPr>
        <w:spacing w:after="0" w:line="240" w:lineRule="auto"/>
      </w:pPr>
      <w:r>
        <w:separator/>
      </w:r>
    </w:p>
  </w:footnote>
  <w:footnote w:type="continuationSeparator" w:id="0">
    <w:p w14:paraId="6C5E2EC4" w14:textId="77777777" w:rsidR="00B411C0" w:rsidRDefault="00B41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4FC619D"/>
    <w:multiLevelType w:val="hybridMultilevel"/>
    <w:tmpl w:val="05FCE514"/>
    <w:lvl w:ilvl="0" w:tplc="7DF468DE">
      <w:start w:val="1"/>
      <w:numFmt w:val="decimal"/>
      <w:lvlText w:val="%1."/>
      <w:lvlJc w:val="left"/>
      <w:pPr>
        <w:ind w:left="1000" w:hanging="6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914854322">
    <w:abstractNumId w:val="8"/>
  </w:num>
  <w:num w:numId="2" w16cid:durableId="476339290">
    <w:abstractNumId w:val="0"/>
  </w:num>
  <w:num w:numId="3" w16cid:durableId="2006013241">
    <w:abstractNumId w:val="5"/>
  </w:num>
  <w:num w:numId="4" w16cid:durableId="257374919">
    <w:abstractNumId w:val="2"/>
  </w:num>
  <w:num w:numId="5" w16cid:durableId="469979084">
    <w:abstractNumId w:val="3"/>
  </w:num>
  <w:num w:numId="6" w16cid:durableId="726029651">
    <w:abstractNumId w:val="6"/>
  </w:num>
  <w:num w:numId="7" w16cid:durableId="59139147">
    <w:abstractNumId w:val="7"/>
  </w:num>
  <w:num w:numId="8" w16cid:durableId="1784883954">
    <w:abstractNumId w:val="4"/>
  </w:num>
  <w:num w:numId="9" w16cid:durableId="1118648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555DE"/>
    <w:rsid w:val="00077BDC"/>
    <w:rsid w:val="00082D33"/>
    <w:rsid w:val="000C39D5"/>
    <w:rsid w:val="000D1792"/>
    <w:rsid w:val="000E2B9E"/>
    <w:rsid w:val="00110FDD"/>
    <w:rsid w:val="00113366"/>
    <w:rsid w:val="001361BD"/>
    <w:rsid w:val="0015086A"/>
    <w:rsid w:val="00161111"/>
    <w:rsid w:val="00162150"/>
    <w:rsid w:val="001C0000"/>
    <w:rsid w:val="001C0378"/>
    <w:rsid w:val="001C5965"/>
    <w:rsid w:val="00231AEE"/>
    <w:rsid w:val="002449EC"/>
    <w:rsid w:val="00264538"/>
    <w:rsid w:val="002B04A6"/>
    <w:rsid w:val="002B3AC9"/>
    <w:rsid w:val="002B523E"/>
    <w:rsid w:val="002D7F54"/>
    <w:rsid w:val="002F426F"/>
    <w:rsid w:val="00323608"/>
    <w:rsid w:val="003311C1"/>
    <w:rsid w:val="00334C09"/>
    <w:rsid w:val="003367E3"/>
    <w:rsid w:val="0033792B"/>
    <w:rsid w:val="00354214"/>
    <w:rsid w:val="0037252D"/>
    <w:rsid w:val="003776F1"/>
    <w:rsid w:val="003C35D2"/>
    <w:rsid w:val="003D5771"/>
    <w:rsid w:val="004138B2"/>
    <w:rsid w:val="004228B6"/>
    <w:rsid w:val="004455C3"/>
    <w:rsid w:val="004528E6"/>
    <w:rsid w:val="00465F20"/>
    <w:rsid w:val="004D4D2B"/>
    <w:rsid w:val="004E2119"/>
    <w:rsid w:val="00507625"/>
    <w:rsid w:val="0051127C"/>
    <w:rsid w:val="00511DBE"/>
    <w:rsid w:val="00530AF9"/>
    <w:rsid w:val="0053706B"/>
    <w:rsid w:val="00574CA1"/>
    <w:rsid w:val="00586D8D"/>
    <w:rsid w:val="005B1D08"/>
    <w:rsid w:val="005C5A44"/>
    <w:rsid w:val="006134A6"/>
    <w:rsid w:val="00623C0E"/>
    <w:rsid w:val="00634BBD"/>
    <w:rsid w:val="00642BB9"/>
    <w:rsid w:val="006435B8"/>
    <w:rsid w:val="0067693B"/>
    <w:rsid w:val="006A5427"/>
    <w:rsid w:val="006D2034"/>
    <w:rsid w:val="0070279F"/>
    <w:rsid w:val="00730109"/>
    <w:rsid w:val="007418EA"/>
    <w:rsid w:val="007446D0"/>
    <w:rsid w:val="00757895"/>
    <w:rsid w:val="007627ED"/>
    <w:rsid w:val="00781D67"/>
    <w:rsid w:val="007843AD"/>
    <w:rsid w:val="00791C54"/>
    <w:rsid w:val="007D5CF2"/>
    <w:rsid w:val="007F1C8A"/>
    <w:rsid w:val="007F3292"/>
    <w:rsid w:val="007F7DC7"/>
    <w:rsid w:val="00806BD4"/>
    <w:rsid w:val="0085048A"/>
    <w:rsid w:val="00851D37"/>
    <w:rsid w:val="008533FF"/>
    <w:rsid w:val="008A73BC"/>
    <w:rsid w:val="008B70AE"/>
    <w:rsid w:val="008C1E8C"/>
    <w:rsid w:val="008D6573"/>
    <w:rsid w:val="008D6BF7"/>
    <w:rsid w:val="008E190A"/>
    <w:rsid w:val="008F7D4E"/>
    <w:rsid w:val="0092338B"/>
    <w:rsid w:val="00954E4C"/>
    <w:rsid w:val="009706D0"/>
    <w:rsid w:val="00986A40"/>
    <w:rsid w:val="009A1B64"/>
    <w:rsid w:val="009B0CAC"/>
    <w:rsid w:val="009C2B6E"/>
    <w:rsid w:val="009D5038"/>
    <w:rsid w:val="009F64C5"/>
    <w:rsid w:val="00A20F98"/>
    <w:rsid w:val="00A554E2"/>
    <w:rsid w:val="00A7132F"/>
    <w:rsid w:val="00A9635A"/>
    <w:rsid w:val="00AA1579"/>
    <w:rsid w:val="00AA2580"/>
    <w:rsid w:val="00AC1EA0"/>
    <w:rsid w:val="00B25535"/>
    <w:rsid w:val="00B411C0"/>
    <w:rsid w:val="00BC67C0"/>
    <w:rsid w:val="00C26F99"/>
    <w:rsid w:val="00C408E6"/>
    <w:rsid w:val="00C47214"/>
    <w:rsid w:val="00C566A0"/>
    <w:rsid w:val="00C60980"/>
    <w:rsid w:val="00C91435"/>
    <w:rsid w:val="00CC55C1"/>
    <w:rsid w:val="00CD55A5"/>
    <w:rsid w:val="00CE637A"/>
    <w:rsid w:val="00D34153"/>
    <w:rsid w:val="00D36B6A"/>
    <w:rsid w:val="00D562D6"/>
    <w:rsid w:val="00DA2CF8"/>
    <w:rsid w:val="00DD24A7"/>
    <w:rsid w:val="00DD7AA5"/>
    <w:rsid w:val="00DE6470"/>
    <w:rsid w:val="00DE70F0"/>
    <w:rsid w:val="00E24605"/>
    <w:rsid w:val="00E56239"/>
    <w:rsid w:val="00E62522"/>
    <w:rsid w:val="00E65432"/>
    <w:rsid w:val="00E839F3"/>
    <w:rsid w:val="00E84A34"/>
    <w:rsid w:val="00E870ED"/>
    <w:rsid w:val="00EA1119"/>
    <w:rsid w:val="00ED30C5"/>
    <w:rsid w:val="00EE11EC"/>
    <w:rsid w:val="00EE4D67"/>
    <w:rsid w:val="00F12FF4"/>
    <w:rsid w:val="00F24400"/>
    <w:rsid w:val="00F62F25"/>
    <w:rsid w:val="00F66943"/>
    <w:rsid w:val="00F82819"/>
    <w:rsid w:val="00F87D3D"/>
    <w:rsid w:val="00FA17BE"/>
    <w:rsid w:val="00FB7563"/>
    <w:rsid w:val="00FC0787"/>
    <w:rsid w:val="00FC40A6"/>
    <w:rsid w:val="00FD0BD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NormalWeb">
    <w:name w:val="Normal (Web)"/>
    <w:basedOn w:val="Normal"/>
    <w:uiPriority w:val="99"/>
    <w:semiHidden/>
    <w:unhideWhenUsed/>
    <w:rsid w:val="00CC55C1"/>
    <w:rPr>
      <w:rFonts w:ascii="Times New Roman" w:hAnsi="Times New Roman" w:cs="Times New Roman"/>
      <w:sz w:val="24"/>
      <w:szCs w:val="24"/>
    </w:rPr>
  </w:style>
  <w:style w:type="table" w:customStyle="1" w:styleId="TableGrid1">
    <w:name w:val="Table Grid1"/>
    <w:basedOn w:val="TableNormal"/>
    <w:next w:val="TableGrid"/>
    <w:uiPriority w:val="39"/>
    <w:rsid w:val="00CC55C1"/>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C5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D24A7"/>
    <w:rPr>
      <w:color w:val="0563C1" w:themeColor="hyperlink"/>
      <w:u w:val="single"/>
    </w:rPr>
  </w:style>
  <w:style w:type="paragraph" w:styleId="Header">
    <w:name w:val="header"/>
    <w:basedOn w:val="Normal"/>
    <w:link w:val="HeaderChar"/>
    <w:uiPriority w:val="99"/>
    <w:unhideWhenUsed/>
    <w:rsid w:val="00336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bjo.2021.947?utm_source=chatgpt.com" TargetMode="External"/><Relationship Id="rId21" Type="http://schemas.openxmlformats.org/officeDocument/2006/relationships/hyperlink" Target="https://doi.org/10.1002/eat.23266" TargetMode="External"/><Relationship Id="rId42" Type="http://schemas.openxmlformats.org/officeDocument/2006/relationships/hyperlink" Target="https://doi.org/10.1371/journal.pone.0291307" TargetMode="External"/><Relationship Id="rId47" Type="http://schemas.openxmlformats.org/officeDocument/2006/relationships/hyperlink" Target="https://doi.org/10.1111/hsc.14078" TargetMode="External"/><Relationship Id="rId63" Type="http://schemas.openxmlformats.org/officeDocument/2006/relationships/hyperlink" Target="https://doi.org/10.1177/1609406917733847" TargetMode="External"/><Relationship Id="rId68" Type="http://schemas.openxmlformats.org/officeDocument/2006/relationships/hyperlink" Target="https://doi.org/10.1016/S0140-6736(18)31612-X" TargetMode="External"/><Relationship Id="rId84" Type="http://schemas.openxmlformats.org/officeDocument/2006/relationships/hyperlink" Target="https://doi.org/10.3399/bjgp16X687313" TargetMode="External"/><Relationship Id="rId89" Type="http://schemas.openxmlformats.org/officeDocument/2006/relationships/hyperlink" Target="https://doi.org/10.1016/j.jbusres.2019.07.039" TargetMode="External"/><Relationship Id="rId16" Type="http://schemas.openxmlformats.org/officeDocument/2006/relationships/footer" Target="footer2.xml"/><Relationship Id="rId11" Type="http://schemas.openxmlformats.org/officeDocument/2006/relationships/customXml" Target="ink/ink2.xml"/><Relationship Id="rId32" Type="http://schemas.openxmlformats.org/officeDocument/2006/relationships/hyperlink" Target="https://doi.org/10.1186/s12888-017-1538-1?utm_source=chatgpt.com" TargetMode="External"/><Relationship Id="rId37" Type="http://schemas.openxmlformats.org/officeDocument/2006/relationships/hyperlink" Target="https://doi.org/10.1371/journal.pmen.0000436" TargetMode="External"/><Relationship Id="rId53" Type="http://schemas.openxmlformats.org/officeDocument/2006/relationships/hyperlink" Target="https://doi.org/10.1001/jamapediatrics.2023.0846" TargetMode="External"/><Relationship Id="rId58" Type="http://schemas.openxmlformats.org/officeDocument/2006/relationships/hyperlink" Target="https://sites.manchester.ac.uk/ncish/reports/suicide-by-children-and-young-people-in-england/" TargetMode="External"/><Relationship Id="rId74" Type="http://schemas.openxmlformats.org/officeDocument/2006/relationships/hyperlink" Target="https://doi.org/10.2196/13873" TargetMode="External"/><Relationship Id="rId79" Type="http://schemas.openxmlformats.org/officeDocument/2006/relationships/hyperlink" Target="https://doi.org/10.5430/mos.v5n1p1" TargetMode="External"/><Relationship Id="rId5" Type="http://schemas.openxmlformats.org/officeDocument/2006/relationships/webSettings" Target="webSettings.xml"/><Relationship Id="rId90" Type="http://schemas.openxmlformats.org/officeDocument/2006/relationships/hyperlink" Target="https://doi.org/10.1038/s41380-021-01161-7" TargetMode="External"/><Relationship Id="rId95" Type="http://schemas.openxmlformats.org/officeDocument/2006/relationships/fontTable" Target="fontTable.xml"/><Relationship Id="rId22" Type="http://schemas.openxmlformats.org/officeDocument/2006/relationships/hyperlink" Target="https://doi.org/10.2307/2137284?utm_source=chatgpt.com" TargetMode="External"/><Relationship Id="rId27" Type="http://schemas.openxmlformats.org/officeDocument/2006/relationships/hyperlink" Target="https://doi.org/10.1080/02667363.2022.2051371" TargetMode="External"/><Relationship Id="rId43" Type="http://schemas.openxmlformats.org/officeDocument/2006/relationships/hyperlink" Target="https://doi.org/10.1111/camh.12381" TargetMode="External"/><Relationship Id="rId48" Type="http://schemas.openxmlformats.org/officeDocument/2006/relationships/hyperlink" Target="https://doi.org/10.1186/s12913-023-09300-2" TargetMode="External"/><Relationship Id="rId64" Type="http://schemas.openxmlformats.org/officeDocument/2006/relationships/hyperlink" Target="https://www.ons.gov.uk/" TargetMode="External"/><Relationship Id="rId69" Type="http://schemas.openxmlformats.org/officeDocument/2006/relationships/hyperlink" Target="https://doi.org/10.1371/journal.pone.0287098" TargetMode="External"/><Relationship Id="rId8" Type="http://schemas.openxmlformats.org/officeDocument/2006/relationships/image" Target="media/image1.png"/><Relationship Id="rId51" Type="http://schemas.openxmlformats.org/officeDocument/2006/relationships/hyperlink" Target="https://doi.org/10.1093/bjsw/bcaf278?utm_source=chatgpt.com" TargetMode="External"/><Relationship Id="rId72" Type="http://schemas.openxmlformats.org/officeDocument/2006/relationships/hyperlink" Target="https://doi.org/10.1007/s40615-021-00993-x?utm_source=chatgpt.com" TargetMode="External"/><Relationship Id="rId80" Type="http://schemas.openxmlformats.org/officeDocument/2006/relationships/hyperlink" Target="https://doi.org/10.1007/s00787-016-0930-6" TargetMode="External"/><Relationship Id="rId85" Type="http://schemas.openxmlformats.org/officeDocument/2006/relationships/hyperlink" Target="https://doi.org/10.1016/S2352-4642(18)30022-1" TargetMode="External"/><Relationship Id="rId93" Type="http://schemas.openxmlformats.org/officeDocument/2006/relationships/hyperlink" Target="https://doi.org/10.6004/jadpro.2019.10.4.7" TargetMode="Externa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footer" Target="footer3.xml"/><Relationship Id="rId25" Type="http://schemas.openxmlformats.org/officeDocument/2006/relationships/hyperlink" Target="https://doi.org/10.1371/journal.pmed.1004139?utm_source=chatgpt.com" TargetMode="External"/><Relationship Id="rId33" Type="http://schemas.openxmlformats.org/officeDocument/2006/relationships/hyperlink" Target="https://doi.org/10.1080/03069885.2024.2449010" TargetMode="External"/><Relationship Id="rId38" Type="http://schemas.openxmlformats.org/officeDocument/2006/relationships/hyperlink" Target="https://doi.org/10.1037/0000227-000" TargetMode="External"/><Relationship Id="rId46" Type="http://schemas.openxmlformats.org/officeDocument/2006/relationships/hyperlink" Target="https://doi.org/10.1186/s12888-018-1767" TargetMode="External"/><Relationship Id="rId59" Type="http://schemas.openxmlformats.org/officeDocument/2006/relationships/hyperlink" Target="https://www.nice.org.uk/" TargetMode="External"/><Relationship Id="rId67" Type="http://schemas.openxmlformats.org/officeDocument/2006/relationships/hyperlink" Target="https://doi.org/10.1016/S0140-6736(23)00970-2" TargetMode="External"/><Relationship Id="rId20" Type="http://schemas.openxmlformats.org/officeDocument/2006/relationships/hyperlink" Target="https://doi.org/10.1017/S1754470X24000084?utm_source=chatgpt.com" TargetMode="External"/><Relationship Id="rId41" Type="http://schemas.openxmlformats.org/officeDocument/2006/relationships/hyperlink" Target="https://doi.org/10.1186/s12888-020-02937-x" TargetMode="External"/><Relationship Id="rId54" Type="http://schemas.openxmlformats.org/officeDocument/2006/relationships/hyperlink" Target="https://doi.org/10.1007/s00127-015-1165-4" TargetMode="External"/><Relationship Id="rId62" Type="http://schemas.openxmlformats.org/officeDocument/2006/relationships/hyperlink" Target="https://www.longtermplan.nhs.uk/" TargetMode="External"/><Relationship Id="rId70" Type="http://schemas.openxmlformats.org/officeDocument/2006/relationships/hyperlink" Target="https://doi.org/10.3399/BJGPO.2025.0196" TargetMode="External"/><Relationship Id="rId75" Type="http://schemas.openxmlformats.org/officeDocument/2006/relationships/hyperlink" Target="https://doi.org/10.1371/journal.pone.0265542" TargetMode="External"/><Relationship Id="rId83" Type="http://schemas.openxmlformats.org/officeDocument/2006/relationships/hyperlink" Target="https://doi.org/10.1177/109019818801500203" TargetMode="External"/><Relationship Id="rId88" Type="http://schemas.openxmlformats.org/officeDocument/2006/relationships/hyperlink" Target="https://doi.org/10.1007/s00787-024-02520-9?utm_source=chatgpt.com" TargetMode="External"/><Relationship Id="rId91" Type="http://schemas.openxmlformats.org/officeDocument/2006/relationships/hyperlink" Target="https://doi.org/10.2196/18514?utm_source=chatgpt.com"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doi.org/10.1037/0003-066X.55.5.469?utm_source=chatgpt.com" TargetMode="External"/><Relationship Id="rId28" Type="http://schemas.openxmlformats.org/officeDocument/2006/relationships/hyperlink" Target="https://doi.org/10.1186/s40359-022-00775-y?utm_source=chatgpt.com" TargetMode="External"/><Relationship Id="rId36" Type="http://schemas.openxmlformats.org/officeDocument/2006/relationships/hyperlink" Target="https://doi.org/10.1007/s40894-017-0078-8?utm_source=chatgpt.com" TargetMode="External"/><Relationship Id="rId49" Type="http://schemas.openxmlformats.org/officeDocument/2006/relationships/hyperlink" Target="https://doi.org/10.1111/papt.12452" TargetMode="External"/><Relationship Id="rId57" Type="http://schemas.openxmlformats.org/officeDocument/2006/relationships/hyperlink" Target="https://doi.org/10.1016/S2215-0366(23)00193-1" TargetMode="External"/><Relationship Id="rId10" Type="http://schemas.openxmlformats.org/officeDocument/2006/relationships/image" Target="media/image2.emf"/><Relationship Id="rId31" Type="http://schemas.openxmlformats.org/officeDocument/2006/relationships/hyperlink" Target="https://www.bps.org.uk/guideline/code-human-research-ethics?utm" TargetMode="External"/><Relationship Id="rId44" Type="http://schemas.openxmlformats.org/officeDocument/2006/relationships/hyperlink" Target="https://doi.org/10.1186/1471-244X-10-113" TargetMode="External"/><Relationship Id="rId52" Type="http://schemas.openxmlformats.org/officeDocument/2006/relationships/hyperlink" Target="https://doi.org/10.1007/s00127-018-1578-y?utm_source=chatgpt.com" TargetMode="External"/><Relationship Id="rId60" Type="http://schemas.openxmlformats.org/officeDocument/2006/relationships/hyperlink" Target="https://doi.org/10.3310/XKWE8437" TargetMode="External"/><Relationship Id="rId65" Type="http://schemas.openxmlformats.org/officeDocument/2006/relationships/hyperlink" Target="https://doi.org/10.1007/s00127-019-01743-5" TargetMode="External"/><Relationship Id="rId73" Type="http://schemas.openxmlformats.org/officeDocument/2006/relationships/hyperlink" Target="https://doi.org/10.1080/03069885.2019.1619169" TargetMode="External"/><Relationship Id="rId78" Type="http://schemas.openxmlformats.org/officeDocument/2006/relationships/hyperlink" Target="https://doi.org/10.1007/s00787-019-01469-4" TargetMode="External"/><Relationship Id="rId81" Type="http://schemas.openxmlformats.org/officeDocument/2006/relationships/hyperlink" Target="https://doi.org/10.1111/eip.13555" TargetMode="External"/><Relationship Id="rId86" Type="http://schemas.openxmlformats.org/officeDocument/2006/relationships/hyperlink" Target="https://doi.org/10.1177/2167696815624640" TargetMode="External"/><Relationship Id="rId94" Type="http://schemas.openxmlformats.org/officeDocument/2006/relationships/hyperlink" Target="https://www.who.int/publications/i/item/9789240049338"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hyperlink" Target="https://doi.org/10.2196/38296?utm_source=chatgpt.com" TargetMode="External"/><Relationship Id="rId39" Type="http://schemas.openxmlformats.org/officeDocument/2006/relationships/hyperlink" Target="https://doi.org/10.1007/s00127-018-1602-2" TargetMode="External"/><Relationship Id="rId34" Type="http://schemas.openxmlformats.org/officeDocument/2006/relationships/hyperlink" Target="https://doi.org/10.1017/S0033291714000129" TargetMode="External"/><Relationship Id="rId50" Type="http://schemas.openxmlformats.org/officeDocument/2006/relationships/hyperlink" Target="https://doi.org/10.1111/hex.13301" TargetMode="External"/><Relationship Id="rId55" Type="http://schemas.openxmlformats.org/officeDocument/2006/relationships/hyperlink" Target="https://doi.org/10.1016/S2352-4642(18)30074-9" TargetMode="External"/><Relationship Id="rId76" Type="http://schemas.openxmlformats.org/officeDocument/2006/relationships/hyperlink" Target="https://doi.org/10.1001/jamapediatrics.2021.2482" TargetMode="External"/><Relationship Id="rId7" Type="http://schemas.openxmlformats.org/officeDocument/2006/relationships/endnotes" Target="endnotes.xml"/><Relationship Id="rId71" Type="http://schemas.openxmlformats.org/officeDocument/2006/relationships/hyperlink" Target="https://doi.org/10.1186/s40337-020-00320-5?utm_source=chatgpt.com" TargetMode="External"/><Relationship Id="rId92" Type="http://schemas.openxmlformats.org/officeDocument/2006/relationships/hyperlink" Target="https://doi.org/10.1177/1098214005283748" TargetMode="External"/><Relationship Id="rId2" Type="http://schemas.openxmlformats.org/officeDocument/2006/relationships/numbering" Target="numbering.xml"/><Relationship Id="rId29" Type="http://schemas.openxmlformats.org/officeDocument/2006/relationships/hyperlink" Target="https://doi.org/10.1186/s12888-023-05126-8?utm_source=chatgpt.com" TargetMode="External"/><Relationship Id="rId24" Type="http://schemas.openxmlformats.org/officeDocument/2006/relationships/hyperlink" Target="https://doi.org/10.4324/9781315623405-2" TargetMode="External"/><Relationship Id="rId40" Type="http://schemas.openxmlformats.org/officeDocument/2006/relationships/hyperlink" Target="https://doi.org/10.1093/bjsw/bcx062" TargetMode="External"/><Relationship Id="rId45" Type="http://schemas.openxmlformats.org/officeDocument/2006/relationships/hyperlink" Target="https://committees.parliament.uk/" TargetMode="External"/><Relationship Id="rId66" Type="http://schemas.openxmlformats.org/officeDocument/2006/relationships/hyperlink" Target="https://doi.org/10.1136/bmj.n71" TargetMode="External"/><Relationship Id="rId87" Type="http://schemas.openxmlformats.org/officeDocument/2006/relationships/hyperlink" Target="https://doi.org/10.1016/j.cpr.2016.09.002?utm_source=chatgpt.com" TargetMode="External"/><Relationship Id="rId61" Type="http://schemas.openxmlformats.org/officeDocument/2006/relationships/hyperlink" Target="https://digital.nhs.uk/data-and-information/publications/statistical/mental-health-of-children-and-young-people-in-england/2023-wave-4-follow-up" TargetMode="External"/><Relationship Id="rId82" Type="http://schemas.openxmlformats.org/officeDocument/2006/relationships/hyperlink" Target="https://doi.org/10.1186/s12888-015-0429-6?utm_source=chatgpt.com" TargetMode="External"/><Relationship Id="rId19" Type="http://schemas.openxmlformats.org/officeDocument/2006/relationships/hyperlink" Target="https://doi.org/10.1186/s12888-020-02691-0" TargetMode="External"/><Relationship Id="rId14" Type="http://schemas.openxmlformats.org/officeDocument/2006/relationships/customXml" Target="ink/ink4.xml"/><Relationship Id="rId30" Type="http://schemas.openxmlformats.org/officeDocument/2006/relationships/hyperlink" Target="https://doi.org/10.11124/JBIES-21-00010" TargetMode="External"/><Relationship Id="rId35" Type="http://schemas.openxmlformats.org/officeDocument/2006/relationships/hyperlink" Target="https://doi.org/10.3399/bjgp20X709421?utm_source=chatgpt.com" TargetMode="External"/><Relationship Id="rId56" Type="http://schemas.openxmlformats.org/officeDocument/2006/relationships/hyperlink" Target="https://doi.org/10.1136/ebmental-2018-300060" TargetMode="External"/><Relationship Id="rId77" Type="http://schemas.openxmlformats.org/officeDocument/2006/relationships/hyperlink" Target="https://doi.org/10.1111/papt.12524?utm_source=chatgpt.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-2147483648-2147483648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-2147483648-2147483648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-2147483648-2147483648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-2147483648-2147483648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E7683-5EFB-411E-980B-20DF89098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76</Pages>
  <Words>24662</Words>
  <Characters>140578</Characters>
  <Application>Microsoft Office Word</Application>
  <DocSecurity>0</DocSecurity>
  <Lines>1171</Lines>
  <Paragraphs>329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Ohikhuare Irogho (2128365)</cp:lastModifiedBy>
  <cp:revision>2</cp:revision>
  <cp:lastPrinted>2023-09-21T02:18:00Z</cp:lastPrinted>
  <dcterms:created xsi:type="dcterms:W3CDTF">2026-09-16T18:43:00Z</dcterms:created>
  <dcterms:modified xsi:type="dcterms:W3CDTF">2026-09-16T18:43:00Z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e6dcb63f-73d5-473c-8919-65f3a68c7068</vt:lpwstr>
  </property>
</Properties>
</file>