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3D135" w14:textId="756C6049" w:rsidR="00AA2A5B" w:rsidRPr="00554687" w:rsidRDefault="00554687" w:rsidP="00554687">
      <w:pPr>
        <w:jc w:val="center"/>
        <w:rPr>
          <w:b/>
          <w:bCs/>
          <w:i/>
          <w:iCs/>
          <w:sz w:val="124"/>
          <w:szCs w:val="124"/>
          <w:u w:val="single"/>
        </w:rPr>
      </w:pPr>
      <w:r w:rsidRPr="00554687">
        <w:rPr>
          <w:b/>
          <w:bCs/>
          <w:i/>
          <w:iCs/>
          <w:sz w:val="124"/>
          <w:szCs w:val="124"/>
          <w:u w:val="single"/>
        </w:rPr>
        <w:t>Equity and Trust</w:t>
      </w:r>
    </w:p>
    <w:p w14:paraId="59B6C45C" w14:textId="77777777" w:rsidR="00554687" w:rsidRPr="00554687" w:rsidRDefault="00554687" w:rsidP="00554687">
      <w:pPr>
        <w:jc w:val="center"/>
        <w:rPr>
          <w:b/>
          <w:bCs/>
          <w:i/>
          <w:iCs/>
          <w:sz w:val="124"/>
          <w:szCs w:val="124"/>
          <w:u w:val="single"/>
        </w:rPr>
      </w:pPr>
    </w:p>
    <w:p w14:paraId="630C37F9" w14:textId="5397D05E" w:rsidR="00554687" w:rsidRPr="00554687" w:rsidRDefault="00554687" w:rsidP="00554687">
      <w:pPr>
        <w:jc w:val="center"/>
        <w:rPr>
          <w:b/>
          <w:bCs/>
          <w:i/>
          <w:iCs/>
          <w:sz w:val="124"/>
          <w:szCs w:val="124"/>
          <w:u w:val="single"/>
        </w:rPr>
      </w:pPr>
      <w:r w:rsidRPr="00554687">
        <w:rPr>
          <w:b/>
          <w:bCs/>
          <w:i/>
          <w:iCs/>
          <w:sz w:val="124"/>
          <w:szCs w:val="124"/>
          <w:u w:val="single"/>
        </w:rPr>
        <w:t>Assignment 2</w:t>
      </w:r>
    </w:p>
    <w:p w14:paraId="022182EA" w14:textId="77777777" w:rsidR="00554687" w:rsidRPr="00554687" w:rsidRDefault="00554687" w:rsidP="00554687">
      <w:pPr>
        <w:jc w:val="center"/>
        <w:rPr>
          <w:b/>
          <w:bCs/>
          <w:i/>
          <w:iCs/>
          <w:sz w:val="124"/>
          <w:szCs w:val="124"/>
          <w:u w:val="single"/>
        </w:rPr>
      </w:pPr>
    </w:p>
    <w:p w14:paraId="582E0491" w14:textId="5AA7F989" w:rsidR="00554687" w:rsidRDefault="00554687" w:rsidP="00554687">
      <w:pPr>
        <w:jc w:val="center"/>
        <w:rPr>
          <w:b/>
          <w:bCs/>
          <w:i/>
          <w:iCs/>
          <w:sz w:val="124"/>
          <w:szCs w:val="124"/>
          <w:u w:val="single"/>
        </w:rPr>
      </w:pPr>
      <w:r w:rsidRPr="00554687">
        <w:rPr>
          <w:b/>
          <w:bCs/>
          <w:i/>
          <w:iCs/>
          <w:sz w:val="124"/>
          <w:szCs w:val="124"/>
          <w:u w:val="single"/>
        </w:rPr>
        <w:t>Chloe Reynolds</w:t>
      </w:r>
    </w:p>
    <w:p w14:paraId="791CF541" w14:textId="66F9B273" w:rsidR="00554687" w:rsidRDefault="00554687" w:rsidP="00554687">
      <w:pPr>
        <w:rPr>
          <w:b/>
          <w:bCs/>
          <w:i/>
          <w:iCs/>
          <w:sz w:val="124"/>
          <w:szCs w:val="124"/>
          <w:u w:val="single"/>
        </w:rPr>
      </w:pPr>
    </w:p>
    <w:p w14:paraId="143FDF17" w14:textId="44C16002" w:rsidR="00554687" w:rsidRDefault="00554687" w:rsidP="00554687">
      <w:pPr>
        <w:tabs>
          <w:tab w:val="left" w:pos="1250"/>
        </w:tabs>
        <w:rPr>
          <w:sz w:val="124"/>
          <w:szCs w:val="124"/>
        </w:rPr>
      </w:pPr>
      <w:r>
        <w:rPr>
          <w:sz w:val="124"/>
          <w:szCs w:val="124"/>
        </w:rPr>
        <w:tab/>
      </w:r>
    </w:p>
    <w:p w14:paraId="7E8890DF" w14:textId="7AC2CA67" w:rsidR="00554687" w:rsidRDefault="00554687" w:rsidP="00554687">
      <w:pPr>
        <w:tabs>
          <w:tab w:val="left" w:pos="1250"/>
        </w:tabs>
        <w:rPr>
          <w:rFonts w:ascii="Arial" w:hAnsi="Arial" w:cs="Arial"/>
          <w:sz w:val="24"/>
          <w:szCs w:val="24"/>
        </w:rPr>
      </w:pPr>
    </w:p>
    <w:p w14:paraId="1DDBD84B" w14:textId="160566ED" w:rsidR="00554687" w:rsidRDefault="00554687" w:rsidP="00554687">
      <w:pPr>
        <w:tabs>
          <w:tab w:val="left" w:pos="1250"/>
        </w:tabs>
        <w:rPr>
          <w:rFonts w:ascii="Arial" w:hAnsi="Arial" w:cs="Arial"/>
          <w:sz w:val="24"/>
          <w:szCs w:val="24"/>
        </w:rPr>
      </w:pPr>
    </w:p>
    <w:p w14:paraId="684A55FB" w14:textId="06D16DC1" w:rsidR="00554687" w:rsidRDefault="00554687" w:rsidP="00554687">
      <w:pPr>
        <w:tabs>
          <w:tab w:val="left" w:pos="1250"/>
        </w:tabs>
        <w:rPr>
          <w:rFonts w:ascii="Arial" w:hAnsi="Arial" w:cs="Arial"/>
          <w:sz w:val="24"/>
          <w:szCs w:val="24"/>
        </w:rPr>
      </w:pPr>
    </w:p>
    <w:p w14:paraId="003B2EC5" w14:textId="0DD92EDD" w:rsidR="000048CB" w:rsidRPr="00D20922" w:rsidRDefault="000048CB" w:rsidP="0064283E">
      <w:pPr>
        <w:rPr>
          <w:rFonts w:ascii="Arial" w:hAnsi="Arial" w:cs="Arial"/>
          <w:sz w:val="24"/>
          <w:szCs w:val="24"/>
        </w:rPr>
      </w:pPr>
      <w:r w:rsidRPr="00D20922">
        <w:rPr>
          <w:rFonts w:ascii="Arial" w:hAnsi="Arial" w:cs="Arial"/>
          <w:sz w:val="24"/>
          <w:szCs w:val="24"/>
        </w:rPr>
        <w:lastRenderedPageBreak/>
        <w:t>The Wills Act 1837 is an Act of Parliament</w:t>
      </w:r>
      <w:r w:rsidR="009A5F0B">
        <w:rPr>
          <w:rFonts w:ascii="Arial" w:hAnsi="Arial" w:cs="Arial"/>
          <w:sz w:val="24"/>
          <w:szCs w:val="24"/>
        </w:rPr>
        <w:t xml:space="preserve">, that allows any </w:t>
      </w:r>
      <w:r w:rsidRPr="00D20922">
        <w:rPr>
          <w:rFonts w:ascii="Arial" w:hAnsi="Arial" w:cs="Arial"/>
          <w:sz w:val="24"/>
          <w:szCs w:val="24"/>
        </w:rPr>
        <w:t>adult to dispos</w:t>
      </w:r>
      <w:r w:rsidR="009A5F0B">
        <w:rPr>
          <w:rFonts w:ascii="Arial" w:hAnsi="Arial" w:cs="Arial"/>
          <w:sz w:val="24"/>
          <w:szCs w:val="24"/>
        </w:rPr>
        <w:t>e</w:t>
      </w:r>
      <w:r w:rsidRPr="00D20922">
        <w:rPr>
          <w:rFonts w:ascii="Arial" w:hAnsi="Arial" w:cs="Arial"/>
          <w:sz w:val="24"/>
          <w:szCs w:val="24"/>
        </w:rPr>
        <w:t xml:space="preserve"> of their property</w:t>
      </w:r>
      <w:r w:rsidR="009A5F0B">
        <w:rPr>
          <w:rFonts w:ascii="Arial" w:hAnsi="Arial" w:cs="Arial"/>
          <w:sz w:val="24"/>
          <w:szCs w:val="24"/>
        </w:rPr>
        <w:t>. This</w:t>
      </w:r>
      <w:r w:rsidRPr="00D20922">
        <w:rPr>
          <w:rFonts w:ascii="Arial" w:hAnsi="Arial" w:cs="Arial"/>
          <w:sz w:val="24"/>
          <w:szCs w:val="24"/>
        </w:rPr>
        <w:t xml:space="preserve"> </w:t>
      </w:r>
      <w:r w:rsidR="009A5F0B">
        <w:rPr>
          <w:rFonts w:ascii="Arial" w:hAnsi="Arial" w:cs="Arial"/>
          <w:sz w:val="24"/>
          <w:szCs w:val="24"/>
        </w:rPr>
        <w:t xml:space="preserve">could be real </w:t>
      </w:r>
      <w:r w:rsidRPr="00D20922">
        <w:rPr>
          <w:rFonts w:ascii="Arial" w:hAnsi="Arial" w:cs="Arial"/>
          <w:sz w:val="24"/>
          <w:szCs w:val="24"/>
        </w:rPr>
        <w:t xml:space="preserve">or personal property. </w:t>
      </w:r>
      <w:r w:rsidR="00551624" w:rsidRPr="00D20922">
        <w:rPr>
          <w:rFonts w:ascii="Arial" w:hAnsi="Arial" w:cs="Arial"/>
          <w:sz w:val="24"/>
          <w:szCs w:val="24"/>
        </w:rPr>
        <w:t>Section 9 of the Wills Act 1837 states that no Will is valid unless it is in writing a</w:t>
      </w:r>
      <w:r w:rsidR="00C17BD8" w:rsidRPr="00D20922">
        <w:rPr>
          <w:rFonts w:ascii="Arial" w:hAnsi="Arial" w:cs="Arial"/>
          <w:sz w:val="24"/>
          <w:szCs w:val="24"/>
        </w:rPr>
        <w:t xml:space="preserve">nd </w:t>
      </w:r>
      <w:r w:rsidR="00551624" w:rsidRPr="00D20922">
        <w:rPr>
          <w:rFonts w:ascii="Arial" w:hAnsi="Arial" w:cs="Arial"/>
          <w:sz w:val="24"/>
          <w:szCs w:val="24"/>
        </w:rPr>
        <w:t xml:space="preserve">signed by the testator, or by some other person in his presence and by his direction (Oliver,2013). </w:t>
      </w:r>
    </w:p>
    <w:p w14:paraId="29EE7ACA" w14:textId="275B5D6E" w:rsidR="00476CDB" w:rsidRPr="00D20922" w:rsidRDefault="00476CDB" w:rsidP="0064283E">
      <w:pPr>
        <w:rPr>
          <w:rFonts w:ascii="Arial" w:hAnsi="Arial" w:cs="Arial"/>
          <w:sz w:val="24"/>
          <w:szCs w:val="24"/>
        </w:rPr>
      </w:pPr>
      <w:r w:rsidRPr="00D20922">
        <w:rPr>
          <w:rFonts w:ascii="Arial" w:hAnsi="Arial" w:cs="Arial"/>
          <w:sz w:val="24"/>
          <w:szCs w:val="24"/>
        </w:rPr>
        <w:t xml:space="preserve">A secret trust is </w:t>
      </w:r>
      <w:r w:rsidR="00556374" w:rsidRPr="00D20922">
        <w:rPr>
          <w:rFonts w:ascii="Arial" w:hAnsi="Arial" w:cs="Arial"/>
          <w:sz w:val="24"/>
          <w:szCs w:val="24"/>
        </w:rPr>
        <w:t xml:space="preserve">created when a testator may wish for certain gifts in the </w:t>
      </w:r>
      <w:r w:rsidR="00C17BD8" w:rsidRPr="00D20922">
        <w:rPr>
          <w:rFonts w:ascii="Arial" w:hAnsi="Arial" w:cs="Arial"/>
          <w:sz w:val="24"/>
          <w:szCs w:val="24"/>
        </w:rPr>
        <w:t>Will</w:t>
      </w:r>
      <w:r w:rsidR="00556374" w:rsidRPr="00D20922">
        <w:rPr>
          <w:rFonts w:ascii="Arial" w:hAnsi="Arial" w:cs="Arial"/>
          <w:sz w:val="24"/>
          <w:szCs w:val="24"/>
        </w:rPr>
        <w:t xml:space="preserve"> to not become public knowledge. </w:t>
      </w:r>
      <w:r w:rsidR="009A5F0B">
        <w:rPr>
          <w:rFonts w:ascii="Arial" w:hAnsi="Arial" w:cs="Arial"/>
          <w:sz w:val="24"/>
          <w:szCs w:val="24"/>
        </w:rPr>
        <w:t xml:space="preserve">This is </w:t>
      </w:r>
      <w:r w:rsidRPr="00D20922">
        <w:rPr>
          <w:rFonts w:ascii="Arial" w:hAnsi="Arial" w:cs="Arial"/>
          <w:sz w:val="24"/>
          <w:szCs w:val="24"/>
        </w:rPr>
        <w:t>an exception to section 9 of the Wills Act 1837</w:t>
      </w:r>
      <w:r w:rsidR="00556374" w:rsidRPr="00D20922">
        <w:rPr>
          <w:rFonts w:ascii="Arial" w:hAnsi="Arial" w:cs="Arial"/>
          <w:sz w:val="24"/>
          <w:szCs w:val="24"/>
        </w:rPr>
        <w:t xml:space="preserve">. In order to create a </w:t>
      </w:r>
      <w:r w:rsidR="00A33EC5" w:rsidRPr="00D20922">
        <w:rPr>
          <w:rFonts w:ascii="Arial" w:hAnsi="Arial" w:cs="Arial"/>
          <w:sz w:val="24"/>
          <w:szCs w:val="24"/>
        </w:rPr>
        <w:t>secret</w:t>
      </w:r>
      <w:r w:rsidR="00556374" w:rsidRPr="00D20922">
        <w:rPr>
          <w:rFonts w:ascii="Arial" w:hAnsi="Arial" w:cs="Arial"/>
          <w:sz w:val="24"/>
          <w:szCs w:val="24"/>
        </w:rPr>
        <w:t xml:space="preserve"> trust</w:t>
      </w:r>
      <w:r w:rsidR="009A5F0B">
        <w:rPr>
          <w:rFonts w:ascii="Arial" w:hAnsi="Arial" w:cs="Arial"/>
          <w:sz w:val="24"/>
          <w:szCs w:val="24"/>
        </w:rPr>
        <w:t>,</w:t>
      </w:r>
      <w:r w:rsidR="00556374" w:rsidRPr="00D20922">
        <w:rPr>
          <w:rFonts w:ascii="Arial" w:hAnsi="Arial" w:cs="Arial"/>
          <w:sz w:val="24"/>
          <w:szCs w:val="24"/>
        </w:rPr>
        <w:t xml:space="preserve"> the testator must have the intention to create a </w:t>
      </w:r>
      <w:r w:rsidR="00A33EC5" w:rsidRPr="00D20922">
        <w:rPr>
          <w:rFonts w:ascii="Arial" w:hAnsi="Arial" w:cs="Arial"/>
          <w:sz w:val="24"/>
          <w:szCs w:val="24"/>
        </w:rPr>
        <w:t>secret</w:t>
      </w:r>
      <w:r w:rsidR="00556374" w:rsidRPr="00D20922">
        <w:rPr>
          <w:rFonts w:ascii="Arial" w:hAnsi="Arial" w:cs="Arial"/>
          <w:sz w:val="24"/>
          <w:szCs w:val="24"/>
        </w:rPr>
        <w:t xml:space="preserve"> trust. </w:t>
      </w:r>
      <w:r w:rsidR="009A5F0B">
        <w:rPr>
          <w:rFonts w:ascii="Arial" w:hAnsi="Arial" w:cs="Arial"/>
          <w:sz w:val="24"/>
          <w:szCs w:val="24"/>
        </w:rPr>
        <w:t>There</w:t>
      </w:r>
      <w:r w:rsidR="00556374" w:rsidRPr="00D20922">
        <w:rPr>
          <w:rFonts w:ascii="Arial" w:hAnsi="Arial" w:cs="Arial"/>
          <w:sz w:val="24"/>
          <w:szCs w:val="24"/>
        </w:rPr>
        <w:t xml:space="preserve"> must also be good communication to the secret trustee that the gift is intended to be held on trust for a </w:t>
      </w:r>
      <w:r w:rsidR="00A33EC5" w:rsidRPr="00D20922">
        <w:rPr>
          <w:rFonts w:ascii="Arial" w:hAnsi="Arial" w:cs="Arial"/>
          <w:sz w:val="24"/>
          <w:szCs w:val="24"/>
        </w:rPr>
        <w:t>secret</w:t>
      </w:r>
      <w:r w:rsidR="00556374" w:rsidRPr="00D20922">
        <w:rPr>
          <w:rFonts w:ascii="Arial" w:hAnsi="Arial" w:cs="Arial"/>
          <w:sz w:val="24"/>
          <w:szCs w:val="24"/>
        </w:rPr>
        <w:t xml:space="preserve"> beneficiary</w:t>
      </w:r>
      <w:r w:rsidR="00A33EC5" w:rsidRPr="00D20922">
        <w:rPr>
          <w:rFonts w:ascii="Arial" w:hAnsi="Arial" w:cs="Arial"/>
          <w:sz w:val="24"/>
          <w:szCs w:val="24"/>
        </w:rPr>
        <w:t>. The secret trustee must be accepting of their role and in the reliance of t</w:t>
      </w:r>
      <w:r w:rsidR="00322442">
        <w:rPr>
          <w:rFonts w:ascii="Arial" w:hAnsi="Arial" w:cs="Arial"/>
          <w:sz w:val="24"/>
          <w:szCs w:val="24"/>
        </w:rPr>
        <w:t>his</w:t>
      </w:r>
      <w:r w:rsidR="00A33EC5" w:rsidRPr="00D20922">
        <w:rPr>
          <w:rFonts w:ascii="Arial" w:hAnsi="Arial" w:cs="Arial"/>
          <w:sz w:val="24"/>
          <w:szCs w:val="24"/>
        </w:rPr>
        <w:t xml:space="preserve"> acceptance, the testator makes a Will (</w:t>
      </w:r>
      <w:r w:rsidR="00C17BD8" w:rsidRPr="00D20922">
        <w:rPr>
          <w:rFonts w:ascii="Arial" w:hAnsi="Arial" w:cs="Arial"/>
          <w:sz w:val="24"/>
          <w:szCs w:val="24"/>
        </w:rPr>
        <w:t>Myerson Solicitors,2019</w:t>
      </w:r>
      <w:r w:rsidR="00A33EC5" w:rsidRPr="00D20922">
        <w:rPr>
          <w:rFonts w:ascii="Arial" w:hAnsi="Arial" w:cs="Arial"/>
          <w:sz w:val="24"/>
          <w:szCs w:val="24"/>
        </w:rPr>
        <w:t xml:space="preserve">). </w:t>
      </w:r>
    </w:p>
    <w:p w14:paraId="7A55F14A" w14:textId="55FF97B8" w:rsidR="003F10BA" w:rsidRPr="00D20922" w:rsidRDefault="00A33EC5" w:rsidP="0064283E">
      <w:pPr>
        <w:rPr>
          <w:rFonts w:ascii="Arial" w:hAnsi="Arial" w:cs="Arial"/>
          <w:sz w:val="24"/>
          <w:szCs w:val="24"/>
        </w:rPr>
      </w:pPr>
      <w:r w:rsidRPr="00D20922">
        <w:rPr>
          <w:rFonts w:ascii="Arial" w:hAnsi="Arial" w:cs="Arial"/>
          <w:sz w:val="24"/>
          <w:szCs w:val="24"/>
        </w:rPr>
        <w:t xml:space="preserve">A secret trust has two factors, the first one being a half secret trust and a fully secret trust. </w:t>
      </w:r>
      <w:r w:rsidR="00C17BD8" w:rsidRPr="00D20922">
        <w:rPr>
          <w:rFonts w:ascii="Arial" w:hAnsi="Arial" w:cs="Arial"/>
          <w:sz w:val="24"/>
          <w:szCs w:val="24"/>
        </w:rPr>
        <w:t xml:space="preserve">A fully secret trusts arise where a </w:t>
      </w:r>
      <w:r w:rsidR="002C397F" w:rsidRPr="00D20922">
        <w:rPr>
          <w:rFonts w:ascii="Arial" w:hAnsi="Arial" w:cs="Arial"/>
          <w:sz w:val="24"/>
          <w:szCs w:val="24"/>
        </w:rPr>
        <w:t>testator leaves property to another person in their will. The is no evidence of the trust on the fact of the Will. The trust arises only because the testator has decided to leave property to a beneficiary</w:t>
      </w:r>
      <w:r w:rsidR="00610665" w:rsidRPr="00D20922">
        <w:rPr>
          <w:rFonts w:ascii="Arial" w:hAnsi="Arial" w:cs="Arial"/>
          <w:sz w:val="24"/>
          <w:szCs w:val="24"/>
        </w:rPr>
        <w:t xml:space="preserve">. The trust is secret because </w:t>
      </w:r>
      <w:r w:rsidR="00322442">
        <w:rPr>
          <w:rFonts w:ascii="Arial" w:hAnsi="Arial" w:cs="Arial"/>
          <w:sz w:val="24"/>
          <w:szCs w:val="24"/>
        </w:rPr>
        <w:t xml:space="preserve">it will </w:t>
      </w:r>
      <w:r w:rsidR="00322442" w:rsidRPr="00D20922">
        <w:rPr>
          <w:rFonts w:ascii="Arial" w:hAnsi="Arial" w:cs="Arial"/>
          <w:sz w:val="24"/>
          <w:szCs w:val="24"/>
        </w:rPr>
        <w:t>remain</w:t>
      </w:r>
      <w:r w:rsidR="00610665" w:rsidRPr="00D20922">
        <w:rPr>
          <w:rFonts w:ascii="Arial" w:hAnsi="Arial" w:cs="Arial"/>
          <w:sz w:val="24"/>
          <w:szCs w:val="24"/>
        </w:rPr>
        <w:t xml:space="preserve"> private whereas the normal will can be public and can be seen when the testator dies (</w:t>
      </w:r>
      <w:r w:rsidR="00C26419" w:rsidRPr="00D20922">
        <w:rPr>
          <w:rFonts w:ascii="Arial" w:hAnsi="Arial" w:cs="Arial"/>
          <w:sz w:val="24"/>
          <w:szCs w:val="24"/>
        </w:rPr>
        <w:t>Johnson,2021</w:t>
      </w:r>
      <w:r w:rsidR="00610665" w:rsidRPr="00D20922">
        <w:rPr>
          <w:rFonts w:ascii="Arial" w:hAnsi="Arial" w:cs="Arial"/>
          <w:sz w:val="24"/>
          <w:szCs w:val="24"/>
        </w:rPr>
        <w:t xml:space="preserve">). In order to have a secret trust, the testator must appoint a trustee to carry out what he have specified in his secret trust. The trustee will appear to be a </w:t>
      </w:r>
      <w:r w:rsidR="003F10BA" w:rsidRPr="00D20922">
        <w:rPr>
          <w:rFonts w:ascii="Arial" w:hAnsi="Arial" w:cs="Arial"/>
          <w:sz w:val="24"/>
          <w:szCs w:val="24"/>
        </w:rPr>
        <w:t xml:space="preserve">beneficiary, on the face of the will. They will appear to take absolutely. There will either be a written or oral evidence is given to prove the existence of the trust. </w:t>
      </w:r>
    </w:p>
    <w:p w14:paraId="005433F9" w14:textId="4CC83232" w:rsidR="003F10BA" w:rsidRPr="00D20922" w:rsidRDefault="003F10BA" w:rsidP="0064283E">
      <w:pPr>
        <w:rPr>
          <w:rFonts w:ascii="Arial" w:hAnsi="Arial" w:cs="Arial"/>
          <w:sz w:val="24"/>
          <w:szCs w:val="24"/>
        </w:rPr>
      </w:pPr>
      <w:r w:rsidRPr="00D20922">
        <w:rPr>
          <w:rFonts w:ascii="Arial" w:hAnsi="Arial" w:cs="Arial"/>
          <w:sz w:val="24"/>
          <w:szCs w:val="24"/>
        </w:rPr>
        <w:t xml:space="preserve">The second factor </w:t>
      </w:r>
      <w:r w:rsidR="00C5752C" w:rsidRPr="00D20922">
        <w:rPr>
          <w:rFonts w:ascii="Arial" w:hAnsi="Arial" w:cs="Arial"/>
          <w:sz w:val="24"/>
          <w:szCs w:val="24"/>
        </w:rPr>
        <w:t xml:space="preserve">is a half secret trust. A half secret trust arises when a testator refers to the existence of the trust within his Will but does not specify it. </w:t>
      </w:r>
      <w:r w:rsidR="00636D3C" w:rsidRPr="00D20922">
        <w:rPr>
          <w:rFonts w:ascii="Arial" w:hAnsi="Arial" w:cs="Arial"/>
          <w:sz w:val="24"/>
          <w:szCs w:val="24"/>
        </w:rPr>
        <w:t>According, to</w:t>
      </w:r>
      <w:r w:rsidR="00C344B0" w:rsidRPr="00D20922">
        <w:rPr>
          <w:rFonts w:ascii="Arial" w:hAnsi="Arial" w:cs="Arial"/>
          <w:sz w:val="24"/>
          <w:szCs w:val="24"/>
        </w:rPr>
        <w:t xml:space="preserve"> the (Society of </w:t>
      </w:r>
      <w:r w:rsidR="00636D3C" w:rsidRPr="00D20922">
        <w:rPr>
          <w:rFonts w:ascii="Arial" w:hAnsi="Arial" w:cs="Arial"/>
          <w:sz w:val="24"/>
          <w:szCs w:val="24"/>
        </w:rPr>
        <w:t>W</w:t>
      </w:r>
      <w:r w:rsidR="00C344B0" w:rsidRPr="00D20922">
        <w:rPr>
          <w:rFonts w:ascii="Arial" w:hAnsi="Arial" w:cs="Arial"/>
          <w:sz w:val="24"/>
          <w:szCs w:val="24"/>
        </w:rPr>
        <w:t>ill,</w:t>
      </w:r>
      <w:r w:rsidR="005755F4" w:rsidRPr="00D20922">
        <w:rPr>
          <w:rFonts w:ascii="Arial" w:hAnsi="Arial" w:cs="Arial"/>
          <w:sz w:val="24"/>
          <w:szCs w:val="24"/>
        </w:rPr>
        <w:t xml:space="preserve"> </w:t>
      </w:r>
      <w:r w:rsidR="00C344B0" w:rsidRPr="00D20922">
        <w:rPr>
          <w:rFonts w:ascii="Arial" w:hAnsi="Arial" w:cs="Arial"/>
          <w:sz w:val="24"/>
          <w:szCs w:val="24"/>
        </w:rPr>
        <w:t>201</w:t>
      </w:r>
      <w:r w:rsidR="00636D3C" w:rsidRPr="00D20922">
        <w:rPr>
          <w:rFonts w:ascii="Arial" w:hAnsi="Arial" w:cs="Arial"/>
          <w:sz w:val="24"/>
          <w:szCs w:val="24"/>
        </w:rPr>
        <w:t>7</w:t>
      </w:r>
      <w:r w:rsidR="00C344B0" w:rsidRPr="00D20922">
        <w:rPr>
          <w:rFonts w:ascii="Arial" w:hAnsi="Arial" w:cs="Arial"/>
          <w:sz w:val="24"/>
          <w:szCs w:val="24"/>
        </w:rPr>
        <w:t xml:space="preserve">) to be able to enforce a half- secret trust, it must be written in the Will that </w:t>
      </w:r>
      <w:r w:rsidR="00636D3C" w:rsidRPr="00D20922">
        <w:rPr>
          <w:rFonts w:ascii="Arial" w:hAnsi="Arial" w:cs="Arial"/>
          <w:sz w:val="24"/>
          <w:szCs w:val="24"/>
        </w:rPr>
        <w:t>it’s</w:t>
      </w:r>
      <w:r w:rsidR="00C344B0" w:rsidRPr="00D20922">
        <w:rPr>
          <w:rFonts w:ascii="Arial" w:hAnsi="Arial" w:cs="Arial"/>
          <w:sz w:val="24"/>
          <w:szCs w:val="24"/>
        </w:rPr>
        <w:t xml:space="preserve"> been communicated to the trustee. This is usually done prior to the Will execution. Evidence must also be provided to prove that this was communicated to the trustee and that they have accepted. However, (King,2014) stated that if </w:t>
      </w:r>
      <w:r w:rsidR="00636D3C" w:rsidRPr="00D20922">
        <w:rPr>
          <w:rFonts w:ascii="Arial" w:hAnsi="Arial" w:cs="Arial"/>
          <w:sz w:val="24"/>
          <w:szCs w:val="24"/>
        </w:rPr>
        <w:t xml:space="preserve">the trust is not communicated before the Will is executed then it will </w:t>
      </w:r>
      <w:r w:rsidR="00742E42" w:rsidRPr="00D20922">
        <w:rPr>
          <w:rFonts w:ascii="Arial" w:hAnsi="Arial" w:cs="Arial"/>
          <w:sz w:val="24"/>
          <w:szCs w:val="24"/>
        </w:rPr>
        <w:t>fail,</w:t>
      </w:r>
      <w:r w:rsidR="00636D3C" w:rsidRPr="00D20922">
        <w:rPr>
          <w:rFonts w:ascii="Arial" w:hAnsi="Arial" w:cs="Arial"/>
          <w:sz w:val="24"/>
          <w:szCs w:val="24"/>
        </w:rPr>
        <w:t xml:space="preserve"> and the trustee will hold the property for the residuary beneficiaries. </w:t>
      </w:r>
      <w:r w:rsidR="00322442" w:rsidRPr="00D20922">
        <w:rPr>
          <w:rFonts w:ascii="Arial" w:hAnsi="Arial" w:cs="Arial"/>
          <w:sz w:val="24"/>
          <w:szCs w:val="24"/>
        </w:rPr>
        <w:t>This can be further seen in the case of Re Keen 1937 where the factual dispute arose over the timing of the instruction handed to the trustee, the court held that this trust void as the trustee did not agree to be the trustee as the envelope was sealed and given to the lady not to open until eh death of the testator. That is why is it necessary for this trust to follow proper procedures to stop the trusts becoming void (Burch,2021)</w:t>
      </w:r>
    </w:p>
    <w:p w14:paraId="096DF974" w14:textId="7568B3D7" w:rsidR="00742E42" w:rsidRPr="00D20922" w:rsidRDefault="00742E42" w:rsidP="0064283E">
      <w:pPr>
        <w:rPr>
          <w:rFonts w:ascii="Arial" w:hAnsi="Arial" w:cs="Arial"/>
          <w:sz w:val="24"/>
          <w:szCs w:val="24"/>
        </w:rPr>
      </w:pPr>
      <w:r w:rsidRPr="00D20922">
        <w:rPr>
          <w:rFonts w:ascii="Arial" w:hAnsi="Arial" w:cs="Arial"/>
          <w:sz w:val="24"/>
          <w:szCs w:val="24"/>
        </w:rPr>
        <w:t xml:space="preserve">Secret trust can become problematic because it causes difficulty with the enforcement of the Will. </w:t>
      </w:r>
      <w:r w:rsidR="002D0DD8" w:rsidRPr="00D20922">
        <w:rPr>
          <w:rFonts w:ascii="Arial" w:hAnsi="Arial" w:cs="Arial"/>
          <w:sz w:val="24"/>
          <w:szCs w:val="24"/>
        </w:rPr>
        <w:t xml:space="preserve">According to, (Mallon,2019) not naming the beneficiary of the property in a will, results in the gifts not fulfilling the requirements of section 9 of the Wills Act 1837 regarding the proper disposal of property on death. </w:t>
      </w:r>
      <w:r w:rsidR="00387C25" w:rsidRPr="00D20922">
        <w:rPr>
          <w:rFonts w:ascii="Arial" w:hAnsi="Arial" w:cs="Arial"/>
          <w:sz w:val="24"/>
          <w:szCs w:val="24"/>
        </w:rPr>
        <w:t xml:space="preserve">Section 9 states that it must be writing, signed by the testator and witnesses by two persons. These requirements are there to create a clear record of how estates are distributed. Secret trusts are not validly created. This </w:t>
      </w:r>
      <w:r w:rsidR="00875759" w:rsidRPr="00D20922">
        <w:rPr>
          <w:rFonts w:ascii="Arial" w:hAnsi="Arial" w:cs="Arial"/>
          <w:sz w:val="24"/>
          <w:szCs w:val="24"/>
        </w:rPr>
        <w:t>is supported in</w:t>
      </w:r>
      <w:r w:rsidR="00387C25" w:rsidRPr="00D20922">
        <w:rPr>
          <w:rFonts w:ascii="Arial" w:hAnsi="Arial" w:cs="Arial"/>
          <w:sz w:val="24"/>
          <w:szCs w:val="24"/>
        </w:rPr>
        <w:t xml:space="preserve"> (Myerson Solicitors,2019) </w:t>
      </w:r>
      <w:r w:rsidR="00875759" w:rsidRPr="00D20922">
        <w:rPr>
          <w:rFonts w:ascii="Arial" w:hAnsi="Arial" w:cs="Arial"/>
          <w:sz w:val="24"/>
          <w:szCs w:val="24"/>
        </w:rPr>
        <w:t xml:space="preserve">which states it can be difficult to prove in court as much will depend on the evidence of the parties. </w:t>
      </w:r>
    </w:p>
    <w:p w14:paraId="7399A703" w14:textId="52B58D9E" w:rsidR="008B51CB" w:rsidRPr="00D20922" w:rsidRDefault="008B51CB" w:rsidP="00BA38C9">
      <w:pPr>
        <w:rPr>
          <w:rFonts w:ascii="Arial" w:hAnsi="Arial" w:cs="Arial"/>
          <w:sz w:val="24"/>
          <w:szCs w:val="24"/>
        </w:rPr>
      </w:pPr>
      <w:r w:rsidRPr="00D20922">
        <w:rPr>
          <w:rFonts w:ascii="Arial" w:hAnsi="Arial" w:cs="Arial"/>
          <w:sz w:val="24"/>
          <w:szCs w:val="24"/>
        </w:rPr>
        <w:lastRenderedPageBreak/>
        <w:t>The equitable maxim</w:t>
      </w:r>
      <w:r w:rsidR="007B58F9" w:rsidRPr="00D20922">
        <w:rPr>
          <w:rFonts w:ascii="Arial" w:hAnsi="Arial" w:cs="Arial"/>
          <w:sz w:val="24"/>
          <w:szCs w:val="24"/>
        </w:rPr>
        <w:t>s</w:t>
      </w:r>
      <w:r w:rsidRPr="00D20922">
        <w:rPr>
          <w:rFonts w:ascii="Arial" w:hAnsi="Arial" w:cs="Arial"/>
          <w:sz w:val="24"/>
          <w:szCs w:val="24"/>
        </w:rPr>
        <w:t xml:space="preserve"> that </w:t>
      </w:r>
      <w:r w:rsidR="007B58F9" w:rsidRPr="00D20922">
        <w:rPr>
          <w:rFonts w:ascii="Arial" w:hAnsi="Arial" w:cs="Arial"/>
          <w:sz w:val="24"/>
          <w:szCs w:val="24"/>
        </w:rPr>
        <w:t>are</w:t>
      </w:r>
      <w:r w:rsidRPr="00D20922">
        <w:rPr>
          <w:rFonts w:ascii="Arial" w:hAnsi="Arial" w:cs="Arial"/>
          <w:sz w:val="24"/>
          <w:szCs w:val="24"/>
        </w:rPr>
        <w:t xml:space="preserve"> relevant here is `</w:t>
      </w:r>
      <w:r w:rsidR="007B58F9" w:rsidRPr="00D20922">
        <w:rPr>
          <w:rFonts w:ascii="Arial" w:hAnsi="Arial" w:cs="Arial"/>
          <w:sz w:val="24"/>
          <w:szCs w:val="24"/>
        </w:rPr>
        <w:t xml:space="preserve">statue shall not be used as an </w:t>
      </w:r>
      <w:r w:rsidR="00FB5801" w:rsidRPr="00D20922">
        <w:rPr>
          <w:rFonts w:ascii="Arial" w:hAnsi="Arial" w:cs="Arial"/>
          <w:sz w:val="24"/>
          <w:szCs w:val="24"/>
        </w:rPr>
        <w:t xml:space="preserve">instrument </w:t>
      </w:r>
      <w:r w:rsidR="007B58F9" w:rsidRPr="00D20922">
        <w:rPr>
          <w:rFonts w:ascii="Arial" w:hAnsi="Arial" w:cs="Arial"/>
          <w:sz w:val="24"/>
          <w:szCs w:val="24"/>
        </w:rPr>
        <w:t>of fraud</w:t>
      </w:r>
      <w:r w:rsidRPr="00D20922">
        <w:rPr>
          <w:rFonts w:ascii="Arial" w:hAnsi="Arial" w:cs="Arial"/>
          <w:sz w:val="24"/>
          <w:szCs w:val="24"/>
        </w:rPr>
        <w:t xml:space="preserve">`. This was used by the </w:t>
      </w:r>
      <w:r w:rsidR="00CB3221" w:rsidRPr="00D20922">
        <w:rPr>
          <w:rFonts w:ascii="Arial" w:hAnsi="Arial" w:cs="Arial"/>
          <w:sz w:val="24"/>
          <w:szCs w:val="24"/>
        </w:rPr>
        <w:t>courts</w:t>
      </w:r>
      <w:r w:rsidRPr="00D20922">
        <w:rPr>
          <w:rFonts w:ascii="Arial" w:hAnsi="Arial" w:cs="Arial"/>
          <w:sz w:val="24"/>
          <w:szCs w:val="24"/>
        </w:rPr>
        <w:t xml:space="preserve"> in order to enforce secret trusts and to prevent the fraudulent denying the bind nature of his promise. It also aims to prevent them using S9 of the Wills Act 1827 as a defence or as an instrument of fraud (</w:t>
      </w:r>
      <w:r w:rsidR="00831F09" w:rsidRPr="00D20922">
        <w:rPr>
          <w:rFonts w:ascii="Arial" w:hAnsi="Arial" w:cs="Arial"/>
          <w:sz w:val="24"/>
          <w:szCs w:val="24"/>
        </w:rPr>
        <w:t>Ehimony,2020</w:t>
      </w:r>
      <w:r w:rsidRPr="00D20922">
        <w:rPr>
          <w:rFonts w:ascii="Arial" w:hAnsi="Arial" w:cs="Arial"/>
          <w:sz w:val="24"/>
          <w:szCs w:val="24"/>
        </w:rPr>
        <w:t xml:space="preserve">). </w:t>
      </w:r>
      <w:r w:rsidR="0072413A" w:rsidRPr="00D20922">
        <w:rPr>
          <w:rFonts w:ascii="Arial" w:hAnsi="Arial" w:cs="Arial"/>
          <w:sz w:val="24"/>
          <w:szCs w:val="24"/>
        </w:rPr>
        <w:t>This is present in the case law od McCormick v Grogan [1869]</w:t>
      </w:r>
      <w:r w:rsidR="0072413A" w:rsidRPr="00D20922">
        <w:rPr>
          <w:rFonts w:ascii="Arial" w:hAnsi="Arial" w:cs="Arial"/>
          <w:sz w:val="24"/>
          <w:szCs w:val="24"/>
        </w:rPr>
        <w:t xml:space="preserve"> because this case law is commonly known as the fraud theory. This case was used to make it clear that secret trusts are imposed to prevent </w:t>
      </w:r>
      <w:r w:rsidR="00D86998" w:rsidRPr="00D20922">
        <w:rPr>
          <w:rFonts w:ascii="Arial" w:hAnsi="Arial" w:cs="Arial"/>
          <w:sz w:val="24"/>
          <w:szCs w:val="24"/>
        </w:rPr>
        <w:t>the</w:t>
      </w:r>
      <w:r w:rsidR="0072413A" w:rsidRPr="00D20922">
        <w:rPr>
          <w:rFonts w:ascii="Arial" w:hAnsi="Arial" w:cs="Arial"/>
          <w:sz w:val="24"/>
          <w:szCs w:val="24"/>
        </w:rPr>
        <w:t xml:space="preserve"> defrauding of a testator by a trustee</w:t>
      </w:r>
      <w:r w:rsidR="00D86998" w:rsidRPr="00D20922">
        <w:rPr>
          <w:rFonts w:ascii="Arial" w:hAnsi="Arial" w:cs="Arial"/>
          <w:sz w:val="24"/>
          <w:szCs w:val="24"/>
        </w:rPr>
        <w:t>. The courts held that the property was to be left to the trustee in order for them to carry out their promise to the testator and to carry out his wishes (</w:t>
      </w:r>
      <w:r w:rsidR="0074081C" w:rsidRPr="00D20922">
        <w:rPr>
          <w:rFonts w:ascii="Arial" w:hAnsi="Arial" w:cs="Arial"/>
          <w:sz w:val="24"/>
          <w:szCs w:val="24"/>
        </w:rPr>
        <w:t>McMahon,2021</w:t>
      </w:r>
      <w:r w:rsidR="00D86998" w:rsidRPr="00D20922">
        <w:rPr>
          <w:rFonts w:ascii="Arial" w:hAnsi="Arial" w:cs="Arial"/>
          <w:sz w:val="24"/>
          <w:szCs w:val="24"/>
        </w:rPr>
        <w:t xml:space="preserve">). </w:t>
      </w:r>
      <w:r w:rsidR="0094374D" w:rsidRPr="00D20922">
        <w:rPr>
          <w:rFonts w:ascii="Arial" w:hAnsi="Arial" w:cs="Arial"/>
          <w:sz w:val="24"/>
          <w:szCs w:val="24"/>
        </w:rPr>
        <w:t>`Equity follows the law` therefore, if a trustee was to deny the existence of an agreement between themselves and the testator. They would be committing fraud</w:t>
      </w:r>
      <w:r w:rsidR="00FC624D" w:rsidRPr="00D20922">
        <w:rPr>
          <w:rFonts w:ascii="Arial" w:hAnsi="Arial" w:cs="Arial"/>
          <w:sz w:val="24"/>
          <w:szCs w:val="24"/>
        </w:rPr>
        <w:t xml:space="preserve">. </w:t>
      </w:r>
      <w:r w:rsidR="007B58F9" w:rsidRPr="00D20922">
        <w:rPr>
          <w:rFonts w:ascii="Arial" w:hAnsi="Arial" w:cs="Arial"/>
          <w:sz w:val="24"/>
          <w:szCs w:val="24"/>
        </w:rPr>
        <w:t xml:space="preserve">The other equitable maxim is `in good conscience` this is important to secret trusts and has been used by courts to reach a fair decision. this principle is important because secret trusts </w:t>
      </w:r>
      <w:r w:rsidR="0072413A" w:rsidRPr="00D20922">
        <w:rPr>
          <w:rFonts w:ascii="Arial" w:hAnsi="Arial" w:cs="Arial"/>
          <w:sz w:val="24"/>
          <w:szCs w:val="24"/>
        </w:rPr>
        <w:t>allow</w:t>
      </w:r>
      <w:r w:rsidR="00D86998" w:rsidRPr="00D20922">
        <w:rPr>
          <w:rFonts w:ascii="Arial" w:hAnsi="Arial" w:cs="Arial"/>
          <w:sz w:val="24"/>
          <w:szCs w:val="24"/>
        </w:rPr>
        <w:t xml:space="preserve"> for</w:t>
      </w:r>
      <w:r w:rsidR="007B58F9" w:rsidRPr="00D20922">
        <w:rPr>
          <w:rFonts w:ascii="Arial" w:hAnsi="Arial" w:cs="Arial"/>
          <w:sz w:val="24"/>
          <w:szCs w:val="24"/>
        </w:rPr>
        <w:t xml:space="preserve"> people to </w:t>
      </w:r>
      <w:r w:rsidR="00322442">
        <w:rPr>
          <w:rFonts w:ascii="Arial" w:hAnsi="Arial" w:cs="Arial"/>
          <w:sz w:val="24"/>
          <w:szCs w:val="24"/>
        </w:rPr>
        <w:t xml:space="preserve">use </w:t>
      </w:r>
      <w:r w:rsidR="0072413A" w:rsidRPr="00D20922">
        <w:rPr>
          <w:rFonts w:ascii="Arial" w:hAnsi="Arial" w:cs="Arial"/>
          <w:sz w:val="24"/>
          <w:szCs w:val="24"/>
        </w:rPr>
        <w:t xml:space="preserve">the Wills Act 1837 as an engine of fraud as the trustee may claim the property for themselves in fully secret trusts. </w:t>
      </w:r>
      <w:r w:rsidR="0094374D" w:rsidRPr="00D20922">
        <w:rPr>
          <w:rFonts w:ascii="Arial" w:hAnsi="Arial" w:cs="Arial"/>
          <w:sz w:val="24"/>
          <w:szCs w:val="24"/>
        </w:rPr>
        <w:t>(</w:t>
      </w:r>
      <w:r w:rsidR="00D12DA4" w:rsidRPr="00D20922">
        <w:rPr>
          <w:rFonts w:ascii="Arial" w:hAnsi="Arial" w:cs="Arial"/>
          <w:sz w:val="24"/>
          <w:szCs w:val="24"/>
        </w:rPr>
        <w:t>Law and Martin,2014</w:t>
      </w:r>
      <w:r w:rsidR="0094374D" w:rsidRPr="00D20922">
        <w:rPr>
          <w:rFonts w:ascii="Arial" w:hAnsi="Arial" w:cs="Arial"/>
          <w:sz w:val="24"/>
          <w:szCs w:val="24"/>
        </w:rPr>
        <w:t>)</w:t>
      </w:r>
    </w:p>
    <w:p w14:paraId="7A0BC1A0" w14:textId="4D1C3492" w:rsidR="006E6919" w:rsidRPr="00D20922" w:rsidRDefault="00232F05" w:rsidP="00BA38C9">
      <w:pPr>
        <w:rPr>
          <w:rFonts w:ascii="Arial" w:hAnsi="Arial" w:cs="Arial"/>
          <w:sz w:val="24"/>
          <w:szCs w:val="24"/>
        </w:rPr>
      </w:pPr>
      <w:r w:rsidRPr="00D20922">
        <w:rPr>
          <w:rFonts w:ascii="Arial" w:hAnsi="Arial" w:cs="Arial"/>
          <w:sz w:val="24"/>
          <w:szCs w:val="24"/>
        </w:rPr>
        <w:t xml:space="preserve">On the contrary, the `dehors the will` theory argues that the secret trust operates outside the will. It argues that it is in fact an inter vivos trust that is declared by communication of trust to trustee and constituted on the </w:t>
      </w:r>
      <w:r w:rsidR="00646399" w:rsidRPr="00D20922">
        <w:rPr>
          <w:rFonts w:ascii="Arial" w:hAnsi="Arial" w:cs="Arial"/>
          <w:sz w:val="24"/>
          <w:szCs w:val="24"/>
        </w:rPr>
        <w:t>settlor’s</w:t>
      </w:r>
      <w:r w:rsidRPr="00D20922">
        <w:rPr>
          <w:rFonts w:ascii="Arial" w:hAnsi="Arial" w:cs="Arial"/>
          <w:sz w:val="24"/>
          <w:szCs w:val="24"/>
        </w:rPr>
        <w:t xml:space="preserve"> death (</w:t>
      </w:r>
      <w:r w:rsidR="00831F09" w:rsidRPr="00D20922">
        <w:rPr>
          <w:rFonts w:ascii="Arial" w:hAnsi="Arial" w:cs="Arial"/>
          <w:sz w:val="24"/>
          <w:szCs w:val="24"/>
        </w:rPr>
        <w:t>Trust</w:t>
      </w:r>
      <w:r w:rsidR="00AE195A">
        <w:rPr>
          <w:rFonts w:ascii="Arial" w:hAnsi="Arial" w:cs="Arial"/>
          <w:sz w:val="24"/>
          <w:szCs w:val="24"/>
        </w:rPr>
        <w:t xml:space="preserve"> and </w:t>
      </w:r>
      <w:r w:rsidR="00831F09" w:rsidRPr="00D20922">
        <w:rPr>
          <w:rFonts w:ascii="Arial" w:hAnsi="Arial" w:cs="Arial"/>
          <w:sz w:val="24"/>
          <w:szCs w:val="24"/>
        </w:rPr>
        <w:t>Wills,2020</w:t>
      </w:r>
      <w:r w:rsidRPr="00D20922">
        <w:rPr>
          <w:rFonts w:ascii="Arial" w:hAnsi="Arial" w:cs="Arial"/>
          <w:sz w:val="24"/>
          <w:szCs w:val="24"/>
        </w:rPr>
        <w:t>).</w:t>
      </w:r>
      <w:r w:rsidR="00FB5801" w:rsidRPr="00D20922">
        <w:rPr>
          <w:rFonts w:ascii="Arial" w:hAnsi="Arial" w:cs="Arial"/>
          <w:sz w:val="24"/>
          <w:szCs w:val="24"/>
        </w:rPr>
        <w:t xml:space="preserve"> The `dehors the will` theory does not treat secret trusts as a testamentary disposition</w:t>
      </w:r>
      <w:r w:rsidR="00734DF2" w:rsidRPr="00D20922">
        <w:rPr>
          <w:rFonts w:ascii="Arial" w:hAnsi="Arial" w:cs="Arial"/>
          <w:sz w:val="24"/>
          <w:szCs w:val="24"/>
        </w:rPr>
        <w:t xml:space="preserve">. The theory determines if the secret trust is valid by the intentions of the settlor, </w:t>
      </w:r>
      <w:r w:rsidR="006E6919" w:rsidRPr="00D20922">
        <w:rPr>
          <w:rFonts w:ascii="Arial" w:hAnsi="Arial" w:cs="Arial"/>
          <w:sz w:val="24"/>
          <w:szCs w:val="24"/>
        </w:rPr>
        <w:t>there</w:t>
      </w:r>
      <w:r w:rsidR="00734DF2" w:rsidRPr="00D20922">
        <w:rPr>
          <w:rFonts w:ascii="Arial" w:hAnsi="Arial" w:cs="Arial"/>
          <w:sz w:val="24"/>
          <w:szCs w:val="24"/>
        </w:rPr>
        <w:t xml:space="preserve"> was communication of the intention between the testator and the trustee and the acceptance of this by the trustee. The case of Blackwell v Blackwell shows judicial support. It has judicial support because </w:t>
      </w:r>
      <w:r w:rsidR="006E6919" w:rsidRPr="00D20922">
        <w:rPr>
          <w:rFonts w:ascii="Arial" w:hAnsi="Arial" w:cs="Arial"/>
          <w:sz w:val="24"/>
          <w:szCs w:val="24"/>
        </w:rPr>
        <w:t>the court held that they did not see the statue-law relating to the form a valid will (Wilde, 2020).</w:t>
      </w:r>
      <w:r w:rsidR="00FC624D" w:rsidRPr="00D20922">
        <w:rPr>
          <w:rFonts w:ascii="Arial" w:hAnsi="Arial" w:cs="Arial"/>
          <w:sz w:val="24"/>
          <w:szCs w:val="24"/>
        </w:rPr>
        <w:t xml:space="preserve"> </w:t>
      </w:r>
      <w:r w:rsidR="00555EEE" w:rsidRPr="00D20922">
        <w:rPr>
          <w:rFonts w:ascii="Arial" w:hAnsi="Arial" w:cs="Arial"/>
          <w:sz w:val="24"/>
          <w:szCs w:val="24"/>
        </w:rPr>
        <w:t xml:space="preserve">Re Gardner No 2 (1923) also concerns the validity of a secret trust. </w:t>
      </w:r>
      <w:r w:rsidR="000348ED" w:rsidRPr="00D20922">
        <w:rPr>
          <w:rFonts w:ascii="Arial" w:hAnsi="Arial" w:cs="Arial"/>
          <w:sz w:val="24"/>
          <w:szCs w:val="24"/>
        </w:rPr>
        <w:t>The key point to this case law is that a secret trust is independent of the will and a secret trust does not fail even if the beneficiary dies before the testator (</w:t>
      </w:r>
      <w:r w:rsidR="00BF76EC" w:rsidRPr="00D20922">
        <w:rPr>
          <w:rFonts w:ascii="Arial" w:hAnsi="Arial" w:cs="Arial"/>
          <w:sz w:val="24"/>
          <w:szCs w:val="24"/>
        </w:rPr>
        <w:t>Ehimony</w:t>
      </w:r>
      <w:r w:rsidR="00BF76EC" w:rsidRPr="00D20922">
        <w:rPr>
          <w:rFonts w:ascii="Arial" w:hAnsi="Arial" w:cs="Arial"/>
          <w:sz w:val="24"/>
          <w:szCs w:val="24"/>
        </w:rPr>
        <w:t>,2020</w:t>
      </w:r>
      <w:r w:rsidR="000348ED" w:rsidRPr="00D20922">
        <w:rPr>
          <w:rFonts w:ascii="Arial" w:hAnsi="Arial" w:cs="Arial"/>
          <w:sz w:val="24"/>
          <w:szCs w:val="24"/>
        </w:rPr>
        <w:t>).</w:t>
      </w:r>
    </w:p>
    <w:p w14:paraId="38CE4E15" w14:textId="16033EC5" w:rsidR="008B51CB" w:rsidRPr="00D20922" w:rsidRDefault="005755F4" w:rsidP="00BA38C9">
      <w:pPr>
        <w:rPr>
          <w:rFonts w:ascii="Arial" w:hAnsi="Arial" w:cs="Arial"/>
          <w:sz w:val="24"/>
          <w:szCs w:val="24"/>
        </w:rPr>
      </w:pPr>
      <w:r w:rsidRPr="00D20922">
        <w:rPr>
          <w:rFonts w:ascii="Arial" w:hAnsi="Arial" w:cs="Arial"/>
          <w:sz w:val="24"/>
          <w:szCs w:val="24"/>
        </w:rPr>
        <w:t>The consequences that could arise if a secret trust was not enforces would be that the beneficiary will hold outright</w:t>
      </w:r>
      <w:r w:rsidR="005863EE" w:rsidRPr="00D20922">
        <w:rPr>
          <w:rFonts w:ascii="Arial" w:hAnsi="Arial" w:cs="Arial"/>
          <w:sz w:val="24"/>
          <w:szCs w:val="24"/>
        </w:rPr>
        <w:t xml:space="preserve">, if the secret trust cannot be established. Its hard to enforce a secret trust because the beneficiary of the property is not named. This means that the gifts do not fulfil the requirements of Section 9 of the Wills Act 1837. </w:t>
      </w:r>
      <w:r w:rsidR="009C619B" w:rsidRPr="00D20922">
        <w:rPr>
          <w:rFonts w:ascii="Arial" w:hAnsi="Arial" w:cs="Arial"/>
          <w:sz w:val="24"/>
          <w:szCs w:val="24"/>
        </w:rPr>
        <w:t xml:space="preserve">It is more problematic to be a secret beneficiary than it is to be a secret trustee. This is because being a secret beneficiary, the name is never mentioned within the Will itself. Therefore, making it extremely hard to prove that </w:t>
      </w:r>
      <w:r w:rsidR="00AE195A">
        <w:rPr>
          <w:rFonts w:ascii="Arial" w:hAnsi="Arial" w:cs="Arial"/>
          <w:sz w:val="24"/>
          <w:szCs w:val="24"/>
        </w:rPr>
        <w:t>they</w:t>
      </w:r>
      <w:r w:rsidR="005835E5" w:rsidRPr="00D20922">
        <w:rPr>
          <w:rFonts w:ascii="Arial" w:hAnsi="Arial" w:cs="Arial"/>
          <w:sz w:val="24"/>
          <w:szCs w:val="24"/>
        </w:rPr>
        <w:t xml:space="preserve"> are the intended beneficiary (</w:t>
      </w:r>
      <w:r w:rsidR="00BF76EC" w:rsidRPr="00D20922">
        <w:rPr>
          <w:rFonts w:ascii="Arial" w:hAnsi="Arial" w:cs="Arial"/>
          <w:sz w:val="24"/>
          <w:szCs w:val="24"/>
        </w:rPr>
        <w:t>Myerson,2019</w:t>
      </w:r>
      <w:r w:rsidR="005835E5" w:rsidRPr="00D20922">
        <w:rPr>
          <w:rFonts w:ascii="Arial" w:hAnsi="Arial" w:cs="Arial"/>
          <w:sz w:val="24"/>
          <w:szCs w:val="24"/>
        </w:rPr>
        <w:t xml:space="preserve">). </w:t>
      </w:r>
    </w:p>
    <w:p w14:paraId="0830CF18" w14:textId="47B1CB14" w:rsidR="00BF76EC" w:rsidRPr="00D20922" w:rsidRDefault="00BF76EC" w:rsidP="00BA38C9">
      <w:pPr>
        <w:rPr>
          <w:rFonts w:ascii="Arial" w:hAnsi="Arial" w:cs="Arial"/>
          <w:sz w:val="24"/>
          <w:szCs w:val="24"/>
        </w:rPr>
      </w:pPr>
      <w:r w:rsidRPr="00D20922">
        <w:rPr>
          <w:rFonts w:ascii="Arial" w:hAnsi="Arial" w:cs="Arial"/>
          <w:sz w:val="24"/>
          <w:szCs w:val="24"/>
        </w:rPr>
        <w:t>To conclude, there is are many aspects of creating a valid secret trust. These factors determine if a trust is legal</w:t>
      </w:r>
      <w:r w:rsidR="00CA14B6" w:rsidRPr="00D20922">
        <w:rPr>
          <w:rFonts w:ascii="Arial" w:hAnsi="Arial" w:cs="Arial"/>
          <w:sz w:val="24"/>
          <w:szCs w:val="24"/>
        </w:rPr>
        <w:t xml:space="preserve"> and if the trustee ha</w:t>
      </w:r>
      <w:r w:rsidR="00AE195A">
        <w:rPr>
          <w:rFonts w:ascii="Arial" w:hAnsi="Arial" w:cs="Arial"/>
          <w:sz w:val="24"/>
          <w:szCs w:val="24"/>
        </w:rPr>
        <w:t>s</w:t>
      </w:r>
      <w:r w:rsidR="00CA14B6" w:rsidRPr="00D20922">
        <w:rPr>
          <w:rFonts w:ascii="Arial" w:hAnsi="Arial" w:cs="Arial"/>
          <w:sz w:val="24"/>
          <w:szCs w:val="24"/>
        </w:rPr>
        <w:t xml:space="preserve"> to uphold their promises to the testator. There are also factors put in place such as the equity maxims that aim to protect peoples wishes and allows their wishes to be fulfilled (Burch,2021). </w:t>
      </w:r>
      <w:r w:rsidR="00AE195A">
        <w:rPr>
          <w:rFonts w:ascii="Arial" w:hAnsi="Arial" w:cs="Arial"/>
          <w:sz w:val="24"/>
          <w:szCs w:val="24"/>
        </w:rPr>
        <w:t xml:space="preserve">Although, it has been said </w:t>
      </w:r>
      <w:proofErr w:type="spellStart"/>
      <w:r w:rsidR="00AE195A">
        <w:rPr>
          <w:rFonts w:ascii="Arial" w:hAnsi="Arial" w:cs="Arial"/>
          <w:sz w:val="24"/>
          <w:szCs w:val="24"/>
        </w:rPr>
        <w:t>tht</w:t>
      </w:r>
      <w:proofErr w:type="spellEnd"/>
      <w:r w:rsidR="00AE195A">
        <w:rPr>
          <w:rFonts w:ascii="Arial" w:hAnsi="Arial" w:cs="Arial"/>
          <w:sz w:val="24"/>
          <w:szCs w:val="24"/>
        </w:rPr>
        <w:t xml:space="preserve"> it can be very problematic having a secret trust because it can be difficult to prove whether the trust is valid or not. </w:t>
      </w:r>
    </w:p>
    <w:p w14:paraId="2DDD9C26" w14:textId="0AC89D21" w:rsidR="00BF76EC" w:rsidRDefault="00BF76EC" w:rsidP="00554687">
      <w:pPr>
        <w:tabs>
          <w:tab w:val="left" w:pos="1250"/>
        </w:tabs>
        <w:rPr>
          <w:rFonts w:ascii="Arial" w:hAnsi="Arial" w:cs="Arial"/>
          <w:b/>
          <w:bCs/>
          <w:sz w:val="24"/>
          <w:szCs w:val="24"/>
        </w:rPr>
      </w:pPr>
    </w:p>
    <w:p w14:paraId="4D40ACD1" w14:textId="77777777" w:rsidR="00AE195A" w:rsidRPr="00D20922" w:rsidRDefault="00AE195A" w:rsidP="00554687">
      <w:pPr>
        <w:tabs>
          <w:tab w:val="left" w:pos="1250"/>
        </w:tabs>
        <w:rPr>
          <w:rFonts w:ascii="Arial" w:hAnsi="Arial" w:cs="Arial"/>
          <w:b/>
          <w:bCs/>
          <w:sz w:val="24"/>
          <w:szCs w:val="24"/>
        </w:rPr>
      </w:pPr>
    </w:p>
    <w:p w14:paraId="07E0753E" w14:textId="3C9073EB" w:rsidR="006A1642" w:rsidRPr="00D20922" w:rsidRDefault="00551624" w:rsidP="00554687">
      <w:pPr>
        <w:tabs>
          <w:tab w:val="left" w:pos="1250"/>
        </w:tabs>
        <w:rPr>
          <w:rFonts w:ascii="Arial" w:hAnsi="Arial" w:cs="Arial"/>
          <w:b/>
          <w:bCs/>
          <w:i/>
          <w:iCs/>
          <w:sz w:val="24"/>
          <w:szCs w:val="24"/>
          <w:u w:val="single"/>
        </w:rPr>
      </w:pPr>
      <w:r w:rsidRPr="00D20922">
        <w:rPr>
          <w:rFonts w:ascii="Arial" w:hAnsi="Arial" w:cs="Arial"/>
          <w:b/>
          <w:bCs/>
          <w:i/>
          <w:iCs/>
          <w:sz w:val="24"/>
          <w:szCs w:val="24"/>
          <w:u w:val="single"/>
        </w:rPr>
        <w:lastRenderedPageBreak/>
        <w:t xml:space="preserve">Reference </w:t>
      </w:r>
    </w:p>
    <w:p w14:paraId="50CACA7C" w14:textId="2C2D0BA1" w:rsidR="00831F09" w:rsidRPr="00D20922" w:rsidRDefault="00831F09" w:rsidP="00554687">
      <w:pPr>
        <w:tabs>
          <w:tab w:val="left" w:pos="1250"/>
        </w:tabs>
        <w:rPr>
          <w:rFonts w:ascii="Arial" w:hAnsi="Arial" w:cs="Arial"/>
          <w:sz w:val="24"/>
          <w:szCs w:val="24"/>
        </w:rPr>
      </w:pPr>
      <w:r w:rsidRPr="00D20922">
        <w:rPr>
          <w:rFonts w:ascii="Arial" w:hAnsi="Arial" w:cs="Arial"/>
          <w:sz w:val="24"/>
          <w:szCs w:val="24"/>
        </w:rPr>
        <w:t xml:space="preserve">Ehimony, B (2020) Maxims of Equity; Everything you need to know. Available at URL </w:t>
      </w:r>
      <w:hyperlink r:id="rId5" w:history="1">
        <w:r w:rsidR="0074081C" w:rsidRPr="00D20922">
          <w:rPr>
            <w:rStyle w:val="Hyperlink"/>
            <w:rFonts w:ascii="Arial" w:hAnsi="Arial" w:cs="Arial"/>
            <w:sz w:val="24"/>
            <w:szCs w:val="24"/>
          </w:rPr>
          <w:t>http</w:t>
        </w:r>
        <w:r w:rsidR="0074081C" w:rsidRPr="00D20922">
          <w:rPr>
            <w:rStyle w:val="Hyperlink"/>
            <w:rFonts w:ascii="Arial" w:hAnsi="Arial" w:cs="Arial"/>
            <w:sz w:val="24"/>
            <w:szCs w:val="24"/>
          </w:rPr>
          <w:t>s://djetlawyer.com/maxims-of-equity-everything-you-need-to-know/</w:t>
        </w:r>
      </w:hyperlink>
      <w:r w:rsidR="0074081C" w:rsidRPr="00D20922">
        <w:rPr>
          <w:rFonts w:ascii="Arial" w:hAnsi="Arial" w:cs="Arial"/>
          <w:sz w:val="24"/>
          <w:szCs w:val="24"/>
        </w:rPr>
        <w:t xml:space="preserve"> [</w:t>
      </w:r>
      <w:r w:rsidR="00AE5562" w:rsidRPr="00D20922">
        <w:rPr>
          <w:rFonts w:ascii="Arial" w:hAnsi="Arial" w:cs="Arial"/>
          <w:sz w:val="24"/>
          <w:szCs w:val="24"/>
        </w:rPr>
        <w:t>Accessed</w:t>
      </w:r>
      <w:r w:rsidR="0074081C" w:rsidRPr="00D20922">
        <w:rPr>
          <w:rFonts w:ascii="Arial" w:hAnsi="Arial" w:cs="Arial"/>
          <w:sz w:val="24"/>
          <w:szCs w:val="24"/>
        </w:rPr>
        <w:t>; 6</w:t>
      </w:r>
      <w:r w:rsidR="0074081C" w:rsidRPr="00D20922">
        <w:rPr>
          <w:rFonts w:ascii="Arial" w:hAnsi="Arial" w:cs="Arial"/>
          <w:sz w:val="24"/>
          <w:szCs w:val="24"/>
          <w:vertAlign w:val="superscript"/>
        </w:rPr>
        <w:t>th</w:t>
      </w:r>
      <w:r w:rsidR="0074081C" w:rsidRPr="00D20922">
        <w:rPr>
          <w:rFonts w:ascii="Arial" w:hAnsi="Arial" w:cs="Arial"/>
          <w:sz w:val="24"/>
          <w:szCs w:val="24"/>
        </w:rPr>
        <w:t xml:space="preserve"> December 2021]</w:t>
      </w:r>
    </w:p>
    <w:p w14:paraId="3C049A41" w14:textId="4D1600AD" w:rsidR="00677344" w:rsidRPr="00D20922" w:rsidRDefault="00677344" w:rsidP="00554687">
      <w:pPr>
        <w:tabs>
          <w:tab w:val="left" w:pos="1250"/>
        </w:tabs>
        <w:rPr>
          <w:rFonts w:ascii="Arial" w:hAnsi="Arial" w:cs="Arial"/>
          <w:sz w:val="24"/>
          <w:szCs w:val="24"/>
        </w:rPr>
      </w:pPr>
      <w:r w:rsidRPr="00D20922">
        <w:rPr>
          <w:rFonts w:ascii="Arial" w:hAnsi="Arial" w:cs="Arial"/>
          <w:sz w:val="24"/>
          <w:szCs w:val="24"/>
        </w:rPr>
        <w:t xml:space="preserve">Burch, A (2021) Secret Trust, Available at URL </w:t>
      </w:r>
      <w:hyperlink r:id="rId6" w:history="1">
        <w:r w:rsidRPr="00D20922">
          <w:rPr>
            <w:rStyle w:val="Hyperlink"/>
            <w:rFonts w:ascii="Arial" w:hAnsi="Arial" w:cs="Arial"/>
            <w:sz w:val="24"/>
            <w:szCs w:val="24"/>
          </w:rPr>
          <w:t>http</w:t>
        </w:r>
        <w:r w:rsidRPr="00D20922">
          <w:rPr>
            <w:rStyle w:val="Hyperlink"/>
            <w:rFonts w:ascii="Arial" w:hAnsi="Arial" w:cs="Arial"/>
            <w:sz w:val="24"/>
            <w:szCs w:val="24"/>
          </w:rPr>
          <w:t>s://www.buckles-law.co.uk/blog/will-disputes/existence-of-secret-trust-rejected-by-high-court-in-contested-estate-case/</w:t>
        </w:r>
      </w:hyperlink>
      <w:r w:rsidRPr="00D20922">
        <w:rPr>
          <w:rFonts w:ascii="Arial" w:hAnsi="Arial" w:cs="Arial"/>
          <w:sz w:val="24"/>
          <w:szCs w:val="24"/>
        </w:rPr>
        <w:t xml:space="preserve"> [Accessed; 6</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419DF45D" w14:textId="69B6C331" w:rsidR="00636D3C" w:rsidRPr="00D20922" w:rsidRDefault="00636D3C" w:rsidP="00554687">
      <w:pPr>
        <w:tabs>
          <w:tab w:val="left" w:pos="1250"/>
        </w:tabs>
        <w:rPr>
          <w:rFonts w:ascii="Arial" w:hAnsi="Arial" w:cs="Arial"/>
          <w:sz w:val="24"/>
          <w:szCs w:val="24"/>
        </w:rPr>
      </w:pPr>
      <w:r w:rsidRPr="00D20922">
        <w:rPr>
          <w:rFonts w:ascii="Arial" w:hAnsi="Arial" w:cs="Arial"/>
          <w:sz w:val="24"/>
          <w:szCs w:val="24"/>
        </w:rPr>
        <w:t xml:space="preserve">King, L (2014) Secret and half-secret trusts. Available at URL </w:t>
      </w:r>
      <w:hyperlink r:id="rId7" w:history="1">
        <w:r w:rsidRPr="00D20922">
          <w:rPr>
            <w:rStyle w:val="Hyperlink"/>
            <w:rFonts w:ascii="Arial" w:hAnsi="Arial" w:cs="Arial"/>
            <w:sz w:val="24"/>
            <w:szCs w:val="24"/>
          </w:rPr>
          <w:t>https://www.lawgazette.co.uk/legal-updates/secret-and-half-secret-trusts/5042946.article</w:t>
        </w:r>
      </w:hyperlink>
      <w:r w:rsidRPr="00D20922">
        <w:rPr>
          <w:rFonts w:ascii="Arial" w:hAnsi="Arial" w:cs="Arial"/>
          <w:sz w:val="24"/>
          <w:szCs w:val="24"/>
        </w:rPr>
        <w:t xml:space="preserve"> [Accessed; 6</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236B0E1D" w14:textId="32133C61" w:rsidR="00C26419" w:rsidRPr="00D20922" w:rsidRDefault="00C26419" w:rsidP="00554687">
      <w:pPr>
        <w:tabs>
          <w:tab w:val="left" w:pos="1250"/>
        </w:tabs>
        <w:rPr>
          <w:rFonts w:ascii="Arial" w:hAnsi="Arial" w:cs="Arial"/>
          <w:sz w:val="24"/>
          <w:szCs w:val="24"/>
        </w:rPr>
      </w:pPr>
      <w:r w:rsidRPr="00D20922">
        <w:rPr>
          <w:rFonts w:ascii="Arial" w:hAnsi="Arial" w:cs="Arial"/>
          <w:sz w:val="24"/>
          <w:szCs w:val="24"/>
        </w:rPr>
        <w:t xml:space="preserve">Johnson, J (2021) What is a secret trust? Available at URL </w:t>
      </w:r>
      <w:hyperlink r:id="rId8" w:history="1">
        <w:r w:rsidRPr="00D20922">
          <w:rPr>
            <w:rStyle w:val="Hyperlink"/>
            <w:rFonts w:ascii="Arial" w:hAnsi="Arial" w:cs="Arial"/>
            <w:sz w:val="24"/>
            <w:szCs w:val="24"/>
          </w:rPr>
          <w:t>https://www.freeadvice.com/legal/what-is-a-secret-trust/</w:t>
        </w:r>
      </w:hyperlink>
      <w:r w:rsidRPr="00D20922">
        <w:rPr>
          <w:rFonts w:ascii="Arial" w:hAnsi="Arial" w:cs="Arial"/>
          <w:sz w:val="24"/>
          <w:szCs w:val="24"/>
        </w:rPr>
        <w:t xml:space="preserve"> [Accessed; 5</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270020EB" w14:textId="1D9BF773" w:rsidR="0074081C" w:rsidRPr="00D20922" w:rsidRDefault="0074081C" w:rsidP="00554687">
      <w:pPr>
        <w:tabs>
          <w:tab w:val="left" w:pos="1250"/>
        </w:tabs>
        <w:rPr>
          <w:rFonts w:ascii="Arial" w:hAnsi="Arial" w:cs="Arial"/>
          <w:sz w:val="24"/>
          <w:szCs w:val="24"/>
        </w:rPr>
      </w:pPr>
      <w:r w:rsidRPr="00D20922">
        <w:rPr>
          <w:rFonts w:ascii="Arial" w:hAnsi="Arial" w:cs="Arial"/>
          <w:sz w:val="24"/>
          <w:szCs w:val="24"/>
        </w:rPr>
        <w:t xml:space="preserve">McMahon, P (2021) Development of Equitable Remedies. Available at URL </w:t>
      </w:r>
      <w:hyperlink r:id="rId9" w:history="1">
        <w:r w:rsidRPr="00D20922">
          <w:rPr>
            <w:rStyle w:val="Hyperlink"/>
            <w:rFonts w:ascii="Arial" w:hAnsi="Arial" w:cs="Arial"/>
            <w:sz w:val="24"/>
            <w:szCs w:val="24"/>
          </w:rPr>
          <w:t>http</w:t>
        </w:r>
        <w:r w:rsidRPr="00D20922">
          <w:rPr>
            <w:rStyle w:val="Hyperlink"/>
            <w:rFonts w:ascii="Arial" w:hAnsi="Arial" w:cs="Arial"/>
            <w:sz w:val="24"/>
            <w:szCs w:val="24"/>
          </w:rPr>
          <w:t>s://mcmahonsolicitors.ie/maxims-of-equity/</w:t>
        </w:r>
      </w:hyperlink>
      <w:r w:rsidRPr="00D20922">
        <w:rPr>
          <w:rFonts w:ascii="Arial" w:hAnsi="Arial" w:cs="Arial"/>
          <w:sz w:val="24"/>
          <w:szCs w:val="24"/>
        </w:rPr>
        <w:t xml:space="preserve"> [Accessed; 6</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73176B98" w14:textId="05A934A1" w:rsidR="00C17BD8" w:rsidRPr="00D20922" w:rsidRDefault="00C17BD8" w:rsidP="00554687">
      <w:pPr>
        <w:tabs>
          <w:tab w:val="left" w:pos="1250"/>
        </w:tabs>
        <w:rPr>
          <w:rFonts w:ascii="Arial" w:hAnsi="Arial" w:cs="Arial"/>
          <w:sz w:val="24"/>
          <w:szCs w:val="24"/>
        </w:rPr>
      </w:pPr>
      <w:r w:rsidRPr="00D20922">
        <w:rPr>
          <w:rFonts w:ascii="Arial" w:hAnsi="Arial" w:cs="Arial"/>
          <w:sz w:val="24"/>
          <w:szCs w:val="24"/>
        </w:rPr>
        <w:t>Myerson</w:t>
      </w:r>
      <w:r w:rsidR="00BF76EC" w:rsidRPr="00D20922">
        <w:rPr>
          <w:rFonts w:ascii="Arial" w:hAnsi="Arial" w:cs="Arial"/>
          <w:sz w:val="24"/>
          <w:szCs w:val="24"/>
        </w:rPr>
        <w:t xml:space="preserve"> Solicitors </w:t>
      </w:r>
      <w:r w:rsidRPr="00D20922">
        <w:rPr>
          <w:rFonts w:ascii="Arial" w:hAnsi="Arial" w:cs="Arial"/>
          <w:sz w:val="24"/>
          <w:szCs w:val="24"/>
        </w:rPr>
        <w:t xml:space="preserve">(2019) What is a secret trust. Available at URL </w:t>
      </w:r>
      <w:hyperlink r:id="rId10" w:history="1">
        <w:r w:rsidRPr="00D20922">
          <w:rPr>
            <w:rStyle w:val="Hyperlink"/>
            <w:rFonts w:ascii="Arial" w:hAnsi="Arial" w:cs="Arial"/>
            <w:sz w:val="24"/>
            <w:szCs w:val="24"/>
          </w:rPr>
          <w:t>https://www.myerson.co.uk/news-insights-and-events/secret-trusts</w:t>
        </w:r>
      </w:hyperlink>
      <w:r w:rsidRPr="00D20922">
        <w:rPr>
          <w:rFonts w:ascii="Arial" w:hAnsi="Arial" w:cs="Arial"/>
          <w:sz w:val="24"/>
          <w:szCs w:val="24"/>
        </w:rPr>
        <w:t xml:space="preserve"> [Accessed; 5</w:t>
      </w:r>
      <w:r w:rsidRPr="00D20922">
        <w:rPr>
          <w:rFonts w:ascii="Arial" w:hAnsi="Arial" w:cs="Arial"/>
          <w:sz w:val="24"/>
          <w:szCs w:val="24"/>
          <w:vertAlign w:val="superscript"/>
        </w:rPr>
        <w:t>th</w:t>
      </w:r>
      <w:r w:rsidRPr="00D20922">
        <w:rPr>
          <w:rFonts w:ascii="Arial" w:hAnsi="Arial" w:cs="Arial"/>
          <w:sz w:val="24"/>
          <w:szCs w:val="24"/>
        </w:rPr>
        <w:t xml:space="preserve"> December 2021] </w:t>
      </w:r>
    </w:p>
    <w:p w14:paraId="2934B35A" w14:textId="52B6DA63" w:rsidR="00551624" w:rsidRPr="00D20922" w:rsidRDefault="00551624" w:rsidP="00554687">
      <w:pPr>
        <w:tabs>
          <w:tab w:val="left" w:pos="1250"/>
        </w:tabs>
        <w:rPr>
          <w:rFonts w:ascii="Arial" w:hAnsi="Arial" w:cs="Arial"/>
          <w:sz w:val="24"/>
          <w:szCs w:val="24"/>
        </w:rPr>
      </w:pPr>
      <w:r w:rsidRPr="00D20922">
        <w:rPr>
          <w:rFonts w:ascii="Arial" w:hAnsi="Arial" w:cs="Arial"/>
          <w:sz w:val="24"/>
          <w:szCs w:val="24"/>
        </w:rPr>
        <w:t xml:space="preserve">Oliver, M (2013) Wills Act 1837. Available at URL </w:t>
      </w:r>
      <w:hyperlink r:id="rId11" w:anchor=":~:text=Section%209%20of%20the%20Wills%20Act%201837%20No,his%20signature%20to%20give%20effect%20to%20the%20will" w:history="1">
        <w:r w:rsidRPr="00D20922">
          <w:rPr>
            <w:rStyle w:val="Hyperlink"/>
            <w:rFonts w:ascii="Arial" w:hAnsi="Arial" w:cs="Arial"/>
            <w:sz w:val="24"/>
            <w:szCs w:val="24"/>
          </w:rPr>
          <w:t>https://www.wrighthassall.co.uk/knowledge-base/wills-act-1837#:~:text=Section%209%20of%20the%20Wills%20Act%201837%20No,his%20signature%20to%20give%20effect%20to%20the%20will</w:t>
        </w:r>
      </w:hyperlink>
      <w:r w:rsidRPr="00D20922">
        <w:rPr>
          <w:rFonts w:ascii="Arial" w:hAnsi="Arial" w:cs="Arial"/>
          <w:sz w:val="24"/>
          <w:szCs w:val="24"/>
        </w:rPr>
        <w:t>. [Accessed; 5</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4BE4E15B" w14:textId="4CD032B7" w:rsidR="00636D3C" w:rsidRPr="00D20922" w:rsidRDefault="00636D3C" w:rsidP="00554687">
      <w:pPr>
        <w:tabs>
          <w:tab w:val="left" w:pos="1250"/>
        </w:tabs>
        <w:rPr>
          <w:rFonts w:ascii="Arial" w:hAnsi="Arial" w:cs="Arial"/>
          <w:sz w:val="24"/>
          <w:szCs w:val="24"/>
        </w:rPr>
      </w:pPr>
      <w:r w:rsidRPr="00D20922">
        <w:rPr>
          <w:rFonts w:ascii="Arial" w:hAnsi="Arial" w:cs="Arial"/>
          <w:sz w:val="24"/>
          <w:szCs w:val="24"/>
        </w:rPr>
        <w:t xml:space="preserve">Society of Will Writers (2017) Secret and half- </w:t>
      </w:r>
      <w:r w:rsidR="009A5F0B" w:rsidRPr="00D20922">
        <w:rPr>
          <w:rFonts w:ascii="Arial" w:hAnsi="Arial" w:cs="Arial"/>
          <w:sz w:val="24"/>
          <w:szCs w:val="24"/>
        </w:rPr>
        <w:t>secret</w:t>
      </w:r>
      <w:r w:rsidRPr="00D20922">
        <w:rPr>
          <w:rFonts w:ascii="Arial" w:hAnsi="Arial" w:cs="Arial"/>
          <w:sz w:val="24"/>
          <w:szCs w:val="24"/>
        </w:rPr>
        <w:t xml:space="preserve"> trust. Available at URL </w:t>
      </w:r>
      <w:hyperlink r:id="rId12" w:history="1">
        <w:r w:rsidRPr="00D20922">
          <w:rPr>
            <w:rStyle w:val="Hyperlink"/>
            <w:rFonts w:ascii="Arial" w:hAnsi="Arial" w:cs="Arial"/>
            <w:sz w:val="24"/>
            <w:szCs w:val="24"/>
          </w:rPr>
          <w:t>https://www.willwriters.com/blog/secret-half-secret-trusts/</w:t>
        </w:r>
      </w:hyperlink>
      <w:r w:rsidRPr="00D20922">
        <w:rPr>
          <w:rFonts w:ascii="Arial" w:hAnsi="Arial" w:cs="Arial"/>
          <w:sz w:val="24"/>
          <w:szCs w:val="24"/>
        </w:rPr>
        <w:t xml:space="preserve"> [Accessed; 5</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275487A6" w14:textId="4637C32F" w:rsidR="00831F09" w:rsidRPr="00D20922" w:rsidRDefault="00831F09" w:rsidP="00554687">
      <w:pPr>
        <w:tabs>
          <w:tab w:val="left" w:pos="1250"/>
        </w:tabs>
        <w:rPr>
          <w:rFonts w:ascii="Arial" w:hAnsi="Arial" w:cs="Arial"/>
          <w:sz w:val="24"/>
          <w:szCs w:val="24"/>
        </w:rPr>
      </w:pPr>
      <w:r w:rsidRPr="00D20922">
        <w:rPr>
          <w:rFonts w:ascii="Arial" w:hAnsi="Arial" w:cs="Arial"/>
          <w:sz w:val="24"/>
          <w:szCs w:val="24"/>
        </w:rPr>
        <w:t>Trust</w:t>
      </w:r>
      <w:r w:rsidR="009A5F0B">
        <w:rPr>
          <w:rFonts w:ascii="Arial" w:hAnsi="Arial" w:cs="Arial"/>
          <w:sz w:val="24"/>
          <w:szCs w:val="24"/>
        </w:rPr>
        <w:t xml:space="preserve"> </w:t>
      </w:r>
      <w:r w:rsidRPr="00D20922">
        <w:rPr>
          <w:rFonts w:ascii="Arial" w:hAnsi="Arial" w:cs="Arial"/>
          <w:sz w:val="24"/>
          <w:szCs w:val="24"/>
        </w:rPr>
        <w:t>&amp;</w:t>
      </w:r>
      <w:r w:rsidR="009A5F0B">
        <w:rPr>
          <w:rFonts w:ascii="Arial" w:hAnsi="Arial" w:cs="Arial"/>
          <w:sz w:val="24"/>
          <w:szCs w:val="24"/>
        </w:rPr>
        <w:t xml:space="preserve"> </w:t>
      </w:r>
      <w:r w:rsidRPr="00D20922">
        <w:rPr>
          <w:rFonts w:ascii="Arial" w:hAnsi="Arial" w:cs="Arial"/>
          <w:sz w:val="24"/>
          <w:szCs w:val="24"/>
        </w:rPr>
        <w:t xml:space="preserve">Wills, (2020) inter vivos trust; what you need to know. Available at URL </w:t>
      </w:r>
      <w:hyperlink r:id="rId13" w:history="1">
        <w:r w:rsidRPr="00D20922">
          <w:rPr>
            <w:rStyle w:val="Hyperlink"/>
            <w:rFonts w:ascii="Arial" w:hAnsi="Arial" w:cs="Arial"/>
            <w:sz w:val="24"/>
            <w:szCs w:val="24"/>
          </w:rPr>
          <w:t>http</w:t>
        </w:r>
        <w:r w:rsidRPr="00D20922">
          <w:rPr>
            <w:rStyle w:val="Hyperlink"/>
            <w:rFonts w:ascii="Arial" w:hAnsi="Arial" w:cs="Arial"/>
            <w:sz w:val="24"/>
            <w:szCs w:val="24"/>
          </w:rPr>
          <w:t>s://trustandwill.com/learn/inter-vivos-trust</w:t>
        </w:r>
      </w:hyperlink>
      <w:r w:rsidRPr="00D20922">
        <w:rPr>
          <w:rFonts w:ascii="Arial" w:hAnsi="Arial" w:cs="Arial"/>
          <w:sz w:val="24"/>
          <w:szCs w:val="24"/>
        </w:rPr>
        <w:t xml:space="preserve"> [accessed; 6</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3AC57176" w14:textId="6EA5A02E" w:rsidR="006E6919" w:rsidRPr="00D20922" w:rsidRDefault="006E6919" w:rsidP="00554687">
      <w:pPr>
        <w:tabs>
          <w:tab w:val="left" w:pos="1250"/>
        </w:tabs>
        <w:rPr>
          <w:rFonts w:ascii="Arial" w:hAnsi="Arial" w:cs="Arial"/>
          <w:b/>
          <w:bCs/>
          <w:i/>
          <w:iCs/>
          <w:sz w:val="24"/>
          <w:szCs w:val="24"/>
          <w:u w:val="single"/>
        </w:rPr>
      </w:pPr>
      <w:r w:rsidRPr="00D20922">
        <w:rPr>
          <w:rFonts w:ascii="Arial" w:hAnsi="Arial" w:cs="Arial"/>
          <w:b/>
          <w:bCs/>
          <w:i/>
          <w:iCs/>
          <w:sz w:val="24"/>
          <w:szCs w:val="24"/>
          <w:u w:val="single"/>
        </w:rPr>
        <w:t xml:space="preserve">Article </w:t>
      </w:r>
    </w:p>
    <w:p w14:paraId="62FF0669" w14:textId="5BF27F64" w:rsidR="006E6919" w:rsidRPr="00D20922" w:rsidRDefault="006E6919" w:rsidP="00554687">
      <w:pPr>
        <w:tabs>
          <w:tab w:val="left" w:pos="1250"/>
        </w:tabs>
        <w:rPr>
          <w:rFonts w:ascii="Arial" w:hAnsi="Arial" w:cs="Arial"/>
          <w:color w:val="333333"/>
          <w:sz w:val="24"/>
          <w:szCs w:val="24"/>
          <w:shd w:val="clear" w:color="auto" w:fill="FFFFFF"/>
        </w:rPr>
      </w:pPr>
      <w:hyperlink r:id="rId14" w:history="1">
        <w:r w:rsidRPr="00D20922">
          <w:rPr>
            <w:rStyle w:val="personname"/>
            <w:rFonts w:ascii="Arial" w:hAnsi="Arial" w:cs="Arial"/>
            <w:color w:val="025A88"/>
            <w:sz w:val="24"/>
            <w:szCs w:val="24"/>
            <w:u w:val="single"/>
            <w:shd w:val="clear" w:color="auto" w:fill="FFFFFF"/>
          </w:rPr>
          <w:t>Wilde, D.</w:t>
        </w:r>
      </w:hyperlink>
      <w:r w:rsidRPr="00D20922">
        <w:rPr>
          <w:rFonts w:ascii="Arial" w:hAnsi="Arial" w:cs="Arial"/>
          <w:color w:val="333333"/>
          <w:sz w:val="24"/>
          <w:szCs w:val="24"/>
          <w:shd w:val="clear" w:color="auto" w:fill="FFFFFF"/>
        </w:rPr>
        <w:t> (2020) </w:t>
      </w:r>
      <w:r w:rsidRPr="00D20922">
        <w:rPr>
          <w:rStyle w:val="Emphasis"/>
          <w:rFonts w:ascii="Arial" w:hAnsi="Arial" w:cs="Arial"/>
          <w:color w:val="333333"/>
          <w:sz w:val="24"/>
          <w:szCs w:val="24"/>
          <w:shd w:val="clear" w:color="auto" w:fill="FFFFFF"/>
        </w:rPr>
        <w:t>Secret trusts: dehors the Wills Act (not the will).</w:t>
      </w:r>
      <w:r w:rsidRPr="00D20922">
        <w:rPr>
          <w:rFonts w:ascii="Arial" w:hAnsi="Arial" w:cs="Arial"/>
          <w:color w:val="333333"/>
          <w:sz w:val="24"/>
          <w:szCs w:val="24"/>
          <w:shd w:val="clear" w:color="auto" w:fill="FFFFFF"/>
        </w:rPr>
        <w:t> Conveyancer and Property Lawyer, 2020 (2). pp. 163-176. ISSN 0010-8200</w:t>
      </w:r>
    </w:p>
    <w:p w14:paraId="010DFA72" w14:textId="336A9011" w:rsidR="00D12DA4" w:rsidRPr="00D20922" w:rsidRDefault="00D12DA4" w:rsidP="00554687">
      <w:pPr>
        <w:tabs>
          <w:tab w:val="left" w:pos="1250"/>
        </w:tabs>
        <w:rPr>
          <w:rFonts w:ascii="Arial" w:hAnsi="Arial" w:cs="Arial"/>
          <w:b/>
          <w:bCs/>
          <w:i/>
          <w:iCs/>
          <w:color w:val="333333"/>
          <w:sz w:val="24"/>
          <w:szCs w:val="24"/>
          <w:u w:val="single"/>
          <w:shd w:val="clear" w:color="auto" w:fill="FFFFFF"/>
        </w:rPr>
      </w:pPr>
      <w:r w:rsidRPr="00D20922">
        <w:rPr>
          <w:rFonts w:ascii="Arial" w:hAnsi="Arial" w:cs="Arial"/>
          <w:b/>
          <w:bCs/>
          <w:i/>
          <w:iCs/>
          <w:color w:val="333333"/>
          <w:sz w:val="24"/>
          <w:szCs w:val="24"/>
          <w:u w:val="single"/>
          <w:shd w:val="clear" w:color="auto" w:fill="FFFFFF"/>
        </w:rPr>
        <w:t>Books</w:t>
      </w:r>
    </w:p>
    <w:p w14:paraId="1A25A379" w14:textId="496CD742" w:rsidR="00D12DA4" w:rsidRPr="00D20922" w:rsidRDefault="00D12DA4" w:rsidP="00554687">
      <w:pPr>
        <w:tabs>
          <w:tab w:val="left" w:pos="1250"/>
        </w:tabs>
        <w:rPr>
          <w:rFonts w:ascii="Arial" w:hAnsi="Arial" w:cs="Arial"/>
          <w:color w:val="333333"/>
          <w:sz w:val="24"/>
          <w:szCs w:val="24"/>
          <w:shd w:val="clear" w:color="auto" w:fill="FFFFFF"/>
        </w:rPr>
      </w:pPr>
      <w:r w:rsidRPr="00D20922">
        <w:rPr>
          <w:rFonts w:ascii="Arial" w:hAnsi="Arial" w:cs="Arial"/>
          <w:color w:val="333333"/>
          <w:sz w:val="24"/>
          <w:szCs w:val="24"/>
          <w:shd w:val="clear" w:color="auto" w:fill="FFFFFF"/>
        </w:rPr>
        <w:t>Law, j and Martin, E.A (2020)</w:t>
      </w:r>
      <w:r w:rsidR="009C619B" w:rsidRPr="00D20922">
        <w:rPr>
          <w:rFonts w:ascii="Arial" w:hAnsi="Arial" w:cs="Arial"/>
          <w:color w:val="333333"/>
          <w:sz w:val="24"/>
          <w:szCs w:val="24"/>
          <w:shd w:val="clear" w:color="auto" w:fill="FFFFFF"/>
        </w:rPr>
        <w:t xml:space="preserve"> </w:t>
      </w:r>
      <w:r w:rsidR="009A5F0B" w:rsidRPr="00D20922">
        <w:rPr>
          <w:rFonts w:ascii="Arial" w:hAnsi="Arial" w:cs="Arial"/>
          <w:color w:val="333333"/>
          <w:sz w:val="24"/>
          <w:szCs w:val="24"/>
          <w:shd w:val="clear" w:color="auto" w:fill="FFFFFF"/>
        </w:rPr>
        <w:t>A dictionary</w:t>
      </w:r>
      <w:r w:rsidR="009C619B" w:rsidRPr="00D20922">
        <w:rPr>
          <w:rFonts w:ascii="Arial" w:hAnsi="Arial" w:cs="Arial"/>
          <w:color w:val="333333"/>
          <w:sz w:val="24"/>
          <w:szCs w:val="24"/>
          <w:shd w:val="clear" w:color="auto" w:fill="FFFFFF"/>
        </w:rPr>
        <w:t xml:space="preserve"> of Law, 7</w:t>
      </w:r>
      <w:r w:rsidR="009C619B" w:rsidRPr="00D20922">
        <w:rPr>
          <w:rFonts w:ascii="Arial" w:hAnsi="Arial" w:cs="Arial"/>
          <w:color w:val="333333"/>
          <w:sz w:val="24"/>
          <w:szCs w:val="24"/>
          <w:shd w:val="clear" w:color="auto" w:fill="FFFFFF"/>
          <w:vertAlign w:val="superscript"/>
        </w:rPr>
        <w:t>th</w:t>
      </w:r>
      <w:r w:rsidR="009C619B" w:rsidRPr="00D20922">
        <w:rPr>
          <w:rFonts w:ascii="Arial" w:hAnsi="Arial" w:cs="Arial"/>
          <w:color w:val="333333"/>
          <w:sz w:val="24"/>
          <w:szCs w:val="24"/>
          <w:shd w:val="clear" w:color="auto" w:fill="FFFFFF"/>
        </w:rPr>
        <w:t xml:space="preserve"> Edn. Oxford University Press.</w:t>
      </w:r>
    </w:p>
    <w:p w14:paraId="76D24CD2" w14:textId="1322A6ED" w:rsidR="00D12DA4" w:rsidRPr="00D20922" w:rsidRDefault="00D12DA4" w:rsidP="00554687">
      <w:pPr>
        <w:tabs>
          <w:tab w:val="left" w:pos="1250"/>
        </w:tabs>
        <w:rPr>
          <w:rFonts w:ascii="Arial" w:hAnsi="Arial" w:cs="Arial"/>
          <w:sz w:val="24"/>
          <w:szCs w:val="24"/>
        </w:rPr>
      </w:pPr>
    </w:p>
    <w:p w14:paraId="76B7115D" w14:textId="624FB328" w:rsidR="006A1642" w:rsidRPr="00D20922" w:rsidRDefault="0094374D" w:rsidP="00554687">
      <w:pPr>
        <w:tabs>
          <w:tab w:val="left" w:pos="1250"/>
        </w:tabs>
        <w:rPr>
          <w:rFonts w:ascii="Arial" w:hAnsi="Arial" w:cs="Arial"/>
          <w:b/>
          <w:bCs/>
          <w:i/>
          <w:iCs/>
          <w:sz w:val="24"/>
          <w:szCs w:val="24"/>
          <w:u w:val="single"/>
        </w:rPr>
      </w:pPr>
      <w:r w:rsidRPr="00D20922">
        <w:rPr>
          <w:rFonts w:ascii="Arial" w:hAnsi="Arial" w:cs="Arial"/>
          <w:b/>
          <w:bCs/>
          <w:i/>
          <w:iCs/>
          <w:sz w:val="24"/>
          <w:szCs w:val="24"/>
          <w:u w:val="single"/>
        </w:rPr>
        <w:t xml:space="preserve">Case Law </w:t>
      </w:r>
    </w:p>
    <w:p w14:paraId="2698F720" w14:textId="63FDE992" w:rsidR="0094374D" w:rsidRPr="00D20922" w:rsidRDefault="0094374D" w:rsidP="00554687">
      <w:pPr>
        <w:tabs>
          <w:tab w:val="left" w:pos="1250"/>
        </w:tabs>
        <w:rPr>
          <w:rFonts w:ascii="Arial" w:hAnsi="Arial" w:cs="Arial"/>
          <w:sz w:val="24"/>
          <w:szCs w:val="24"/>
        </w:rPr>
      </w:pPr>
      <w:r w:rsidRPr="00D20922">
        <w:rPr>
          <w:rFonts w:ascii="Arial" w:hAnsi="Arial" w:cs="Arial"/>
          <w:sz w:val="24"/>
          <w:szCs w:val="24"/>
        </w:rPr>
        <w:t>McCormick v Grogan (1869</w:t>
      </w:r>
      <w:r w:rsidRPr="00D20922">
        <w:rPr>
          <w:rFonts w:ascii="Arial" w:hAnsi="Arial" w:cs="Arial"/>
          <w:sz w:val="24"/>
          <w:szCs w:val="24"/>
        </w:rPr>
        <w:t>)</w:t>
      </w:r>
    </w:p>
    <w:p w14:paraId="1EF6602E" w14:textId="5DBC81B0" w:rsidR="0094374D" w:rsidRPr="00D20922" w:rsidRDefault="0094374D" w:rsidP="00554687">
      <w:pPr>
        <w:tabs>
          <w:tab w:val="left" w:pos="1250"/>
        </w:tabs>
        <w:rPr>
          <w:rFonts w:ascii="Arial" w:hAnsi="Arial" w:cs="Arial"/>
          <w:sz w:val="24"/>
          <w:szCs w:val="24"/>
        </w:rPr>
      </w:pPr>
      <w:r w:rsidRPr="00D20922">
        <w:rPr>
          <w:rFonts w:ascii="Arial" w:hAnsi="Arial" w:cs="Arial"/>
          <w:sz w:val="24"/>
          <w:szCs w:val="24"/>
        </w:rPr>
        <w:t>Wills Act [1837]</w:t>
      </w:r>
    </w:p>
    <w:p w14:paraId="7CF607BA" w14:textId="226FBC74" w:rsidR="006A1642" w:rsidRPr="00D20922" w:rsidRDefault="00646399" w:rsidP="00554687">
      <w:pPr>
        <w:tabs>
          <w:tab w:val="left" w:pos="1250"/>
        </w:tabs>
        <w:rPr>
          <w:rFonts w:ascii="Arial" w:hAnsi="Arial" w:cs="Arial"/>
          <w:sz w:val="24"/>
          <w:szCs w:val="24"/>
        </w:rPr>
      </w:pPr>
      <w:r w:rsidRPr="00D20922">
        <w:rPr>
          <w:rFonts w:ascii="Arial" w:hAnsi="Arial" w:cs="Arial"/>
          <w:sz w:val="24"/>
          <w:szCs w:val="24"/>
        </w:rPr>
        <w:lastRenderedPageBreak/>
        <w:t>s53 Law of Property Act 1925</w:t>
      </w:r>
    </w:p>
    <w:p w14:paraId="6870A741" w14:textId="09857C25" w:rsidR="008A6F39" w:rsidRPr="00D20922" w:rsidRDefault="008A6F39" w:rsidP="00554687">
      <w:pPr>
        <w:tabs>
          <w:tab w:val="left" w:pos="1250"/>
        </w:tabs>
        <w:rPr>
          <w:rFonts w:ascii="Arial" w:hAnsi="Arial" w:cs="Arial"/>
          <w:sz w:val="24"/>
          <w:szCs w:val="24"/>
        </w:rPr>
      </w:pPr>
      <w:r w:rsidRPr="00D20922">
        <w:rPr>
          <w:rFonts w:ascii="Arial" w:hAnsi="Arial" w:cs="Arial"/>
          <w:sz w:val="24"/>
          <w:szCs w:val="24"/>
        </w:rPr>
        <w:t>Re Keen (193</w:t>
      </w:r>
      <w:r w:rsidRPr="00D20922">
        <w:rPr>
          <w:rFonts w:ascii="Arial" w:hAnsi="Arial" w:cs="Arial"/>
          <w:sz w:val="24"/>
          <w:szCs w:val="24"/>
        </w:rPr>
        <w:t>7)</w:t>
      </w:r>
    </w:p>
    <w:p w14:paraId="034D7196" w14:textId="4D0B40F6" w:rsidR="006A1642" w:rsidRPr="00D20922" w:rsidRDefault="006A1642" w:rsidP="00554687">
      <w:pPr>
        <w:tabs>
          <w:tab w:val="left" w:pos="1250"/>
        </w:tabs>
        <w:rPr>
          <w:rFonts w:ascii="Arial" w:hAnsi="Arial" w:cs="Arial"/>
          <w:sz w:val="24"/>
          <w:szCs w:val="24"/>
        </w:rPr>
      </w:pPr>
    </w:p>
    <w:p w14:paraId="15BABF7F" w14:textId="6F48D92D" w:rsidR="006A1642" w:rsidRPr="00D20922" w:rsidRDefault="006A1642" w:rsidP="00554687">
      <w:pPr>
        <w:tabs>
          <w:tab w:val="left" w:pos="1250"/>
        </w:tabs>
        <w:rPr>
          <w:rFonts w:ascii="Arial" w:hAnsi="Arial" w:cs="Arial"/>
          <w:sz w:val="24"/>
          <w:szCs w:val="24"/>
        </w:rPr>
      </w:pPr>
    </w:p>
    <w:p w14:paraId="58C07979" w14:textId="77777777" w:rsidR="001A6ED3" w:rsidRPr="00D20922" w:rsidRDefault="001A6ED3" w:rsidP="00554687">
      <w:pPr>
        <w:tabs>
          <w:tab w:val="left" w:pos="1250"/>
        </w:tabs>
        <w:rPr>
          <w:rFonts w:ascii="Arial" w:hAnsi="Arial" w:cs="Arial"/>
          <w:sz w:val="24"/>
          <w:szCs w:val="24"/>
        </w:rPr>
      </w:pPr>
    </w:p>
    <w:p w14:paraId="3AEE1542" w14:textId="77777777" w:rsidR="00646399" w:rsidRPr="00D20922" w:rsidRDefault="00646399" w:rsidP="00554687">
      <w:pPr>
        <w:tabs>
          <w:tab w:val="left" w:pos="1250"/>
        </w:tabs>
        <w:rPr>
          <w:rFonts w:ascii="Arial" w:hAnsi="Arial" w:cs="Arial"/>
          <w:sz w:val="24"/>
          <w:szCs w:val="24"/>
        </w:rPr>
      </w:pPr>
    </w:p>
    <w:p w14:paraId="0711D36E" w14:textId="77777777" w:rsidR="00646399" w:rsidRPr="00D20922" w:rsidRDefault="00646399" w:rsidP="00554687">
      <w:pPr>
        <w:tabs>
          <w:tab w:val="left" w:pos="1250"/>
        </w:tabs>
        <w:rPr>
          <w:rFonts w:ascii="Arial" w:hAnsi="Arial" w:cs="Arial"/>
          <w:sz w:val="24"/>
          <w:szCs w:val="24"/>
        </w:rPr>
      </w:pPr>
    </w:p>
    <w:p w14:paraId="6D578E45" w14:textId="77777777" w:rsidR="00646399" w:rsidRPr="00D20922" w:rsidRDefault="00646399" w:rsidP="00554687">
      <w:pPr>
        <w:tabs>
          <w:tab w:val="left" w:pos="1250"/>
        </w:tabs>
        <w:rPr>
          <w:rFonts w:ascii="Arial" w:hAnsi="Arial" w:cs="Arial"/>
          <w:sz w:val="24"/>
          <w:szCs w:val="24"/>
        </w:rPr>
      </w:pPr>
    </w:p>
    <w:p w14:paraId="56D15BAD" w14:textId="77777777" w:rsidR="00646399" w:rsidRPr="00D20922" w:rsidRDefault="00646399" w:rsidP="00554687">
      <w:pPr>
        <w:tabs>
          <w:tab w:val="left" w:pos="1250"/>
        </w:tabs>
        <w:rPr>
          <w:rFonts w:ascii="Arial" w:hAnsi="Arial" w:cs="Arial"/>
          <w:sz w:val="24"/>
          <w:szCs w:val="24"/>
        </w:rPr>
      </w:pPr>
    </w:p>
    <w:p w14:paraId="5CF38749" w14:textId="77777777" w:rsidR="00646399" w:rsidRPr="00D20922" w:rsidRDefault="00646399" w:rsidP="00554687">
      <w:pPr>
        <w:tabs>
          <w:tab w:val="left" w:pos="1250"/>
        </w:tabs>
        <w:rPr>
          <w:rFonts w:ascii="Arial" w:hAnsi="Arial" w:cs="Arial"/>
          <w:sz w:val="24"/>
          <w:szCs w:val="24"/>
        </w:rPr>
      </w:pPr>
    </w:p>
    <w:p w14:paraId="799DDBF6" w14:textId="77777777" w:rsidR="00646399" w:rsidRPr="00D20922" w:rsidRDefault="00646399" w:rsidP="00554687">
      <w:pPr>
        <w:tabs>
          <w:tab w:val="left" w:pos="1250"/>
        </w:tabs>
        <w:rPr>
          <w:rFonts w:ascii="Arial" w:hAnsi="Arial" w:cs="Arial"/>
          <w:sz w:val="24"/>
          <w:szCs w:val="24"/>
        </w:rPr>
      </w:pPr>
    </w:p>
    <w:p w14:paraId="4EFE96C0" w14:textId="77777777" w:rsidR="00646399" w:rsidRPr="00D20922" w:rsidRDefault="00646399" w:rsidP="00554687">
      <w:pPr>
        <w:tabs>
          <w:tab w:val="left" w:pos="1250"/>
        </w:tabs>
        <w:rPr>
          <w:rFonts w:ascii="Arial" w:hAnsi="Arial" w:cs="Arial"/>
          <w:sz w:val="24"/>
          <w:szCs w:val="24"/>
        </w:rPr>
      </w:pPr>
    </w:p>
    <w:p w14:paraId="0AF121DE" w14:textId="77777777" w:rsidR="00646399" w:rsidRPr="00D20922" w:rsidRDefault="00646399" w:rsidP="00554687">
      <w:pPr>
        <w:tabs>
          <w:tab w:val="left" w:pos="1250"/>
        </w:tabs>
        <w:rPr>
          <w:rFonts w:ascii="Arial" w:hAnsi="Arial" w:cs="Arial"/>
          <w:sz w:val="24"/>
          <w:szCs w:val="24"/>
        </w:rPr>
      </w:pPr>
    </w:p>
    <w:p w14:paraId="0AB76D9E" w14:textId="77777777" w:rsidR="00646399" w:rsidRPr="00D20922" w:rsidRDefault="00646399" w:rsidP="00554687">
      <w:pPr>
        <w:tabs>
          <w:tab w:val="left" w:pos="1250"/>
        </w:tabs>
        <w:rPr>
          <w:rFonts w:ascii="Arial" w:hAnsi="Arial" w:cs="Arial"/>
          <w:sz w:val="24"/>
          <w:szCs w:val="24"/>
        </w:rPr>
      </w:pPr>
    </w:p>
    <w:p w14:paraId="06E36F63" w14:textId="77777777" w:rsidR="00646399" w:rsidRPr="00D20922" w:rsidRDefault="00646399" w:rsidP="00554687">
      <w:pPr>
        <w:tabs>
          <w:tab w:val="left" w:pos="1250"/>
        </w:tabs>
        <w:rPr>
          <w:rFonts w:ascii="Arial" w:hAnsi="Arial" w:cs="Arial"/>
          <w:sz w:val="24"/>
          <w:szCs w:val="24"/>
        </w:rPr>
      </w:pPr>
    </w:p>
    <w:p w14:paraId="2BC61A90" w14:textId="77777777" w:rsidR="00646399" w:rsidRPr="00D20922" w:rsidRDefault="00646399" w:rsidP="00554687">
      <w:pPr>
        <w:tabs>
          <w:tab w:val="left" w:pos="1250"/>
        </w:tabs>
        <w:rPr>
          <w:rFonts w:ascii="Arial" w:hAnsi="Arial" w:cs="Arial"/>
          <w:sz w:val="24"/>
          <w:szCs w:val="24"/>
        </w:rPr>
      </w:pPr>
    </w:p>
    <w:p w14:paraId="15AB4C1D" w14:textId="77777777" w:rsidR="00646399" w:rsidRPr="00D20922" w:rsidRDefault="00646399" w:rsidP="00554687">
      <w:pPr>
        <w:tabs>
          <w:tab w:val="left" w:pos="1250"/>
        </w:tabs>
        <w:rPr>
          <w:rFonts w:ascii="Arial" w:hAnsi="Arial" w:cs="Arial"/>
          <w:sz w:val="24"/>
          <w:szCs w:val="24"/>
        </w:rPr>
      </w:pPr>
    </w:p>
    <w:p w14:paraId="293F0EA1" w14:textId="77777777" w:rsidR="00646399" w:rsidRPr="00D20922" w:rsidRDefault="00646399" w:rsidP="00554687">
      <w:pPr>
        <w:tabs>
          <w:tab w:val="left" w:pos="1250"/>
        </w:tabs>
        <w:rPr>
          <w:rFonts w:ascii="Arial" w:hAnsi="Arial" w:cs="Arial"/>
          <w:sz w:val="24"/>
          <w:szCs w:val="24"/>
        </w:rPr>
      </w:pPr>
    </w:p>
    <w:p w14:paraId="563FDAE7" w14:textId="77777777" w:rsidR="00646399" w:rsidRPr="00D20922" w:rsidRDefault="00646399" w:rsidP="00554687">
      <w:pPr>
        <w:tabs>
          <w:tab w:val="left" w:pos="1250"/>
        </w:tabs>
        <w:rPr>
          <w:rFonts w:ascii="Arial" w:hAnsi="Arial" w:cs="Arial"/>
          <w:sz w:val="24"/>
          <w:szCs w:val="24"/>
        </w:rPr>
      </w:pPr>
    </w:p>
    <w:p w14:paraId="0A9078DB" w14:textId="77777777" w:rsidR="00646399" w:rsidRPr="00D20922" w:rsidRDefault="00646399" w:rsidP="00554687">
      <w:pPr>
        <w:tabs>
          <w:tab w:val="left" w:pos="1250"/>
        </w:tabs>
        <w:rPr>
          <w:rFonts w:ascii="Arial" w:hAnsi="Arial" w:cs="Arial"/>
          <w:sz w:val="24"/>
          <w:szCs w:val="24"/>
        </w:rPr>
      </w:pPr>
    </w:p>
    <w:p w14:paraId="3AF695F0" w14:textId="77777777" w:rsidR="00646399" w:rsidRPr="00D20922" w:rsidRDefault="00646399" w:rsidP="00554687">
      <w:pPr>
        <w:tabs>
          <w:tab w:val="left" w:pos="1250"/>
        </w:tabs>
        <w:rPr>
          <w:rFonts w:ascii="Arial" w:hAnsi="Arial" w:cs="Arial"/>
          <w:sz w:val="24"/>
          <w:szCs w:val="24"/>
        </w:rPr>
      </w:pPr>
    </w:p>
    <w:p w14:paraId="3DCD83D1" w14:textId="77777777" w:rsidR="00646399" w:rsidRPr="00D20922" w:rsidRDefault="00646399" w:rsidP="00554687">
      <w:pPr>
        <w:tabs>
          <w:tab w:val="left" w:pos="1250"/>
        </w:tabs>
        <w:rPr>
          <w:rFonts w:ascii="Arial" w:hAnsi="Arial" w:cs="Arial"/>
          <w:sz w:val="24"/>
          <w:szCs w:val="24"/>
        </w:rPr>
      </w:pPr>
    </w:p>
    <w:p w14:paraId="079914A2" w14:textId="006C6FF6" w:rsidR="00646399" w:rsidRPr="00D20922" w:rsidRDefault="00646399" w:rsidP="00554687">
      <w:pPr>
        <w:tabs>
          <w:tab w:val="left" w:pos="1250"/>
        </w:tabs>
        <w:rPr>
          <w:rFonts w:ascii="Arial" w:hAnsi="Arial" w:cs="Arial"/>
          <w:sz w:val="24"/>
          <w:szCs w:val="24"/>
        </w:rPr>
      </w:pPr>
    </w:p>
    <w:p w14:paraId="5B0FE3C4" w14:textId="0BA1C746" w:rsidR="00D20922" w:rsidRPr="00D20922" w:rsidRDefault="00D20922" w:rsidP="00554687">
      <w:pPr>
        <w:tabs>
          <w:tab w:val="left" w:pos="1250"/>
        </w:tabs>
        <w:rPr>
          <w:rFonts w:ascii="Arial" w:hAnsi="Arial" w:cs="Arial"/>
          <w:sz w:val="24"/>
          <w:szCs w:val="24"/>
        </w:rPr>
      </w:pPr>
    </w:p>
    <w:p w14:paraId="58668B0A" w14:textId="70F0EAD4" w:rsidR="00D20922" w:rsidRPr="00D20922" w:rsidRDefault="00D20922" w:rsidP="00554687">
      <w:pPr>
        <w:tabs>
          <w:tab w:val="left" w:pos="1250"/>
        </w:tabs>
        <w:rPr>
          <w:rFonts w:ascii="Arial" w:hAnsi="Arial" w:cs="Arial"/>
          <w:sz w:val="24"/>
          <w:szCs w:val="24"/>
        </w:rPr>
      </w:pPr>
    </w:p>
    <w:p w14:paraId="656DABF1" w14:textId="3B6A302A" w:rsidR="00D20922" w:rsidRPr="00D20922" w:rsidRDefault="00D20922" w:rsidP="00554687">
      <w:pPr>
        <w:tabs>
          <w:tab w:val="left" w:pos="1250"/>
        </w:tabs>
        <w:rPr>
          <w:rFonts w:ascii="Arial" w:hAnsi="Arial" w:cs="Arial"/>
          <w:sz w:val="24"/>
          <w:szCs w:val="24"/>
        </w:rPr>
      </w:pPr>
    </w:p>
    <w:p w14:paraId="73C69F82" w14:textId="25E23FC8" w:rsidR="00D20922" w:rsidRPr="00D20922" w:rsidRDefault="00D20922" w:rsidP="00554687">
      <w:pPr>
        <w:tabs>
          <w:tab w:val="left" w:pos="1250"/>
        </w:tabs>
        <w:rPr>
          <w:rFonts w:ascii="Arial" w:hAnsi="Arial" w:cs="Arial"/>
          <w:sz w:val="24"/>
          <w:szCs w:val="24"/>
        </w:rPr>
      </w:pPr>
    </w:p>
    <w:p w14:paraId="73B59161" w14:textId="17971925" w:rsidR="00D20922" w:rsidRPr="00D20922" w:rsidRDefault="00D20922" w:rsidP="00554687">
      <w:pPr>
        <w:tabs>
          <w:tab w:val="left" w:pos="1250"/>
        </w:tabs>
        <w:rPr>
          <w:rFonts w:ascii="Arial" w:hAnsi="Arial" w:cs="Arial"/>
          <w:sz w:val="24"/>
          <w:szCs w:val="24"/>
        </w:rPr>
      </w:pPr>
    </w:p>
    <w:p w14:paraId="103E1487" w14:textId="38A646AD" w:rsidR="00D20922" w:rsidRPr="00D20922" w:rsidRDefault="00D20922" w:rsidP="00554687">
      <w:pPr>
        <w:tabs>
          <w:tab w:val="left" w:pos="1250"/>
        </w:tabs>
        <w:rPr>
          <w:rFonts w:ascii="Arial" w:hAnsi="Arial" w:cs="Arial"/>
          <w:sz w:val="24"/>
          <w:szCs w:val="24"/>
        </w:rPr>
      </w:pPr>
    </w:p>
    <w:p w14:paraId="5DF22733" w14:textId="77777777" w:rsidR="00D20922" w:rsidRPr="00D20922" w:rsidRDefault="00D20922" w:rsidP="00554687">
      <w:pPr>
        <w:tabs>
          <w:tab w:val="left" w:pos="1250"/>
        </w:tabs>
        <w:rPr>
          <w:rFonts w:ascii="Arial" w:hAnsi="Arial" w:cs="Arial"/>
          <w:sz w:val="24"/>
          <w:szCs w:val="24"/>
        </w:rPr>
      </w:pPr>
    </w:p>
    <w:p w14:paraId="2B6C4A59" w14:textId="1046CFA8" w:rsidR="00554687" w:rsidRPr="00D20922" w:rsidRDefault="009B47BF" w:rsidP="00554687">
      <w:pPr>
        <w:tabs>
          <w:tab w:val="left" w:pos="1250"/>
        </w:tabs>
        <w:rPr>
          <w:rFonts w:ascii="Arial" w:hAnsi="Arial" w:cs="Arial"/>
          <w:sz w:val="24"/>
          <w:szCs w:val="24"/>
        </w:rPr>
      </w:pPr>
      <w:r w:rsidRPr="00D20922">
        <w:rPr>
          <w:rFonts w:ascii="Arial" w:hAnsi="Arial" w:cs="Arial"/>
          <w:sz w:val="24"/>
          <w:szCs w:val="24"/>
        </w:rPr>
        <w:lastRenderedPageBreak/>
        <w:t xml:space="preserve">Question 2 </w:t>
      </w:r>
    </w:p>
    <w:p w14:paraId="1329D97D" w14:textId="6BA25D2A" w:rsidR="00A94AE4" w:rsidRPr="00D20922" w:rsidRDefault="00A94AE4" w:rsidP="00A94AE4">
      <w:pPr>
        <w:jc w:val="both"/>
        <w:rPr>
          <w:rFonts w:ascii="Arial" w:hAnsi="Arial" w:cs="Arial"/>
          <w:sz w:val="24"/>
          <w:szCs w:val="24"/>
        </w:rPr>
      </w:pPr>
      <w:r w:rsidRPr="00D20922">
        <w:rPr>
          <w:rFonts w:ascii="Arial" w:hAnsi="Arial" w:cs="Arial"/>
          <w:sz w:val="24"/>
          <w:szCs w:val="24"/>
        </w:rPr>
        <w:t xml:space="preserve">A) </w:t>
      </w:r>
      <w:r w:rsidR="00E373BF" w:rsidRPr="00D20922">
        <w:rPr>
          <w:rFonts w:ascii="Arial" w:hAnsi="Arial" w:cs="Arial"/>
          <w:sz w:val="24"/>
          <w:szCs w:val="24"/>
        </w:rPr>
        <w:t>The</w:t>
      </w:r>
      <w:r w:rsidR="00A91DE5" w:rsidRPr="00D20922">
        <w:rPr>
          <w:rFonts w:ascii="Arial" w:hAnsi="Arial" w:cs="Arial"/>
          <w:sz w:val="24"/>
          <w:szCs w:val="24"/>
        </w:rPr>
        <w:t xml:space="preserve"> main aim of this is to create a trust for a private purpose not a legal person. This infringes the beneficiary principle </w:t>
      </w:r>
      <w:r w:rsidR="00E373BF" w:rsidRPr="00D20922">
        <w:rPr>
          <w:rFonts w:ascii="Arial" w:hAnsi="Arial" w:cs="Arial"/>
          <w:sz w:val="24"/>
          <w:szCs w:val="24"/>
        </w:rPr>
        <w:t>because non-charitable private purpose trusts cannot be valid. It can only be valid if it is for the creation or maintenance of monuments, this is a recognised exception of this principle</w:t>
      </w:r>
      <w:r w:rsidRPr="00D20922">
        <w:rPr>
          <w:rFonts w:ascii="Arial" w:hAnsi="Arial" w:cs="Arial"/>
          <w:sz w:val="24"/>
          <w:szCs w:val="24"/>
        </w:rPr>
        <w:t xml:space="preserve"> (</w:t>
      </w:r>
      <w:r w:rsidR="00A963B7" w:rsidRPr="00D20922">
        <w:rPr>
          <w:rFonts w:ascii="Arial" w:hAnsi="Arial" w:cs="Arial"/>
          <w:sz w:val="24"/>
          <w:szCs w:val="24"/>
        </w:rPr>
        <w:t>Rosen,2021</w:t>
      </w:r>
      <w:r w:rsidRPr="00D20922">
        <w:rPr>
          <w:rFonts w:ascii="Arial" w:hAnsi="Arial" w:cs="Arial"/>
          <w:sz w:val="24"/>
          <w:szCs w:val="24"/>
        </w:rPr>
        <w:t xml:space="preserve">). </w:t>
      </w:r>
      <w:r w:rsidR="009C4353" w:rsidRPr="00D20922">
        <w:rPr>
          <w:rFonts w:ascii="Arial" w:hAnsi="Arial" w:cs="Arial"/>
          <w:sz w:val="24"/>
          <w:szCs w:val="24"/>
        </w:rPr>
        <w:t xml:space="preserve">The case law of </w:t>
      </w:r>
      <w:r w:rsidR="009C4353" w:rsidRPr="00D20922">
        <w:rPr>
          <w:rFonts w:ascii="Arial" w:hAnsi="Arial" w:cs="Arial"/>
          <w:color w:val="000000"/>
          <w:sz w:val="24"/>
          <w:szCs w:val="24"/>
          <w:shd w:val="clear" w:color="auto" w:fill="FFFFFF"/>
        </w:rPr>
        <w:t xml:space="preserve">Morice v Bishop v Durham (1805) </w:t>
      </w:r>
      <w:r w:rsidR="0054657C" w:rsidRPr="00D20922">
        <w:rPr>
          <w:rFonts w:ascii="Arial" w:hAnsi="Arial" w:cs="Arial"/>
          <w:color w:val="000000"/>
          <w:sz w:val="24"/>
          <w:szCs w:val="24"/>
          <w:shd w:val="clear" w:color="auto" w:fill="FFFFFF"/>
        </w:rPr>
        <w:t xml:space="preserve">is </w:t>
      </w:r>
      <w:r w:rsidR="0054657C" w:rsidRPr="00D20922">
        <w:rPr>
          <w:rFonts w:ascii="Arial" w:hAnsi="Arial" w:cs="Arial"/>
          <w:sz w:val="24"/>
          <w:szCs w:val="24"/>
        </w:rPr>
        <w:t>relevant</w:t>
      </w:r>
      <w:r w:rsidR="009C4353" w:rsidRPr="00D20922">
        <w:rPr>
          <w:rFonts w:ascii="Arial" w:hAnsi="Arial" w:cs="Arial"/>
          <w:sz w:val="24"/>
          <w:szCs w:val="24"/>
        </w:rPr>
        <w:t xml:space="preserve"> because </w:t>
      </w:r>
      <w:r w:rsidR="0054657C" w:rsidRPr="00D20922">
        <w:rPr>
          <w:rFonts w:ascii="Arial" w:hAnsi="Arial" w:cs="Arial"/>
          <w:sz w:val="24"/>
          <w:szCs w:val="24"/>
        </w:rPr>
        <w:t xml:space="preserve">the court held that private trust </w:t>
      </w:r>
      <w:r w:rsidR="00FE23BC" w:rsidRPr="00D20922">
        <w:rPr>
          <w:rFonts w:ascii="Arial" w:hAnsi="Arial" w:cs="Arial"/>
          <w:sz w:val="24"/>
          <w:szCs w:val="24"/>
        </w:rPr>
        <w:t>needs</w:t>
      </w:r>
      <w:r w:rsidR="0054657C" w:rsidRPr="00D20922">
        <w:rPr>
          <w:rFonts w:ascii="Arial" w:hAnsi="Arial" w:cs="Arial"/>
          <w:sz w:val="24"/>
          <w:szCs w:val="24"/>
        </w:rPr>
        <w:t xml:space="preserve"> human beneficiaries because if there are no human beneficiaries the court cannot exercise control as there would be no one to bring the trustee to court. (</w:t>
      </w:r>
      <w:r w:rsidR="00A963B7" w:rsidRPr="00D20922">
        <w:rPr>
          <w:rFonts w:ascii="Arial" w:hAnsi="Arial" w:cs="Arial"/>
          <w:sz w:val="24"/>
          <w:szCs w:val="24"/>
        </w:rPr>
        <w:t>Bryan,2019</w:t>
      </w:r>
      <w:r w:rsidR="0054657C" w:rsidRPr="00D20922">
        <w:rPr>
          <w:rFonts w:ascii="Arial" w:hAnsi="Arial" w:cs="Arial"/>
          <w:sz w:val="24"/>
          <w:szCs w:val="24"/>
        </w:rPr>
        <w:t xml:space="preserve">). </w:t>
      </w:r>
      <w:r w:rsidR="00A6093B" w:rsidRPr="00D20922">
        <w:rPr>
          <w:rFonts w:ascii="Arial" w:hAnsi="Arial" w:cs="Arial"/>
          <w:sz w:val="24"/>
          <w:szCs w:val="24"/>
        </w:rPr>
        <w:t xml:space="preserve">Mussett v Bingle [1876] is also relevant </w:t>
      </w:r>
      <w:r w:rsidR="003B5E1E" w:rsidRPr="00D20922">
        <w:rPr>
          <w:rFonts w:ascii="Arial" w:hAnsi="Arial" w:cs="Arial"/>
          <w:sz w:val="24"/>
          <w:szCs w:val="24"/>
        </w:rPr>
        <w:t xml:space="preserve">because it holds, similar principles of a monument being build. This suggests that a monument is likely to be an exception to the general rule. </w:t>
      </w:r>
    </w:p>
    <w:p w14:paraId="46CB5529" w14:textId="65E47F02" w:rsidR="000D4C14" w:rsidRPr="00D20922" w:rsidRDefault="008867BE" w:rsidP="00A94AE4">
      <w:pPr>
        <w:rPr>
          <w:rFonts w:ascii="Arial" w:hAnsi="Arial" w:cs="Arial"/>
          <w:sz w:val="24"/>
          <w:szCs w:val="24"/>
        </w:rPr>
      </w:pPr>
      <w:r w:rsidRPr="00D20922">
        <w:rPr>
          <w:rFonts w:ascii="Arial" w:hAnsi="Arial" w:cs="Arial"/>
          <w:sz w:val="24"/>
          <w:szCs w:val="24"/>
        </w:rPr>
        <w:t xml:space="preserve">The perpetuity rule applies here as Simon have requested for </w:t>
      </w:r>
      <w:r w:rsidR="00EF2911" w:rsidRPr="00D20922">
        <w:rPr>
          <w:rFonts w:ascii="Arial" w:hAnsi="Arial" w:cs="Arial"/>
          <w:sz w:val="24"/>
          <w:szCs w:val="24"/>
        </w:rPr>
        <w:t>a monument to build and maintained for `as long as possible`. S</w:t>
      </w:r>
      <w:r w:rsidR="00262CE3" w:rsidRPr="00D20922">
        <w:rPr>
          <w:rFonts w:ascii="Arial" w:hAnsi="Arial" w:cs="Arial"/>
          <w:sz w:val="24"/>
          <w:szCs w:val="24"/>
        </w:rPr>
        <w:t xml:space="preserve">imilar to </w:t>
      </w:r>
      <w:r w:rsidR="00EF2911" w:rsidRPr="00D20922">
        <w:rPr>
          <w:rFonts w:ascii="Arial" w:hAnsi="Arial" w:cs="Arial"/>
          <w:sz w:val="24"/>
          <w:szCs w:val="24"/>
        </w:rPr>
        <w:t xml:space="preserve">Mussett v Bingle [1876] that the </w:t>
      </w:r>
      <w:r w:rsidR="00262CE3" w:rsidRPr="00D20922">
        <w:rPr>
          <w:rFonts w:ascii="Arial" w:hAnsi="Arial" w:cs="Arial"/>
          <w:sz w:val="24"/>
          <w:szCs w:val="24"/>
        </w:rPr>
        <w:t>monument</w:t>
      </w:r>
      <w:r w:rsidR="00EF2911" w:rsidRPr="00D20922">
        <w:rPr>
          <w:rFonts w:ascii="Arial" w:hAnsi="Arial" w:cs="Arial"/>
          <w:sz w:val="24"/>
          <w:szCs w:val="24"/>
        </w:rPr>
        <w:t xml:space="preserve"> being maintained for `as long as possible` </w:t>
      </w:r>
      <w:r w:rsidR="00262CE3" w:rsidRPr="00D20922">
        <w:rPr>
          <w:rFonts w:ascii="Arial" w:hAnsi="Arial" w:cs="Arial"/>
          <w:sz w:val="24"/>
          <w:szCs w:val="24"/>
        </w:rPr>
        <w:t xml:space="preserve">would be void because it goes against the rules of perpetuity as it was not specifically stated for how long it should be maintained. The wording of long as possible is not certain and may run out of the perpetuity period of 21 years (Sivaraman,2021). </w:t>
      </w:r>
    </w:p>
    <w:p w14:paraId="3B50A96F" w14:textId="77777777" w:rsidR="00E373BF" w:rsidRPr="00D20922" w:rsidRDefault="00E373BF" w:rsidP="00E373BF">
      <w:pPr>
        <w:spacing w:line="256" w:lineRule="auto"/>
        <w:rPr>
          <w:rFonts w:ascii="Arial" w:hAnsi="Arial" w:cs="Arial"/>
          <w:sz w:val="24"/>
          <w:szCs w:val="24"/>
        </w:rPr>
      </w:pPr>
    </w:p>
    <w:p w14:paraId="699DA822" w14:textId="2BFF9123" w:rsidR="00EE227E" w:rsidRPr="00D20922" w:rsidRDefault="00C95BA5" w:rsidP="00EE227E">
      <w:pPr>
        <w:spacing w:line="256" w:lineRule="auto"/>
        <w:rPr>
          <w:rFonts w:ascii="Arial" w:hAnsi="Arial" w:cs="Arial"/>
          <w:sz w:val="24"/>
          <w:szCs w:val="24"/>
        </w:rPr>
      </w:pPr>
      <w:r w:rsidRPr="00D20922">
        <w:rPr>
          <w:rFonts w:ascii="Arial" w:hAnsi="Arial" w:cs="Arial"/>
          <w:sz w:val="24"/>
          <w:szCs w:val="24"/>
        </w:rPr>
        <w:t xml:space="preserve">B) </w:t>
      </w:r>
      <w:r w:rsidR="009D3C00" w:rsidRPr="00D20922">
        <w:rPr>
          <w:rFonts w:ascii="Arial" w:hAnsi="Arial" w:cs="Arial"/>
          <w:sz w:val="24"/>
          <w:szCs w:val="24"/>
        </w:rPr>
        <w:t xml:space="preserve">Simon </w:t>
      </w:r>
      <w:r w:rsidR="005D6B40" w:rsidRPr="00D20922">
        <w:rPr>
          <w:rFonts w:ascii="Arial" w:hAnsi="Arial" w:cs="Arial"/>
          <w:sz w:val="24"/>
          <w:szCs w:val="24"/>
        </w:rPr>
        <w:t xml:space="preserve">have given clear instruction of what to do with </w:t>
      </w:r>
      <w:r w:rsidR="00822227" w:rsidRPr="00D20922">
        <w:rPr>
          <w:rFonts w:ascii="Arial" w:hAnsi="Arial" w:cs="Arial"/>
          <w:sz w:val="24"/>
          <w:szCs w:val="24"/>
        </w:rPr>
        <w:t>the £30,000</w:t>
      </w:r>
      <w:r w:rsidR="00180DF9" w:rsidRPr="00D20922">
        <w:rPr>
          <w:rFonts w:ascii="Arial" w:hAnsi="Arial" w:cs="Arial"/>
          <w:sz w:val="24"/>
          <w:szCs w:val="24"/>
        </w:rPr>
        <w:t>.</w:t>
      </w:r>
      <w:r w:rsidR="00EE227E" w:rsidRPr="00D20922">
        <w:rPr>
          <w:rFonts w:ascii="Arial" w:hAnsi="Arial" w:cs="Arial"/>
          <w:sz w:val="24"/>
          <w:szCs w:val="24"/>
        </w:rPr>
        <w:t xml:space="preserve"> </w:t>
      </w:r>
      <w:r w:rsidR="00103948" w:rsidRPr="00D20922">
        <w:rPr>
          <w:rFonts w:ascii="Arial" w:hAnsi="Arial" w:cs="Arial"/>
          <w:sz w:val="24"/>
          <w:szCs w:val="24"/>
        </w:rPr>
        <w:t>He has</w:t>
      </w:r>
      <w:r w:rsidR="00EE227E" w:rsidRPr="00D20922">
        <w:rPr>
          <w:rFonts w:ascii="Arial" w:hAnsi="Arial" w:cs="Arial"/>
          <w:sz w:val="24"/>
          <w:szCs w:val="24"/>
        </w:rPr>
        <w:t xml:space="preserve"> trusted tina and Ursula to hold the 30,000 pounds for his relations. </w:t>
      </w:r>
    </w:p>
    <w:p w14:paraId="10451AE8" w14:textId="17677A64" w:rsidR="00F55E9D" w:rsidRPr="00D20922" w:rsidRDefault="00180DF9" w:rsidP="00EE227E">
      <w:pPr>
        <w:spacing w:line="256" w:lineRule="auto"/>
        <w:rPr>
          <w:rFonts w:ascii="Arial" w:hAnsi="Arial" w:cs="Arial"/>
          <w:sz w:val="24"/>
          <w:szCs w:val="24"/>
        </w:rPr>
      </w:pPr>
      <w:r w:rsidRPr="00D20922">
        <w:rPr>
          <w:rFonts w:ascii="Arial" w:hAnsi="Arial" w:cs="Arial"/>
          <w:sz w:val="24"/>
          <w:szCs w:val="24"/>
        </w:rPr>
        <w:t xml:space="preserve">This trust is a </w:t>
      </w:r>
      <w:r w:rsidR="00103948" w:rsidRPr="00D20922">
        <w:rPr>
          <w:rFonts w:ascii="Arial" w:hAnsi="Arial" w:cs="Arial"/>
          <w:sz w:val="24"/>
          <w:szCs w:val="24"/>
        </w:rPr>
        <w:t>power of appointment and a fixed trust</w:t>
      </w:r>
      <w:r w:rsidRPr="00D20922">
        <w:rPr>
          <w:rFonts w:ascii="Arial" w:hAnsi="Arial" w:cs="Arial"/>
          <w:sz w:val="24"/>
          <w:szCs w:val="24"/>
        </w:rPr>
        <w:t xml:space="preserve">. </w:t>
      </w:r>
      <w:r w:rsidR="00822227" w:rsidRPr="00D20922">
        <w:rPr>
          <w:rFonts w:ascii="Arial" w:hAnsi="Arial" w:cs="Arial"/>
          <w:sz w:val="24"/>
          <w:szCs w:val="24"/>
        </w:rPr>
        <w:t xml:space="preserve">This is a </w:t>
      </w:r>
      <w:r w:rsidR="00103948" w:rsidRPr="00D20922">
        <w:rPr>
          <w:rFonts w:ascii="Arial" w:hAnsi="Arial" w:cs="Arial"/>
          <w:sz w:val="24"/>
          <w:szCs w:val="24"/>
        </w:rPr>
        <w:t xml:space="preserve">power of appointment </w:t>
      </w:r>
      <w:r w:rsidR="00822227" w:rsidRPr="00D20922">
        <w:rPr>
          <w:rFonts w:ascii="Arial" w:hAnsi="Arial" w:cs="Arial"/>
          <w:sz w:val="24"/>
          <w:szCs w:val="24"/>
        </w:rPr>
        <w:t xml:space="preserve">because the </w:t>
      </w:r>
      <w:r w:rsidR="00F55E9D" w:rsidRPr="00D20922">
        <w:rPr>
          <w:rFonts w:ascii="Arial" w:hAnsi="Arial" w:cs="Arial"/>
          <w:sz w:val="24"/>
          <w:szCs w:val="24"/>
        </w:rPr>
        <w:t xml:space="preserve">trustees </w:t>
      </w:r>
      <w:r w:rsidR="00822227" w:rsidRPr="00D20922">
        <w:rPr>
          <w:rFonts w:ascii="Arial" w:hAnsi="Arial" w:cs="Arial"/>
          <w:sz w:val="24"/>
          <w:szCs w:val="24"/>
        </w:rPr>
        <w:t>have been given instructions</w:t>
      </w:r>
      <w:r w:rsidR="00103948" w:rsidRPr="00D20922">
        <w:rPr>
          <w:rFonts w:ascii="Arial" w:hAnsi="Arial" w:cs="Arial"/>
          <w:sz w:val="24"/>
          <w:szCs w:val="24"/>
        </w:rPr>
        <w:t xml:space="preserve"> of what Simon would like them to do. However, the trustee does not necessarily have to distribute the property because Simon have made provision for what is to happen if they don’t distribute the money.</w:t>
      </w:r>
      <w:r w:rsidR="00F13AAA" w:rsidRPr="00D20922">
        <w:rPr>
          <w:rFonts w:ascii="Arial" w:hAnsi="Arial" w:cs="Arial"/>
          <w:sz w:val="24"/>
          <w:szCs w:val="24"/>
        </w:rPr>
        <w:t xml:space="preserve"> The trustee </w:t>
      </w:r>
      <w:r w:rsidR="001E3DF1" w:rsidRPr="00D20922">
        <w:rPr>
          <w:rFonts w:ascii="Arial" w:hAnsi="Arial" w:cs="Arial"/>
          <w:sz w:val="24"/>
          <w:szCs w:val="24"/>
        </w:rPr>
        <w:t>holds</w:t>
      </w:r>
      <w:r w:rsidR="00F13AAA" w:rsidRPr="00D20922">
        <w:rPr>
          <w:rFonts w:ascii="Arial" w:hAnsi="Arial" w:cs="Arial"/>
          <w:sz w:val="24"/>
          <w:szCs w:val="24"/>
        </w:rPr>
        <w:t xml:space="preserve"> </w:t>
      </w:r>
      <w:r w:rsidR="001E3DF1" w:rsidRPr="00D20922">
        <w:rPr>
          <w:rFonts w:ascii="Arial" w:hAnsi="Arial" w:cs="Arial"/>
          <w:sz w:val="24"/>
          <w:szCs w:val="24"/>
        </w:rPr>
        <w:t>the fiduciary power</w:t>
      </w:r>
      <w:r w:rsidR="00103948" w:rsidRPr="00D20922">
        <w:rPr>
          <w:rFonts w:ascii="Arial" w:hAnsi="Arial" w:cs="Arial"/>
          <w:sz w:val="24"/>
          <w:szCs w:val="24"/>
        </w:rPr>
        <w:t xml:space="preserve"> </w:t>
      </w:r>
      <w:r w:rsidR="00F55E9D" w:rsidRPr="00D20922">
        <w:rPr>
          <w:rFonts w:ascii="Arial" w:hAnsi="Arial" w:cs="Arial"/>
          <w:sz w:val="24"/>
          <w:szCs w:val="24"/>
        </w:rPr>
        <w:t>(</w:t>
      </w:r>
      <w:r w:rsidR="00105C27" w:rsidRPr="00D20922">
        <w:rPr>
          <w:rFonts w:ascii="Arial" w:hAnsi="Arial" w:cs="Arial"/>
          <w:sz w:val="24"/>
          <w:szCs w:val="24"/>
        </w:rPr>
        <w:t>Debney,2021</w:t>
      </w:r>
      <w:r w:rsidR="00F55E9D" w:rsidRPr="00D20922">
        <w:rPr>
          <w:rFonts w:ascii="Arial" w:hAnsi="Arial" w:cs="Arial"/>
          <w:sz w:val="24"/>
          <w:szCs w:val="24"/>
        </w:rPr>
        <w:t xml:space="preserve">). </w:t>
      </w:r>
      <w:r w:rsidR="00103948" w:rsidRPr="00D20922">
        <w:rPr>
          <w:rFonts w:ascii="Arial" w:hAnsi="Arial" w:cs="Arial"/>
          <w:sz w:val="24"/>
          <w:szCs w:val="24"/>
        </w:rPr>
        <w:t xml:space="preserve">It becomes a fixed trust because </w:t>
      </w:r>
      <w:r w:rsidR="00BC2811" w:rsidRPr="00D20922">
        <w:rPr>
          <w:rFonts w:ascii="Arial" w:hAnsi="Arial" w:cs="Arial"/>
          <w:sz w:val="24"/>
          <w:szCs w:val="24"/>
        </w:rPr>
        <w:t xml:space="preserve">it is stated that if the trustee </w:t>
      </w:r>
      <w:r w:rsidR="00F13AAA" w:rsidRPr="00D20922">
        <w:rPr>
          <w:rFonts w:ascii="Arial" w:hAnsi="Arial" w:cs="Arial"/>
          <w:sz w:val="24"/>
          <w:szCs w:val="24"/>
        </w:rPr>
        <w:t>does</w:t>
      </w:r>
      <w:r w:rsidR="00BC2811" w:rsidRPr="00D20922">
        <w:rPr>
          <w:rFonts w:ascii="Arial" w:hAnsi="Arial" w:cs="Arial"/>
          <w:sz w:val="24"/>
          <w:szCs w:val="24"/>
        </w:rPr>
        <w:t xml:space="preserve"> not distribute the money at the end of the </w:t>
      </w:r>
      <w:r w:rsidR="001E3DF1" w:rsidRPr="00D20922">
        <w:rPr>
          <w:rFonts w:ascii="Arial" w:hAnsi="Arial" w:cs="Arial"/>
          <w:sz w:val="24"/>
          <w:szCs w:val="24"/>
        </w:rPr>
        <w:t>year,</w:t>
      </w:r>
      <w:r w:rsidR="00BC2811" w:rsidRPr="00D20922">
        <w:rPr>
          <w:rFonts w:ascii="Arial" w:hAnsi="Arial" w:cs="Arial"/>
          <w:sz w:val="24"/>
          <w:szCs w:val="24"/>
        </w:rPr>
        <w:t xml:space="preserve"> then </w:t>
      </w:r>
      <w:r w:rsidR="00F94D0A" w:rsidRPr="00D20922">
        <w:rPr>
          <w:rFonts w:ascii="Arial" w:hAnsi="Arial" w:cs="Arial"/>
          <w:sz w:val="24"/>
          <w:szCs w:val="24"/>
        </w:rPr>
        <w:t>it’s</w:t>
      </w:r>
      <w:r w:rsidR="00BC2811" w:rsidRPr="00D20922">
        <w:rPr>
          <w:rFonts w:ascii="Arial" w:hAnsi="Arial" w:cs="Arial"/>
          <w:sz w:val="24"/>
          <w:szCs w:val="24"/>
        </w:rPr>
        <w:t xml:space="preserve"> to be divided equally to the remaining family. The property will not revert back to the settlor’s estate</w:t>
      </w:r>
      <w:r w:rsidR="00105C27" w:rsidRPr="00D20922">
        <w:rPr>
          <w:rFonts w:ascii="Arial" w:hAnsi="Arial" w:cs="Arial"/>
          <w:sz w:val="24"/>
          <w:szCs w:val="24"/>
        </w:rPr>
        <w:t xml:space="preserve"> (UK Government, 2021)</w:t>
      </w:r>
      <w:r w:rsidR="00F55E9D" w:rsidRPr="00D20922">
        <w:rPr>
          <w:rFonts w:ascii="Arial" w:hAnsi="Arial" w:cs="Arial"/>
          <w:sz w:val="24"/>
          <w:szCs w:val="24"/>
        </w:rPr>
        <w:t>.</w:t>
      </w:r>
      <w:r w:rsidR="00EE227E" w:rsidRPr="00D20922">
        <w:rPr>
          <w:rFonts w:ascii="Arial" w:hAnsi="Arial" w:cs="Arial"/>
          <w:sz w:val="24"/>
          <w:szCs w:val="24"/>
        </w:rPr>
        <w:t xml:space="preserve"> </w:t>
      </w:r>
      <w:r w:rsidR="00665B46" w:rsidRPr="00D20922">
        <w:rPr>
          <w:rFonts w:ascii="Arial" w:hAnsi="Arial" w:cs="Arial"/>
          <w:sz w:val="24"/>
          <w:szCs w:val="24"/>
        </w:rPr>
        <w:t xml:space="preserve">This can be compared to the case law of McPhail v Doulton (1970) because they both adopt the test of `is or is not` for the trust to be valid. </w:t>
      </w:r>
    </w:p>
    <w:p w14:paraId="1F0B10E2" w14:textId="6BFBED49" w:rsidR="005A3053" w:rsidRPr="00D20922" w:rsidRDefault="007A4ABF" w:rsidP="00EE227E">
      <w:pPr>
        <w:spacing w:line="256" w:lineRule="auto"/>
        <w:rPr>
          <w:rFonts w:ascii="Arial" w:hAnsi="Arial" w:cs="Arial"/>
          <w:sz w:val="24"/>
          <w:szCs w:val="24"/>
        </w:rPr>
      </w:pPr>
      <w:r w:rsidRPr="00D20922">
        <w:rPr>
          <w:rFonts w:ascii="Arial" w:hAnsi="Arial" w:cs="Arial"/>
          <w:sz w:val="24"/>
          <w:szCs w:val="24"/>
        </w:rPr>
        <w:t>The three certainties were present here as there was intention to create a trust, the 30,000 pound was the subject matter and the relations of Simon, satisfies the certainty of objects. However, having not stated the names of his relatives</w:t>
      </w:r>
      <w:r w:rsidR="001E3DF1" w:rsidRPr="00D20922">
        <w:rPr>
          <w:rFonts w:ascii="Arial" w:hAnsi="Arial" w:cs="Arial"/>
          <w:sz w:val="24"/>
          <w:szCs w:val="24"/>
        </w:rPr>
        <w:t xml:space="preserve">, makes things more difficult as </w:t>
      </w:r>
      <w:r w:rsidR="009A5F0B" w:rsidRPr="00D20922">
        <w:rPr>
          <w:rFonts w:ascii="Arial" w:hAnsi="Arial" w:cs="Arial"/>
          <w:sz w:val="24"/>
          <w:szCs w:val="24"/>
        </w:rPr>
        <w:t>its</w:t>
      </w:r>
      <w:r w:rsidR="001E3DF1" w:rsidRPr="00D20922">
        <w:rPr>
          <w:rFonts w:ascii="Arial" w:hAnsi="Arial" w:cs="Arial"/>
          <w:sz w:val="24"/>
          <w:szCs w:val="24"/>
        </w:rPr>
        <w:t xml:space="preserve"> uncertainty of who these relatives maybe because there is no list. (</w:t>
      </w:r>
      <w:r w:rsidR="00105C27" w:rsidRPr="00D20922">
        <w:rPr>
          <w:rFonts w:ascii="Arial" w:hAnsi="Arial" w:cs="Arial"/>
          <w:sz w:val="24"/>
          <w:szCs w:val="24"/>
        </w:rPr>
        <w:t>Wilde,2020</w:t>
      </w:r>
      <w:r w:rsidR="009D3C00" w:rsidRPr="00D20922">
        <w:rPr>
          <w:rFonts w:ascii="Arial" w:hAnsi="Arial" w:cs="Arial"/>
          <w:sz w:val="24"/>
          <w:szCs w:val="24"/>
        </w:rPr>
        <w:t>)</w:t>
      </w:r>
      <w:r w:rsidRPr="00D20922">
        <w:rPr>
          <w:rFonts w:ascii="Arial" w:hAnsi="Arial" w:cs="Arial"/>
          <w:sz w:val="24"/>
          <w:szCs w:val="24"/>
        </w:rPr>
        <w:t xml:space="preserve">. </w:t>
      </w:r>
      <w:r w:rsidR="001E3DF1" w:rsidRPr="00D20922">
        <w:rPr>
          <w:rFonts w:ascii="Arial" w:hAnsi="Arial" w:cs="Arial"/>
          <w:sz w:val="24"/>
          <w:szCs w:val="24"/>
        </w:rPr>
        <w:t xml:space="preserve">The trustee gets to demonstrate their fiduciary power as they have to divide up the remaining residue. </w:t>
      </w:r>
    </w:p>
    <w:p w14:paraId="537E29CF" w14:textId="5F310337" w:rsidR="00ED28AA" w:rsidRPr="00D20922" w:rsidRDefault="00E32CF9" w:rsidP="00105C27">
      <w:pPr>
        <w:spacing w:line="256" w:lineRule="auto"/>
        <w:rPr>
          <w:rFonts w:ascii="Arial" w:hAnsi="Arial" w:cs="Arial"/>
          <w:sz w:val="24"/>
          <w:szCs w:val="24"/>
        </w:rPr>
      </w:pPr>
      <w:r w:rsidRPr="00D20922">
        <w:rPr>
          <w:rFonts w:ascii="Arial" w:hAnsi="Arial" w:cs="Arial"/>
          <w:sz w:val="24"/>
          <w:szCs w:val="24"/>
        </w:rPr>
        <w:t xml:space="preserve">According to, </w:t>
      </w:r>
      <w:r w:rsidR="00EE227E" w:rsidRPr="00D20922">
        <w:rPr>
          <w:rFonts w:ascii="Arial" w:hAnsi="Arial" w:cs="Arial"/>
          <w:sz w:val="24"/>
          <w:szCs w:val="24"/>
        </w:rPr>
        <w:t xml:space="preserve">the Re Baden Deed Trust </w:t>
      </w:r>
      <w:r w:rsidR="007A4ABF" w:rsidRPr="00D20922">
        <w:rPr>
          <w:rFonts w:ascii="Arial" w:hAnsi="Arial" w:cs="Arial"/>
          <w:sz w:val="24"/>
          <w:szCs w:val="24"/>
        </w:rPr>
        <w:t>N</w:t>
      </w:r>
      <w:r w:rsidR="00EE227E" w:rsidRPr="00D20922">
        <w:rPr>
          <w:rFonts w:ascii="Arial" w:hAnsi="Arial" w:cs="Arial"/>
          <w:sz w:val="24"/>
          <w:szCs w:val="24"/>
        </w:rPr>
        <w:t xml:space="preserve">o2 (1973) </w:t>
      </w:r>
      <w:r w:rsidRPr="00D20922">
        <w:rPr>
          <w:rFonts w:ascii="Arial" w:hAnsi="Arial" w:cs="Arial"/>
          <w:sz w:val="24"/>
          <w:szCs w:val="24"/>
        </w:rPr>
        <w:t xml:space="preserve">is similar in relation to this case because </w:t>
      </w:r>
      <w:r w:rsidR="00EE227E" w:rsidRPr="00D20922">
        <w:rPr>
          <w:rFonts w:ascii="Arial" w:hAnsi="Arial" w:cs="Arial"/>
          <w:sz w:val="24"/>
          <w:szCs w:val="24"/>
        </w:rPr>
        <w:t xml:space="preserve">the settler </w:t>
      </w:r>
      <w:r w:rsidR="00B46B1A" w:rsidRPr="00D20922">
        <w:rPr>
          <w:rFonts w:ascii="Arial" w:hAnsi="Arial" w:cs="Arial"/>
          <w:sz w:val="24"/>
          <w:szCs w:val="24"/>
        </w:rPr>
        <w:t xml:space="preserve">did not clearly define the </w:t>
      </w:r>
      <w:r w:rsidR="00EE227E" w:rsidRPr="00D20922">
        <w:rPr>
          <w:rFonts w:ascii="Arial" w:hAnsi="Arial" w:cs="Arial"/>
          <w:sz w:val="24"/>
          <w:szCs w:val="24"/>
        </w:rPr>
        <w:t>object</w:t>
      </w:r>
      <w:r w:rsidR="00B46B1A" w:rsidRPr="00D20922">
        <w:rPr>
          <w:rFonts w:ascii="Arial" w:hAnsi="Arial" w:cs="Arial"/>
          <w:sz w:val="24"/>
          <w:szCs w:val="24"/>
        </w:rPr>
        <w:t xml:space="preserve">s. However, </w:t>
      </w:r>
      <w:r w:rsidR="007A4ABF" w:rsidRPr="00D20922">
        <w:rPr>
          <w:rFonts w:ascii="Arial" w:hAnsi="Arial" w:cs="Arial"/>
          <w:sz w:val="24"/>
          <w:szCs w:val="24"/>
        </w:rPr>
        <w:t>the court held that there was no inherent conceptual</w:t>
      </w:r>
      <w:r w:rsidR="00B46B1A" w:rsidRPr="00D20922">
        <w:rPr>
          <w:rFonts w:ascii="Arial" w:hAnsi="Arial" w:cs="Arial"/>
          <w:sz w:val="24"/>
          <w:szCs w:val="24"/>
        </w:rPr>
        <w:t xml:space="preserve"> </w:t>
      </w:r>
      <w:r w:rsidR="007A4ABF" w:rsidRPr="00D20922">
        <w:rPr>
          <w:rFonts w:ascii="Arial" w:hAnsi="Arial" w:cs="Arial"/>
          <w:sz w:val="24"/>
          <w:szCs w:val="24"/>
        </w:rPr>
        <w:t xml:space="preserve">uncertainty in the words dependent or </w:t>
      </w:r>
      <w:r w:rsidR="00B46B1A" w:rsidRPr="00D20922">
        <w:rPr>
          <w:rFonts w:ascii="Arial" w:hAnsi="Arial" w:cs="Arial"/>
          <w:sz w:val="24"/>
          <w:szCs w:val="24"/>
        </w:rPr>
        <w:t>relatives</w:t>
      </w:r>
      <w:r w:rsidR="007A4ABF" w:rsidRPr="00D20922">
        <w:rPr>
          <w:rFonts w:ascii="Arial" w:hAnsi="Arial" w:cs="Arial"/>
          <w:sz w:val="24"/>
          <w:szCs w:val="24"/>
        </w:rPr>
        <w:t xml:space="preserve"> and so the clause was held valid. </w:t>
      </w:r>
      <w:r w:rsidR="00B46B1A" w:rsidRPr="00D20922">
        <w:rPr>
          <w:rFonts w:ascii="Arial" w:hAnsi="Arial" w:cs="Arial"/>
          <w:sz w:val="24"/>
          <w:szCs w:val="24"/>
        </w:rPr>
        <w:t xml:space="preserve">All that is required is that it said with certainty if a given person is or is not a member of class. The burden </w:t>
      </w:r>
      <w:r w:rsidR="009D3C00" w:rsidRPr="00D20922">
        <w:rPr>
          <w:rFonts w:ascii="Arial" w:hAnsi="Arial" w:cs="Arial"/>
          <w:sz w:val="24"/>
          <w:szCs w:val="24"/>
        </w:rPr>
        <w:t>would fall upon the potential claimants to prove that they belong to the class (</w:t>
      </w:r>
      <w:r w:rsidR="00105C27" w:rsidRPr="00D20922">
        <w:rPr>
          <w:rFonts w:ascii="Arial" w:hAnsi="Arial" w:cs="Arial"/>
          <w:sz w:val="24"/>
          <w:szCs w:val="24"/>
        </w:rPr>
        <w:t>Egan-Ronayne,2018</w:t>
      </w:r>
      <w:r w:rsidR="009D3C00" w:rsidRPr="00D20922">
        <w:rPr>
          <w:rFonts w:ascii="Arial" w:hAnsi="Arial" w:cs="Arial"/>
          <w:sz w:val="24"/>
          <w:szCs w:val="24"/>
        </w:rPr>
        <w:t xml:space="preserve">). </w:t>
      </w:r>
    </w:p>
    <w:p w14:paraId="6C46C018" w14:textId="21487995" w:rsidR="0001603F" w:rsidRPr="00D20922" w:rsidRDefault="00C95BA5" w:rsidP="00105C27">
      <w:pPr>
        <w:spacing w:line="256" w:lineRule="auto"/>
        <w:rPr>
          <w:rFonts w:ascii="Arial" w:hAnsi="Arial" w:cs="Arial"/>
          <w:sz w:val="24"/>
          <w:szCs w:val="24"/>
        </w:rPr>
      </w:pPr>
      <w:r w:rsidRPr="00D20922">
        <w:rPr>
          <w:rFonts w:ascii="Arial" w:hAnsi="Arial" w:cs="Arial"/>
          <w:sz w:val="24"/>
          <w:szCs w:val="24"/>
        </w:rPr>
        <w:lastRenderedPageBreak/>
        <w:t xml:space="preserve">C) </w:t>
      </w:r>
      <w:r w:rsidR="00B000CD" w:rsidRPr="00D20922">
        <w:rPr>
          <w:rFonts w:ascii="Arial" w:hAnsi="Arial" w:cs="Arial"/>
          <w:sz w:val="24"/>
          <w:szCs w:val="24"/>
        </w:rPr>
        <w:t xml:space="preserve">The trustees are holding the painting for </w:t>
      </w:r>
      <w:r w:rsidR="00035ADA" w:rsidRPr="00D20922">
        <w:rPr>
          <w:rFonts w:ascii="Arial" w:hAnsi="Arial" w:cs="Arial"/>
          <w:sz w:val="24"/>
          <w:szCs w:val="24"/>
        </w:rPr>
        <w:t>Simons friends</w:t>
      </w:r>
      <w:r w:rsidR="00105C27" w:rsidRPr="00D20922">
        <w:rPr>
          <w:rFonts w:ascii="Arial" w:hAnsi="Arial" w:cs="Arial"/>
          <w:sz w:val="24"/>
          <w:szCs w:val="24"/>
        </w:rPr>
        <w:t>, although the objects cannot be identified until Vinnie makes the appointments</w:t>
      </w:r>
      <w:r w:rsidR="00035ADA" w:rsidRPr="00D20922">
        <w:rPr>
          <w:rFonts w:ascii="Arial" w:hAnsi="Arial" w:cs="Arial"/>
          <w:sz w:val="24"/>
          <w:szCs w:val="24"/>
        </w:rPr>
        <w:t>.</w:t>
      </w:r>
      <w:r w:rsidR="00105C27" w:rsidRPr="00D20922">
        <w:rPr>
          <w:rFonts w:ascii="Arial" w:hAnsi="Arial" w:cs="Arial"/>
          <w:sz w:val="24"/>
          <w:szCs w:val="24"/>
        </w:rPr>
        <w:t xml:space="preserve"> Vinnie is not a trustee but does have the power of appointment; this is not a fiduciary power,</w:t>
      </w:r>
      <w:r w:rsidR="00CA38F1" w:rsidRPr="00D20922">
        <w:rPr>
          <w:rFonts w:ascii="Arial" w:hAnsi="Arial" w:cs="Arial"/>
          <w:sz w:val="24"/>
          <w:szCs w:val="24"/>
        </w:rPr>
        <w:t xml:space="preserve"> </w:t>
      </w:r>
      <w:r w:rsidR="00105C27" w:rsidRPr="00D20922">
        <w:rPr>
          <w:rFonts w:ascii="Arial" w:hAnsi="Arial" w:cs="Arial"/>
          <w:sz w:val="24"/>
          <w:szCs w:val="24"/>
        </w:rPr>
        <w:t>but it is a personal power. This means that Vinnie does not have to follow though with Simon request or exercise capriciously. When he does exercise the power, he needs to choose between the `friends`. This term causes an issue of certainty of subject matter and what is meant by the term friends. T</w:t>
      </w:r>
      <w:r w:rsidR="00773B19" w:rsidRPr="00D20922">
        <w:rPr>
          <w:rFonts w:ascii="Arial" w:hAnsi="Arial" w:cs="Arial"/>
          <w:sz w:val="24"/>
          <w:szCs w:val="24"/>
        </w:rPr>
        <w:t xml:space="preserve">he use of the phrase `friends` would be </w:t>
      </w:r>
      <w:r w:rsidR="00DE7B0F" w:rsidRPr="00D20922">
        <w:rPr>
          <w:rFonts w:ascii="Arial" w:hAnsi="Arial" w:cs="Arial"/>
          <w:sz w:val="24"/>
          <w:szCs w:val="24"/>
        </w:rPr>
        <w:t>classed as a conceptually uncertain. This is because there is more than one possible meaning for this term (</w:t>
      </w:r>
      <w:r w:rsidR="00105C27" w:rsidRPr="00D20922">
        <w:rPr>
          <w:rFonts w:ascii="Arial" w:hAnsi="Arial" w:cs="Arial"/>
          <w:sz w:val="24"/>
          <w:szCs w:val="24"/>
        </w:rPr>
        <w:t>Mallon,2021</w:t>
      </w:r>
      <w:r w:rsidR="00DE7B0F" w:rsidRPr="00D20922">
        <w:rPr>
          <w:rFonts w:ascii="Arial" w:hAnsi="Arial" w:cs="Arial"/>
          <w:sz w:val="24"/>
          <w:szCs w:val="24"/>
        </w:rPr>
        <w:t xml:space="preserve">). It depends on what Simon have intended it to meant </w:t>
      </w:r>
      <w:r w:rsidR="00C268E4" w:rsidRPr="00D20922">
        <w:rPr>
          <w:rFonts w:ascii="Arial" w:hAnsi="Arial" w:cs="Arial"/>
          <w:sz w:val="24"/>
          <w:szCs w:val="24"/>
        </w:rPr>
        <w:t xml:space="preserve">This is </w:t>
      </w:r>
      <w:r w:rsidR="00035ADA" w:rsidRPr="00D20922">
        <w:rPr>
          <w:rFonts w:ascii="Arial" w:hAnsi="Arial" w:cs="Arial"/>
          <w:sz w:val="24"/>
          <w:szCs w:val="24"/>
        </w:rPr>
        <w:t xml:space="preserve">problematic because there is not certain </w:t>
      </w:r>
      <w:r w:rsidR="00C268E4" w:rsidRPr="00D20922">
        <w:rPr>
          <w:rFonts w:ascii="Arial" w:hAnsi="Arial" w:cs="Arial"/>
          <w:sz w:val="24"/>
          <w:szCs w:val="24"/>
        </w:rPr>
        <w:t xml:space="preserve">amount </w:t>
      </w:r>
      <w:r w:rsidR="00035ADA" w:rsidRPr="00D20922">
        <w:rPr>
          <w:rFonts w:ascii="Arial" w:hAnsi="Arial" w:cs="Arial"/>
          <w:sz w:val="24"/>
          <w:szCs w:val="24"/>
        </w:rPr>
        <w:t xml:space="preserve">of how </w:t>
      </w:r>
      <w:r w:rsidR="00C268E4" w:rsidRPr="00D20922">
        <w:rPr>
          <w:rFonts w:ascii="Arial" w:hAnsi="Arial" w:cs="Arial"/>
          <w:sz w:val="24"/>
          <w:szCs w:val="24"/>
        </w:rPr>
        <w:t xml:space="preserve">many people may fit the category. </w:t>
      </w:r>
      <w:r w:rsidR="00F738EE" w:rsidRPr="00D20922">
        <w:rPr>
          <w:rFonts w:ascii="Arial" w:hAnsi="Arial" w:cs="Arial"/>
          <w:sz w:val="24"/>
          <w:szCs w:val="24"/>
        </w:rPr>
        <w:t xml:space="preserve">Simon should have specifically stated who he wanted to benefit from his trust. There should have also been a time limit on distribution, this would stop this from failing. </w:t>
      </w:r>
      <w:r w:rsidR="00C42895" w:rsidRPr="00D20922">
        <w:rPr>
          <w:rFonts w:ascii="Arial" w:hAnsi="Arial" w:cs="Arial"/>
          <w:sz w:val="24"/>
          <w:szCs w:val="24"/>
        </w:rPr>
        <w:t xml:space="preserve">The painting </w:t>
      </w:r>
      <w:r w:rsidR="001B6F9C" w:rsidRPr="00D20922">
        <w:rPr>
          <w:rFonts w:ascii="Arial" w:hAnsi="Arial" w:cs="Arial"/>
          <w:sz w:val="24"/>
          <w:szCs w:val="24"/>
        </w:rPr>
        <w:t>if not</w:t>
      </w:r>
      <w:r w:rsidR="00C42895" w:rsidRPr="00D20922">
        <w:rPr>
          <w:rFonts w:ascii="Arial" w:hAnsi="Arial" w:cs="Arial"/>
          <w:sz w:val="24"/>
          <w:szCs w:val="24"/>
        </w:rPr>
        <w:t xml:space="preserve"> distribute</w:t>
      </w:r>
      <w:r w:rsidR="001B6F9C" w:rsidRPr="00D20922">
        <w:rPr>
          <w:rFonts w:ascii="Arial" w:hAnsi="Arial" w:cs="Arial"/>
          <w:sz w:val="24"/>
          <w:szCs w:val="24"/>
        </w:rPr>
        <w:t>d</w:t>
      </w:r>
      <w:r w:rsidR="00105C27" w:rsidRPr="00D20922">
        <w:rPr>
          <w:rFonts w:ascii="Arial" w:hAnsi="Arial" w:cs="Arial"/>
          <w:sz w:val="24"/>
          <w:szCs w:val="24"/>
        </w:rPr>
        <w:t xml:space="preserve"> will fall back into the residue. </w:t>
      </w:r>
      <w:r w:rsidR="00273C70" w:rsidRPr="00D20922">
        <w:rPr>
          <w:rFonts w:ascii="Arial" w:hAnsi="Arial" w:cs="Arial"/>
          <w:sz w:val="24"/>
          <w:szCs w:val="24"/>
        </w:rPr>
        <w:t>Vin</w:t>
      </w:r>
      <w:r w:rsidR="00105C27" w:rsidRPr="00D20922">
        <w:rPr>
          <w:rFonts w:ascii="Arial" w:hAnsi="Arial" w:cs="Arial"/>
          <w:sz w:val="24"/>
          <w:szCs w:val="24"/>
        </w:rPr>
        <w:t xml:space="preserve">nie will not be in breach of the trust if he does not distribute them because he is not a trustee and does not have to do anything, he is not held to the same fiduciary duties. </w:t>
      </w:r>
      <w:r w:rsidR="00772C68" w:rsidRPr="00D20922">
        <w:rPr>
          <w:rFonts w:ascii="Arial" w:hAnsi="Arial" w:cs="Arial"/>
          <w:sz w:val="24"/>
          <w:szCs w:val="24"/>
        </w:rPr>
        <w:t>(</w:t>
      </w:r>
      <w:r w:rsidR="00105C27" w:rsidRPr="00D20922">
        <w:rPr>
          <w:rFonts w:ascii="Arial" w:hAnsi="Arial" w:cs="Arial"/>
          <w:sz w:val="24"/>
          <w:szCs w:val="24"/>
        </w:rPr>
        <w:t>Masons,2011</w:t>
      </w:r>
      <w:r w:rsidR="00772C68" w:rsidRPr="00D20922">
        <w:rPr>
          <w:rFonts w:ascii="Arial" w:hAnsi="Arial" w:cs="Arial"/>
          <w:sz w:val="24"/>
          <w:szCs w:val="24"/>
        </w:rPr>
        <w:t>).</w:t>
      </w:r>
    </w:p>
    <w:p w14:paraId="705FBA54" w14:textId="3247151E" w:rsidR="0001603F" w:rsidRPr="00D20922" w:rsidRDefault="00772C68" w:rsidP="0001603F">
      <w:pPr>
        <w:spacing w:line="256" w:lineRule="auto"/>
        <w:rPr>
          <w:rFonts w:ascii="Arial" w:hAnsi="Arial" w:cs="Arial"/>
          <w:sz w:val="24"/>
          <w:szCs w:val="24"/>
        </w:rPr>
      </w:pPr>
      <w:r w:rsidRPr="00D20922">
        <w:rPr>
          <w:rFonts w:ascii="Arial" w:hAnsi="Arial" w:cs="Arial"/>
          <w:sz w:val="24"/>
          <w:szCs w:val="24"/>
        </w:rPr>
        <w:t xml:space="preserve">D) </w:t>
      </w:r>
      <w:r w:rsidR="0066116E" w:rsidRPr="00D20922">
        <w:rPr>
          <w:rFonts w:ascii="Arial" w:hAnsi="Arial" w:cs="Arial"/>
          <w:sz w:val="24"/>
          <w:szCs w:val="24"/>
        </w:rPr>
        <w:t xml:space="preserve">There issues with the three </w:t>
      </w:r>
      <w:r w:rsidR="00A41E95" w:rsidRPr="00D20922">
        <w:rPr>
          <w:rFonts w:ascii="Arial" w:hAnsi="Arial" w:cs="Arial"/>
          <w:sz w:val="24"/>
          <w:szCs w:val="24"/>
        </w:rPr>
        <w:t>certainties</w:t>
      </w:r>
      <w:r w:rsidR="0066116E" w:rsidRPr="00D20922">
        <w:rPr>
          <w:rFonts w:ascii="Arial" w:hAnsi="Arial" w:cs="Arial"/>
          <w:sz w:val="24"/>
          <w:szCs w:val="24"/>
        </w:rPr>
        <w:t xml:space="preserve"> are that there is </w:t>
      </w:r>
      <w:r w:rsidR="00001936" w:rsidRPr="00D20922">
        <w:rPr>
          <w:rFonts w:ascii="Arial" w:hAnsi="Arial" w:cs="Arial"/>
          <w:sz w:val="24"/>
          <w:szCs w:val="24"/>
        </w:rPr>
        <w:t>an</w:t>
      </w:r>
      <w:r w:rsidR="0066116E" w:rsidRPr="00D20922">
        <w:rPr>
          <w:rFonts w:ascii="Arial" w:hAnsi="Arial" w:cs="Arial"/>
          <w:sz w:val="24"/>
          <w:szCs w:val="24"/>
        </w:rPr>
        <w:t xml:space="preserve"> intention to create a trust with the use of the words as `shall`</w:t>
      </w:r>
      <w:r w:rsidR="00A41E95" w:rsidRPr="00D20922">
        <w:rPr>
          <w:rFonts w:ascii="Arial" w:hAnsi="Arial" w:cs="Arial"/>
          <w:sz w:val="24"/>
          <w:szCs w:val="24"/>
        </w:rPr>
        <w:t xml:space="preserve">. This word suggests that the trustee is forced to exercise his power. The second issue with the </w:t>
      </w:r>
      <w:r w:rsidR="00B84507" w:rsidRPr="00D20922">
        <w:rPr>
          <w:rFonts w:ascii="Arial" w:hAnsi="Arial" w:cs="Arial"/>
          <w:sz w:val="24"/>
          <w:szCs w:val="24"/>
        </w:rPr>
        <w:t>certainties</w:t>
      </w:r>
      <w:r w:rsidR="00A41E95" w:rsidRPr="00D20922">
        <w:rPr>
          <w:rFonts w:ascii="Arial" w:hAnsi="Arial" w:cs="Arial"/>
          <w:sz w:val="24"/>
          <w:szCs w:val="24"/>
        </w:rPr>
        <w:t xml:space="preserve"> is that with a discretionary trust </w:t>
      </w:r>
      <w:r w:rsidR="00B84507" w:rsidRPr="00D20922">
        <w:rPr>
          <w:rFonts w:ascii="Arial" w:hAnsi="Arial" w:cs="Arial"/>
          <w:sz w:val="24"/>
          <w:szCs w:val="24"/>
        </w:rPr>
        <w:t>contains a class of beneficiaries as demonstrated in the case of McPhail v Doulton (1970) rather than having a certainty of who the beneficiaries are</w:t>
      </w:r>
      <w:r w:rsidR="00877ED5" w:rsidRPr="00D20922">
        <w:rPr>
          <w:rFonts w:ascii="Arial" w:hAnsi="Arial" w:cs="Arial"/>
          <w:sz w:val="24"/>
          <w:szCs w:val="24"/>
        </w:rPr>
        <w:t xml:space="preserve"> </w:t>
      </w:r>
      <w:r w:rsidR="00B84507" w:rsidRPr="00D20922">
        <w:rPr>
          <w:rFonts w:ascii="Arial" w:hAnsi="Arial" w:cs="Arial"/>
          <w:sz w:val="24"/>
          <w:szCs w:val="24"/>
        </w:rPr>
        <w:t>which is demonstrated in an express trust (</w:t>
      </w:r>
      <w:r w:rsidR="00F738EE" w:rsidRPr="00D20922">
        <w:rPr>
          <w:rFonts w:ascii="Arial" w:hAnsi="Arial" w:cs="Arial"/>
          <w:sz w:val="24"/>
          <w:szCs w:val="24"/>
        </w:rPr>
        <w:t>Gardener,2021</w:t>
      </w:r>
      <w:r w:rsidR="00B84507" w:rsidRPr="00D20922">
        <w:rPr>
          <w:rFonts w:ascii="Arial" w:hAnsi="Arial" w:cs="Arial"/>
          <w:sz w:val="24"/>
          <w:szCs w:val="24"/>
        </w:rPr>
        <w:t xml:space="preserve">). </w:t>
      </w:r>
    </w:p>
    <w:p w14:paraId="5F45C6C5" w14:textId="77777777" w:rsidR="00F738EE" w:rsidRPr="00D20922" w:rsidRDefault="00877ED5" w:rsidP="0052279C">
      <w:pPr>
        <w:spacing w:line="256" w:lineRule="auto"/>
        <w:rPr>
          <w:rFonts w:ascii="Arial" w:hAnsi="Arial" w:cs="Arial"/>
          <w:sz w:val="24"/>
          <w:szCs w:val="24"/>
        </w:rPr>
      </w:pPr>
      <w:r w:rsidRPr="00D20922">
        <w:rPr>
          <w:rFonts w:ascii="Arial" w:hAnsi="Arial" w:cs="Arial"/>
          <w:sz w:val="24"/>
          <w:szCs w:val="24"/>
        </w:rPr>
        <w:t xml:space="preserve">The McPhail v Doulton (1970) </w:t>
      </w:r>
      <w:r w:rsidR="008E1064" w:rsidRPr="00D20922">
        <w:rPr>
          <w:rFonts w:ascii="Arial" w:hAnsi="Arial" w:cs="Arial"/>
          <w:sz w:val="24"/>
          <w:szCs w:val="24"/>
        </w:rPr>
        <w:t xml:space="preserve">has relevance to this case because it changed the guidelines of discretionary trust. </w:t>
      </w:r>
      <w:r w:rsidRPr="00D20922">
        <w:rPr>
          <w:rFonts w:ascii="Arial" w:hAnsi="Arial" w:cs="Arial"/>
          <w:sz w:val="24"/>
          <w:szCs w:val="24"/>
        </w:rPr>
        <w:t xml:space="preserve">Prior to this case law, the </w:t>
      </w:r>
      <w:r w:rsidR="008E1064" w:rsidRPr="00D20922">
        <w:rPr>
          <w:rFonts w:ascii="Arial" w:hAnsi="Arial" w:cs="Arial"/>
          <w:sz w:val="24"/>
          <w:szCs w:val="24"/>
        </w:rPr>
        <w:t>law was that for a discretionary trust to be valid a complete list of beneficiaries. However, this case law abolished this and opted for a more `is` or `is not` test instead (</w:t>
      </w:r>
      <w:r w:rsidR="00F738EE" w:rsidRPr="00D20922">
        <w:rPr>
          <w:rFonts w:ascii="Arial" w:hAnsi="Arial" w:cs="Arial"/>
          <w:sz w:val="24"/>
          <w:szCs w:val="24"/>
        </w:rPr>
        <w:t>Helm,2021</w:t>
      </w:r>
      <w:r w:rsidR="008E1064" w:rsidRPr="00D20922">
        <w:rPr>
          <w:rFonts w:ascii="Arial" w:hAnsi="Arial" w:cs="Arial"/>
          <w:sz w:val="24"/>
          <w:szCs w:val="24"/>
        </w:rPr>
        <w:t xml:space="preserve">). The third </w:t>
      </w:r>
      <w:r w:rsidR="00CE3ADA" w:rsidRPr="00D20922">
        <w:rPr>
          <w:rFonts w:ascii="Arial" w:hAnsi="Arial" w:cs="Arial"/>
          <w:sz w:val="24"/>
          <w:szCs w:val="24"/>
        </w:rPr>
        <w:t>certainties</w:t>
      </w:r>
      <w:r w:rsidR="005A776D" w:rsidRPr="00D20922">
        <w:rPr>
          <w:rFonts w:ascii="Arial" w:hAnsi="Arial" w:cs="Arial"/>
          <w:sz w:val="24"/>
          <w:szCs w:val="24"/>
        </w:rPr>
        <w:t xml:space="preserve">, the certainty of objects are the people who inhabit Swansea. Although, this certainty is not entirely clear as there are quite a few people living in Swansea. </w:t>
      </w:r>
      <w:r w:rsidR="0001603F" w:rsidRPr="00D20922">
        <w:rPr>
          <w:rFonts w:ascii="Arial" w:hAnsi="Arial" w:cs="Arial"/>
          <w:sz w:val="24"/>
          <w:szCs w:val="24"/>
        </w:rPr>
        <w:t>T</w:t>
      </w:r>
      <w:r w:rsidR="005A776D" w:rsidRPr="00D20922">
        <w:rPr>
          <w:rFonts w:ascii="Arial" w:hAnsi="Arial" w:cs="Arial"/>
          <w:sz w:val="24"/>
          <w:szCs w:val="24"/>
        </w:rPr>
        <w:t xml:space="preserve">he McPhail v Doulton case also relates here because as held in that case, its clear to see that Simons did not intend for every single person in Swansea to </w:t>
      </w:r>
      <w:r w:rsidR="0001603F" w:rsidRPr="00D20922">
        <w:rPr>
          <w:rFonts w:ascii="Arial" w:hAnsi="Arial" w:cs="Arial"/>
          <w:sz w:val="24"/>
          <w:szCs w:val="24"/>
        </w:rPr>
        <w:t>benefit from the fund but only those that the trustees deem necessary (</w:t>
      </w:r>
      <w:r w:rsidR="00F738EE" w:rsidRPr="00D20922">
        <w:rPr>
          <w:rFonts w:ascii="Arial" w:hAnsi="Arial" w:cs="Arial"/>
          <w:sz w:val="24"/>
          <w:szCs w:val="24"/>
        </w:rPr>
        <w:t>Madison,2021</w:t>
      </w:r>
      <w:r w:rsidR="0001603F" w:rsidRPr="00D20922">
        <w:rPr>
          <w:rFonts w:ascii="Arial" w:hAnsi="Arial" w:cs="Arial"/>
          <w:sz w:val="24"/>
          <w:szCs w:val="24"/>
        </w:rPr>
        <w:t xml:space="preserve">). Furthermore, this trust is likely to fail because </w:t>
      </w:r>
      <w:r w:rsidR="00FD5431" w:rsidRPr="00D20922">
        <w:rPr>
          <w:rFonts w:ascii="Arial" w:hAnsi="Arial" w:cs="Arial"/>
          <w:sz w:val="24"/>
          <w:szCs w:val="24"/>
        </w:rPr>
        <w:t xml:space="preserve">it does not quite satisfy </w:t>
      </w:r>
      <w:r w:rsidR="00074FC7" w:rsidRPr="00D20922">
        <w:rPr>
          <w:rFonts w:ascii="Arial" w:hAnsi="Arial" w:cs="Arial"/>
          <w:sz w:val="24"/>
          <w:szCs w:val="24"/>
        </w:rPr>
        <w:t xml:space="preserve">of object. Although, it could be argued that the term `inhabitants of Swansea` could be argued as a group of certainty. </w:t>
      </w:r>
    </w:p>
    <w:p w14:paraId="59D871BF" w14:textId="67551441" w:rsidR="004D10EF" w:rsidRPr="00D20922" w:rsidRDefault="00074FC7" w:rsidP="00A02995">
      <w:pPr>
        <w:spacing w:line="256" w:lineRule="auto"/>
        <w:rPr>
          <w:rFonts w:ascii="Arial" w:hAnsi="Arial" w:cs="Arial"/>
          <w:i/>
          <w:iCs/>
          <w:sz w:val="24"/>
          <w:szCs w:val="24"/>
        </w:rPr>
      </w:pPr>
      <w:r w:rsidRPr="00D20922">
        <w:rPr>
          <w:rFonts w:ascii="Arial" w:hAnsi="Arial" w:cs="Arial"/>
          <w:sz w:val="24"/>
          <w:szCs w:val="24"/>
        </w:rPr>
        <w:t>To improve the prospect of the disposition being upheld, Simon could have been more specific when</w:t>
      </w:r>
      <w:r w:rsidR="006857CD" w:rsidRPr="00D20922">
        <w:rPr>
          <w:rFonts w:ascii="Arial" w:hAnsi="Arial" w:cs="Arial"/>
          <w:sz w:val="24"/>
          <w:szCs w:val="24"/>
        </w:rPr>
        <w:t xml:space="preserve"> issuing his Will as `inhabitants of Swansea` i</w:t>
      </w:r>
      <w:r w:rsidR="00681AEC" w:rsidRPr="00D20922">
        <w:rPr>
          <w:rFonts w:ascii="Arial" w:hAnsi="Arial" w:cs="Arial"/>
          <w:sz w:val="24"/>
          <w:szCs w:val="24"/>
        </w:rPr>
        <w:t>s not specific (</w:t>
      </w:r>
      <w:r w:rsidR="00F738EE" w:rsidRPr="00D20922">
        <w:rPr>
          <w:rFonts w:ascii="Arial" w:hAnsi="Arial" w:cs="Arial"/>
          <w:sz w:val="24"/>
          <w:szCs w:val="24"/>
        </w:rPr>
        <w:t>Merriam-Webster,2021</w:t>
      </w:r>
      <w:r w:rsidR="00681AEC" w:rsidRPr="00D20922">
        <w:rPr>
          <w:rFonts w:ascii="Arial" w:hAnsi="Arial" w:cs="Arial"/>
          <w:sz w:val="24"/>
          <w:szCs w:val="24"/>
        </w:rPr>
        <w:t>)</w:t>
      </w:r>
      <w:r w:rsidR="00A56334" w:rsidRPr="00D20922">
        <w:rPr>
          <w:rFonts w:ascii="Arial" w:hAnsi="Arial" w:cs="Arial"/>
          <w:sz w:val="24"/>
          <w:szCs w:val="24"/>
        </w:rPr>
        <w:t xml:space="preserve">. </w:t>
      </w:r>
      <w:r w:rsidR="0052279C" w:rsidRPr="00D20922">
        <w:rPr>
          <w:rFonts w:ascii="Arial" w:hAnsi="Arial" w:cs="Arial"/>
          <w:sz w:val="24"/>
          <w:szCs w:val="24"/>
        </w:rPr>
        <w:t>The term `inhabitants of Swansea` is conceptual uncertainty. This is caused because it is impossible for the trustee to know precisely who fall within the class even with having all the relevant facts such as the people who live in Swansea. This causes uncertainty similar in the McPhail v Doulton case because Simon did not intend for every person living in Swansea to benefit from his trust.</w:t>
      </w:r>
      <w:r w:rsidR="001B0E9C" w:rsidRPr="00D20922">
        <w:rPr>
          <w:rFonts w:ascii="Arial" w:hAnsi="Arial" w:cs="Arial"/>
          <w:sz w:val="24"/>
          <w:szCs w:val="24"/>
        </w:rPr>
        <w:t xml:space="preserve"> It is administratively unworkable to distribute small amounts to the people of Swansea. This can be demonstrated in the case law of</w:t>
      </w:r>
      <w:r w:rsidR="00A02995" w:rsidRPr="00D20922">
        <w:rPr>
          <w:rFonts w:ascii="Arial" w:hAnsi="Arial" w:cs="Arial"/>
          <w:color w:val="000000"/>
          <w:sz w:val="24"/>
          <w:szCs w:val="24"/>
          <w:shd w:val="clear" w:color="auto" w:fill="FFFFFF"/>
        </w:rPr>
        <w:t xml:space="preserve"> R v District Auditor of West Yorkshire MCC</w:t>
      </w:r>
      <w:r w:rsidR="001B0E9C" w:rsidRPr="00D20922">
        <w:rPr>
          <w:rFonts w:ascii="Arial" w:hAnsi="Arial" w:cs="Arial"/>
          <w:color w:val="000000"/>
          <w:sz w:val="24"/>
          <w:szCs w:val="24"/>
          <w:shd w:val="clear" w:color="auto" w:fill="FFFFFF"/>
        </w:rPr>
        <w:t xml:space="preserve">. It can </w:t>
      </w:r>
      <w:r w:rsidR="00B42E55" w:rsidRPr="00D20922">
        <w:rPr>
          <w:rFonts w:ascii="Arial" w:hAnsi="Arial" w:cs="Arial"/>
          <w:color w:val="000000"/>
          <w:sz w:val="24"/>
          <w:szCs w:val="24"/>
          <w:shd w:val="clear" w:color="auto" w:fill="FFFFFF"/>
        </w:rPr>
        <w:t>demonstrate</w:t>
      </w:r>
      <w:r w:rsidR="00A02995" w:rsidRPr="00D20922">
        <w:rPr>
          <w:rFonts w:ascii="Arial" w:hAnsi="Arial" w:cs="Arial"/>
          <w:color w:val="000000"/>
          <w:sz w:val="24"/>
          <w:szCs w:val="24"/>
          <w:shd w:val="clear" w:color="auto" w:fill="FFFFFF"/>
        </w:rPr>
        <w:t xml:space="preserve"> in </w:t>
      </w:r>
      <w:r w:rsidR="001B0E9C" w:rsidRPr="00D20922">
        <w:rPr>
          <w:rFonts w:ascii="Arial" w:hAnsi="Arial" w:cs="Arial"/>
          <w:color w:val="000000"/>
          <w:sz w:val="24"/>
          <w:szCs w:val="24"/>
          <w:shd w:val="clear" w:color="auto" w:fill="FFFFFF"/>
        </w:rPr>
        <w:t>this</w:t>
      </w:r>
      <w:r w:rsidR="00A02995" w:rsidRPr="00D20922">
        <w:rPr>
          <w:rFonts w:ascii="Arial" w:hAnsi="Arial" w:cs="Arial"/>
          <w:color w:val="000000"/>
          <w:sz w:val="24"/>
          <w:szCs w:val="24"/>
          <w:shd w:val="clear" w:color="auto" w:fill="FFFFFF"/>
        </w:rPr>
        <w:t xml:space="preserve"> case </w:t>
      </w:r>
      <w:r w:rsidR="001B0E9C" w:rsidRPr="00D20922">
        <w:rPr>
          <w:rFonts w:ascii="Arial" w:hAnsi="Arial" w:cs="Arial"/>
          <w:color w:val="000000"/>
          <w:sz w:val="24"/>
          <w:szCs w:val="24"/>
          <w:shd w:val="clear" w:color="auto" w:fill="FFFFFF"/>
        </w:rPr>
        <w:t>similar to Simons Will, the council wanted to create a discretionary trust</w:t>
      </w:r>
      <w:r w:rsidR="00B42E55" w:rsidRPr="00D20922">
        <w:rPr>
          <w:rFonts w:ascii="Arial" w:hAnsi="Arial" w:cs="Arial"/>
          <w:color w:val="000000"/>
          <w:sz w:val="24"/>
          <w:szCs w:val="24"/>
          <w:shd w:val="clear" w:color="auto" w:fill="FFFFFF"/>
        </w:rPr>
        <w:t xml:space="preserve"> (Ghosh,2016)</w:t>
      </w:r>
      <w:r w:rsidR="001B0E9C" w:rsidRPr="00D20922">
        <w:rPr>
          <w:rFonts w:ascii="Arial" w:hAnsi="Arial" w:cs="Arial"/>
          <w:color w:val="000000"/>
          <w:sz w:val="24"/>
          <w:szCs w:val="24"/>
          <w:shd w:val="clear" w:color="auto" w:fill="FFFFFF"/>
        </w:rPr>
        <w:t xml:space="preserve">. However, </w:t>
      </w:r>
      <w:r w:rsidR="00B42E55" w:rsidRPr="00D20922">
        <w:rPr>
          <w:rFonts w:ascii="Arial" w:hAnsi="Arial" w:cs="Arial"/>
          <w:color w:val="000000"/>
          <w:sz w:val="24"/>
          <w:szCs w:val="24"/>
          <w:shd w:val="clear" w:color="auto" w:fill="FFFFFF"/>
        </w:rPr>
        <w:t xml:space="preserve">it was held invalid </w:t>
      </w:r>
      <w:r w:rsidR="00B42E55" w:rsidRPr="00D20922">
        <w:rPr>
          <w:rFonts w:ascii="Arial" w:hAnsi="Arial" w:cs="Arial"/>
          <w:color w:val="000000"/>
          <w:sz w:val="24"/>
          <w:szCs w:val="24"/>
          <w:shd w:val="clear" w:color="auto" w:fill="FFFFFF"/>
        </w:rPr>
        <w:lastRenderedPageBreak/>
        <w:t xml:space="preserve">because it was administratively unworkable; this is similar to what Simon wanted in his Will. </w:t>
      </w:r>
      <w:r w:rsidR="00493C41" w:rsidRPr="00D20922">
        <w:rPr>
          <w:rFonts w:ascii="Arial" w:hAnsi="Arial" w:cs="Arial"/>
          <w:color w:val="000000"/>
          <w:sz w:val="24"/>
          <w:szCs w:val="24"/>
          <w:shd w:val="clear" w:color="auto" w:fill="FFFFFF"/>
        </w:rPr>
        <w:t xml:space="preserve">Should this </w:t>
      </w:r>
      <w:r w:rsidR="00E30AD3" w:rsidRPr="00D20922">
        <w:rPr>
          <w:rFonts w:ascii="Arial" w:hAnsi="Arial" w:cs="Arial"/>
          <w:color w:val="000000"/>
          <w:sz w:val="24"/>
          <w:szCs w:val="24"/>
          <w:shd w:val="clear" w:color="auto" w:fill="FFFFFF"/>
        </w:rPr>
        <w:t>fail,</w:t>
      </w:r>
      <w:r w:rsidR="00493C41" w:rsidRPr="00D20922">
        <w:rPr>
          <w:rFonts w:ascii="Arial" w:hAnsi="Arial" w:cs="Arial"/>
          <w:color w:val="000000"/>
          <w:sz w:val="24"/>
          <w:szCs w:val="24"/>
          <w:shd w:val="clear" w:color="auto" w:fill="FFFFFF"/>
        </w:rPr>
        <w:t xml:space="preserve"> the money would return back into re</w:t>
      </w:r>
      <w:r w:rsidR="00E30AD3" w:rsidRPr="00D20922">
        <w:rPr>
          <w:rFonts w:ascii="Arial" w:hAnsi="Arial" w:cs="Arial"/>
          <w:color w:val="000000"/>
          <w:sz w:val="24"/>
          <w:szCs w:val="24"/>
          <w:shd w:val="clear" w:color="auto" w:fill="FFFFFF"/>
        </w:rPr>
        <w:t>sidue.</w:t>
      </w:r>
    </w:p>
    <w:p w14:paraId="2054C181" w14:textId="142E0E44" w:rsidR="00593438" w:rsidRPr="00D20922" w:rsidRDefault="004D10EF" w:rsidP="004D10EF">
      <w:pPr>
        <w:spacing w:line="256" w:lineRule="auto"/>
        <w:rPr>
          <w:rFonts w:ascii="Arial" w:hAnsi="Arial" w:cs="Arial"/>
          <w:sz w:val="24"/>
          <w:szCs w:val="24"/>
        </w:rPr>
      </w:pPr>
      <w:r w:rsidRPr="00D20922">
        <w:rPr>
          <w:rFonts w:ascii="Arial" w:hAnsi="Arial" w:cs="Arial"/>
          <w:sz w:val="24"/>
          <w:szCs w:val="24"/>
        </w:rPr>
        <w:t xml:space="preserve">E) The conceptual and evidential certainty are present in this case because it can be quite difficult to ascertain the member of a class or in this case any with a moral claim on Simons. This is due to there being insufficient evidence of whether these people are indeed member of the class that has a moral claim on Simon. This is evidential uncertainty because it would be difficult to know with certainty that these people had a relationship with Simon. </w:t>
      </w:r>
      <w:r w:rsidR="00593438" w:rsidRPr="00D20922">
        <w:rPr>
          <w:rFonts w:ascii="Arial" w:hAnsi="Arial" w:cs="Arial"/>
          <w:sz w:val="24"/>
          <w:szCs w:val="24"/>
        </w:rPr>
        <w:t>Comparing this to the Re Gulbenkian`s case</w:t>
      </w:r>
      <w:r w:rsidR="008B0CE7" w:rsidRPr="00D20922">
        <w:rPr>
          <w:rFonts w:ascii="Arial" w:hAnsi="Arial" w:cs="Arial"/>
          <w:sz w:val="24"/>
          <w:szCs w:val="24"/>
        </w:rPr>
        <w:t xml:space="preserve">, it stated what was to happen to the money and this satisfied the `is or is not` test; a list was </w:t>
      </w:r>
      <w:r w:rsidR="007D6574" w:rsidRPr="00D20922">
        <w:rPr>
          <w:rFonts w:ascii="Arial" w:hAnsi="Arial" w:cs="Arial"/>
          <w:sz w:val="24"/>
          <w:szCs w:val="24"/>
        </w:rPr>
        <w:t>provided but</w:t>
      </w:r>
      <w:r w:rsidR="008B0CE7" w:rsidRPr="00D20922">
        <w:rPr>
          <w:rFonts w:ascii="Arial" w:hAnsi="Arial" w:cs="Arial"/>
          <w:sz w:val="24"/>
          <w:szCs w:val="24"/>
        </w:rPr>
        <w:t xml:space="preserve"> Simon trust does not. </w:t>
      </w:r>
    </w:p>
    <w:p w14:paraId="5F90883F" w14:textId="6E9037B2" w:rsidR="004D10EF" w:rsidRPr="00D20922" w:rsidRDefault="00517517" w:rsidP="004D10EF">
      <w:pPr>
        <w:spacing w:line="256" w:lineRule="auto"/>
        <w:rPr>
          <w:rFonts w:ascii="Arial" w:hAnsi="Arial" w:cs="Arial"/>
          <w:sz w:val="24"/>
          <w:szCs w:val="24"/>
        </w:rPr>
      </w:pPr>
      <w:r w:rsidRPr="00D20922">
        <w:rPr>
          <w:rFonts w:ascii="Arial" w:hAnsi="Arial" w:cs="Arial"/>
          <w:sz w:val="24"/>
          <w:szCs w:val="24"/>
        </w:rPr>
        <w:t xml:space="preserve">This </w:t>
      </w:r>
      <w:r w:rsidR="004D10EF" w:rsidRPr="00D20922">
        <w:rPr>
          <w:rFonts w:ascii="Arial" w:hAnsi="Arial" w:cs="Arial"/>
          <w:sz w:val="24"/>
          <w:szCs w:val="24"/>
        </w:rPr>
        <w:t>further providing conceptual uncertainty (</w:t>
      </w:r>
      <w:r w:rsidR="00086FB9" w:rsidRPr="00D20922">
        <w:rPr>
          <w:rFonts w:ascii="Arial" w:hAnsi="Arial" w:cs="Arial"/>
          <w:sz w:val="24"/>
          <w:szCs w:val="24"/>
        </w:rPr>
        <w:t>Wilde,2020</w:t>
      </w:r>
      <w:r w:rsidR="004D10EF" w:rsidRPr="00D20922">
        <w:rPr>
          <w:rFonts w:ascii="Arial" w:hAnsi="Arial" w:cs="Arial"/>
          <w:sz w:val="24"/>
          <w:szCs w:val="24"/>
        </w:rPr>
        <w:t xml:space="preserve">). Listing someone with a moral obligation was listed as an example of conceptual uncertainty by Megarry J in the Re Lloyd`s Trust instrument (1970). Although Simon cured this by adding the opinion of Walter to settle this matter, this can be seen in the Re Leek [1969] case. </w:t>
      </w:r>
    </w:p>
    <w:p w14:paraId="03D0378C" w14:textId="32CB93D8" w:rsidR="00C83C35" w:rsidRPr="00D20922" w:rsidRDefault="000A505C" w:rsidP="00242D75">
      <w:pPr>
        <w:spacing w:line="256" w:lineRule="auto"/>
        <w:rPr>
          <w:rFonts w:ascii="Arial" w:hAnsi="Arial" w:cs="Arial"/>
          <w:sz w:val="24"/>
          <w:szCs w:val="24"/>
        </w:rPr>
      </w:pPr>
      <w:r w:rsidRPr="00D20922">
        <w:rPr>
          <w:rFonts w:ascii="Arial" w:hAnsi="Arial" w:cs="Arial"/>
          <w:sz w:val="24"/>
          <w:szCs w:val="24"/>
        </w:rPr>
        <w:t xml:space="preserve">It is not very clear </w:t>
      </w:r>
      <w:r w:rsidR="004D10EF" w:rsidRPr="00D20922">
        <w:rPr>
          <w:rFonts w:ascii="Arial" w:hAnsi="Arial" w:cs="Arial"/>
          <w:sz w:val="24"/>
          <w:szCs w:val="24"/>
        </w:rPr>
        <w:t xml:space="preserve">what Simon was concerned to achieve </w:t>
      </w:r>
      <w:r w:rsidRPr="00D20922">
        <w:rPr>
          <w:rFonts w:ascii="Arial" w:hAnsi="Arial" w:cs="Arial"/>
          <w:sz w:val="24"/>
          <w:szCs w:val="24"/>
        </w:rPr>
        <w:t xml:space="preserve">because </w:t>
      </w:r>
      <w:r w:rsidR="004D10EF" w:rsidRPr="00D20922">
        <w:rPr>
          <w:rFonts w:ascii="Arial" w:hAnsi="Arial" w:cs="Arial"/>
          <w:sz w:val="24"/>
          <w:szCs w:val="24"/>
        </w:rPr>
        <w:t xml:space="preserve">by stating such person or person, it does not provide certainty. This is because </w:t>
      </w:r>
      <w:r w:rsidRPr="00D20922">
        <w:rPr>
          <w:rFonts w:ascii="Arial" w:hAnsi="Arial" w:cs="Arial"/>
          <w:sz w:val="24"/>
          <w:szCs w:val="24"/>
        </w:rPr>
        <w:t xml:space="preserve">anyone can claim to a moral claim towards someone. </w:t>
      </w:r>
      <w:r w:rsidR="004D10EF" w:rsidRPr="00D20922">
        <w:rPr>
          <w:rFonts w:ascii="Arial" w:hAnsi="Arial" w:cs="Arial"/>
          <w:sz w:val="24"/>
          <w:szCs w:val="24"/>
        </w:rPr>
        <w:t>This could cause the trust to fail</w:t>
      </w:r>
      <w:r w:rsidR="00465A79" w:rsidRPr="00D20922">
        <w:rPr>
          <w:rFonts w:ascii="Arial" w:hAnsi="Arial" w:cs="Arial"/>
          <w:sz w:val="24"/>
          <w:szCs w:val="24"/>
        </w:rPr>
        <w:t xml:space="preserve"> because it does not provide a clear certainty of who may have a claim. </w:t>
      </w:r>
      <w:r w:rsidR="00086FB9" w:rsidRPr="00D20922">
        <w:rPr>
          <w:rFonts w:ascii="Arial" w:hAnsi="Arial" w:cs="Arial"/>
          <w:sz w:val="24"/>
          <w:szCs w:val="24"/>
        </w:rPr>
        <w:t>The class `persons with a moral claim</w:t>
      </w:r>
      <w:r w:rsidR="00672C9E" w:rsidRPr="00D20922">
        <w:rPr>
          <w:rFonts w:ascii="Arial" w:hAnsi="Arial" w:cs="Arial"/>
          <w:sz w:val="24"/>
          <w:szCs w:val="24"/>
        </w:rPr>
        <w:t>` does</w:t>
      </w:r>
      <w:r w:rsidR="00086FB9" w:rsidRPr="00D20922">
        <w:rPr>
          <w:rFonts w:ascii="Arial" w:hAnsi="Arial" w:cs="Arial"/>
          <w:sz w:val="24"/>
          <w:szCs w:val="24"/>
        </w:rPr>
        <w:t xml:space="preserve"> not meet the test because there is no evidence of what the settlor meant by these words. </w:t>
      </w:r>
      <w:r w:rsidR="001E0641" w:rsidRPr="00D20922">
        <w:rPr>
          <w:rFonts w:ascii="Arial" w:hAnsi="Arial" w:cs="Arial"/>
          <w:sz w:val="24"/>
          <w:szCs w:val="24"/>
        </w:rPr>
        <w:t>When compared to the case law of Re Tuck [1978]</w:t>
      </w:r>
      <w:r w:rsidR="00C83C35" w:rsidRPr="00D20922">
        <w:rPr>
          <w:rFonts w:ascii="Arial" w:hAnsi="Arial" w:cs="Arial"/>
          <w:sz w:val="24"/>
          <w:szCs w:val="24"/>
        </w:rPr>
        <w:t xml:space="preserve"> </w:t>
      </w:r>
      <w:r w:rsidR="00AA637D" w:rsidRPr="00D20922">
        <w:rPr>
          <w:rFonts w:ascii="Arial" w:hAnsi="Arial" w:cs="Arial"/>
          <w:sz w:val="24"/>
          <w:szCs w:val="24"/>
        </w:rPr>
        <w:t xml:space="preserve">it had </w:t>
      </w:r>
      <w:r w:rsidR="001E0641" w:rsidRPr="00D20922">
        <w:rPr>
          <w:rFonts w:ascii="Arial" w:hAnsi="Arial" w:cs="Arial"/>
          <w:sz w:val="24"/>
          <w:szCs w:val="24"/>
        </w:rPr>
        <w:t>set rules that must have been met in order to receive the income</w:t>
      </w:r>
      <w:r w:rsidR="00AA637D" w:rsidRPr="00D20922">
        <w:rPr>
          <w:rFonts w:ascii="Arial" w:hAnsi="Arial" w:cs="Arial"/>
          <w:sz w:val="24"/>
          <w:szCs w:val="24"/>
        </w:rPr>
        <w:t>; this was also overseen by a Rabbi. The court held the Trust to be valid because the Rabbi was a professional that could determine who fitted the criteria</w:t>
      </w:r>
      <w:r w:rsidR="00C83C35" w:rsidRPr="00D20922">
        <w:rPr>
          <w:rFonts w:ascii="Arial" w:hAnsi="Arial" w:cs="Arial"/>
          <w:sz w:val="24"/>
          <w:szCs w:val="24"/>
        </w:rPr>
        <w:t xml:space="preserve"> (</w:t>
      </w:r>
      <w:r w:rsidR="00B821F5" w:rsidRPr="00D20922">
        <w:rPr>
          <w:rFonts w:ascii="Arial" w:hAnsi="Arial" w:cs="Arial"/>
          <w:sz w:val="24"/>
          <w:szCs w:val="24"/>
        </w:rPr>
        <w:t>Jones,2021</w:t>
      </w:r>
      <w:r w:rsidR="00C83C35" w:rsidRPr="00D20922">
        <w:rPr>
          <w:rFonts w:ascii="Arial" w:hAnsi="Arial" w:cs="Arial"/>
          <w:sz w:val="24"/>
          <w:szCs w:val="24"/>
        </w:rPr>
        <w:t>)</w:t>
      </w:r>
      <w:r w:rsidR="00AA637D" w:rsidRPr="00D20922">
        <w:rPr>
          <w:rFonts w:ascii="Arial" w:hAnsi="Arial" w:cs="Arial"/>
          <w:sz w:val="24"/>
          <w:szCs w:val="24"/>
        </w:rPr>
        <w:t xml:space="preserve">. </w:t>
      </w:r>
    </w:p>
    <w:p w14:paraId="0B9DCC96" w14:textId="7E84A4DB" w:rsidR="00086FB9" w:rsidRPr="00D20922" w:rsidRDefault="00C83C35" w:rsidP="00242D75">
      <w:pPr>
        <w:spacing w:line="256" w:lineRule="auto"/>
        <w:rPr>
          <w:rFonts w:ascii="Arial" w:hAnsi="Arial" w:cs="Arial"/>
          <w:sz w:val="24"/>
          <w:szCs w:val="24"/>
        </w:rPr>
      </w:pPr>
      <w:r w:rsidRPr="00D20922">
        <w:rPr>
          <w:rFonts w:ascii="Arial" w:hAnsi="Arial" w:cs="Arial"/>
          <w:sz w:val="24"/>
          <w:szCs w:val="24"/>
        </w:rPr>
        <w:t>Although, it is not clear what Simon was trying to achieve when leaving money to some with a `moral claim` on him.</w:t>
      </w:r>
      <w:r w:rsidR="00AA637D" w:rsidRPr="00D20922">
        <w:rPr>
          <w:rFonts w:ascii="Arial" w:hAnsi="Arial" w:cs="Arial"/>
          <w:sz w:val="24"/>
          <w:szCs w:val="24"/>
        </w:rPr>
        <w:t xml:space="preserve"> Walter </w:t>
      </w:r>
      <w:r w:rsidRPr="00D20922">
        <w:rPr>
          <w:rFonts w:ascii="Arial" w:hAnsi="Arial" w:cs="Arial"/>
          <w:sz w:val="24"/>
          <w:szCs w:val="24"/>
        </w:rPr>
        <w:t xml:space="preserve">like the Rabbi </w:t>
      </w:r>
      <w:r w:rsidR="00AA637D" w:rsidRPr="00D20922">
        <w:rPr>
          <w:rFonts w:ascii="Arial" w:hAnsi="Arial" w:cs="Arial"/>
          <w:sz w:val="24"/>
          <w:szCs w:val="24"/>
        </w:rPr>
        <w:t xml:space="preserve">would be </w:t>
      </w:r>
      <w:r w:rsidRPr="00D20922">
        <w:rPr>
          <w:rFonts w:ascii="Arial" w:hAnsi="Arial" w:cs="Arial"/>
          <w:sz w:val="24"/>
          <w:szCs w:val="24"/>
        </w:rPr>
        <w:t xml:space="preserve">the </w:t>
      </w:r>
      <w:r w:rsidR="00AA637D" w:rsidRPr="00D20922">
        <w:rPr>
          <w:rFonts w:ascii="Arial" w:hAnsi="Arial" w:cs="Arial"/>
          <w:sz w:val="24"/>
          <w:szCs w:val="24"/>
        </w:rPr>
        <w:t xml:space="preserve">perfect person for the job because Walter is Simons best friend. Walter would know </w:t>
      </w:r>
      <w:r w:rsidRPr="00D20922">
        <w:rPr>
          <w:rFonts w:ascii="Arial" w:hAnsi="Arial" w:cs="Arial"/>
          <w:sz w:val="24"/>
          <w:szCs w:val="24"/>
        </w:rPr>
        <w:t xml:space="preserve">better than anyone if someone had a `moral claim` on Simon; presuming that they shared everything with each other. </w:t>
      </w:r>
      <w:r w:rsidR="00593438" w:rsidRPr="00D20922">
        <w:rPr>
          <w:rFonts w:ascii="Arial" w:hAnsi="Arial" w:cs="Arial"/>
          <w:sz w:val="24"/>
          <w:szCs w:val="24"/>
        </w:rPr>
        <w:t xml:space="preserve">However, </w:t>
      </w:r>
      <w:r w:rsidR="00A963B7" w:rsidRPr="00D20922">
        <w:rPr>
          <w:rFonts w:ascii="Arial" w:hAnsi="Arial" w:cs="Arial"/>
          <w:sz w:val="24"/>
          <w:szCs w:val="24"/>
        </w:rPr>
        <w:t>there</w:t>
      </w:r>
      <w:r w:rsidR="00593438" w:rsidRPr="00D20922">
        <w:rPr>
          <w:rFonts w:ascii="Arial" w:hAnsi="Arial" w:cs="Arial"/>
          <w:sz w:val="24"/>
          <w:szCs w:val="24"/>
        </w:rPr>
        <w:t xml:space="preserve"> is also reasonable doubt that Walter would be able to determine whether someone had a moral claim on Simon, because different people will define a moral claim differently.</w:t>
      </w:r>
    </w:p>
    <w:p w14:paraId="6B0EEB92" w14:textId="53AE9473" w:rsidR="00242D75" w:rsidRPr="00D20922" w:rsidRDefault="00242D75" w:rsidP="00242D75">
      <w:pPr>
        <w:spacing w:line="256" w:lineRule="auto"/>
        <w:rPr>
          <w:rFonts w:ascii="Arial" w:hAnsi="Arial" w:cs="Arial"/>
          <w:sz w:val="24"/>
          <w:szCs w:val="24"/>
        </w:rPr>
      </w:pPr>
      <w:r w:rsidRPr="00D20922">
        <w:rPr>
          <w:rFonts w:ascii="Arial" w:hAnsi="Arial" w:cs="Arial"/>
          <w:sz w:val="24"/>
          <w:szCs w:val="24"/>
        </w:rPr>
        <w:t>This is a residuary gift and if this gift was to fail, the residue would either be settled back into the estate. Meaning, the trustee would have to decide to then equally between the remaining relations. However, it is more than likely that if this fails the residue would go to the crown. This is because if no other relatives are found, the person estate will give to the crown (</w:t>
      </w:r>
      <w:r w:rsidR="007D6574" w:rsidRPr="00D20922">
        <w:rPr>
          <w:rFonts w:ascii="Arial" w:hAnsi="Arial" w:cs="Arial"/>
          <w:sz w:val="24"/>
          <w:szCs w:val="24"/>
        </w:rPr>
        <w:t>RCS,2021</w:t>
      </w:r>
      <w:r w:rsidRPr="00D20922">
        <w:rPr>
          <w:rFonts w:ascii="Arial" w:hAnsi="Arial" w:cs="Arial"/>
          <w:sz w:val="24"/>
          <w:szCs w:val="24"/>
        </w:rPr>
        <w:t xml:space="preserve">). </w:t>
      </w:r>
    </w:p>
    <w:p w14:paraId="1AD47C87" w14:textId="3670250C" w:rsidR="00465A79" w:rsidRPr="00D20922" w:rsidRDefault="00465A79" w:rsidP="00465A79">
      <w:pPr>
        <w:spacing w:line="256" w:lineRule="auto"/>
        <w:rPr>
          <w:rFonts w:ascii="Arial" w:hAnsi="Arial" w:cs="Arial"/>
          <w:sz w:val="24"/>
          <w:szCs w:val="24"/>
        </w:rPr>
      </w:pPr>
    </w:p>
    <w:p w14:paraId="2A9412EE" w14:textId="64BA1797" w:rsidR="004255E0" w:rsidRPr="00D20922" w:rsidRDefault="004255E0" w:rsidP="004255E0">
      <w:pPr>
        <w:spacing w:line="256" w:lineRule="auto"/>
        <w:rPr>
          <w:rFonts w:ascii="Arial" w:hAnsi="Arial" w:cs="Arial"/>
          <w:sz w:val="24"/>
          <w:szCs w:val="24"/>
        </w:rPr>
      </w:pPr>
    </w:p>
    <w:p w14:paraId="6E201B3D" w14:textId="77777777" w:rsidR="004D10EF" w:rsidRPr="00D20922" w:rsidRDefault="004D10EF" w:rsidP="004D10EF">
      <w:pPr>
        <w:spacing w:line="256" w:lineRule="auto"/>
        <w:rPr>
          <w:rFonts w:ascii="Arial" w:hAnsi="Arial" w:cs="Arial"/>
          <w:sz w:val="24"/>
          <w:szCs w:val="24"/>
        </w:rPr>
      </w:pPr>
    </w:p>
    <w:p w14:paraId="77A79B9A" w14:textId="01E937D1" w:rsidR="00006B5F" w:rsidRPr="00D20922" w:rsidRDefault="00006B5F" w:rsidP="00DB555D">
      <w:pPr>
        <w:pStyle w:val="ListParagraph"/>
        <w:spacing w:after="160" w:line="256" w:lineRule="auto"/>
        <w:ind w:left="1080"/>
        <w:rPr>
          <w:rFonts w:ascii="Arial" w:hAnsi="Arial" w:cs="Arial"/>
          <w:sz w:val="24"/>
          <w:szCs w:val="24"/>
        </w:rPr>
      </w:pPr>
    </w:p>
    <w:p w14:paraId="5407018E" w14:textId="54748033" w:rsidR="00454869" w:rsidRPr="00D20922" w:rsidRDefault="00454869" w:rsidP="00454869">
      <w:pPr>
        <w:pStyle w:val="ListParagraph"/>
        <w:spacing w:after="160" w:line="256" w:lineRule="auto"/>
        <w:ind w:left="1080"/>
        <w:rPr>
          <w:rFonts w:ascii="Arial" w:hAnsi="Arial" w:cs="Arial"/>
          <w:sz w:val="24"/>
          <w:szCs w:val="24"/>
        </w:rPr>
      </w:pPr>
    </w:p>
    <w:p w14:paraId="5DD1D304" w14:textId="166F6CB9" w:rsidR="002701D6" w:rsidRPr="00D20922" w:rsidRDefault="002701D6" w:rsidP="00242D75">
      <w:pPr>
        <w:pStyle w:val="ListParagraph"/>
        <w:spacing w:after="160" w:line="256" w:lineRule="auto"/>
        <w:ind w:left="1080"/>
        <w:rPr>
          <w:rFonts w:ascii="Arial" w:hAnsi="Arial" w:cs="Arial"/>
          <w:sz w:val="24"/>
          <w:szCs w:val="24"/>
        </w:rPr>
      </w:pPr>
    </w:p>
    <w:p w14:paraId="4676F4D9" w14:textId="5C9BFDF3" w:rsidR="002256AC" w:rsidRPr="00D20922" w:rsidRDefault="002256AC" w:rsidP="002256AC">
      <w:pPr>
        <w:pStyle w:val="ListParagraph"/>
        <w:spacing w:after="160" w:line="256" w:lineRule="auto"/>
        <w:rPr>
          <w:rFonts w:ascii="Arial" w:hAnsi="Arial" w:cs="Arial"/>
          <w:sz w:val="24"/>
          <w:szCs w:val="24"/>
        </w:rPr>
      </w:pPr>
    </w:p>
    <w:p w14:paraId="676A3A4D" w14:textId="77777777" w:rsidR="002256AC" w:rsidRPr="00D20922" w:rsidRDefault="002256AC" w:rsidP="002256AC">
      <w:pPr>
        <w:pStyle w:val="ListParagraph"/>
        <w:spacing w:after="160" w:line="256" w:lineRule="auto"/>
        <w:rPr>
          <w:rFonts w:ascii="Arial" w:hAnsi="Arial" w:cs="Arial"/>
          <w:sz w:val="24"/>
          <w:szCs w:val="24"/>
          <w:u w:val="single"/>
        </w:rPr>
      </w:pPr>
    </w:p>
    <w:p w14:paraId="0C63F610" w14:textId="44D1C968" w:rsidR="009B47BF" w:rsidRPr="00D20922" w:rsidRDefault="00F55E9D" w:rsidP="00554687">
      <w:pPr>
        <w:tabs>
          <w:tab w:val="left" w:pos="1250"/>
        </w:tabs>
        <w:rPr>
          <w:rFonts w:ascii="Arial" w:hAnsi="Arial" w:cs="Arial"/>
          <w:b/>
          <w:bCs/>
          <w:sz w:val="24"/>
          <w:szCs w:val="24"/>
          <w:u w:val="single"/>
        </w:rPr>
      </w:pPr>
      <w:r w:rsidRPr="00D20922">
        <w:rPr>
          <w:rFonts w:ascii="Arial" w:hAnsi="Arial" w:cs="Arial"/>
          <w:b/>
          <w:bCs/>
          <w:sz w:val="24"/>
          <w:szCs w:val="24"/>
          <w:u w:val="single"/>
        </w:rPr>
        <w:t>Reference</w:t>
      </w:r>
    </w:p>
    <w:p w14:paraId="77E93212" w14:textId="15A36509" w:rsidR="00A963B7" w:rsidRPr="00D20922" w:rsidRDefault="00A963B7" w:rsidP="00554687">
      <w:pPr>
        <w:tabs>
          <w:tab w:val="left" w:pos="1250"/>
        </w:tabs>
        <w:rPr>
          <w:rFonts w:ascii="Arial" w:hAnsi="Arial" w:cs="Arial"/>
          <w:sz w:val="24"/>
          <w:szCs w:val="24"/>
        </w:rPr>
      </w:pPr>
      <w:r w:rsidRPr="00D20922">
        <w:rPr>
          <w:rFonts w:ascii="Arial" w:hAnsi="Arial" w:cs="Arial"/>
          <w:sz w:val="24"/>
          <w:szCs w:val="24"/>
        </w:rPr>
        <w:t xml:space="preserve">Bryan, R (2019) What is the beneficiary </w:t>
      </w:r>
      <w:r w:rsidR="009A5F0B" w:rsidRPr="00D20922">
        <w:rPr>
          <w:rFonts w:ascii="Arial" w:hAnsi="Arial" w:cs="Arial"/>
          <w:sz w:val="24"/>
          <w:szCs w:val="24"/>
        </w:rPr>
        <w:t>principal</w:t>
      </w:r>
      <w:r w:rsidRPr="00D20922">
        <w:rPr>
          <w:rFonts w:ascii="Arial" w:hAnsi="Arial" w:cs="Arial"/>
          <w:sz w:val="24"/>
          <w:szCs w:val="24"/>
        </w:rPr>
        <w:t xml:space="preserve"> </w:t>
      </w:r>
      <w:r w:rsidR="00AE5562" w:rsidRPr="00D20922">
        <w:rPr>
          <w:rFonts w:ascii="Arial" w:hAnsi="Arial" w:cs="Arial"/>
          <w:sz w:val="24"/>
          <w:szCs w:val="24"/>
        </w:rPr>
        <w:t>UK</w:t>
      </w:r>
      <w:r w:rsidRPr="00D20922">
        <w:rPr>
          <w:rFonts w:ascii="Arial" w:hAnsi="Arial" w:cs="Arial"/>
          <w:sz w:val="24"/>
          <w:szCs w:val="24"/>
        </w:rPr>
        <w:t xml:space="preserve">? Available at URL </w:t>
      </w:r>
      <w:hyperlink r:id="rId15" w:history="1">
        <w:r w:rsidRPr="00D20922">
          <w:rPr>
            <w:rStyle w:val="Hyperlink"/>
            <w:rFonts w:ascii="Arial" w:hAnsi="Arial" w:cs="Arial"/>
            <w:sz w:val="24"/>
            <w:szCs w:val="24"/>
          </w:rPr>
          <w:t>https://www.handlebar-online.com/writing-tips/what-is-the-beneficiary-principle-uk/</w:t>
        </w:r>
      </w:hyperlink>
      <w:r w:rsidRPr="00D20922">
        <w:rPr>
          <w:rFonts w:ascii="Arial" w:hAnsi="Arial" w:cs="Arial"/>
          <w:sz w:val="24"/>
          <w:szCs w:val="24"/>
        </w:rPr>
        <w:t xml:space="preserve"> [Accessed; 4</w:t>
      </w:r>
      <w:r w:rsidRPr="00D20922">
        <w:rPr>
          <w:rFonts w:ascii="Arial" w:hAnsi="Arial" w:cs="Arial"/>
          <w:sz w:val="24"/>
          <w:szCs w:val="24"/>
          <w:vertAlign w:val="superscript"/>
        </w:rPr>
        <w:t>th</w:t>
      </w:r>
      <w:r w:rsidRPr="00D20922">
        <w:rPr>
          <w:rFonts w:ascii="Arial" w:hAnsi="Arial" w:cs="Arial"/>
          <w:sz w:val="24"/>
          <w:szCs w:val="24"/>
        </w:rPr>
        <w:t xml:space="preserve"> December 2021] </w:t>
      </w:r>
    </w:p>
    <w:p w14:paraId="33298CA6" w14:textId="4A53EFFE" w:rsidR="00105C27" w:rsidRPr="00D20922" w:rsidRDefault="00105C27" w:rsidP="00554687">
      <w:pPr>
        <w:tabs>
          <w:tab w:val="left" w:pos="1250"/>
        </w:tabs>
        <w:rPr>
          <w:rFonts w:ascii="Arial" w:hAnsi="Arial" w:cs="Arial"/>
          <w:sz w:val="24"/>
          <w:szCs w:val="24"/>
        </w:rPr>
      </w:pPr>
      <w:r w:rsidRPr="00D20922">
        <w:rPr>
          <w:rFonts w:ascii="Arial" w:hAnsi="Arial" w:cs="Arial"/>
          <w:sz w:val="24"/>
          <w:szCs w:val="24"/>
        </w:rPr>
        <w:t xml:space="preserve">Debney, S (2021) What is a Discretionary Trust and how does it work? Available At URL </w:t>
      </w:r>
      <w:hyperlink r:id="rId16" w:anchor=":~:text=In%20England%20and%20Wales%2C%20a%20Discretionary%20Trust%20can,event%20of%20your%20death%2C%20your%20wishes%20are%20actioned" w:history="1">
        <w:r w:rsidRPr="00D20922">
          <w:rPr>
            <w:rStyle w:val="Hyperlink"/>
            <w:rFonts w:ascii="Arial" w:hAnsi="Arial" w:cs="Arial"/>
            <w:sz w:val="24"/>
            <w:szCs w:val="24"/>
          </w:rPr>
          <w:t>https://www.simpsonmillar.co.uk/media/what-is-a-discretionary-trust-and-how-does-it-work/#:~:text=In%20England%20and%20Wales%2C%20a%20Discretionary%20Trust%20can,event%20of%20your%20death%2C%20your%20wishes%20are%20actioned</w:t>
        </w:r>
      </w:hyperlink>
      <w:r w:rsidRPr="00D20922">
        <w:rPr>
          <w:rFonts w:ascii="Arial" w:hAnsi="Arial" w:cs="Arial"/>
          <w:sz w:val="24"/>
          <w:szCs w:val="24"/>
        </w:rPr>
        <w:t>. [Accessed; 3</w:t>
      </w:r>
      <w:r w:rsidRPr="00D20922">
        <w:rPr>
          <w:rFonts w:ascii="Arial" w:hAnsi="Arial" w:cs="Arial"/>
          <w:sz w:val="24"/>
          <w:szCs w:val="24"/>
          <w:vertAlign w:val="superscript"/>
        </w:rPr>
        <w:t>rd</w:t>
      </w:r>
      <w:r w:rsidRPr="00D20922">
        <w:rPr>
          <w:rFonts w:ascii="Arial" w:hAnsi="Arial" w:cs="Arial"/>
          <w:sz w:val="24"/>
          <w:szCs w:val="24"/>
        </w:rPr>
        <w:t xml:space="preserve"> December 2021] </w:t>
      </w:r>
    </w:p>
    <w:p w14:paraId="75108557" w14:textId="3B2BE129" w:rsidR="00105C27" w:rsidRPr="00D20922" w:rsidRDefault="00105C27" w:rsidP="00554687">
      <w:pPr>
        <w:tabs>
          <w:tab w:val="left" w:pos="1250"/>
        </w:tabs>
        <w:rPr>
          <w:rFonts w:ascii="Arial" w:hAnsi="Arial" w:cs="Arial"/>
          <w:sz w:val="24"/>
          <w:szCs w:val="24"/>
        </w:rPr>
      </w:pPr>
      <w:r w:rsidRPr="00D20922">
        <w:rPr>
          <w:rFonts w:ascii="Arial" w:hAnsi="Arial" w:cs="Arial"/>
          <w:sz w:val="24"/>
          <w:szCs w:val="24"/>
        </w:rPr>
        <w:t xml:space="preserve">Egan-Ronayne, N (2018) In RE Baden’s Deed Trust No 2. Available at URL </w:t>
      </w:r>
      <w:hyperlink r:id="rId17" w:history="1">
        <w:r w:rsidRPr="00D20922">
          <w:rPr>
            <w:rStyle w:val="Hyperlink"/>
            <w:rFonts w:ascii="Arial" w:hAnsi="Arial" w:cs="Arial"/>
            <w:sz w:val="24"/>
            <w:szCs w:val="24"/>
          </w:rPr>
          <w:t>https://theblackletter.co.uk/2018/10/11/in-re-badens-deed-trusts-no-s://www.gov.uk/trusts-taxes2/</w:t>
        </w:r>
      </w:hyperlink>
      <w:r w:rsidRPr="00D20922">
        <w:rPr>
          <w:rFonts w:ascii="Arial" w:hAnsi="Arial" w:cs="Arial"/>
          <w:sz w:val="24"/>
          <w:szCs w:val="24"/>
        </w:rPr>
        <w:t>[Accessed; 3</w:t>
      </w:r>
      <w:r w:rsidRPr="00D20922">
        <w:rPr>
          <w:rFonts w:ascii="Arial" w:hAnsi="Arial" w:cs="Arial"/>
          <w:sz w:val="24"/>
          <w:szCs w:val="24"/>
          <w:vertAlign w:val="superscript"/>
        </w:rPr>
        <w:t>rd</w:t>
      </w:r>
      <w:r w:rsidRPr="00D20922">
        <w:rPr>
          <w:rFonts w:ascii="Arial" w:hAnsi="Arial" w:cs="Arial"/>
          <w:sz w:val="24"/>
          <w:szCs w:val="24"/>
        </w:rPr>
        <w:t xml:space="preserve"> December 2021]</w:t>
      </w:r>
    </w:p>
    <w:p w14:paraId="1D69C866" w14:textId="28F96A71" w:rsidR="00B42E55" w:rsidRPr="00D20922" w:rsidRDefault="00B42E55" w:rsidP="00554687">
      <w:pPr>
        <w:tabs>
          <w:tab w:val="left" w:pos="1250"/>
        </w:tabs>
        <w:rPr>
          <w:rFonts w:ascii="Arial" w:hAnsi="Arial" w:cs="Arial"/>
          <w:sz w:val="24"/>
          <w:szCs w:val="24"/>
        </w:rPr>
      </w:pPr>
      <w:r w:rsidRPr="00D20922">
        <w:rPr>
          <w:rFonts w:ascii="Arial" w:hAnsi="Arial" w:cs="Arial"/>
          <w:sz w:val="24"/>
          <w:szCs w:val="24"/>
        </w:rPr>
        <w:t xml:space="preserve">Ghosh, S (2016) </w:t>
      </w:r>
      <w:r w:rsidRPr="00D20922">
        <w:rPr>
          <w:rFonts w:ascii="Arial" w:hAnsi="Arial" w:cs="Arial"/>
          <w:color w:val="000000"/>
          <w:sz w:val="24"/>
          <w:szCs w:val="24"/>
          <w:shd w:val="clear" w:color="auto" w:fill="FFFFFF"/>
        </w:rPr>
        <w:t>R v District Auditor of West Yorkshire MCC</w:t>
      </w:r>
      <w:r w:rsidR="00493C41" w:rsidRPr="00D20922">
        <w:rPr>
          <w:rFonts w:ascii="Arial" w:hAnsi="Arial" w:cs="Arial"/>
          <w:color w:val="000000"/>
          <w:sz w:val="24"/>
          <w:szCs w:val="24"/>
          <w:shd w:val="clear" w:color="auto" w:fill="FFFFFF"/>
        </w:rPr>
        <w:t xml:space="preserve">. Available at URL </w:t>
      </w:r>
      <w:hyperlink r:id="rId18" w:history="1">
        <w:r w:rsidR="00493C41" w:rsidRPr="00D20922">
          <w:rPr>
            <w:rStyle w:val="Hyperlink"/>
            <w:rFonts w:ascii="Arial" w:hAnsi="Arial" w:cs="Arial"/>
            <w:sz w:val="24"/>
            <w:szCs w:val="24"/>
            <w:shd w:val="clear" w:color="auto" w:fill="FFFFFF"/>
          </w:rPr>
          <w:t>https://alchetron.com/R-v-District-Auditor-No-3-Audit-District-of-West-Yorkshire-MCC,-ex-p-West-Yorkshire-MCC</w:t>
        </w:r>
      </w:hyperlink>
      <w:r w:rsidR="00493C41" w:rsidRPr="00D20922">
        <w:rPr>
          <w:rFonts w:ascii="Arial" w:hAnsi="Arial" w:cs="Arial"/>
          <w:color w:val="000000"/>
          <w:sz w:val="24"/>
          <w:szCs w:val="24"/>
          <w:shd w:val="clear" w:color="auto" w:fill="FFFFFF"/>
        </w:rPr>
        <w:t xml:space="preserve"> ;Accessed; 4</w:t>
      </w:r>
      <w:r w:rsidR="00493C41" w:rsidRPr="00D20922">
        <w:rPr>
          <w:rFonts w:ascii="Arial" w:hAnsi="Arial" w:cs="Arial"/>
          <w:color w:val="000000"/>
          <w:sz w:val="24"/>
          <w:szCs w:val="24"/>
          <w:shd w:val="clear" w:color="auto" w:fill="FFFFFF"/>
          <w:vertAlign w:val="superscript"/>
        </w:rPr>
        <w:t>th</w:t>
      </w:r>
      <w:r w:rsidR="00493C41" w:rsidRPr="00D20922">
        <w:rPr>
          <w:rFonts w:ascii="Arial" w:hAnsi="Arial" w:cs="Arial"/>
          <w:color w:val="000000"/>
          <w:sz w:val="24"/>
          <w:szCs w:val="24"/>
          <w:shd w:val="clear" w:color="auto" w:fill="FFFFFF"/>
        </w:rPr>
        <w:t xml:space="preserve"> December 2021]</w:t>
      </w:r>
    </w:p>
    <w:p w14:paraId="3A7CF597" w14:textId="77777777" w:rsidR="00B821F5" w:rsidRPr="00D20922" w:rsidRDefault="00F738EE" w:rsidP="00B821F5">
      <w:pPr>
        <w:tabs>
          <w:tab w:val="left" w:pos="1250"/>
        </w:tabs>
        <w:rPr>
          <w:rFonts w:ascii="Arial" w:hAnsi="Arial" w:cs="Arial"/>
          <w:sz w:val="24"/>
          <w:szCs w:val="24"/>
        </w:rPr>
      </w:pPr>
      <w:r w:rsidRPr="00D20922">
        <w:rPr>
          <w:rFonts w:ascii="Arial" w:hAnsi="Arial" w:cs="Arial"/>
          <w:sz w:val="24"/>
          <w:szCs w:val="24"/>
        </w:rPr>
        <w:t xml:space="preserve">Helm, A (2021) What is a discretionary trust and how does it work? Available at URL </w:t>
      </w:r>
      <w:hyperlink r:id="rId19" w:history="1">
        <w:r w:rsidRPr="00D20922">
          <w:rPr>
            <w:rStyle w:val="Hyperlink"/>
            <w:rFonts w:ascii="Arial" w:hAnsi="Arial" w:cs="Arial"/>
            <w:sz w:val="24"/>
            <w:szCs w:val="24"/>
          </w:rPr>
          <w:t>https://www.simpsonmillar.co.uk/media/what-is-a-discretionary-trust-and-how-does-it-work/</w:t>
        </w:r>
      </w:hyperlink>
      <w:r w:rsidRPr="00D20922">
        <w:rPr>
          <w:rFonts w:ascii="Arial" w:hAnsi="Arial" w:cs="Arial"/>
          <w:sz w:val="24"/>
          <w:szCs w:val="24"/>
        </w:rPr>
        <w:t xml:space="preserve"> [Accessed;4</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0FB4C273" w14:textId="7CDE3226" w:rsidR="00B821F5" w:rsidRPr="00D20922" w:rsidRDefault="00B821F5" w:rsidP="00B821F5">
      <w:pPr>
        <w:tabs>
          <w:tab w:val="left" w:pos="1250"/>
        </w:tabs>
        <w:rPr>
          <w:rFonts w:ascii="Arial" w:hAnsi="Arial" w:cs="Arial"/>
          <w:sz w:val="24"/>
          <w:szCs w:val="24"/>
        </w:rPr>
      </w:pPr>
      <w:r w:rsidRPr="00D20922">
        <w:rPr>
          <w:rFonts w:ascii="Arial" w:hAnsi="Arial" w:cs="Arial"/>
          <w:sz w:val="24"/>
          <w:szCs w:val="24"/>
        </w:rPr>
        <w:t xml:space="preserve">Jones, B (2021) </w:t>
      </w:r>
      <w:r w:rsidRPr="00D20922">
        <w:rPr>
          <w:rFonts w:ascii="Arial" w:hAnsi="Arial" w:cs="Arial"/>
          <w:color w:val="222222"/>
          <w:sz w:val="24"/>
          <w:szCs w:val="24"/>
        </w:rPr>
        <w:t xml:space="preserve">Re Tuck’s Settlement Trusts: CA 1 Nov 1977. Available at URL </w:t>
      </w:r>
      <w:hyperlink r:id="rId20" w:history="1">
        <w:r w:rsidRPr="00D20922">
          <w:rPr>
            <w:rStyle w:val="Hyperlink"/>
            <w:rFonts w:ascii="Arial" w:hAnsi="Arial" w:cs="Arial"/>
            <w:sz w:val="24"/>
            <w:szCs w:val="24"/>
          </w:rPr>
          <w:t>https://swarb.co.uk/re-tucks-settlement-trusts-ca-1-nov-1977/</w:t>
        </w:r>
      </w:hyperlink>
      <w:r w:rsidRPr="00D20922">
        <w:rPr>
          <w:rFonts w:ascii="Arial" w:hAnsi="Arial" w:cs="Arial"/>
          <w:color w:val="222222"/>
          <w:sz w:val="24"/>
          <w:szCs w:val="24"/>
        </w:rPr>
        <w:t xml:space="preserve"> [Accessed; 4</w:t>
      </w:r>
      <w:r w:rsidRPr="00D20922">
        <w:rPr>
          <w:rFonts w:ascii="Arial" w:hAnsi="Arial" w:cs="Arial"/>
          <w:color w:val="222222"/>
          <w:sz w:val="24"/>
          <w:szCs w:val="24"/>
          <w:vertAlign w:val="superscript"/>
        </w:rPr>
        <w:t>th</w:t>
      </w:r>
      <w:r w:rsidRPr="00D20922">
        <w:rPr>
          <w:rFonts w:ascii="Arial" w:hAnsi="Arial" w:cs="Arial"/>
          <w:color w:val="222222"/>
          <w:sz w:val="24"/>
          <w:szCs w:val="24"/>
        </w:rPr>
        <w:t xml:space="preserve"> December 2021]</w:t>
      </w:r>
    </w:p>
    <w:p w14:paraId="606B3271" w14:textId="5D827870" w:rsidR="00105C27" w:rsidRPr="00D20922" w:rsidRDefault="00105C27" w:rsidP="00554687">
      <w:pPr>
        <w:tabs>
          <w:tab w:val="left" w:pos="1250"/>
        </w:tabs>
        <w:rPr>
          <w:rFonts w:ascii="Arial" w:hAnsi="Arial" w:cs="Arial"/>
          <w:sz w:val="24"/>
          <w:szCs w:val="24"/>
        </w:rPr>
      </w:pPr>
      <w:r w:rsidRPr="00D20922">
        <w:rPr>
          <w:rFonts w:ascii="Arial" w:hAnsi="Arial" w:cs="Arial"/>
          <w:sz w:val="24"/>
          <w:szCs w:val="24"/>
        </w:rPr>
        <w:t xml:space="preserve">Mallon, C (2021) Certainty of subject matter. Available at URL </w:t>
      </w:r>
      <w:hyperlink r:id="rId21" w:history="1">
        <w:r w:rsidRPr="00D20922">
          <w:rPr>
            <w:rStyle w:val="Hyperlink"/>
            <w:rFonts w:ascii="Arial" w:hAnsi="Arial" w:cs="Arial"/>
            <w:sz w:val="24"/>
            <w:szCs w:val="24"/>
          </w:rPr>
          <w:t>https://chrismallonlawtutor.com/equity-and-trusts/certainty-of-subject-matter/</w:t>
        </w:r>
      </w:hyperlink>
      <w:r w:rsidRPr="00D20922">
        <w:rPr>
          <w:rFonts w:ascii="Arial" w:hAnsi="Arial" w:cs="Arial"/>
          <w:sz w:val="24"/>
          <w:szCs w:val="24"/>
        </w:rPr>
        <w:t xml:space="preserve"> [Accessed; 3</w:t>
      </w:r>
      <w:r w:rsidRPr="00D20922">
        <w:rPr>
          <w:rFonts w:ascii="Arial" w:hAnsi="Arial" w:cs="Arial"/>
          <w:sz w:val="24"/>
          <w:szCs w:val="24"/>
          <w:vertAlign w:val="superscript"/>
        </w:rPr>
        <w:t>rd</w:t>
      </w:r>
      <w:r w:rsidRPr="00D20922">
        <w:rPr>
          <w:rFonts w:ascii="Arial" w:hAnsi="Arial" w:cs="Arial"/>
          <w:sz w:val="24"/>
          <w:szCs w:val="24"/>
        </w:rPr>
        <w:t xml:space="preserve"> December 2021]</w:t>
      </w:r>
    </w:p>
    <w:p w14:paraId="71535353" w14:textId="27EB0741" w:rsidR="00F738EE" w:rsidRPr="00D20922" w:rsidRDefault="00F738EE" w:rsidP="00554687">
      <w:pPr>
        <w:tabs>
          <w:tab w:val="left" w:pos="1250"/>
        </w:tabs>
        <w:rPr>
          <w:rFonts w:ascii="Arial" w:hAnsi="Arial" w:cs="Arial"/>
          <w:sz w:val="24"/>
          <w:szCs w:val="24"/>
        </w:rPr>
      </w:pPr>
      <w:r w:rsidRPr="00D20922">
        <w:rPr>
          <w:rFonts w:ascii="Arial" w:hAnsi="Arial" w:cs="Arial"/>
          <w:sz w:val="24"/>
          <w:szCs w:val="24"/>
        </w:rPr>
        <w:t xml:space="preserve">Madison, N (2021) What is a beneficiary trust? Available at URL </w:t>
      </w:r>
      <w:hyperlink r:id="rId22" w:history="1">
        <w:r w:rsidRPr="00D20922">
          <w:rPr>
            <w:rStyle w:val="Hyperlink"/>
            <w:rFonts w:ascii="Arial" w:hAnsi="Arial" w:cs="Arial"/>
            <w:sz w:val="24"/>
            <w:szCs w:val="24"/>
          </w:rPr>
          <w:t>https://www.wise-geek.com/what-is-a-beneficiary-trust.htm</w:t>
        </w:r>
      </w:hyperlink>
      <w:r w:rsidRPr="00D20922">
        <w:rPr>
          <w:rFonts w:ascii="Arial" w:hAnsi="Arial" w:cs="Arial"/>
          <w:sz w:val="24"/>
          <w:szCs w:val="24"/>
        </w:rPr>
        <w:t xml:space="preserve"> [Accessed;4th December 2021]</w:t>
      </w:r>
    </w:p>
    <w:p w14:paraId="12AD180D" w14:textId="1C2A2A48" w:rsidR="00105C27" w:rsidRPr="00D20922" w:rsidRDefault="00105C27" w:rsidP="00554687">
      <w:pPr>
        <w:tabs>
          <w:tab w:val="left" w:pos="1250"/>
        </w:tabs>
        <w:rPr>
          <w:rFonts w:ascii="Arial" w:hAnsi="Arial" w:cs="Arial"/>
          <w:sz w:val="24"/>
          <w:szCs w:val="24"/>
        </w:rPr>
      </w:pPr>
      <w:r w:rsidRPr="00D20922">
        <w:rPr>
          <w:rFonts w:ascii="Arial" w:hAnsi="Arial" w:cs="Arial"/>
          <w:sz w:val="24"/>
          <w:szCs w:val="24"/>
        </w:rPr>
        <w:t xml:space="preserve">Masons, P (2012) Fiduciary duties, available at URL </w:t>
      </w:r>
      <w:hyperlink r:id="rId23" w:history="1">
        <w:r w:rsidRPr="00D20922">
          <w:rPr>
            <w:rStyle w:val="Hyperlink"/>
            <w:rFonts w:ascii="Arial" w:hAnsi="Arial" w:cs="Arial"/>
            <w:sz w:val="24"/>
            <w:szCs w:val="24"/>
          </w:rPr>
          <w:t>https://www.pinsentmasons.com/out-law/guides/fiduciary-duties</w:t>
        </w:r>
      </w:hyperlink>
      <w:r w:rsidRPr="00D20922">
        <w:rPr>
          <w:rFonts w:ascii="Arial" w:hAnsi="Arial" w:cs="Arial"/>
          <w:sz w:val="24"/>
          <w:szCs w:val="24"/>
        </w:rPr>
        <w:t xml:space="preserve"> [Accessed; 4</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18A4D5F7" w14:textId="7F082458" w:rsidR="00F738EE" w:rsidRPr="00D20922" w:rsidRDefault="00F738EE" w:rsidP="00554687">
      <w:pPr>
        <w:tabs>
          <w:tab w:val="left" w:pos="1250"/>
        </w:tabs>
        <w:rPr>
          <w:rFonts w:ascii="Arial" w:hAnsi="Arial" w:cs="Arial"/>
          <w:sz w:val="24"/>
          <w:szCs w:val="24"/>
        </w:rPr>
      </w:pPr>
      <w:r w:rsidRPr="00D20922">
        <w:rPr>
          <w:rFonts w:ascii="Arial" w:hAnsi="Arial" w:cs="Arial"/>
          <w:sz w:val="24"/>
          <w:szCs w:val="24"/>
        </w:rPr>
        <w:t xml:space="preserve">Merriam-Webster (2021) Beneficiary. Available at URL </w:t>
      </w:r>
      <w:hyperlink r:id="rId24" w:history="1">
        <w:r w:rsidRPr="00D20922">
          <w:rPr>
            <w:rStyle w:val="Hyperlink"/>
            <w:rFonts w:ascii="Arial" w:hAnsi="Arial" w:cs="Arial"/>
            <w:sz w:val="24"/>
            <w:szCs w:val="24"/>
          </w:rPr>
          <w:t>https://www.merriam-webster.com/dictionary/beneficiary</w:t>
        </w:r>
      </w:hyperlink>
      <w:r w:rsidRPr="00D20922">
        <w:rPr>
          <w:rFonts w:ascii="Arial" w:hAnsi="Arial" w:cs="Arial"/>
          <w:sz w:val="24"/>
          <w:szCs w:val="24"/>
        </w:rPr>
        <w:t xml:space="preserve"> [Accessed;4th December 2021]</w:t>
      </w:r>
    </w:p>
    <w:p w14:paraId="76672E97" w14:textId="7A952EB2" w:rsidR="00A963B7" w:rsidRPr="00D20922" w:rsidRDefault="00A963B7" w:rsidP="00554687">
      <w:pPr>
        <w:tabs>
          <w:tab w:val="left" w:pos="1250"/>
        </w:tabs>
        <w:rPr>
          <w:rFonts w:ascii="Arial" w:hAnsi="Arial" w:cs="Arial"/>
          <w:sz w:val="24"/>
          <w:szCs w:val="24"/>
        </w:rPr>
      </w:pPr>
      <w:r w:rsidRPr="00D20922">
        <w:rPr>
          <w:rFonts w:ascii="Arial" w:hAnsi="Arial" w:cs="Arial"/>
          <w:sz w:val="24"/>
          <w:szCs w:val="24"/>
        </w:rPr>
        <w:t xml:space="preserve">Rosen, J (2021) Beneficiary principle. Available at URL </w:t>
      </w:r>
      <w:hyperlink r:id="rId25" w:history="1">
        <w:r w:rsidRPr="00D20922">
          <w:rPr>
            <w:rStyle w:val="Hyperlink"/>
            <w:rFonts w:ascii="Arial" w:hAnsi="Arial" w:cs="Arial"/>
            <w:sz w:val="24"/>
            <w:szCs w:val="24"/>
          </w:rPr>
          <w:t>https://www.culs.org.uk/per-incuriam/do-proponents-of-the-human-beneficiary-principle-misunderstand-the-fundamental-principles-of-the-trust-concept</w:t>
        </w:r>
      </w:hyperlink>
      <w:r w:rsidRPr="00D20922">
        <w:rPr>
          <w:rFonts w:ascii="Arial" w:hAnsi="Arial" w:cs="Arial"/>
          <w:sz w:val="24"/>
          <w:szCs w:val="24"/>
        </w:rPr>
        <w:t xml:space="preserve"> [Accessed; 5</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6EA8FE07" w14:textId="09E9625F" w:rsidR="007D6574" w:rsidRPr="00D20922" w:rsidRDefault="007D6574" w:rsidP="00554687">
      <w:pPr>
        <w:tabs>
          <w:tab w:val="left" w:pos="1250"/>
        </w:tabs>
        <w:rPr>
          <w:rFonts w:ascii="Arial" w:hAnsi="Arial" w:cs="Arial"/>
          <w:sz w:val="24"/>
          <w:szCs w:val="24"/>
        </w:rPr>
      </w:pPr>
      <w:r w:rsidRPr="00D20922">
        <w:rPr>
          <w:rFonts w:ascii="Arial" w:hAnsi="Arial" w:cs="Arial"/>
          <w:sz w:val="24"/>
          <w:szCs w:val="24"/>
        </w:rPr>
        <w:t xml:space="preserve">Routh Clarke Solicitors (2021) Gifts in a Will. Available at URL </w:t>
      </w:r>
      <w:hyperlink r:id="rId26" w:history="1">
        <w:r w:rsidRPr="00D20922">
          <w:rPr>
            <w:rStyle w:val="Hyperlink"/>
            <w:rFonts w:ascii="Arial" w:hAnsi="Arial" w:cs="Arial"/>
            <w:sz w:val="24"/>
            <w:szCs w:val="24"/>
          </w:rPr>
          <w:t>https://www.rcsolicitors.co.uk/family-law/wills/wills-and-trusts/gifts-in-a-will</w:t>
        </w:r>
      </w:hyperlink>
      <w:r w:rsidRPr="00D20922">
        <w:rPr>
          <w:rFonts w:ascii="Arial" w:hAnsi="Arial" w:cs="Arial"/>
          <w:sz w:val="24"/>
          <w:szCs w:val="24"/>
        </w:rPr>
        <w:t xml:space="preserve"> [Accessed;4th December 2021]</w:t>
      </w:r>
    </w:p>
    <w:p w14:paraId="596F868A" w14:textId="553D5FB8" w:rsidR="00262CE3" w:rsidRPr="00D20922" w:rsidRDefault="00262CE3" w:rsidP="00554687">
      <w:pPr>
        <w:tabs>
          <w:tab w:val="left" w:pos="1250"/>
        </w:tabs>
        <w:rPr>
          <w:rFonts w:ascii="Arial" w:hAnsi="Arial" w:cs="Arial"/>
          <w:sz w:val="24"/>
          <w:szCs w:val="24"/>
        </w:rPr>
      </w:pPr>
      <w:r w:rsidRPr="00D20922">
        <w:rPr>
          <w:rFonts w:ascii="Arial" w:hAnsi="Arial" w:cs="Arial"/>
          <w:sz w:val="24"/>
          <w:szCs w:val="24"/>
        </w:rPr>
        <w:lastRenderedPageBreak/>
        <w:t xml:space="preserve">Sivaraman, S (2021) the beneficiary principle and perpetuity. Available at URL </w:t>
      </w:r>
      <w:hyperlink r:id="rId27" w:history="1">
        <w:r w:rsidRPr="00D20922">
          <w:rPr>
            <w:rStyle w:val="Hyperlink"/>
            <w:rFonts w:ascii="Arial" w:hAnsi="Arial" w:cs="Arial"/>
            <w:sz w:val="24"/>
            <w:szCs w:val="24"/>
          </w:rPr>
          <w:t>https://thestudentlawyer.com/2013/11/29/trusts-the-beneficiary-principle-and-perpetuity/</w:t>
        </w:r>
      </w:hyperlink>
      <w:r w:rsidRPr="00D20922">
        <w:rPr>
          <w:rFonts w:ascii="Arial" w:hAnsi="Arial" w:cs="Arial"/>
          <w:sz w:val="24"/>
          <w:szCs w:val="24"/>
        </w:rPr>
        <w:t xml:space="preserve"> [Accessed;5</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3F42142D" w14:textId="0A6B1426" w:rsidR="00105C27" w:rsidRPr="00D20922" w:rsidRDefault="00105C27" w:rsidP="00554687">
      <w:pPr>
        <w:tabs>
          <w:tab w:val="left" w:pos="1250"/>
        </w:tabs>
        <w:rPr>
          <w:rFonts w:ascii="Arial" w:hAnsi="Arial" w:cs="Arial"/>
          <w:sz w:val="24"/>
          <w:szCs w:val="24"/>
        </w:rPr>
      </w:pPr>
      <w:r w:rsidRPr="00D20922">
        <w:rPr>
          <w:rFonts w:ascii="Arial" w:hAnsi="Arial" w:cs="Arial"/>
          <w:sz w:val="24"/>
          <w:szCs w:val="24"/>
        </w:rPr>
        <w:t xml:space="preserve">UK Government (2021) Trusts and taxes. Available at URL </w:t>
      </w:r>
      <w:hyperlink r:id="rId28" w:history="1">
        <w:r w:rsidRPr="00D20922">
          <w:rPr>
            <w:rStyle w:val="Hyperlink"/>
            <w:rFonts w:ascii="Arial" w:hAnsi="Arial" w:cs="Arial"/>
            <w:sz w:val="24"/>
            <w:szCs w:val="24"/>
          </w:rPr>
          <w:t>https://www.gov.uk/trusts-taxes</w:t>
        </w:r>
      </w:hyperlink>
      <w:r w:rsidRPr="00D20922">
        <w:rPr>
          <w:rFonts w:ascii="Arial" w:hAnsi="Arial" w:cs="Arial"/>
          <w:sz w:val="24"/>
          <w:szCs w:val="24"/>
        </w:rPr>
        <w:t xml:space="preserve"> [Accessed; 3</w:t>
      </w:r>
      <w:r w:rsidRPr="00D20922">
        <w:rPr>
          <w:rFonts w:ascii="Arial" w:hAnsi="Arial" w:cs="Arial"/>
          <w:sz w:val="24"/>
          <w:szCs w:val="24"/>
          <w:vertAlign w:val="superscript"/>
        </w:rPr>
        <w:t>rd</w:t>
      </w:r>
      <w:r w:rsidRPr="00D20922">
        <w:rPr>
          <w:rFonts w:ascii="Arial" w:hAnsi="Arial" w:cs="Arial"/>
          <w:sz w:val="24"/>
          <w:szCs w:val="24"/>
        </w:rPr>
        <w:t xml:space="preserve"> December 2021] </w:t>
      </w:r>
    </w:p>
    <w:p w14:paraId="1F980113" w14:textId="65FDD174" w:rsidR="00105C27" w:rsidRPr="00D20922" w:rsidRDefault="00105C27" w:rsidP="00105C27">
      <w:pPr>
        <w:tabs>
          <w:tab w:val="left" w:pos="1250"/>
        </w:tabs>
        <w:rPr>
          <w:rFonts w:ascii="Arial" w:hAnsi="Arial" w:cs="Arial"/>
          <w:sz w:val="24"/>
          <w:szCs w:val="24"/>
        </w:rPr>
      </w:pPr>
      <w:r w:rsidRPr="00D20922">
        <w:rPr>
          <w:rFonts w:ascii="Arial" w:hAnsi="Arial" w:cs="Arial"/>
          <w:sz w:val="24"/>
          <w:szCs w:val="24"/>
        </w:rPr>
        <w:t xml:space="preserve">Wilde, D (2020) The Three Certainties required to declare a trust. Available </w:t>
      </w:r>
      <w:r w:rsidR="00AE5562" w:rsidRPr="00D20922">
        <w:rPr>
          <w:rFonts w:ascii="Arial" w:hAnsi="Arial" w:cs="Arial"/>
          <w:sz w:val="24"/>
          <w:szCs w:val="24"/>
        </w:rPr>
        <w:t>at</w:t>
      </w:r>
      <w:r w:rsidRPr="00D20922">
        <w:rPr>
          <w:rFonts w:ascii="Arial" w:hAnsi="Arial" w:cs="Arial"/>
          <w:sz w:val="24"/>
          <w:szCs w:val="24"/>
        </w:rPr>
        <w:t xml:space="preserve"> URL </w:t>
      </w:r>
      <w:hyperlink r:id="rId29" w:history="1">
        <w:r w:rsidRPr="00D20922">
          <w:rPr>
            <w:rStyle w:val="Hyperlink"/>
            <w:rFonts w:ascii="Arial" w:hAnsi="Arial" w:cs="Arial"/>
            <w:sz w:val="24"/>
            <w:szCs w:val="24"/>
          </w:rPr>
          <w:t>https://www.cambridge.org/core/journals/cambridge-law-journal/article/three-certainties-required-to-declare-a-trust-or-is-it-four-distributional-certainty/9018A16615B25DA48B5186A1B21C65C9</w:t>
        </w:r>
      </w:hyperlink>
      <w:r w:rsidRPr="00D20922">
        <w:rPr>
          <w:rFonts w:ascii="Arial" w:hAnsi="Arial" w:cs="Arial"/>
          <w:sz w:val="24"/>
          <w:szCs w:val="24"/>
        </w:rPr>
        <w:t xml:space="preserve"> [Accessed; 3</w:t>
      </w:r>
      <w:r w:rsidRPr="00D20922">
        <w:rPr>
          <w:rFonts w:ascii="Arial" w:hAnsi="Arial" w:cs="Arial"/>
          <w:sz w:val="24"/>
          <w:szCs w:val="24"/>
          <w:vertAlign w:val="superscript"/>
        </w:rPr>
        <w:t>rd</w:t>
      </w:r>
      <w:r w:rsidRPr="00D20922">
        <w:rPr>
          <w:rFonts w:ascii="Arial" w:hAnsi="Arial" w:cs="Arial"/>
          <w:sz w:val="24"/>
          <w:szCs w:val="24"/>
        </w:rPr>
        <w:t xml:space="preserve"> December 2021]</w:t>
      </w:r>
    </w:p>
    <w:p w14:paraId="17A78C89" w14:textId="1C598C9A" w:rsidR="00105C27" w:rsidRPr="00D20922" w:rsidRDefault="00F738EE" w:rsidP="00554687">
      <w:pPr>
        <w:tabs>
          <w:tab w:val="left" w:pos="1250"/>
        </w:tabs>
        <w:rPr>
          <w:rFonts w:ascii="Arial" w:hAnsi="Arial" w:cs="Arial"/>
          <w:b/>
          <w:bCs/>
          <w:sz w:val="24"/>
          <w:szCs w:val="24"/>
          <w:u w:val="single"/>
        </w:rPr>
      </w:pPr>
      <w:r w:rsidRPr="00D20922">
        <w:rPr>
          <w:rFonts w:ascii="Arial" w:hAnsi="Arial" w:cs="Arial"/>
          <w:b/>
          <w:bCs/>
          <w:sz w:val="24"/>
          <w:szCs w:val="24"/>
          <w:u w:val="single"/>
        </w:rPr>
        <w:t xml:space="preserve">Articles </w:t>
      </w:r>
    </w:p>
    <w:p w14:paraId="3273AEF6" w14:textId="0EEA2C87" w:rsidR="00F738EE" w:rsidRPr="00D20922" w:rsidRDefault="00F738EE" w:rsidP="00554687">
      <w:pPr>
        <w:tabs>
          <w:tab w:val="left" w:pos="1250"/>
        </w:tabs>
        <w:rPr>
          <w:rFonts w:ascii="Arial" w:hAnsi="Arial" w:cs="Arial"/>
          <w:sz w:val="24"/>
          <w:szCs w:val="24"/>
        </w:rPr>
      </w:pPr>
      <w:r w:rsidRPr="00D20922">
        <w:rPr>
          <w:rFonts w:ascii="Arial" w:hAnsi="Arial" w:cs="Arial"/>
          <w:sz w:val="24"/>
          <w:szCs w:val="24"/>
        </w:rPr>
        <w:t xml:space="preserve">Gardener, B (2021) Trust creation- What is an express trust? Technical Article. Available at URL </w:t>
      </w:r>
      <w:hyperlink r:id="rId30" w:history="1">
        <w:r w:rsidRPr="00D20922">
          <w:rPr>
            <w:rStyle w:val="Hyperlink"/>
            <w:rFonts w:ascii="Arial" w:hAnsi="Arial" w:cs="Arial"/>
            <w:sz w:val="24"/>
            <w:szCs w:val="24"/>
          </w:rPr>
          <w:t>https://www.thepfs.org/news-index/articles/trust-creation-what-is-an-express-trust/101046</w:t>
        </w:r>
      </w:hyperlink>
      <w:r w:rsidRPr="00D20922">
        <w:rPr>
          <w:rFonts w:ascii="Arial" w:hAnsi="Arial" w:cs="Arial"/>
          <w:sz w:val="24"/>
          <w:szCs w:val="24"/>
        </w:rPr>
        <w:t xml:space="preserve"> [Accessed; 4</w:t>
      </w:r>
      <w:r w:rsidRPr="00D20922">
        <w:rPr>
          <w:rFonts w:ascii="Arial" w:hAnsi="Arial" w:cs="Arial"/>
          <w:sz w:val="24"/>
          <w:szCs w:val="24"/>
          <w:vertAlign w:val="superscript"/>
        </w:rPr>
        <w:t>th</w:t>
      </w:r>
      <w:r w:rsidRPr="00D20922">
        <w:rPr>
          <w:rFonts w:ascii="Arial" w:hAnsi="Arial" w:cs="Arial"/>
          <w:sz w:val="24"/>
          <w:szCs w:val="24"/>
        </w:rPr>
        <w:t xml:space="preserve"> December 2021]</w:t>
      </w:r>
    </w:p>
    <w:p w14:paraId="5E78F813" w14:textId="5DE1192A" w:rsidR="00517517" w:rsidRPr="00D20922" w:rsidRDefault="00345718" w:rsidP="00517517">
      <w:pPr>
        <w:tabs>
          <w:tab w:val="left" w:pos="1250"/>
        </w:tabs>
        <w:rPr>
          <w:rFonts w:ascii="Arial" w:hAnsi="Arial" w:cs="Arial"/>
          <w:sz w:val="24"/>
          <w:szCs w:val="24"/>
        </w:rPr>
      </w:pPr>
      <w:hyperlink r:id="rId31" w:history="1">
        <w:r w:rsidR="00517517" w:rsidRPr="00D20922">
          <w:rPr>
            <w:rStyle w:val="personname"/>
            <w:rFonts w:ascii="Arial" w:hAnsi="Arial" w:cs="Arial"/>
            <w:color w:val="514275"/>
            <w:sz w:val="24"/>
            <w:szCs w:val="24"/>
            <w:u w:val="single"/>
            <w:shd w:val="clear" w:color="auto" w:fill="FFFFFF"/>
          </w:rPr>
          <w:t>Wilde, D.</w:t>
        </w:r>
      </w:hyperlink>
      <w:r w:rsidR="00517517" w:rsidRPr="00D20922">
        <w:rPr>
          <w:rFonts w:ascii="Arial" w:hAnsi="Arial" w:cs="Arial"/>
          <w:color w:val="333333"/>
          <w:sz w:val="24"/>
          <w:szCs w:val="24"/>
          <w:shd w:val="clear" w:color="auto" w:fill="FFFFFF"/>
        </w:rPr>
        <w:t> (2020) </w:t>
      </w:r>
      <w:r w:rsidR="00517517" w:rsidRPr="00D20922">
        <w:rPr>
          <w:rStyle w:val="Emphasis"/>
          <w:rFonts w:ascii="Arial" w:hAnsi="Arial" w:cs="Arial"/>
          <w:color w:val="333333"/>
          <w:sz w:val="24"/>
          <w:szCs w:val="24"/>
          <w:shd w:val="clear" w:color="auto" w:fill="FFFFFF"/>
        </w:rPr>
        <w:t>Can arbiters resolve conceptual uncertainty regarding trust beneficiaries?</w:t>
      </w:r>
      <w:r w:rsidR="00517517" w:rsidRPr="00D20922">
        <w:rPr>
          <w:rFonts w:ascii="Arial" w:hAnsi="Arial" w:cs="Arial"/>
          <w:color w:val="333333"/>
          <w:sz w:val="24"/>
          <w:szCs w:val="24"/>
          <w:shd w:val="clear" w:color="auto" w:fill="FFFFFF"/>
        </w:rPr>
        <w:t xml:space="preserve"> Trust Law International, 33 (4). pp. 174-185. ISSN 09622624 available at URL </w:t>
      </w:r>
      <w:hyperlink r:id="rId32" w:history="1">
        <w:r w:rsidR="00086FB9" w:rsidRPr="00D20922">
          <w:rPr>
            <w:rStyle w:val="Hyperlink"/>
            <w:rFonts w:ascii="Arial" w:hAnsi="Arial" w:cs="Arial"/>
            <w:sz w:val="24"/>
            <w:szCs w:val="24"/>
            <w:shd w:val="clear" w:color="auto" w:fill="FFFFFF"/>
          </w:rPr>
          <w:t>https://centaur.reading.ac.uk/88611/3/Wilde,%20David%20-%20Can%20arbiters%20resolve%20conceptual%20uncertainty%20regarding%20trust%20beneficiaries.pdf</w:t>
        </w:r>
      </w:hyperlink>
      <w:r w:rsidR="00086FB9" w:rsidRPr="00D20922">
        <w:rPr>
          <w:rFonts w:ascii="Arial" w:hAnsi="Arial" w:cs="Arial"/>
          <w:color w:val="333333"/>
          <w:sz w:val="24"/>
          <w:szCs w:val="24"/>
          <w:shd w:val="clear" w:color="auto" w:fill="FFFFFF"/>
        </w:rPr>
        <w:t xml:space="preserve"> [Acce</w:t>
      </w:r>
      <w:r w:rsidR="00AE5562">
        <w:rPr>
          <w:rFonts w:ascii="Arial" w:hAnsi="Arial" w:cs="Arial"/>
          <w:color w:val="333333"/>
          <w:sz w:val="24"/>
          <w:szCs w:val="24"/>
          <w:shd w:val="clear" w:color="auto" w:fill="FFFFFF"/>
        </w:rPr>
        <w:t>ss</w:t>
      </w:r>
      <w:r w:rsidR="00086FB9" w:rsidRPr="00D20922">
        <w:rPr>
          <w:rFonts w:ascii="Arial" w:hAnsi="Arial" w:cs="Arial"/>
          <w:color w:val="333333"/>
          <w:sz w:val="24"/>
          <w:szCs w:val="24"/>
          <w:shd w:val="clear" w:color="auto" w:fill="FFFFFF"/>
        </w:rPr>
        <w:t>ed; 4</w:t>
      </w:r>
      <w:r w:rsidR="00086FB9" w:rsidRPr="00D20922">
        <w:rPr>
          <w:rFonts w:ascii="Arial" w:hAnsi="Arial" w:cs="Arial"/>
          <w:color w:val="333333"/>
          <w:sz w:val="24"/>
          <w:szCs w:val="24"/>
          <w:shd w:val="clear" w:color="auto" w:fill="FFFFFF"/>
          <w:vertAlign w:val="superscript"/>
        </w:rPr>
        <w:t>th</w:t>
      </w:r>
      <w:r w:rsidR="00086FB9" w:rsidRPr="00D20922">
        <w:rPr>
          <w:rFonts w:ascii="Arial" w:hAnsi="Arial" w:cs="Arial"/>
          <w:color w:val="333333"/>
          <w:sz w:val="24"/>
          <w:szCs w:val="24"/>
          <w:shd w:val="clear" w:color="auto" w:fill="FFFFFF"/>
        </w:rPr>
        <w:t xml:space="preserve"> December 2021]</w:t>
      </w:r>
    </w:p>
    <w:p w14:paraId="52C53475" w14:textId="7EC6473B" w:rsidR="00105C27" w:rsidRPr="00D20922" w:rsidRDefault="00105C27" w:rsidP="00554687">
      <w:pPr>
        <w:tabs>
          <w:tab w:val="left" w:pos="1250"/>
        </w:tabs>
        <w:rPr>
          <w:rFonts w:ascii="Arial" w:hAnsi="Arial" w:cs="Arial"/>
          <w:b/>
          <w:bCs/>
          <w:sz w:val="24"/>
          <w:szCs w:val="24"/>
          <w:u w:val="single"/>
        </w:rPr>
      </w:pPr>
      <w:r w:rsidRPr="00D20922">
        <w:rPr>
          <w:rFonts w:ascii="Arial" w:hAnsi="Arial" w:cs="Arial"/>
          <w:b/>
          <w:bCs/>
          <w:sz w:val="24"/>
          <w:szCs w:val="24"/>
          <w:u w:val="single"/>
        </w:rPr>
        <w:t>Bibliography</w:t>
      </w:r>
    </w:p>
    <w:p w14:paraId="3DD5958A" w14:textId="78558443" w:rsidR="00C95BA5" w:rsidRPr="00D20922" w:rsidRDefault="00345718" w:rsidP="00554687">
      <w:pPr>
        <w:tabs>
          <w:tab w:val="left" w:pos="1250"/>
        </w:tabs>
        <w:rPr>
          <w:rFonts w:ascii="Arial" w:hAnsi="Arial" w:cs="Arial"/>
          <w:sz w:val="24"/>
          <w:szCs w:val="24"/>
        </w:rPr>
      </w:pPr>
      <w:hyperlink r:id="rId33" w:history="1">
        <w:r w:rsidR="00105C27" w:rsidRPr="00D20922">
          <w:rPr>
            <w:rStyle w:val="Hyperlink"/>
            <w:rFonts w:ascii="Arial" w:hAnsi="Arial" w:cs="Arial"/>
            <w:sz w:val="24"/>
            <w:szCs w:val="24"/>
          </w:rPr>
          <w:t>https://www.lawyersnjurists.com/article/certainty-of-objects/</w:t>
        </w:r>
      </w:hyperlink>
    </w:p>
    <w:p w14:paraId="1A685F99" w14:textId="5F8D4440" w:rsidR="00001936" w:rsidRPr="00D20922" w:rsidRDefault="00001936" w:rsidP="00554687">
      <w:pPr>
        <w:tabs>
          <w:tab w:val="left" w:pos="1250"/>
        </w:tabs>
        <w:rPr>
          <w:rFonts w:ascii="Arial" w:hAnsi="Arial" w:cs="Arial"/>
          <w:b/>
          <w:bCs/>
          <w:i/>
          <w:iCs/>
          <w:sz w:val="24"/>
          <w:szCs w:val="24"/>
          <w:u w:val="single"/>
        </w:rPr>
      </w:pPr>
      <w:r w:rsidRPr="00D20922">
        <w:rPr>
          <w:rFonts w:ascii="Arial" w:hAnsi="Arial" w:cs="Arial"/>
          <w:b/>
          <w:bCs/>
          <w:i/>
          <w:iCs/>
          <w:sz w:val="24"/>
          <w:szCs w:val="24"/>
          <w:u w:val="single"/>
        </w:rPr>
        <w:t xml:space="preserve">Case Law </w:t>
      </w:r>
    </w:p>
    <w:p w14:paraId="7AB48BAF" w14:textId="334775AE" w:rsidR="0076289F" w:rsidRPr="00D20922" w:rsidRDefault="0076289F" w:rsidP="00554687">
      <w:pPr>
        <w:tabs>
          <w:tab w:val="left" w:pos="1250"/>
        </w:tabs>
        <w:rPr>
          <w:rFonts w:ascii="Arial" w:hAnsi="Arial" w:cs="Arial"/>
          <w:sz w:val="24"/>
          <w:szCs w:val="24"/>
        </w:rPr>
      </w:pPr>
      <w:r w:rsidRPr="00D20922">
        <w:rPr>
          <w:rFonts w:ascii="Arial" w:hAnsi="Arial" w:cs="Arial"/>
          <w:sz w:val="24"/>
          <w:szCs w:val="24"/>
        </w:rPr>
        <w:t>McPhail v Doulton (1970)</w:t>
      </w:r>
    </w:p>
    <w:p w14:paraId="368FE05C" w14:textId="4C6335E5" w:rsidR="00DA6A9E" w:rsidRPr="00D20922" w:rsidRDefault="00DA6A9E" w:rsidP="00554687">
      <w:pPr>
        <w:tabs>
          <w:tab w:val="left" w:pos="1250"/>
        </w:tabs>
        <w:rPr>
          <w:rFonts w:ascii="Arial" w:hAnsi="Arial" w:cs="Arial"/>
          <w:sz w:val="24"/>
          <w:szCs w:val="24"/>
        </w:rPr>
      </w:pPr>
      <w:r w:rsidRPr="00D20922">
        <w:rPr>
          <w:rFonts w:ascii="Arial" w:hAnsi="Arial" w:cs="Arial"/>
          <w:sz w:val="24"/>
          <w:szCs w:val="24"/>
        </w:rPr>
        <w:t>Morice v Bishop of Durham (1805</w:t>
      </w:r>
      <w:r w:rsidR="0076289F" w:rsidRPr="00D20922">
        <w:rPr>
          <w:rFonts w:ascii="Arial" w:hAnsi="Arial" w:cs="Arial"/>
          <w:sz w:val="24"/>
          <w:szCs w:val="24"/>
        </w:rPr>
        <w:t>)</w:t>
      </w:r>
    </w:p>
    <w:p w14:paraId="15177E17" w14:textId="7CCBE0AD" w:rsidR="0076289F" w:rsidRPr="00D20922" w:rsidRDefault="0076289F" w:rsidP="00554687">
      <w:pPr>
        <w:tabs>
          <w:tab w:val="left" w:pos="1250"/>
        </w:tabs>
        <w:rPr>
          <w:rFonts w:ascii="Arial" w:hAnsi="Arial" w:cs="Arial"/>
          <w:sz w:val="24"/>
          <w:szCs w:val="24"/>
        </w:rPr>
      </w:pPr>
      <w:r w:rsidRPr="00D20922">
        <w:rPr>
          <w:rFonts w:ascii="Arial" w:hAnsi="Arial" w:cs="Arial"/>
          <w:sz w:val="24"/>
          <w:szCs w:val="24"/>
        </w:rPr>
        <w:t>Mussett v Bingle (1876)</w:t>
      </w:r>
    </w:p>
    <w:p w14:paraId="3C7BBE74" w14:textId="6256FBB9" w:rsidR="0076289F" w:rsidRPr="00D20922" w:rsidRDefault="0076289F" w:rsidP="00554687">
      <w:pPr>
        <w:tabs>
          <w:tab w:val="left" w:pos="1250"/>
        </w:tabs>
        <w:rPr>
          <w:rFonts w:ascii="Arial" w:hAnsi="Arial" w:cs="Arial"/>
          <w:sz w:val="24"/>
          <w:szCs w:val="24"/>
        </w:rPr>
      </w:pPr>
      <w:r w:rsidRPr="00D20922">
        <w:rPr>
          <w:rFonts w:ascii="Arial" w:hAnsi="Arial" w:cs="Arial"/>
          <w:sz w:val="24"/>
          <w:szCs w:val="24"/>
        </w:rPr>
        <w:t xml:space="preserve">R v District Auditor of West Yorkshire MCC (1986) </w:t>
      </w:r>
    </w:p>
    <w:p w14:paraId="3207DBAF" w14:textId="55477C1D" w:rsidR="00DA6A9E" w:rsidRPr="00D20922" w:rsidRDefault="00DA6A9E" w:rsidP="00554687">
      <w:pPr>
        <w:tabs>
          <w:tab w:val="left" w:pos="1250"/>
        </w:tabs>
        <w:rPr>
          <w:rFonts w:ascii="Arial" w:hAnsi="Arial" w:cs="Arial"/>
          <w:sz w:val="24"/>
          <w:szCs w:val="24"/>
        </w:rPr>
      </w:pPr>
      <w:r w:rsidRPr="00D20922">
        <w:rPr>
          <w:rFonts w:ascii="Arial" w:hAnsi="Arial" w:cs="Arial"/>
          <w:sz w:val="24"/>
          <w:szCs w:val="24"/>
        </w:rPr>
        <w:t>Re Baden Deed Trust No2 (1973)</w:t>
      </w:r>
    </w:p>
    <w:p w14:paraId="32713B27" w14:textId="6702B59D" w:rsidR="0064283E" w:rsidRPr="00D20922" w:rsidRDefault="0064283E" w:rsidP="00554687">
      <w:pPr>
        <w:tabs>
          <w:tab w:val="left" w:pos="1250"/>
        </w:tabs>
        <w:rPr>
          <w:rFonts w:ascii="Arial" w:hAnsi="Arial" w:cs="Arial"/>
          <w:sz w:val="24"/>
          <w:szCs w:val="24"/>
        </w:rPr>
      </w:pPr>
      <w:r w:rsidRPr="00D20922">
        <w:rPr>
          <w:rFonts w:ascii="Arial" w:hAnsi="Arial" w:cs="Arial"/>
          <w:sz w:val="24"/>
          <w:szCs w:val="24"/>
        </w:rPr>
        <w:t>Re Leek (1969)</w:t>
      </w:r>
    </w:p>
    <w:p w14:paraId="17D5CFFD" w14:textId="3C0C6229" w:rsidR="00DA6A9E" w:rsidRPr="00D20922" w:rsidRDefault="00DA6A9E" w:rsidP="00554687">
      <w:pPr>
        <w:tabs>
          <w:tab w:val="left" w:pos="1250"/>
        </w:tabs>
        <w:rPr>
          <w:rFonts w:ascii="Arial" w:hAnsi="Arial" w:cs="Arial"/>
          <w:sz w:val="24"/>
          <w:szCs w:val="24"/>
        </w:rPr>
      </w:pPr>
      <w:r w:rsidRPr="00D20922">
        <w:rPr>
          <w:rFonts w:ascii="Arial" w:hAnsi="Arial" w:cs="Arial"/>
          <w:sz w:val="24"/>
          <w:szCs w:val="24"/>
        </w:rPr>
        <w:t>Re Tuck (1978)</w:t>
      </w:r>
    </w:p>
    <w:p w14:paraId="34773B98" w14:textId="77777777" w:rsidR="0076289F" w:rsidRPr="001B0E9C" w:rsidRDefault="0076289F">
      <w:pPr>
        <w:tabs>
          <w:tab w:val="left" w:pos="1250"/>
        </w:tabs>
        <w:rPr>
          <w:rFonts w:ascii="Arial" w:hAnsi="Arial" w:cs="Arial"/>
          <w:sz w:val="24"/>
          <w:szCs w:val="24"/>
        </w:rPr>
      </w:pPr>
    </w:p>
    <w:sectPr w:rsidR="0076289F" w:rsidRPr="001B0E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29F5"/>
    <w:multiLevelType w:val="hybridMultilevel"/>
    <w:tmpl w:val="EBC6BE7E"/>
    <w:lvl w:ilvl="0" w:tplc="9EC6A426">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8EF5BD3"/>
    <w:multiLevelType w:val="hybridMultilevel"/>
    <w:tmpl w:val="0FB4CD1A"/>
    <w:lvl w:ilvl="0" w:tplc="D55E164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EA2621"/>
    <w:multiLevelType w:val="hybridMultilevel"/>
    <w:tmpl w:val="E5243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531F7"/>
    <w:multiLevelType w:val="hybridMultilevel"/>
    <w:tmpl w:val="D3C81570"/>
    <w:lvl w:ilvl="0" w:tplc="03CA9B28">
      <w:start w:val="3"/>
      <w:numFmt w:val="upperLetter"/>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A16DD5"/>
    <w:multiLevelType w:val="hybridMultilevel"/>
    <w:tmpl w:val="7DE07D28"/>
    <w:lvl w:ilvl="0" w:tplc="C8C6DAF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EE1DD3"/>
    <w:multiLevelType w:val="hybridMultilevel"/>
    <w:tmpl w:val="E580EC94"/>
    <w:lvl w:ilvl="0" w:tplc="E356F6BA">
      <w:start w:val="4"/>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6FD1275"/>
    <w:multiLevelType w:val="hybridMultilevel"/>
    <w:tmpl w:val="CA1E81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533B3C"/>
    <w:multiLevelType w:val="hybridMultilevel"/>
    <w:tmpl w:val="60A88C14"/>
    <w:lvl w:ilvl="0" w:tplc="7EEEFF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251E75"/>
    <w:multiLevelType w:val="hybridMultilevel"/>
    <w:tmpl w:val="E09C824A"/>
    <w:lvl w:ilvl="0" w:tplc="A6569FA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0"/>
  </w:num>
  <w:num w:numId="5">
    <w:abstractNumId w:val="2"/>
  </w:num>
  <w:num w:numId="6">
    <w:abstractNumId w:val="1"/>
  </w:num>
  <w:num w:numId="7">
    <w:abstractNumId w:val="7"/>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687"/>
    <w:rsid w:val="00001936"/>
    <w:rsid w:val="000048CB"/>
    <w:rsid w:val="00006B5F"/>
    <w:rsid w:val="0001603F"/>
    <w:rsid w:val="000348ED"/>
    <w:rsid w:val="00035ADA"/>
    <w:rsid w:val="00052FD2"/>
    <w:rsid w:val="00067785"/>
    <w:rsid w:val="00074FC7"/>
    <w:rsid w:val="00086FB9"/>
    <w:rsid w:val="000A505C"/>
    <w:rsid w:val="000B2BA2"/>
    <w:rsid w:val="000D4C14"/>
    <w:rsid w:val="000F32FC"/>
    <w:rsid w:val="00103948"/>
    <w:rsid w:val="00105C27"/>
    <w:rsid w:val="00180DF9"/>
    <w:rsid w:val="001832D5"/>
    <w:rsid w:val="00192F74"/>
    <w:rsid w:val="001A6ED3"/>
    <w:rsid w:val="001B0E9C"/>
    <w:rsid w:val="001B6F9C"/>
    <w:rsid w:val="001C521A"/>
    <w:rsid w:val="001E0641"/>
    <w:rsid w:val="001E3DF1"/>
    <w:rsid w:val="00207D2F"/>
    <w:rsid w:val="00215F6B"/>
    <w:rsid w:val="002256AC"/>
    <w:rsid w:val="00231086"/>
    <w:rsid w:val="00232F05"/>
    <w:rsid w:val="00242D75"/>
    <w:rsid w:val="00262CE3"/>
    <w:rsid w:val="002701D6"/>
    <w:rsid w:val="00273C70"/>
    <w:rsid w:val="002911DE"/>
    <w:rsid w:val="002C397F"/>
    <w:rsid w:val="002D0DD8"/>
    <w:rsid w:val="00322442"/>
    <w:rsid w:val="00327B1F"/>
    <w:rsid w:val="0033671D"/>
    <w:rsid w:val="00345718"/>
    <w:rsid w:val="00366A7A"/>
    <w:rsid w:val="00382287"/>
    <w:rsid w:val="00387C25"/>
    <w:rsid w:val="003B5E1E"/>
    <w:rsid w:val="003F10BA"/>
    <w:rsid w:val="00411CF9"/>
    <w:rsid w:val="004255E0"/>
    <w:rsid w:val="004258E1"/>
    <w:rsid w:val="00454869"/>
    <w:rsid w:val="00465A79"/>
    <w:rsid w:val="00476CDB"/>
    <w:rsid w:val="00493C41"/>
    <w:rsid w:val="004A30EC"/>
    <w:rsid w:val="004C504A"/>
    <w:rsid w:val="004D10EF"/>
    <w:rsid w:val="004E3CAB"/>
    <w:rsid w:val="00510CBC"/>
    <w:rsid w:val="00513E57"/>
    <w:rsid w:val="00517517"/>
    <w:rsid w:val="0052279C"/>
    <w:rsid w:val="00544EC6"/>
    <w:rsid w:val="00545384"/>
    <w:rsid w:val="0054657C"/>
    <w:rsid w:val="00551624"/>
    <w:rsid w:val="00554687"/>
    <w:rsid w:val="00555EEE"/>
    <w:rsid w:val="00556374"/>
    <w:rsid w:val="005755F4"/>
    <w:rsid w:val="005835E5"/>
    <w:rsid w:val="005863EE"/>
    <w:rsid w:val="0059094B"/>
    <w:rsid w:val="00593438"/>
    <w:rsid w:val="005A1FB8"/>
    <w:rsid w:val="005A3053"/>
    <w:rsid w:val="005A776D"/>
    <w:rsid w:val="005D6B40"/>
    <w:rsid w:val="005F02E4"/>
    <w:rsid w:val="00605E49"/>
    <w:rsid w:val="00610665"/>
    <w:rsid w:val="00612F51"/>
    <w:rsid w:val="006270AB"/>
    <w:rsid w:val="00636D3C"/>
    <w:rsid w:val="0064283E"/>
    <w:rsid w:val="00646399"/>
    <w:rsid w:val="0066116E"/>
    <w:rsid w:val="00665B46"/>
    <w:rsid w:val="00672C9E"/>
    <w:rsid w:val="00677344"/>
    <w:rsid w:val="00677A3B"/>
    <w:rsid w:val="00681AEC"/>
    <w:rsid w:val="006857CD"/>
    <w:rsid w:val="006A1642"/>
    <w:rsid w:val="006A3322"/>
    <w:rsid w:val="006D1ABC"/>
    <w:rsid w:val="006E6919"/>
    <w:rsid w:val="0072413A"/>
    <w:rsid w:val="00734DF2"/>
    <w:rsid w:val="00735555"/>
    <w:rsid w:val="0074081C"/>
    <w:rsid w:val="007428F1"/>
    <w:rsid w:val="00742E42"/>
    <w:rsid w:val="00753D46"/>
    <w:rsid w:val="0076289F"/>
    <w:rsid w:val="00772C68"/>
    <w:rsid w:val="00773B19"/>
    <w:rsid w:val="007A4ABF"/>
    <w:rsid w:val="007B58F9"/>
    <w:rsid w:val="007D6574"/>
    <w:rsid w:val="00801E1A"/>
    <w:rsid w:val="0081129C"/>
    <w:rsid w:val="00822227"/>
    <w:rsid w:val="00827630"/>
    <w:rsid w:val="00831F09"/>
    <w:rsid w:val="0086030C"/>
    <w:rsid w:val="00865CCE"/>
    <w:rsid w:val="00875759"/>
    <w:rsid w:val="00877ED5"/>
    <w:rsid w:val="00885365"/>
    <w:rsid w:val="008867BE"/>
    <w:rsid w:val="00891490"/>
    <w:rsid w:val="008A6F39"/>
    <w:rsid w:val="008B0CE7"/>
    <w:rsid w:val="008B51CB"/>
    <w:rsid w:val="008C4703"/>
    <w:rsid w:val="008E1064"/>
    <w:rsid w:val="008E6070"/>
    <w:rsid w:val="008F4107"/>
    <w:rsid w:val="0090221B"/>
    <w:rsid w:val="0094374D"/>
    <w:rsid w:val="00954F42"/>
    <w:rsid w:val="009818C1"/>
    <w:rsid w:val="009A5F0B"/>
    <w:rsid w:val="009B47BF"/>
    <w:rsid w:val="009C4353"/>
    <w:rsid w:val="009C619B"/>
    <w:rsid w:val="009D3C00"/>
    <w:rsid w:val="00A02995"/>
    <w:rsid w:val="00A1047B"/>
    <w:rsid w:val="00A33EC5"/>
    <w:rsid w:val="00A41E95"/>
    <w:rsid w:val="00A53A79"/>
    <w:rsid w:val="00A56334"/>
    <w:rsid w:val="00A6093B"/>
    <w:rsid w:val="00A87690"/>
    <w:rsid w:val="00A91DE5"/>
    <w:rsid w:val="00A94AE4"/>
    <w:rsid w:val="00A96374"/>
    <w:rsid w:val="00A963B7"/>
    <w:rsid w:val="00AA2A5B"/>
    <w:rsid w:val="00AA3592"/>
    <w:rsid w:val="00AA637D"/>
    <w:rsid w:val="00AC75A9"/>
    <w:rsid w:val="00AE195A"/>
    <w:rsid w:val="00AE5562"/>
    <w:rsid w:val="00AF10BC"/>
    <w:rsid w:val="00B000CD"/>
    <w:rsid w:val="00B05780"/>
    <w:rsid w:val="00B42E55"/>
    <w:rsid w:val="00B46B1A"/>
    <w:rsid w:val="00B76E6B"/>
    <w:rsid w:val="00B821F5"/>
    <w:rsid w:val="00B84507"/>
    <w:rsid w:val="00BA38C9"/>
    <w:rsid w:val="00BC2811"/>
    <w:rsid w:val="00BD5244"/>
    <w:rsid w:val="00BF76EC"/>
    <w:rsid w:val="00C17BD8"/>
    <w:rsid w:val="00C26419"/>
    <w:rsid w:val="00C268E4"/>
    <w:rsid w:val="00C344B0"/>
    <w:rsid w:val="00C42895"/>
    <w:rsid w:val="00C5752C"/>
    <w:rsid w:val="00C83C35"/>
    <w:rsid w:val="00C87AD9"/>
    <w:rsid w:val="00C95BA5"/>
    <w:rsid w:val="00CA14B6"/>
    <w:rsid w:val="00CA38F1"/>
    <w:rsid w:val="00CB3221"/>
    <w:rsid w:val="00CB690B"/>
    <w:rsid w:val="00CE3822"/>
    <w:rsid w:val="00CE3ADA"/>
    <w:rsid w:val="00D12DA4"/>
    <w:rsid w:val="00D20922"/>
    <w:rsid w:val="00D5123B"/>
    <w:rsid w:val="00D77CB3"/>
    <w:rsid w:val="00D81618"/>
    <w:rsid w:val="00D86998"/>
    <w:rsid w:val="00DA6A9E"/>
    <w:rsid w:val="00DB555D"/>
    <w:rsid w:val="00DE2A16"/>
    <w:rsid w:val="00DE7B0F"/>
    <w:rsid w:val="00E1110A"/>
    <w:rsid w:val="00E30AD3"/>
    <w:rsid w:val="00E32CF9"/>
    <w:rsid w:val="00E373BF"/>
    <w:rsid w:val="00E7078F"/>
    <w:rsid w:val="00EC1CCD"/>
    <w:rsid w:val="00ED28AA"/>
    <w:rsid w:val="00EE227E"/>
    <w:rsid w:val="00EF2911"/>
    <w:rsid w:val="00F13AAA"/>
    <w:rsid w:val="00F22F01"/>
    <w:rsid w:val="00F3010A"/>
    <w:rsid w:val="00F33FD1"/>
    <w:rsid w:val="00F406BA"/>
    <w:rsid w:val="00F55E9D"/>
    <w:rsid w:val="00F738EE"/>
    <w:rsid w:val="00F94D0A"/>
    <w:rsid w:val="00FB5801"/>
    <w:rsid w:val="00FC4568"/>
    <w:rsid w:val="00FC624D"/>
    <w:rsid w:val="00FD4B64"/>
    <w:rsid w:val="00FD5431"/>
    <w:rsid w:val="00FE23BC"/>
    <w:rsid w:val="00FF0712"/>
    <w:rsid w:val="00FF3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FF9E9"/>
  <w15:chartTrackingRefBased/>
  <w15:docId w15:val="{A53825CF-C804-486A-8782-D4398A7FF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821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A7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C95BA5"/>
    <w:rPr>
      <w:color w:val="0000FF"/>
      <w:u w:val="single"/>
    </w:rPr>
  </w:style>
  <w:style w:type="character" w:styleId="UnresolvedMention">
    <w:name w:val="Unresolved Mention"/>
    <w:basedOn w:val="DefaultParagraphFont"/>
    <w:uiPriority w:val="99"/>
    <w:semiHidden/>
    <w:unhideWhenUsed/>
    <w:rsid w:val="00001936"/>
    <w:rPr>
      <w:color w:val="605E5C"/>
      <w:shd w:val="clear" w:color="auto" w:fill="E1DFDD"/>
    </w:rPr>
  </w:style>
  <w:style w:type="character" w:customStyle="1" w:styleId="readingnamef3417e298ea85cb0ab7d9b2bffba76bc">
    <w:name w:val="reading_name_f3417e298ea85cb0ab7d9b2bffba76bc"/>
    <w:basedOn w:val="DefaultParagraphFont"/>
    <w:rsid w:val="00517517"/>
  </w:style>
  <w:style w:type="character" w:customStyle="1" w:styleId="personname">
    <w:name w:val="person_name"/>
    <w:basedOn w:val="DefaultParagraphFont"/>
    <w:rsid w:val="00517517"/>
  </w:style>
  <w:style w:type="character" w:styleId="Emphasis">
    <w:name w:val="Emphasis"/>
    <w:basedOn w:val="DefaultParagraphFont"/>
    <w:uiPriority w:val="20"/>
    <w:qFormat/>
    <w:rsid w:val="00517517"/>
    <w:rPr>
      <w:i/>
      <w:iCs/>
    </w:rPr>
  </w:style>
  <w:style w:type="character" w:customStyle="1" w:styleId="Heading1Char">
    <w:name w:val="Heading 1 Char"/>
    <w:basedOn w:val="DefaultParagraphFont"/>
    <w:link w:val="Heading1"/>
    <w:uiPriority w:val="9"/>
    <w:rsid w:val="00B821F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033601">
      <w:bodyDiv w:val="1"/>
      <w:marLeft w:val="0"/>
      <w:marRight w:val="0"/>
      <w:marTop w:val="0"/>
      <w:marBottom w:val="0"/>
      <w:divBdr>
        <w:top w:val="none" w:sz="0" w:space="0" w:color="auto"/>
        <w:left w:val="none" w:sz="0" w:space="0" w:color="auto"/>
        <w:bottom w:val="none" w:sz="0" w:space="0" w:color="auto"/>
        <w:right w:val="none" w:sz="0" w:space="0" w:color="auto"/>
      </w:divBdr>
    </w:div>
    <w:div w:id="1162306914">
      <w:bodyDiv w:val="1"/>
      <w:marLeft w:val="0"/>
      <w:marRight w:val="0"/>
      <w:marTop w:val="0"/>
      <w:marBottom w:val="0"/>
      <w:divBdr>
        <w:top w:val="none" w:sz="0" w:space="0" w:color="auto"/>
        <w:left w:val="none" w:sz="0" w:space="0" w:color="auto"/>
        <w:bottom w:val="none" w:sz="0" w:space="0" w:color="auto"/>
        <w:right w:val="none" w:sz="0" w:space="0" w:color="auto"/>
      </w:divBdr>
    </w:div>
    <w:div w:id="170763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ustandwill.com/learn/inter-vivos-trust" TargetMode="External"/><Relationship Id="rId18" Type="http://schemas.openxmlformats.org/officeDocument/2006/relationships/hyperlink" Target="https://alchetron.com/R-v-District-Auditor-No-3-Audit-District-of-West-Yorkshire-MCC,-ex-p-West-Yorkshire-MCC" TargetMode="External"/><Relationship Id="rId26" Type="http://schemas.openxmlformats.org/officeDocument/2006/relationships/hyperlink" Target="https://www.rcsolicitors.co.uk/family-law/wills/wills-and-trusts/gifts-in-a-will" TargetMode="External"/><Relationship Id="rId3" Type="http://schemas.openxmlformats.org/officeDocument/2006/relationships/settings" Target="settings.xml"/><Relationship Id="rId21" Type="http://schemas.openxmlformats.org/officeDocument/2006/relationships/hyperlink" Target="https://chrismallonlawtutor.com/equity-and-trusts/certainty-of-subject-matter/" TargetMode="External"/><Relationship Id="rId34" Type="http://schemas.openxmlformats.org/officeDocument/2006/relationships/fontTable" Target="fontTable.xml"/><Relationship Id="rId7" Type="http://schemas.openxmlformats.org/officeDocument/2006/relationships/hyperlink" Target="https://www.lawgazette.co.uk/legal-updates/secret-and-half-secret-trusts/5042946.article" TargetMode="External"/><Relationship Id="rId12" Type="http://schemas.openxmlformats.org/officeDocument/2006/relationships/hyperlink" Target="https://www.willwriters.com/blog/secret-half-secret-trusts/" TargetMode="External"/><Relationship Id="rId17" Type="http://schemas.openxmlformats.org/officeDocument/2006/relationships/hyperlink" Target="https://theblackletter.co.uk/2018/10/11/in-re-badens-deed-trusts-no-2/" TargetMode="External"/><Relationship Id="rId25" Type="http://schemas.openxmlformats.org/officeDocument/2006/relationships/hyperlink" Target="https://www.culs.org.uk/per-incuriam/do-proponents-of-the-human-beneficiary-principle-misunderstand-the-fundamental-principles-of-the-trust-concept" TargetMode="External"/><Relationship Id="rId33" Type="http://schemas.openxmlformats.org/officeDocument/2006/relationships/hyperlink" Target="https://www.lawyersnjurists.com/article/certainty-of-objects/" TargetMode="External"/><Relationship Id="rId2" Type="http://schemas.openxmlformats.org/officeDocument/2006/relationships/styles" Target="styles.xml"/><Relationship Id="rId16" Type="http://schemas.openxmlformats.org/officeDocument/2006/relationships/hyperlink" Target="https://www.simpsonmillar.co.uk/media/what-is-a-discretionary-trust-and-how-does-it-work/" TargetMode="External"/><Relationship Id="rId20" Type="http://schemas.openxmlformats.org/officeDocument/2006/relationships/hyperlink" Target="https://swarb.co.uk/re-tucks-settlement-trusts-ca-1-nov-1977/" TargetMode="External"/><Relationship Id="rId29" Type="http://schemas.openxmlformats.org/officeDocument/2006/relationships/hyperlink" Target="https://www.cambridge.org/core/journals/cambridge-law-journal/article/three-certainties-required-to-declare-a-trust-or-is-it-four-distributional-certainty/9018A16615B25DA48B5186A1B21C65C9" TargetMode="External"/><Relationship Id="rId1" Type="http://schemas.openxmlformats.org/officeDocument/2006/relationships/numbering" Target="numbering.xml"/><Relationship Id="rId6" Type="http://schemas.openxmlformats.org/officeDocument/2006/relationships/hyperlink" Target="https://www.buckles-law.co.uk/blog/will-disputes/existence-of-secret-trust-rejected-by-high-court-in-contested-estate-case/" TargetMode="External"/><Relationship Id="rId11" Type="http://schemas.openxmlformats.org/officeDocument/2006/relationships/hyperlink" Target="https://www.wrighthassall.co.uk/knowledge-base/wills-act-1837" TargetMode="External"/><Relationship Id="rId24" Type="http://schemas.openxmlformats.org/officeDocument/2006/relationships/hyperlink" Target="https://www.merriam-webster.com/dictionary/beneficiary" TargetMode="External"/><Relationship Id="rId32" Type="http://schemas.openxmlformats.org/officeDocument/2006/relationships/hyperlink" Target="https://centaur.reading.ac.uk/88611/3/Wilde,%20David%20-%20Can%20arbiters%20resolve%20conceptual%20uncertainty%20regarding%20trust%20beneficiaries.pdf" TargetMode="External"/><Relationship Id="rId5" Type="http://schemas.openxmlformats.org/officeDocument/2006/relationships/hyperlink" Target="https://djetlawyer.com/maxims-of-equity-everything-you-need-to-know/" TargetMode="External"/><Relationship Id="rId15" Type="http://schemas.openxmlformats.org/officeDocument/2006/relationships/hyperlink" Target="https://www.handlebar-online.com/writing-tips/what-is-the-beneficiary-principle-uk/" TargetMode="External"/><Relationship Id="rId23" Type="http://schemas.openxmlformats.org/officeDocument/2006/relationships/hyperlink" Target="https://www.pinsentmasons.com/out-law/guides/fiduciary-duties" TargetMode="External"/><Relationship Id="rId28" Type="http://schemas.openxmlformats.org/officeDocument/2006/relationships/hyperlink" Target="https://www.gov.uk/trusts-taxes" TargetMode="External"/><Relationship Id="rId10" Type="http://schemas.openxmlformats.org/officeDocument/2006/relationships/hyperlink" Target="https://www.myerson.co.uk/news-insights-and-events/secret-trusts" TargetMode="External"/><Relationship Id="rId19" Type="http://schemas.openxmlformats.org/officeDocument/2006/relationships/hyperlink" Target="https://www.simpsonmillar.co.uk/media/what-is-a-discretionary-trust-and-how-does-it-work/" TargetMode="External"/><Relationship Id="rId31" Type="http://schemas.openxmlformats.org/officeDocument/2006/relationships/hyperlink" Target="https://centaur.reading.ac.uk/view/creators/90001715.html" TargetMode="External"/><Relationship Id="rId4" Type="http://schemas.openxmlformats.org/officeDocument/2006/relationships/webSettings" Target="webSettings.xml"/><Relationship Id="rId9" Type="http://schemas.openxmlformats.org/officeDocument/2006/relationships/hyperlink" Target="https://mcmahonsolicitors.ie/maxims-of-equity/" TargetMode="External"/><Relationship Id="rId14" Type="http://schemas.openxmlformats.org/officeDocument/2006/relationships/hyperlink" Target="https://centaur.reading.ac.uk/view/creators/90001715.html" TargetMode="External"/><Relationship Id="rId22" Type="http://schemas.openxmlformats.org/officeDocument/2006/relationships/hyperlink" Target="https://www.wise-geek.com/what-is-a-beneficiary-trust.htm" TargetMode="External"/><Relationship Id="rId27" Type="http://schemas.openxmlformats.org/officeDocument/2006/relationships/hyperlink" Target="https://thestudentlawyer.com/2013/11/29/trusts-the-beneficiary-principle-and-perpetuity/" TargetMode="External"/><Relationship Id="rId30" Type="http://schemas.openxmlformats.org/officeDocument/2006/relationships/hyperlink" Target="https://www.thepfs.org/news-index/articles/trust-creation-what-is-an-express-trust/101046" TargetMode="External"/><Relationship Id="rId35" Type="http://schemas.openxmlformats.org/officeDocument/2006/relationships/theme" Target="theme/theme1.xml"/><Relationship Id="rId8" Type="http://schemas.openxmlformats.org/officeDocument/2006/relationships/hyperlink" Target="https://www.freeadvice.com/legal/what-is-a-secret-tru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3784</Words>
  <Characters>21573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x-roxy-x91@outlook.com</dc:creator>
  <cp:keywords/>
  <dc:description/>
  <cp:lastModifiedBy>x-roxy-x91@outlook.com</cp:lastModifiedBy>
  <cp:revision>2</cp:revision>
  <dcterms:created xsi:type="dcterms:W3CDTF">2022-01-06T00:05:00Z</dcterms:created>
  <dcterms:modified xsi:type="dcterms:W3CDTF">2022-01-06T00:05:00Z</dcterms:modified>
</cp:coreProperties>
</file>