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Reference list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Drummond, M. (1993)</w:t>
      </w:r>
      <w:r w:rsidDel="00000000" w:rsidR="00000000" w:rsidRPr="00000000">
        <w:rPr>
          <w:i w:val="1"/>
          <w:rtl w:val="0"/>
        </w:rPr>
        <w:t xml:space="preserve"> Assessing children’s learning</w:t>
      </w:r>
      <w:r w:rsidDel="00000000" w:rsidR="00000000" w:rsidRPr="00000000">
        <w:rPr>
          <w:rtl w:val="0"/>
        </w:rPr>
        <w:t xml:space="preserve">. United Kingdom: David Fulton Publishers.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 Nind, M., Sheehy, K. and Simmons, K. (2003) </w:t>
      </w:r>
      <w:r w:rsidDel="00000000" w:rsidR="00000000" w:rsidRPr="00000000">
        <w:rPr>
          <w:i w:val="1"/>
          <w:rtl w:val="0"/>
        </w:rPr>
        <w:t xml:space="preserve">Inclusive education : learners and learning contexts</w:t>
      </w:r>
      <w:r w:rsidDel="00000000" w:rsidR="00000000" w:rsidRPr="00000000">
        <w:rPr>
          <w:rtl w:val="0"/>
        </w:rPr>
        <w:t xml:space="preserve">. London: David Fulton in association with The Open University.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 Donald, D., Lazarus, S. and Lolwana, P. (2002) </w:t>
      </w:r>
      <w:r w:rsidDel="00000000" w:rsidR="00000000" w:rsidRPr="00000000">
        <w:rPr>
          <w:i w:val="1"/>
          <w:rtl w:val="0"/>
        </w:rPr>
        <w:t xml:space="preserve">Educational psychology in social context.</w:t>
      </w:r>
      <w:r w:rsidDel="00000000" w:rsidR="00000000" w:rsidRPr="00000000">
        <w:rPr>
          <w:rtl w:val="0"/>
        </w:rPr>
        <w:t xml:space="preserve"> Capetown: Oxford University Press.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