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6E29D9" w14:textId="615638F4" w:rsidR="003E7FA8" w:rsidRDefault="00D84801" w:rsidP="00D84801">
      <w:pPr>
        <w:jc w:val="center"/>
        <w:rPr>
          <w:b/>
          <w:bCs/>
        </w:rPr>
      </w:pPr>
      <w:r w:rsidRPr="00D84801">
        <w:rPr>
          <w:b/>
          <w:bCs/>
        </w:rPr>
        <w:t xml:space="preserve">The Secular Performance of Music in </w:t>
      </w:r>
      <w:r>
        <w:rPr>
          <w:b/>
          <w:bCs/>
        </w:rPr>
        <w:t xml:space="preserve">Western Europe in </w:t>
      </w:r>
      <w:r w:rsidRPr="00D84801">
        <w:rPr>
          <w:b/>
          <w:bCs/>
        </w:rPr>
        <w:t>the High Medieval Period 1050-1350</w:t>
      </w:r>
      <w:r>
        <w:rPr>
          <w:b/>
          <w:bCs/>
        </w:rPr>
        <w:t>.</w:t>
      </w:r>
    </w:p>
    <w:p w14:paraId="3ED5B99E" w14:textId="77777777" w:rsidR="00D84801" w:rsidRDefault="00D84801" w:rsidP="00D84801">
      <w:pPr>
        <w:rPr>
          <w:b/>
          <w:bCs/>
        </w:rPr>
      </w:pPr>
    </w:p>
    <w:p w14:paraId="76B5EDC5" w14:textId="1E500255" w:rsidR="00D84801" w:rsidRDefault="00D84801" w:rsidP="00D84801">
      <w:pPr>
        <w:ind w:firstLine="720"/>
      </w:pPr>
      <w:r>
        <w:t xml:space="preserve">The medieval period in Western Europe </w:t>
      </w:r>
      <w:r w:rsidR="00964268">
        <w:t>was</w:t>
      </w:r>
      <w:r>
        <w:t xml:space="preserve"> host to an incredibly rich and diverse musical culture spanning the complete range of social strata. Although the line can at times be blurred, music in this period can be contextually defined between the secular and ecclesiastical spheres. Most work thus-far on medieval secular music has focused upon the scores themselves or the lyrical content; whilst this work is important and will not be excluded from this essay, </w:t>
      </w:r>
      <w:r w:rsidR="00E40B9F">
        <w:t>further</w:t>
      </w:r>
      <w:r>
        <w:t xml:space="preserve"> investigation into the context of secular medieval performance is sorely needed. This essay will focus on the period 1050-1350 which, beginning with the political developments of the 11</w:t>
      </w:r>
      <w:r w:rsidRPr="00D84801">
        <w:rPr>
          <w:vertAlign w:val="superscript"/>
        </w:rPr>
        <w:t>th</w:t>
      </w:r>
      <w:r>
        <w:t xml:space="preserve"> century, marked a musically and culturally distinct era for Western Europe.</w:t>
      </w:r>
      <w:r>
        <w:rPr>
          <w:rStyle w:val="FootnoteReference"/>
        </w:rPr>
        <w:footnoteReference w:id="1"/>
      </w:r>
      <w:r>
        <w:t xml:space="preserve"> This essay will seek to explore three key research questions. Who authored and performed music in the professional and domestic setting? How was secular music circulated in the high medieval period? </w:t>
      </w:r>
      <w:r w:rsidR="00473C71">
        <w:t>And</w:t>
      </w:r>
      <w:r>
        <w:t xml:space="preserve"> what can we tell from the limited evidence </w:t>
      </w:r>
      <w:r w:rsidR="00473C71">
        <w:t>of</w:t>
      </w:r>
      <w:r>
        <w:t xml:space="preserve"> the nature of medieval folk music, and how it was practiced? Th</w:t>
      </w:r>
      <w:r w:rsidR="00C45ECD">
        <w:t xml:space="preserve">is essay will explore these questions through an </w:t>
      </w:r>
      <w:r w:rsidR="0049392C">
        <w:t>analysis</w:t>
      </w:r>
      <w:r w:rsidR="00C45ECD">
        <w:t xml:space="preserve"> </w:t>
      </w:r>
      <w:r w:rsidR="0049392C">
        <w:t>of the perfor</w:t>
      </w:r>
      <w:r w:rsidR="005E7A14">
        <w:t>mers,</w:t>
      </w:r>
      <w:r w:rsidR="00FA5396">
        <w:t xml:space="preserve"> the authors, performance settings and popular music. Through this exercise</w:t>
      </w:r>
      <w:r w:rsidR="00A05B0E">
        <w:t xml:space="preserve"> this essay will </w:t>
      </w:r>
      <w:r w:rsidR="00FA5396">
        <w:t>uncover the often forgotten rich musical, and cultural depth of the high medieval period</w:t>
      </w:r>
      <w:r>
        <w:t>.</w:t>
      </w:r>
      <w:r w:rsidR="00473C71">
        <w:t xml:space="preserve"> </w:t>
      </w:r>
    </w:p>
    <w:p w14:paraId="2169FA78" w14:textId="77777777" w:rsidR="00D84801" w:rsidRDefault="00D84801" w:rsidP="00D84801">
      <w:pPr>
        <w:ind w:firstLine="720"/>
      </w:pPr>
    </w:p>
    <w:p w14:paraId="23C267C2" w14:textId="61C733B8" w:rsidR="00123398" w:rsidRDefault="00D84801" w:rsidP="00123398">
      <w:pPr>
        <w:ind w:left="720"/>
      </w:pPr>
      <w:r>
        <w:t>In beginning any study of poetry and music in the high medieval period, it is</w:t>
      </w:r>
    </w:p>
    <w:p w14:paraId="67E4405D" w14:textId="1CB1FCAC" w:rsidR="00123398" w:rsidRDefault="00D84801" w:rsidP="00123398">
      <w:r>
        <w:t xml:space="preserve">important to understand the different connotations those terms hold today. To the medieval person, music, poetry, and narrative, were intrinsically linked. The great stories of the period, </w:t>
      </w:r>
      <w:r w:rsidRPr="00D84801">
        <w:rPr>
          <w:i/>
          <w:iCs/>
        </w:rPr>
        <w:t>chansons de geste</w:t>
      </w:r>
      <w:r>
        <w:t xml:space="preserve">, and </w:t>
      </w:r>
      <w:r w:rsidR="00AC5CE3">
        <w:t>saints’</w:t>
      </w:r>
      <w:r>
        <w:t xml:space="preserve"> lives</w:t>
      </w:r>
      <w:r w:rsidR="00AC5CE3">
        <w:t xml:space="preserve"> </w:t>
      </w:r>
      <w:r>
        <w:t xml:space="preserve">would have been recited orally to a simple melody. In </w:t>
      </w:r>
      <w:r w:rsidR="00E77752">
        <w:t>fact,</w:t>
      </w:r>
      <w:r>
        <w:t xml:space="preserve"> for most</w:t>
      </w:r>
      <w:r w:rsidR="00AC5CE3">
        <w:t>,</w:t>
      </w:r>
      <w:r>
        <w:t xml:space="preserve"> the amount of narrative music in their ears may well have exceeded that of a more modern definition.</w:t>
      </w:r>
      <w:r>
        <w:rPr>
          <w:rStyle w:val="FootnoteReference"/>
        </w:rPr>
        <w:footnoteReference w:id="2"/>
      </w:r>
      <w:r>
        <w:t xml:space="preserve"> </w:t>
      </w:r>
      <w:r w:rsidR="00123398">
        <w:t>Gerald of Wales notes that bards were able to recite pedigrees from memory and even kept genealogies of the princes in their ancient books.</w:t>
      </w:r>
      <w:r w:rsidR="00123398">
        <w:rPr>
          <w:rStyle w:val="FootnoteReference"/>
        </w:rPr>
        <w:footnoteReference w:id="3"/>
      </w:r>
      <w:r w:rsidR="00123398">
        <w:t xml:space="preserve"> </w:t>
      </w:r>
      <w:r>
        <w:t>A</w:t>
      </w:r>
      <w:r w:rsidR="00123398">
        <w:t>ll of this would have been recalled to a melody. Folquet de Marseille, a</w:t>
      </w:r>
      <w:r>
        <w:t xml:space="preserve"> </w:t>
      </w:r>
      <w:r w:rsidR="00123398">
        <w:t>13</w:t>
      </w:r>
      <w:r w:rsidR="00123398" w:rsidRPr="00123398">
        <w:rPr>
          <w:vertAlign w:val="superscript"/>
        </w:rPr>
        <w:t>th</w:t>
      </w:r>
      <w:r w:rsidR="00123398">
        <w:t xml:space="preserve"> century </w:t>
      </w:r>
      <w:r w:rsidRPr="00D84801">
        <w:rPr>
          <w:i/>
          <w:iCs/>
        </w:rPr>
        <w:t>troubadour</w:t>
      </w:r>
      <w:r w:rsidR="00123398">
        <w:rPr>
          <w:i/>
          <w:iCs/>
        </w:rPr>
        <w:t>,</w:t>
      </w:r>
      <w:r>
        <w:t xml:space="preserve"> once compared poetry without music to a mill without water.</w:t>
      </w:r>
      <w:r>
        <w:rPr>
          <w:rStyle w:val="FootnoteReference"/>
        </w:rPr>
        <w:footnoteReference w:id="4"/>
      </w:r>
      <w:r>
        <w:t xml:space="preserve"> </w:t>
      </w:r>
      <w:r w:rsidR="00256138">
        <w:t>And, i</w:t>
      </w:r>
      <w:r>
        <w:t xml:space="preserve">t is in this light that all medieval poetry must be understood. The most well-known and important performers </w:t>
      </w:r>
      <w:r w:rsidR="00123398">
        <w:t xml:space="preserve">of this poetry </w:t>
      </w:r>
      <w:r>
        <w:t xml:space="preserve">were the </w:t>
      </w:r>
      <w:r>
        <w:rPr>
          <w:i/>
          <w:iCs/>
        </w:rPr>
        <w:t>jongleurs</w:t>
      </w:r>
      <w:r>
        <w:t xml:space="preserve"> or</w:t>
      </w:r>
      <w:r>
        <w:rPr>
          <w:i/>
          <w:iCs/>
        </w:rPr>
        <w:t xml:space="preserve"> mènestrels</w:t>
      </w:r>
      <w:r>
        <w:t>, a class of professional musician appearing around the 10</w:t>
      </w:r>
      <w:r w:rsidRPr="00D84801">
        <w:rPr>
          <w:vertAlign w:val="superscript"/>
        </w:rPr>
        <w:t>th</w:t>
      </w:r>
      <w:r>
        <w:t xml:space="preserve"> century</w:t>
      </w:r>
      <w:r>
        <w:rPr>
          <w:i/>
          <w:iCs/>
        </w:rPr>
        <w:t>.</w:t>
      </w:r>
      <w:r>
        <w:rPr>
          <w:rStyle w:val="FootnoteReference"/>
          <w:i/>
          <w:iCs/>
        </w:rPr>
        <w:footnoteReference w:id="5"/>
      </w:r>
      <w:r>
        <w:rPr>
          <w:i/>
          <w:iCs/>
        </w:rPr>
        <w:t xml:space="preserve"> </w:t>
      </w:r>
      <w:r w:rsidR="00DC0D02">
        <w:t>T</w:t>
      </w:r>
      <w:r>
        <w:t xml:space="preserve">hese </w:t>
      </w:r>
      <w:r w:rsidR="005053A6">
        <w:t>minstrels</w:t>
      </w:r>
      <w:r w:rsidR="00E77752">
        <w:t xml:space="preserve"> </w:t>
      </w:r>
      <w:r w:rsidR="00DC0D02">
        <w:t xml:space="preserve">however, </w:t>
      </w:r>
      <w:r>
        <w:t>were</w:t>
      </w:r>
      <w:r w:rsidR="00DC0D02">
        <w:t xml:space="preserve"> </w:t>
      </w:r>
      <w:r>
        <w:t xml:space="preserve">far from our modern concept of the musician. The word </w:t>
      </w:r>
      <w:r>
        <w:rPr>
          <w:i/>
          <w:iCs/>
        </w:rPr>
        <w:t>jongleur</w:t>
      </w:r>
      <w:r>
        <w:t xml:space="preserve"> is an altered form the word </w:t>
      </w:r>
      <w:r>
        <w:rPr>
          <w:i/>
          <w:iCs/>
        </w:rPr>
        <w:t>jogler</w:t>
      </w:r>
      <w:r>
        <w:t xml:space="preserve">, </w:t>
      </w:r>
      <w:r w:rsidR="00890BA1">
        <w:t>or</w:t>
      </w:r>
      <w:r>
        <w:t xml:space="preserve"> juggler in English, and is derived from the Latin term </w:t>
      </w:r>
      <w:r>
        <w:rPr>
          <w:i/>
          <w:iCs/>
        </w:rPr>
        <w:t>jogulator</w:t>
      </w:r>
      <w:r>
        <w:t xml:space="preserve"> meaning jester.</w:t>
      </w:r>
      <w:r>
        <w:rPr>
          <w:rStyle w:val="FootnoteReference"/>
        </w:rPr>
        <w:footnoteReference w:id="6"/>
      </w:r>
      <w:r>
        <w:t xml:space="preserve"> Travelling from town to town, the </w:t>
      </w:r>
      <w:r>
        <w:rPr>
          <w:i/>
          <w:iCs/>
        </w:rPr>
        <w:t xml:space="preserve">jongleurs </w:t>
      </w:r>
      <w:r>
        <w:t>were not simply employed in the arts of music but were all</w:t>
      </w:r>
      <w:r w:rsidR="00123398">
        <w:t>-</w:t>
      </w:r>
      <w:r>
        <w:t>round entertainers,</w:t>
      </w:r>
      <w:r w:rsidR="00123398">
        <w:t xml:space="preserve"> often </w:t>
      </w:r>
      <w:r>
        <w:t>adopt</w:t>
      </w:r>
      <w:r w:rsidR="00123398">
        <w:t>ing</w:t>
      </w:r>
      <w:r>
        <w:t xml:space="preserve"> for themselves a witty or self-mocking stage name.</w:t>
      </w:r>
      <w:r>
        <w:rPr>
          <w:rStyle w:val="FootnoteReference"/>
        </w:rPr>
        <w:footnoteReference w:id="7"/>
      </w:r>
      <w:r>
        <w:t xml:space="preserve"> They </w:t>
      </w:r>
      <w:r w:rsidR="002F72BF">
        <w:t>c</w:t>
      </w:r>
      <w:r>
        <w:t>ould sing</w:t>
      </w:r>
      <w:r w:rsidR="003B544E">
        <w:t>,</w:t>
      </w:r>
      <w:r>
        <w:t xml:space="preserve"> recite poetry, play instruments, perform acrobatic feats, juggle knives</w:t>
      </w:r>
      <w:r w:rsidR="002F72BF">
        <w:t xml:space="preserve">, or even direct a </w:t>
      </w:r>
      <w:r w:rsidR="002F72BF">
        <w:lastRenderedPageBreak/>
        <w:t>performing bear</w:t>
      </w:r>
      <w:r>
        <w:t>.</w:t>
      </w:r>
      <w:r>
        <w:rPr>
          <w:rStyle w:val="FootnoteReference"/>
        </w:rPr>
        <w:footnoteReference w:id="8"/>
      </w:r>
      <w:r>
        <w:t xml:space="preserve"> Likely due to their frivolous nature, </w:t>
      </w:r>
      <w:r>
        <w:rPr>
          <w:i/>
          <w:iCs/>
        </w:rPr>
        <w:t>jongleurs</w:t>
      </w:r>
      <w:r>
        <w:t xml:space="preserve"> were perceived with a mixture of contempt and admiration by writers of the period. Petarch wrote in the 11</w:t>
      </w:r>
      <w:r w:rsidRPr="00D84801">
        <w:rPr>
          <w:vertAlign w:val="superscript"/>
        </w:rPr>
        <w:t>th</w:t>
      </w:r>
      <w:r>
        <w:t xml:space="preserve"> century </w:t>
      </w:r>
      <w:r w:rsidR="00805EB9">
        <w:t xml:space="preserve">that </w:t>
      </w:r>
      <w:r>
        <w:t xml:space="preserve">the </w:t>
      </w:r>
      <w:r>
        <w:rPr>
          <w:i/>
          <w:iCs/>
        </w:rPr>
        <w:t>jongleurs</w:t>
      </w:r>
      <w:r w:rsidR="00123398">
        <w:t xml:space="preserve"> </w:t>
      </w:r>
      <w:r w:rsidR="00805EB9">
        <w:t>were a</w:t>
      </w:r>
      <w:r w:rsidR="00123398">
        <w:t xml:space="preserve"> </w:t>
      </w:r>
      <w:r>
        <w:t>“people of no great wit, but with amazing memory, very industrious, and impudent beyond measure”.</w:t>
      </w:r>
      <w:r>
        <w:rPr>
          <w:rStyle w:val="FootnoteReference"/>
        </w:rPr>
        <w:footnoteReference w:id="9"/>
      </w:r>
      <w:r>
        <w:t xml:space="preserve"> There are hundreds of ecclesiastical condemnations of acting, singing, and dancing dating back</w:t>
      </w:r>
      <w:r w:rsidR="00123398">
        <w:t xml:space="preserve"> as far as the 2</w:t>
      </w:r>
      <w:r w:rsidR="00123398" w:rsidRPr="00123398">
        <w:rPr>
          <w:vertAlign w:val="superscript"/>
        </w:rPr>
        <w:t>nd</w:t>
      </w:r>
      <w:r w:rsidR="00123398">
        <w:t xml:space="preserve"> century</w:t>
      </w:r>
      <w:r>
        <w:t xml:space="preserve">, </w:t>
      </w:r>
      <w:r w:rsidR="004B445E">
        <w:t>often</w:t>
      </w:r>
      <w:r>
        <w:t xml:space="preserve"> focusing on the </w:t>
      </w:r>
      <w:r w:rsidR="00123398">
        <w:t xml:space="preserve">sometimes </w:t>
      </w:r>
      <w:r>
        <w:t xml:space="preserve">erotic nature of </w:t>
      </w:r>
      <w:r w:rsidR="00123398">
        <w:t>the</w:t>
      </w:r>
      <w:r w:rsidR="00705F5B">
        <w:t xml:space="preserve"> </w:t>
      </w:r>
      <w:r>
        <w:t>performance.</w:t>
      </w:r>
      <w:r>
        <w:rPr>
          <w:rStyle w:val="FootnoteReference"/>
        </w:rPr>
        <w:footnoteReference w:id="10"/>
      </w:r>
      <w:r>
        <w:t xml:space="preserve"> The travelling </w:t>
      </w:r>
      <w:r>
        <w:rPr>
          <w:i/>
          <w:iCs/>
        </w:rPr>
        <w:t>jongleur</w:t>
      </w:r>
      <w:r w:rsidR="00123398">
        <w:rPr>
          <w:i/>
          <w:iCs/>
        </w:rPr>
        <w:t xml:space="preserve"> </w:t>
      </w:r>
      <w:r>
        <w:t>at times faced legal discrimination</w:t>
      </w:r>
      <w:r w:rsidR="00123398">
        <w:t>,</w:t>
      </w:r>
      <w:r>
        <w:t xml:space="preserve"> and some cities limited them to a quota</w:t>
      </w:r>
      <w:r w:rsidR="00705F5B">
        <w:t>. I</w:t>
      </w:r>
      <w:r>
        <w:t xml:space="preserve">n 1200 for example, only four </w:t>
      </w:r>
      <w:r w:rsidRPr="00D84801">
        <w:rPr>
          <w:i/>
          <w:iCs/>
        </w:rPr>
        <w:t xml:space="preserve">iaculatores </w:t>
      </w:r>
      <w:r>
        <w:t>were to be permitted to enter the city</w:t>
      </w:r>
      <w:r w:rsidR="00123398">
        <w:t xml:space="preserve"> of Strasbourg</w:t>
      </w:r>
      <w:r>
        <w:t>.</w:t>
      </w:r>
      <w:r>
        <w:rPr>
          <w:rStyle w:val="FootnoteReference"/>
        </w:rPr>
        <w:footnoteReference w:id="11"/>
      </w:r>
      <w:r>
        <w:t xml:space="preserve"> Over the 11</w:t>
      </w:r>
      <w:r w:rsidRPr="00D84801">
        <w:rPr>
          <w:vertAlign w:val="superscript"/>
        </w:rPr>
        <w:t>th</w:t>
      </w:r>
      <w:r>
        <w:t xml:space="preserve"> and 12</w:t>
      </w:r>
      <w:r w:rsidRPr="00D84801">
        <w:rPr>
          <w:vertAlign w:val="superscript"/>
        </w:rPr>
        <w:t>th</w:t>
      </w:r>
      <w:r>
        <w:t xml:space="preserve"> century, as Europe recovered economically and organised itself under a feudal structure, the position of the </w:t>
      </w:r>
      <w:r w:rsidRPr="00D84801">
        <w:rPr>
          <w:i/>
          <w:iCs/>
        </w:rPr>
        <w:t xml:space="preserve">jongleur </w:t>
      </w:r>
      <w:r>
        <w:t>was to some extent ameliorated.</w:t>
      </w:r>
      <w:r>
        <w:rPr>
          <w:rStyle w:val="FootnoteReference"/>
        </w:rPr>
        <w:footnoteReference w:id="12"/>
      </w:r>
      <w:r>
        <w:t xml:space="preserve"> Peter the Chanter writing in the late 12</w:t>
      </w:r>
      <w:r w:rsidRPr="00D84801">
        <w:rPr>
          <w:vertAlign w:val="superscript"/>
        </w:rPr>
        <w:t>th</w:t>
      </w:r>
      <w:r>
        <w:t xml:space="preserve"> century describe</w:t>
      </w:r>
      <w:r w:rsidR="00123398">
        <w:t>d musicians within his passage on</w:t>
      </w:r>
      <w:r>
        <w:t xml:space="preserve"> the artisans to be tolerated within the church, saying</w:t>
      </w:r>
      <w:r w:rsidR="00123398">
        <w:t>:</w:t>
      </w:r>
      <w:r>
        <w:t xml:space="preserve"> “players of musical instruments are</w:t>
      </w:r>
      <w:r w:rsidR="00123398">
        <w:t xml:space="preserve">… </w:t>
      </w:r>
      <w:r>
        <w:t>necessary so that boredom and depression can be relieved by them and so that devotion, not wantonness, may be inspired.”</w:t>
      </w:r>
      <w:r>
        <w:rPr>
          <w:rStyle w:val="FootnoteReference"/>
        </w:rPr>
        <w:footnoteReference w:id="13"/>
      </w:r>
      <w:r w:rsidR="0043195D">
        <w:t xml:space="preserve"> </w:t>
      </w:r>
      <w:r w:rsidR="00FD3DBC">
        <w:t>It is important to note</w:t>
      </w:r>
      <w:r w:rsidR="005505E2">
        <w:t xml:space="preserve"> </w:t>
      </w:r>
      <w:r w:rsidR="00FD3DBC">
        <w:t xml:space="preserve">that </w:t>
      </w:r>
      <w:r w:rsidR="005505E2">
        <w:t>Peter makes</w:t>
      </w:r>
      <w:r w:rsidR="00FD3DBC">
        <w:t xml:space="preserve"> clear distinction between those</w:t>
      </w:r>
      <w:r w:rsidR="00AC360C">
        <w:t xml:space="preserve"> entertainers who </w:t>
      </w:r>
      <w:r w:rsidR="0072541E">
        <w:t>“</w:t>
      </w:r>
      <w:r w:rsidR="00F82D1B">
        <w:t xml:space="preserve">earn the necessities of life through wantonness </w:t>
      </w:r>
      <w:r w:rsidR="0072541E">
        <w:t xml:space="preserve">and obscenity, deforming the image of God,” and those </w:t>
      </w:r>
      <w:r w:rsidR="00123398">
        <w:t>who “sing with instruments, or sing of exploits to give relaxation or perhaps to give instruction”</w:t>
      </w:r>
      <w:r w:rsidR="006F572E">
        <w:t>.</w:t>
      </w:r>
      <w:r w:rsidR="006F572E">
        <w:rPr>
          <w:rStyle w:val="FootnoteReference"/>
        </w:rPr>
        <w:footnoteReference w:id="14"/>
      </w:r>
      <w:r w:rsidR="00123398">
        <w:t xml:space="preserve"> the actions of these minstrels he says, “border upon being legitimate.”</w:t>
      </w:r>
      <w:r w:rsidR="00123398">
        <w:rPr>
          <w:rStyle w:val="FootnoteReference"/>
        </w:rPr>
        <w:footnoteReference w:id="15"/>
      </w:r>
      <w:r w:rsidR="00123398">
        <w:t xml:space="preserve"> There </w:t>
      </w:r>
      <w:r w:rsidR="00E611E1">
        <w:t xml:space="preserve">are </w:t>
      </w:r>
      <w:r w:rsidR="00123398">
        <w:t xml:space="preserve">other work of a similar nature to </w:t>
      </w:r>
      <w:r w:rsidR="00E611E1">
        <w:t>P</w:t>
      </w:r>
      <w:r w:rsidR="00123398">
        <w:t>eter</w:t>
      </w:r>
      <w:r w:rsidR="00E611E1">
        <w:t>’s</w:t>
      </w:r>
      <w:r w:rsidR="00123398">
        <w:t>, however it is Thomas Aquinas in the 13</w:t>
      </w:r>
      <w:r w:rsidR="00123398" w:rsidRPr="00123398">
        <w:rPr>
          <w:vertAlign w:val="superscript"/>
        </w:rPr>
        <w:t>th</w:t>
      </w:r>
      <w:r w:rsidR="00123398">
        <w:t xml:space="preserve"> century who appears to be the first theologian to expressly argue that the entertainers profession was not a sinful one.</w:t>
      </w:r>
      <w:r w:rsidR="00123398">
        <w:rPr>
          <w:rStyle w:val="FootnoteReference"/>
        </w:rPr>
        <w:footnoteReference w:id="16"/>
      </w:r>
      <w:r w:rsidR="00123398">
        <w:t xml:space="preserve"> </w:t>
      </w:r>
    </w:p>
    <w:p w14:paraId="45065B75" w14:textId="77777777" w:rsidR="00123398" w:rsidRDefault="00123398" w:rsidP="00123398"/>
    <w:p w14:paraId="2F2D31A2" w14:textId="59863709" w:rsidR="007F130F" w:rsidRDefault="00123398" w:rsidP="008512B2">
      <w:pPr>
        <w:ind w:firstLine="720"/>
      </w:pPr>
      <w:r>
        <w:t>In a sermon by the Dominican preacher Nicolas de Gorran (d. 1295) he tells how “paupers are accustomed to sing in the presence of the rich from whom they have received, or hope to receive, some gift.”</w:t>
      </w:r>
      <w:r>
        <w:rPr>
          <w:rStyle w:val="FootnoteReference"/>
        </w:rPr>
        <w:footnoteReference w:id="17"/>
      </w:r>
      <w:r>
        <w:t xml:space="preserve"> Although this does not single out the </w:t>
      </w:r>
      <w:r w:rsidRPr="00123398">
        <w:rPr>
          <w:i/>
          <w:iCs/>
        </w:rPr>
        <w:t>jongleur</w:t>
      </w:r>
      <w:r>
        <w:t xml:space="preserve">, there are countless mentions of </w:t>
      </w:r>
      <w:r w:rsidRPr="00123398">
        <w:rPr>
          <w:i/>
          <w:iCs/>
        </w:rPr>
        <w:t>jongleurs</w:t>
      </w:r>
      <w:r>
        <w:t xml:space="preserve"> being hire</w:t>
      </w:r>
      <w:r w:rsidR="005975D4">
        <w:t xml:space="preserve">d spontaneously </w:t>
      </w:r>
      <w:r>
        <w:t xml:space="preserve">for their </w:t>
      </w:r>
      <w:r w:rsidR="005975D4">
        <w:t xml:space="preserve">patron’s </w:t>
      </w:r>
      <w:r>
        <w:t>entertainment. In a caricature of a wealthy Epicurean prelate, written in the 11</w:t>
      </w:r>
      <w:r w:rsidRPr="00123398">
        <w:rPr>
          <w:vertAlign w:val="superscript"/>
        </w:rPr>
        <w:t>th</w:t>
      </w:r>
      <w:r>
        <w:t xml:space="preserve"> century by the German satirist Sextus Amaricius</w:t>
      </w:r>
      <w:r w:rsidR="005975D4">
        <w:t>,</w:t>
      </w:r>
      <w:r>
        <w:t xml:space="preserve"> he describes the prelate in a sudden thirst for music. </w:t>
      </w:r>
      <w:r w:rsidR="007F7D04">
        <w:t>“</w:t>
      </w:r>
      <w:r w:rsidR="008A7FF9">
        <w:t xml:space="preserve">Where is a singer or a skilled lutanist? Who can best play </w:t>
      </w:r>
      <w:r w:rsidR="005C49FD">
        <w:t>oboe and tambourine” he says.</w:t>
      </w:r>
      <w:r w:rsidR="005C49FD">
        <w:rPr>
          <w:rStyle w:val="FootnoteReference"/>
        </w:rPr>
        <w:footnoteReference w:id="18"/>
      </w:r>
      <w:r w:rsidR="005C49FD">
        <w:t xml:space="preserve"> </w:t>
      </w:r>
      <w:r w:rsidR="00170A0F">
        <w:t xml:space="preserve">Then, </w:t>
      </w:r>
      <w:r>
        <w:t>“</w:t>
      </w:r>
      <w:r w:rsidR="00170A0F">
        <w:t>a</w:t>
      </w:r>
      <w:r>
        <w:t xml:space="preserve"> minstrel was brought in, his fee arranged; he took his harp out of his leather case, and people rushed from the streets and courtyards, watching intently… he sang of how the shepherd with his sling laid down the great goliath low; of how the little Swabian cuckhold tricked his wife in turn; how wise Pythagoras discovered octaves; and how the nightingale sings with flawless voice”.</w:t>
      </w:r>
      <w:r>
        <w:rPr>
          <w:rStyle w:val="FootnoteReference"/>
        </w:rPr>
        <w:footnoteReference w:id="19"/>
      </w:r>
      <w:r>
        <w:t xml:space="preserve"> Displayed here is </w:t>
      </w:r>
      <w:r w:rsidR="008512B2">
        <w:t>hiring of the minstrel</w:t>
      </w:r>
      <w:r>
        <w:t xml:space="preserve">, and also </w:t>
      </w:r>
      <w:r w:rsidR="008512B2">
        <w:t>hi</w:t>
      </w:r>
      <w:r w:rsidR="006350A9">
        <w:t>s</w:t>
      </w:r>
      <w:r w:rsidR="008512B2">
        <w:t xml:space="preserve"> </w:t>
      </w:r>
      <w:r w:rsidR="006350A9">
        <w:t xml:space="preserve">immense </w:t>
      </w:r>
      <w:r w:rsidR="008512B2">
        <w:t>repertoire</w:t>
      </w:r>
      <w:r w:rsidR="007F130F">
        <w:t xml:space="preserve"> of </w:t>
      </w:r>
      <w:r>
        <w:t xml:space="preserve">biblical stories, folk tales, and classical histories. </w:t>
      </w:r>
    </w:p>
    <w:p w14:paraId="16787CAF" w14:textId="4C716F4C" w:rsidR="00123398" w:rsidRDefault="00123398" w:rsidP="008512B2">
      <w:pPr>
        <w:ind w:firstLine="720"/>
      </w:pPr>
      <w:r>
        <w:lastRenderedPageBreak/>
        <w:t xml:space="preserve">As travelling musicians, </w:t>
      </w:r>
      <w:r w:rsidRPr="00123398">
        <w:rPr>
          <w:i/>
          <w:iCs/>
        </w:rPr>
        <w:t xml:space="preserve">jongleurs </w:t>
      </w:r>
      <w:r>
        <w:t>were in constant search of a patron,</w:t>
      </w:r>
      <w:r>
        <w:t xml:space="preserve"> some of them received strict patronage and became </w:t>
      </w:r>
      <w:r w:rsidRPr="00123398">
        <w:rPr>
          <w:i/>
          <w:iCs/>
        </w:rPr>
        <w:t>ministeriales</w:t>
      </w:r>
      <w:r>
        <w:rPr>
          <w:i/>
          <w:iCs/>
        </w:rPr>
        <w:t xml:space="preserve">, </w:t>
      </w:r>
      <w:r>
        <w:t>permanent members of the royal, noble, or episcopal household.</w:t>
      </w:r>
      <w:r>
        <w:rPr>
          <w:rStyle w:val="FootnoteReference"/>
        </w:rPr>
        <w:footnoteReference w:id="20"/>
      </w:r>
      <w:r>
        <w:t xml:space="preserve"> The patronage of a minstrel could in many cases be fruitful; Evard de Val des Ecollers noted how “</w:t>
      </w:r>
      <w:r w:rsidRPr="00874D0E">
        <w:rPr>
          <w:i/>
          <w:iCs/>
        </w:rPr>
        <w:t>historiones</w:t>
      </w:r>
      <w:r>
        <w:t xml:space="preserve"> and </w:t>
      </w:r>
      <w:r w:rsidRPr="00874D0E">
        <w:rPr>
          <w:i/>
          <w:iCs/>
        </w:rPr>
        <w:t>joculatores</w:t>
      </w:r>
      <w:r>
        <w:t>, to whom rich men are accustomed to give both clothes and other kinds of gifts, never cease to praise them with great compliments.”</w:t>
      </w:r>
      <w:r>
        <w:rPr>
          <w:rStyle w:val="FootnoteReference"/>
        </w:rPr>
        <w:footnoteReference w:id="21"/>
      </w:r>
      <w:r>
        <w:t xml:space="preserve"> </w:t>
      </w:r>
      <w:r w:rsidR="00E65A26">
        <w:t>The life of the traveling bard though could be difficult. In</w:t>
      </w:r>
      <w:r>
        <w:t xml:space="preserve"> a heart wrenching poem, the German </w:t>
      </w:r>
      <w:r w:rsidRPr="00123398">
        <w:rPr>
          <w:i/>
          <w:iCs/>
        </w:rPr>
        <w:t>minnesinger</w:t>
      </w:r>
      <w:r>
        <w:t xml:space="preserve"> Walther von de Vogelweide describes the joy he feels after a quarter century of insecurity when he is given a patch of land near Würzberg by Frederick II in around 1220.</w:t>
      </w:r>
      <w:r>
        <w:rPr>
          <w:rStyle w:val="FootnoteReference"/>
        </w:rPr>
        <w:footnoteReference w:id="22"/>
      </w:r>
    </w:p>
    <w:p w14:paraId="214F3B09" w14:textId="77777777" w:rsidR="00123398" w:rsidRDefault="00123398" w:rsidP="00123398"/>
    <w:p w14:paraId="2E812497" w14:textId="0A631710" w:rsidR="00123398" w:rsidRDefault="00123398" w:rsidP="00123398">
      <w:pPr>
        <w:ind w:firstLine="720"/>
      </w:pPr>
      <w:r>
        <w:t>“</w:t>
      </w:r>
      <w:r>
        <w:t>I have my land – all the world hear me! – I have my land!</w:t>
      </w:r>
    </w:p>
    <w:p w14:paraId="2B65881A" w14:textId="77777777" w:rsidR="00123398" w:rsidRDefault="00123398" w:rsidP="00123398">
      <w:pPr>
        <w:ind w:left="720"/>
      </w:pPr>
      <w:r>
        <w:t>Now I am not afraid of frostbite on my toes,</w:t>
      </w:r>
    </w:p>
    <w:p w14:paraId="71231FB7" w14:textId="77777777" w:rsidR="00123398" w:rsidRDefault="00123398" w:rsidP="00123398">
      <w:pPr>
        <w:ind w:left="720"/>
      </w:pPr>
      <w:r>
        <w:t>Now I’ll no longer beg from worthless lords!</w:t>
      </w:r>
    </w:p>
    <w:p w14:paraId="6B849A40" w14:textId="77777777" w:rsidR="00123398" w:rsidRDefault="00123398" w:rsidP="00123398">
      <w:pPr>
        <w:ind w:left="720"/>
      </w:pPr>
      <w:r>
        <w:t xml:space="preserve">The noble king, the gracious king, has shown his care for me – </w:t>
      </w:r>
    </w:p>
    <w:p w14:paraId="591E834F" w14:textId="77777777" w:rsidR="00123398" w:rsidRDefault="00123398" w:rsidP="00123398">
      <w:pPr>
        <w:ind w:left="720"/>
      </w:pPr>
      <w:r>
        <w:t>Now summer’s air is fresh, winter is warm for me.</w:t>
      </w:r>
    </w:p>
    <w:p w14:paraId="02A0437F" w14:textId="77777777" w:rsidR="00123398" w:rsidRDefault="00123398" w:rsidP="00123398">
      <w:pPr>
        <w:ind w:left="720"/>
      </w:pPr>
      <w:r>
        <w:t>Among my neighbours too I am far more highly prized:</w:t>
      </w:r>
    </w:p>
    <w:p w14:paraId="594A11C9" w14:textId="77777777" w:rsidR="00123398" w:rsidRDefault="00123398" w:rsidP="00123398">
      <w:pPr>
        <w:ind w:left="720"/>
      </w:pPr>
      <w:r>
        <w:t>They no longer look at me as at a poltergeist!</w:t>
      </w:r>
    </w:p>
    <w:p w14:paraId="09994423" w14:textId="77777777" w:rsidR="00123398" w:rsidRDefault="00123398" w:rsidP="00123398">
      <w:pPr>
        <w:ind w:left="720"/>
      </w:pPr>
      <w:r>
        <w:t>I was so full of railing words, my breath became unclean.</w:t>
      </w:r>
    </w:p>
    <w:p w14:paraId="57D79D59" w14:textId="3395F49B" w:rsidR="00123398" w:rsidRDefault="00123398" w:rsidP="00123398">
      <w:pPr>
        <w:ind w:left="720"/>
      </w:pPr>
      <w:r>
        <w:t>The king has made it pure, and has made my song serene.</w:t>
      </w:r>
      <w:r>
        <w:t>”</w:t>
      </w:r>
      <w:r>
        <w:rPr>
          <w:rStyle w:val="FootnoteReference"/>
        </w:rPr>
        <w:footnoteReference w:id="23"/>
      </w:r>
    </w:p>
    <w:p w14:paraId="133E1C41" w14:textId="77777777" w:rsidR="00123398" w:rsidRDefault="00123398" w:rsidP="00123398"/>
    <w:p w14:paraId="1DAF0657" w14:textId="1ADCD7F3" w:rsidR="00123398" w:rsidRDefault="00123398" w:rsidP="00123398">
      <w:pPr>
        <w:ind w:firstLine="720"/>
      </w:pPr>
      <w:r>
        <w:t xml:space="preserve">This poem gives a fascinating personal insight in to the life of the travelling musician, how the were viewed by society, and how they viewed themselves.  It is a touching reminder of the humanity of the medieval musician. </w:t>
      </w:r>
    </w:p>
    <w:p w14:paraId="5F507647" w14:textId="19DF6BE4" w:rsidR="00123398" w:rsidRDefault="00123398" w:rsidP="00123398">
      <w:pPr>
        <w:ind w:firstLine="720"/>
      </w:pPr>
    </w:p>
    <w:p w14:paraId="2C5ECC4C" w14:textId="77777777" w:rsidR="00C60EEA" w:rsidRDefault="00123398" w:rsidP="00000E34">
      <w:pPr>
        <w:ind w:firstLine="720"/>
      </w:pPr>
      <w:r>
        <w:t>The minstrel class however were not poets nor composers in the popular sense, the songs they performed were composed by others.</w:t>
      </w:r>
      <w:r>
        <w:rPr>
          <w:rStyle w:val="FootnoteReference"/>
        </w:rPr>
        <w:footnoteReference w:id="24"/>
      </w:r>
      <w:r>
        <w:t xml:space="preserve"> In France, it was the </w:t>
      </w:r>
      <w:r w:rsidRPr="00123398">
        <w:rPr>
          <w:i/>
          <w:iCs/>
        </w:rPr>
        <w:t>Troubadour</w:t>
      </w:r>
      <w:r>
        <w:t xml:space="preserve"> and the </w:t>
      </w:r>
      <w:r w:rsidRPr="00123398">
        <w:rPr>
          <w:i/>
          <w:iCs/>
        </w:rPr>
        <w:t>Trouvère</w:t>
      </w:r>
      <w:r w:rsidR="00D81379">
        <w:t xml:space="preserve">, both words simply meaning ‘inventors’ </w:t>
      </w:r>
      <w:r w:rsidR="005B041D">
        <w:t>who authored these poems</w:t>
      </w:r>
      <w:r>
        <w:t>.</w:t>
      </w:r>
      <w:r>
        <w:rPr>
          <w:rStyle w:val="FootnoteReference"/>
        </w:rPr>
        <w:footnoteReference w:id="25"/>
      </w:r>
      <w:r>
        <w:t xml:space="preserve"> Arising in around 1100, the </w:t>
      </w:r>
      <w:r>
        <w:rPr>
          <w:i/>
          <w:iCs/>
        </w:rPr>
        <w:t>troubadours</w:t>
      </w:r>
      <w:r>
        <w:t xml:space="preserve"> wrote in the </w:t>
      </w:r>
      <w:r>
        <w:rPr>
          <w:i/>
          <w:iCs/>
        </w:rPr>
        <w:t>langue d’oc</w:t>
      </w:r>
      <w:r>
        <w:t>, and flourished spectacularly in the region of Provence, spreading quickly over the south of France.</w:t>
      </w:r>
      <w:r>
        <w:rPr>
          <w:rStyle w:val="FootnoteReference"/>
        </w:rPr>
        <w:footnoteReference w:id="26"/>
      </w:r>
      <w:r>
        <w:t xml:space="preserve"> Northern France at this time the realm of the </w:t>
      </w:r>
      <w:r>
        <w:rPr>
          <w:i/>
          <w:iCs/>
        </w:rPr>
        <w:t>chanson de geste</w:t>
      </w:r>
      <w:r w:rsidR="00D81379">
        <w:rPr>
          <w:i/>
          <w:iCs/>
        </w:rPr>
        <w:t xml:space="preserve"> </w:t>
      </w:r>
      <w:r>
        <w:t>but, the Provençal lyric, spread rapidly, and by the mid 12</w:t>
      </w:r>
      <w:r w:rsidRPr="00123398">
        <w:rPr>
          <w:vertAlign w:val="superscript"/>
        </w:rPr>
        <w:t>th</w:t>
      </w:r>
      <w:r>
        <w:t xml:space="preserve"> century had a solid foundation as far as Normandy</w:t>
      </w:r>
      <w:r w:rsidR="00462DC2">
        <w:t xml:space="preserve"> and </w:t>
      </w:r>
      <w:r w:rsidR="00120FB2">
        <w:t>England</w:t>
      </w:r>
      <w:r>
        <w:t>.</w:t>
      </w:r>
      <w:r>
        <w:rPr>
          <w:rStyle w:val="FootnoteReference"/>
        </w:rPr>
        <w:footnoteReference w:id="27"/>
      </w:r>
      <w:r>
        <w:t xml:space="preserve"> The </w:t>
      </w:r>
      <w:r>
        <w:rPr>
          <w:i/>
          <w:iCs/>
        </w:rPr>
        <w:t>Trouvère</w:t>
      </w:r>
      <w:r>
        <w:t xml:space="preserve"> wrote in the </w:t>
      </w:r>
      <w:r>
        <w:rPr>
          <w:i/>
          <w:iCs/>
        </w:rPr>
        <w:t xml:space="preserve">lange d’oïl, </w:t>
      </w:r>
      <w:r w:rsidR="00120FB2">
        <w:t>which</w:t>
      </w:r>
      <w:r>
        <w:t xml:space="preserve"> later bec</w:t>
      </w:r>
      <w:r w:rsidR="00120FB2">
        <w:t xml:space="preserve">ame </w:t>
      </w:r>
      <w:r>
        <w:t>modern French</w:t>
      </w:r>
      <w:r w:rsidR="004D44EB">
        <w:t xml:space="preserve">, and </w:t>
      </w:r>
      <w:r w:rsidR="00120FB2">
        <w:t xml:space="preserve">these </w:t>
      </w:r>
      <w:r>
        <w:t>poets flourished in the North over the 13</w:t>
      </w:r>
      <w:r w:rsidRPr="00123398">
        <w:rPr>
          <w:vertAlign w:val="superscript"/>
        </w:rPr>
        <w:t>th</w:t>
      </w:r>
      <w:r>
        <w:t xml:space="preserve"> century.</w:t>
      </w:r>
      <w:r>
        <w:rPr>
          <w:rStyle w:val="FootnoteReference"/>
        </w:rPr>
        <w:footnoteReference w:id="28"/>
      </w:r>
      <w:r>
        <w:t xml:space="preserve"> The </w:t>
      </w:r>
      <w:r w:rsidR="004D44EB">
        <w:t xml:space="preserve">strength </w:t>
      </w:r>
      <w:r>
        <w:t xml:space="preserve">of poetic art </w:t>
      </w:r>
      <w:r w:rsidR="004D44EB">
        <w:t>in</w:t>
      </w:r>
      <w:r>
        <w:t xml:space="preserve"> this period must be put into the wider context of the </w:t>
      </w:r>
      <w:r>
        <w:rPr>
          <w:i/>
          <w:iCs/>
        </w:rPr>
        <w:t>cour d’amor</w:t>
      </w:r>
      <w:r>
        <w:t xml:space="preserve"> or ‘courtly love’.  The contrast between ‘feudal epic’ of </w:t>
      </w:r>
      <w:r w:rsidR="00462DC2">
        <w:rPr>
          <w:noProof/>
        </w:rPr>
        <w:lastRenderedPageBreak/>
        <w:drawing>
          <wp:anchor distT="0" distB="0" distL="114300" distR="114300" simplePos="0" relativeHeight="251658240" behindDoc="1" locked="0" layoutInCell="1" allowOverlap="1" wp14:anchorId="054990F8" wp14:editId="100BC465">
            <wp:simplePos x="0" y="0"/>
            <wp:positionH relativeFrom="column">
              <wp:posOffset>2829916</wp:posOffset>
            </wp:positionH>
            <wp:positionV relativeFrom="paragraph">
              <wp:posOffset>484949</wp:posOffset>
            </wp:positionV>
            <wp:extent cx="2943225" cy="2948940"/>
            <wp:effectExtent l="0" t="0" r="0" b="0"/>
            <wp:wrapSquare wrapText="bothSides"/>
            <wp:docPr id="1247062158" name="Picture 1" descr="Languedoc Se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guedoc Se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3225" cy="294894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w:t>
      </w:r>
      <w:r>
        <w:rPr>
          <w:i/>
          <w:iCs/>
        </w:rPr>
        <w:t xml:space="preserve">Chanson de Roland </w:t>
      </w:r>
      <w:r>
        <w:t xml:space="preserve">and ‘courtly romance’ of the later </w:t>
      </w:r>
      <w:r>
        <w:rPr>
          <w:i/>
          <w:iCs/>
        </w:rPr>
        <w:t xml:space="preserve">Roman de </w:t>
      </w:r>
      <w:r w:rsidRPr="00123398">
        <w:t>Horn</w:t>
      </w:r>
      <w:r>
        <w:t xml:space="preserve"> </w:t>
      </w:r>
      <w:r w:rsidRPr="00123398">
        <w:t>made</w:t>
      </w:r>
      <w:r>
        <w:t xml:space="preserve"> by Christopher Page is a useful one in understanding this concept.</w:t>
      </w:r>
      <w:r>
        <w:rPr>
          <w:rStyle w:val="FootnoteReference"/>
        </w:rPr>
        <w:footnoteReference w:id="29"/>
      </w:r>
      <w:r>
        <w:t xml:space="preserve"> Both Roland and Horn encompass the courtly ideal of their time, they are of comparable skill as warriors, and of an unquestionable contemporary masculinity. However, the earlier </w:t>
      </w:r>
      <w:r>
        <w:rPr>
          <w:i/>
          <w:iCs/>
        </w:rPr>
        <w:t>Chanson de Roland</w:t>
      </w:r>
      <w:r>
        <w:t xml:space="preserve"> contains virtually no mention of music</w:t>
      </w:r>
      <w:r w:rsidR="001676AF">
        <w:t>.</w:t>
      </w:r>
      <w:r>
        <w:t xml:space="preserve"> </w:t>
      </w:r>
      <w:r w:rsidR="001676AF">
        <w:t>B</w:t>
      </w:r>
      <w:r>
        <w:t xml:space="preserve">y the time the Anglo-Norman </w:t>
      </w:r>
      <w:r>
        <w:rPr>
          <w:i/>
          <w:iCs/>
        </w:rPr>
        <w:t>Roman de Horn</w:t>
      </w:r>
      <w:r>
        <w:t xml:space="preserve"> was written, thought to be around 1170, Horns musicality, is an important and respected part of his nobility. From 1050-1200, the composition and performance of music was utterly transformed.</w:t>
      </w:r>
      <w:r>
        <w:rPr>
          <w:rStyle w:val="FootnoteReference"/>
        </w:rPr>
        <w:footnoteReference w:id="30"/>
      </w:r>
      <w:r>
        <w:t xml:space="preserve"> As Westrup writes, “The </w:t>
      </w:r>
      <w:r>
        <w:rPr>
          <w:i/>
          <w:iCs/>
        </w:rPr>
        <w:t>Troubadours</w:t>
      </w:r>
      <w:r>
        <w:t xml:space="preserve"> and </w:t>
      </w:r>
      <w:r>
        <w:rPr>
          <w:i/>
          <w:iCs/>
        </w:rPr>
        <w:t>Trouvères</w:t>
      </w:r>
      <w:r>
        <w:t xml:space="preserve"> were the product of a new feudal society that could afford to cultivate the arts of peace, and in which the prestige and refinement of </w:t>
      </w:r>
      <w:r w:rsidR="00462DC2">
        <w:rPr>
          <w:noProof/>
        </w:rPr>
        <mc:AlternateContent>
          <mc:Choice Requires="wps">
            <w:drawing>
              <wp:anchor distT="0" distB="0" distL="114300" distR="114300" simplePos="0" relativeHeight="251660288" behindDoc="0" locked="0" layoutInCell="1" allowOverlap="1" wp14:anchorId="162F8E44" wp14:editId="40F3E4CB">
                <wp:simplePos x="0" y="0"/>
                <wp:positionH relativeFrom="column">
                  <wp:posOffset>2830595</wp:posOffset>
                </wp:positionH>
                <wp:positionV relativeFrom="paragraph">
                  <wp:posOffset>3438525</wp:posOffset>
                </wp:positionV>
                <wp:extent cx="2943225" cy="402590"/>
                <wp:effectExtent l="0" t="0" r="3175" b="3810"/>
                <wp:wrapSquare wrapText="bothSides"/>
                <wp:docPr id="1060658480" name="Text Box 1"/>
                <wp:cNvGraphicFramePr/>
                <a:graphic xmlns:a="http://schemas.openxmlformats.org/drawingml/2006/main">
                  <a:graphicData uri="http://schemas.microsoft.com/office/word/2010/wordprocessingShape">
                    <wps:wsp>
                      <wps:cNvSpPr txBox="1"/>
                      <wps:spPr>
                        <a:xfrm>
                          <a:off x="0" y="0"/>
                          <a:ext cx="2943225" cy="402590"/>
                        </a:xfrm>
                        <a:prstGeom prst="rect">
                          <a:avLst/>
                        </a:prstGeom>
                        <a:solidFill>
                          <a:prstClr val="white"/>
                        </a:solidFill>
                        <a:ln>
                          <a:noFill/>
                        </a:ln>
                      </wps:spPr>
                      <wps:txbx>
                        <w:txbxContent>
                          <w:p w14:paraId="5BA6C529" w14:textId="2FDEEF10" w:rsidR="00123398" w:rsidRPr="009158F5" w:rsidRDefault="00123398" w:rsidP="00123398">
                            <w:pPr>
                              <w:pStyle w:val="Caption"/>
                              <w:rPr>
                                <w:noProof/>
                              </w:rPr>
                            </w:pPr>
                            <w:r>
                              <w:t xml:space="preserve">Figure </w:t>
                            </w:r>
                            <w:r>
                              <w:fldChar w:fldCharType="begin"/>
                            </w:r>
                            <w:r>
                              <w:instrText xml:space="preserve"> SEQ Figure \* ARABIC </w:instrText>
                            </w:r>
                            <w:r>
                              <w:fldChar w:fldCharType="separate"/>
                            </w:r>
                            <w:r w:rsidR="00A04550">
                              <w:rPr>
                                <w:noProof/>
                              </w:rPr>
                              <w:t>1</w:t>
                            </w:r>
                            <w:r>
                              <w:fldChar w:fldCharType="end"/>
                            </w:r>
                            <w:r>
                              <w:t>. Reverse of the seal of Bertran II, count of Forcalquier, 1168, Paris Archives Nationales, Catalogue no: s</w:t>
                            </w:r>
                            <w:r w:rsidRPr="00123398">
                              <w:t>t4512 bis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62F8E44" id="_x0000_t202" coordsize="21600,21600" o:spt="202" path="m,l,21600r21600,l21600,xe">
                <v:stroke joinstyle="miter"/>
                <v:path gradientshapeok="t" o:connecttype="rect"/>
              </v:shapetype>
              <v:shape id="Text Box 1" o:spid="_x0000_s1026" type="#_x0000_t202" style="position:absolute;left:0;text-align:left;margin-left:222.9pt;margin-top:270.75pt;width:231.75pt;height:31.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" stroked="f">
                <v:textbox inset="0,0,0,0">
                  <w:txbxContent>
                    <w:p w14:paraId="5BA6C529" w14:textId="2FDEEF10" w:rsidR="00123398" w:rsidRPr="009158F5" w:rsidRDefault="00123398" w:rsidP="00123398">
                      <w:pPr>
                        <w:pStyle w:val="Caption"/>
                        <w:rPr>
                          <w:noProof/>
                        </w:rPr>
                      </w:pPr>
                      <w:r>
                        <w:t xml:space="preserve">Figure </w:t>
                      </w:r>
                      <w:r>
                        <w:fldChar w:fldCharType="begin"/>
                      </w:r>
                      <w:r>
                        <w:instrText xml:space="preserve"> SEQ Figure \* ARABIC </w:instrText>
                      </w:r>
                      <w:r>
                        <w:fldChar w:fldCharType="separate"/>
                      </w:r>
                      <w:r w:rsidR="00A04550">
                        <w:rPr>
                          <w:noProof/>
                        </w:rPr>
                        <w:t>1</w:t>
                      </w:r>
                      <w:r>
                        <w:fldChar w:fldCharType="end"/>
                      </w:r>
                      <w:r>
                        <w:t>. Reverse of the seal of Bertran II, count of Forcalquier, 1168, Paris Archives Nationales, Catalogue no: s</w:t>
                      </w:r>
                      <w:r w:rsidRPr="00123398">
                        <w:t>t4512 bis</w:t>
                      </w:r>
                    </w:p>
                  </w:txbxContent>
                </v:textbox>
                <w10:wrap type="square"/>
              </v:shape>
            </w:pict>
          </mc:Fallback>
        </mc:AlternateContent>
      </w:r>
      <w:r>
        <w:t>women created a new race of courtiers.”</w:t>
      </w:r>
      <w:r>
        <w:rPr>
          <w:rStyle w:val="FootnoteReference"/>
        </w:rPr>
        <w:footnoteReference w:id="31"/>
      </w:r>
      <w:r>
        <w:t xml:space="preserve"> The amateur courtly performance context is a fascinating one; the Provençal tale of Daurel et Beton tells of how by the time Beton was seven years old, “he knew how to play the fiddle well, and play the citol</w:t>
      </w:r>
      <w:r w:rsidR="0001777E">
        <w:t>e</w:t>
      </w:r>
      <w:r>
        <w:t xml:space="preserve"> and harp in a noble fashion, and how to sing cansos, and how to compose by himself.”</w:t>
      </w:r>
      <w:r>
        <w:rPr>
          <w:rStyle w:val="FootnoteReference"/>
        </w:rPr>
        <w:footnoteReference w:id="32"/>
      </w:r>
      <w:r>
        <w:t xml:space="preserve"> Far from just a literary phenomenon, the very earliest of the </w:t>
      </w:r>
      <w:r w:rsidRPr="00123398">
        <w:rPr>
          <w:i/>
          <w:iCs/>
        </w:rPr>
        <w:t>troubadours</w:t>
      </w:r>
      <w:r>
        <w:t xml:space="preserve"> were members of the noble and even royal classes.</w:t>
      </w:r>
      <w:r>
        <w:rPr>
          <w:rStyle w:val="FootnoteReference"/>
        </w:rPr>
        <w:footnoteReference w:id="33"/>
      </w:r>
      <w:r>
        <w:t xml:space="preserve"> </w:t>
      </w:r>
      <w:r w:rsidR="005331B2">
        <w:t xml:space="preserve">From the first recorded </w:t>
      </w:r>
      <w:r w:rsidR="005331B2" w:rsidRPr="00000E34">
        <w:rPr>
          <w:i/>
          <w:iCs/>
        </w:rPr>
        <w:t>troubadour</w:t>
      </w:r>
      <w:r w:rsidR="00000E34">
        <w:t xml:space="preserve"> Guillaume IX de Aquitaine,</w:t>
      </w:r>
      <w:r>
        <w:t xml:space="preserve"> </w:t>
      </w:r>
      <w:r w:rsidR="00000E34">
        <w:t>t</w:t>
      </w:r>
      <w:r>
        <w:t>here were many other notable princely composers across Europe</w:t>
      </w:r>
      <w:r w:rsidR="005A14BB">
        <w:t xml:space="preserve">. </w:t>
      </w:r>
      <w:r>
        <w:t>Thibault de Champagne, Henry VI of Germany, Fredrick II of Sicily, Alphonso X of Castille and King Denis of Portugal to name but a few.</w:t>
      </w:r>
      <w:r>
        <w:rPr>
          <w:rStyle w:val="FootnoteReference"/>
        </w:rPr>
        <w:footnoteReference w:id="34"/>
      </w:r>
      <w:r>
        <w:t xml:space="preserve"> </w:t>
      </w:r>
    </w:p>
    <w:p w14:paraId="112A17CB" w14:textId="77777777" w:rsidR="00C60EEA" w:rsidRDefault="00C60EEA" w:rsidP="00000E34">
      <w:pPr>
        <w:ind w:firstLine="720"/>
      </w:pPr>
    </w:p>
    <w:p w14:paraId="2190C517" w14:textId="37452FE4" w:rsidR="00D23409" w:rsidRDefault="00C60EEA" w:rsidP="00000E34">
      <w:pPr>
        <w:ind w:firstLine="720"/>
      </w:pPr>
      <w:r>
        <w:t>T</w:t>
      </w:r>
      <w:r w:rsidR="00123398">
        <w:t>here were poets produced from all strata of medieval society, from nobility, to bourgeoisie, to the common people, and the clergy</w:t>
      </w:r>
      <w:r>
        <w:t>.</w:t>
      </w:r>
      <w:r>
        <w:rPr>
          <w:rStyle w:val="FootnoteReference"/>
        </w:rPr>
        <w:footnoteReference w:id="35"/>
      </w:r>
      <w:r w:rsidR="00123398">
        <w:t xml:space="preserve"> </w:t>
      </w:r>
      <w:r>
        <w:t>T</w:t>
      </w:r>
      <w:r w:rsidR="00123398">
        <w:t xml:space="preserve">he </w:t>
      </w:r>
      <w:r w:rsidR="00123398">
        <w:rPr>
          <w:i/>
          <w:iCs/>
        </w:rPr>
        <w:t xml:space="preserve">troubadour </w:t>
      </w:r>
      <w:r w:rsidR="00123398">
        <w:t>tradition was in fact sustained largely by those who could not claim noble birth.</w:t>
      </w:r>
      <w:r w:rsidR="00123398">
        <w:rPr>
          <w:rStyle w:val="FootnoteReference"/>
        </w:rPr>
        <w:footnoteReference w:id="36"/>
      </w:r>
      <w:r w:rsidR="00123398">
        <w:t xml:space="preserve"> The way many advanced to these creative ranks was through their skill as a </w:t>
      </w:r>
      <w:r w:rsidR="00123398" w:rsidRPr="00123398">
        <w:rPr>
          <w:i/>
          <w:iCs/>
        </w:rPr>
        <w:t>jongleur</w:t>
      </w:r>
      <w:r w:rsidR="00123398">
        <w:t xml:space="preserve">, who were often employed by the various composers. The </w:t>
      </w:r>
      <w:r w:rsidR="00123398" w:rsidRPr="00123398">
        <w:rPr>
          <w:i/>
          <w:iCs/>
        </w:rPr>
        <w:t>troubadour</w:t>
      </w:r>
      <w:r w:rsidR="00123398">
        <w:t xml:space="preserve"> Guiraut de Calanson for example demanded of his </w:t>
      </w:r>
      <w:r w:rsidR="00123398">
        <w:rPr>
          <w:i/>
          <w:iCs/>
        </w:rPr>
        <w:t>jongleurs</w:t>
      </w:r>
      <w:r w:rsidR="00123398">
        <w:t xml:space="preserve"> that they be able to play no fewer than nine instruments.</w:t>
      </w:r>
      <w:r w:rsidR="00123398">
        <w:rPr>
          <w:rStyle w:val="FootnoteReference"/>
        </w:rPr>
        <w:footnoteReference w:id="37"/>
      </w:r>
      <w:r w:rsidR="00123398">
        <w:t xml:space="preserve"> The distinction between the composer and the </w:t>
      </w:r>
      <w:r w:rsidR="00123398" w:rsidRPr="006D191D">
        <w:rPr>
          <w:i/>
          <w:iCs/>
        </w:rPr>
        <w:t xml:space="preserve">jongleur </w:t>
      </w:r>
      <w:r w:rsidR="00123398">
        <w:t xml:space="preserve">who depended on him for the creation of his </w:t>
      </w:r>
      <w:r w:rsidR="00123398">
        <w:lastRenderedPageBreak/>
        <w:t xml:space="preserve">repertoire was </w:t>
      </w:r>
      <w:r w:rsidR="0020239F">
        <w:t>sometimes</w:t>
      </w:r>
      <w:r w:rsidR="00123398">
        <w:t xml:space="preserve"> insisted upon at the expense of the </w:t>
      </w:r>
      <w:r w:rsidR="00123398" w:rsidRPr="00123398">
        <w:rPr>
          <w:i/>
          <w:iCs/>
        </w:rPr>
        <w:t>jongleur.</w:t>
      </w:r>
      <w:r w:rsidR="00123398">
        <w:rPr>
          <w:rStyle w:val="FootnoteReference"/>
          <w:i/>
          <w:iCs/>
        </w:rPr>
        <w:footnoteReference w:id="38"/>
      </w:r>
      <w:r w:rsidR="00123398" w:rsidRPr="00123398">
        <w:rPr>
          <w:i/>
          <w:iCs/>
        </w:rPr>
        <w:t xml:space="preserve"> </w:t>
      </w:r>
      <w:r w:rsidR="007D060C">
        <w:t xml:space="preserve">Despite this, </w:t>
      </w:r>
      <w:r w:rsidR="00123398" w:rsidRPr="00123398">
        <w:t>the</w:t>
      </w:r>
      <w:r w:rsidR="00123398">
        <w:t xml:space="preserve"> gap between performer and composer remained a fluid one</w:t>
      </w:r>
      <w:r w:rsidR="007D060C">
        <w:t xml:space="preserve"> </w:t>
      </w:r>
      <w:r w:rsidR="00123398">
        <w:t>and both groups overlapped considerably.</w:t>
      </w:r>
      <w:r w:rsidR="00123398">
        <w:rPr>
          <w:rStyle w:val="FootnoteReference"/>
        </w:rPr>
        <w:footnoteReference w:id="39"/>
      </w:r>
      <w:r w:rsidR="00123398">
        <w:t xml:space="preserve"> Inspired by the work of the </w:t>
      </w:r>
      <w:r w:rsidR="00123398">
        <w:rPr>
          <w:i/>
          <w:iCs/>
        </w:rPr>
        <w:t xml:space="preserve">Troubadour </w:t>
      </w:r>
      <w:r w:rsidR="00123398">
        <w:t xml:space="preserve">and </w:t>
      </w:r>
      <w:r w:rsidR="00123398">
        <w:rPr>
          <w:i/>
          <w:iCs/>
        </w:rPr>
        <w:t>Trouv</w:t>
      </w:r>
      <w:r w:rsidR="00626A8D">
        <w:rPr>
          <w:i/>
          <w:iCs/>
        </w:rPr>
        <w:t>è</w:t>
      </w:r>
      <w:r w:rsidR="00123398">
        <w:rPr>
          <w:i/>
          <w:iCs/>
        </w:rPr>
        <w:t>re</w:t>
      </w:r>
      <w:r w:rsidR="00123398">
        <w:t xml:space="preserve"> were the German </w:t>
      </w:r>
      <w:r w:rsidR="00123398">
        <w:rPr>
          <w:i/>
          <w:iCs/>
        </w:rPr>
        <w:t>Minnesinger</w:t>
      </w:r>
      <w:r w:rsidR="00123398">
        <w:t>, who’s ranks comprised an even broader social range.</w:t>
      </w:r>
      <w:r w:rsidR="00123398">
        <w:rPr>
          <w:rStyle w:val="FootnoteReference"/>
        </w:rPr>
        <w:footnoteReference w:id="40"/>
      </w:r>
      <w:r w:rsidR="00123398">
        <w:t xml:space="preserve"> Both of these groups write largely about the themes of courtly love and women. Conventionally they focus on the unattainable married woman, the poet forced to suffer in service of his love.</w:t>
      </w:r>
      <w:r w:rsidR="00123398">
        <w:rPr>
          <w:rStyle w:val="FootnoteReference"/>
        </w:rPr>
        <w:footnoteReference w:id="41"/>
      </w:r>
      <w:r w:rsidR="00123398">
        <w:t xml:space="preserve"> The songs of the </w:t>
      </w:r>
      <w:r w:rsidR="00123398">
        <w:rPr>
          <w:i/>
          <w:iCs/>
        </w:rPr>
        <w:t xml:space="preserve">minnesinger </w:t>
      </w:r>
      <w:r w:rsidR="00123398">
        <w:t xml:space="preserve">often reference the </w:t>
      </w:r>
      <w:r w:rsidR="00D34210">
        <w:t>lady’s</w:t>
      </w:r>
      <w:r w:rsidR="00123398">
        <w:t xml:space="preserve"> mouth as a symbol of her beauty but also her power to both reward and wound her suitor.</w:t>
      </w:r>
      <w:r w:rsidR="00123398">
        <w:rPr>
          <w:rStyle w:val="FootnoteReference"/>
        </w:rPr>
        <w:footnoteReference w:id="42"/>
      </w:r>
      <w:r w:rsidR="00123398">
        <w:t xml:space="preserve"> </w:t>
      </w:r>
      <w:r w:rsidR="00515422">
        <w:t xml:space="preserve">Both groups </w:t>
      </w:r>
      <w:r w:rsidR="00C475B6">
        <w:t xml:space="preserve">strived for eloquence and poetic mastery, qualities that the </w:t>
      </w:r>
      <w:r w:rsidR="00C475B6">
        <w:rPr>
          <w:i/>
          <w:iCs/>
        </w:rPr>
        <w:t>troubadour</w:t>
      </w:r>
      <w:r w:rsidR="00C475B6">
        <w:t xml:space="preserve"> were praised for by </w:t>
      </w:r>
      <w:r w:rsidR="004B6AFE">
        <w:t>Dante</w:t>
      </w:r>
      <w:r w:rsidR="00C475B6">
        <w:t>.</w:t>
      </w:r>
      <w:r w:rsidR="00986B74">
        <w:rPr>
          <w:rStyle w:val="FootnoteReference"/>
        </w:rPr>
        <w:footnoteReference w:id="43"/>
      </w:r>
      <w:r w:rsidR="00992091">
        <w:t xml:space="preserve"> </w:t>
      </w:r>
      <w:r w:rsidR="00123398" w:rsidRPr="004B6AFE">
        <w:t>T</w:t>
      </w:r>
      <w:r w:rsidR="00986B74">
        <w:t>he lyrics employed were often very</w:t>
      </w:r>
      <w:r w:rsidR="00123398">
        <w:t xml:space="preserve"> abstract and </w:t>
      </w:r>
      <w:r w:rsidR="00986B74">
        <w:t>focused upon</w:t>
      </w:r>
      <w:r w:rsidR="00123398">
        <w:t xml:space="preserve"> </w:t>
      </w:r>
      <w:r w:rsidR="007D060C">
        <w:t xml:space="preserve">the subtlety of the </w:t>
      </w:r>
      <w:r w:rsidR="006921A1">
        <w:t>relationship</w:t>
      </w:r>
      <w:r w:rsidR="00FB2E2A">
        <w:t xml:space="preserve"> between woman and suitor, </w:t>
      </w:r>
      <w:r w:rsidR="00FB2E2A">
        <w:t>often play into religious themes</w:t>
      </w:r>
      <w:r w:rsidR="006921A1">
        <w:t>.</w:t>
      </w:r>
      <w:r w:rsidR="006F1C2A">
        <w:rPr>
          <w:rStyle w:val="FootnoteReference"/>
        </w:rPr>
        <w:footnoteReference w:id="44"/>
      </w:r>
      <w:r w:rsidR="007B5298">
        <w:t xml:space="preserve"> </w:t>
      </w:r>
      <w:r w:rsidR="00FB2E2A">
        <w:t>T</w:t>
      </w:r>
      <w:r w:rsidR="00A63672">
        <w:t xml:space="preserve">he later </w:t>
      </w:r>
      <w:r w:rsidR="00A63672" w:rsidRPr="00A63672">
        <w:rPr>
          <w:i/>
          <w:iCs/>
        </w:rPr>
        <w:t>Trouv</w:t>
      </w:r>
      <w:r w:rsidR="00A63672">
        <w:rPr>
          <w:i/>
          <w:iCs/>
        </w:rPr>
        <w:t>è</w:t>
      </w:r>
      <w:r w:rsidR="00A63672" w:rsidRPr="00A63672">
        <w:rPr>
          <w:i/>
          <w:iCs/>
        </w:rPr>
        <w:t>re</w:t>
      </w:r>
      <w:r w:rsidR="00A63672">
        <w:t xml:space="preserve"> songs to the Virgin Mary</w:t>
      </w:r>
      <w:r w:rsidR="00623607">
        <w:t>,</w:t>
      </w:r>
      <w:r w:rsidR="00666A49">
        <w:t xml:space="preserve"> </w:t>
      </w:r>
      <w:r w:rsidR="00A63672">
        <w:t>ech</w:t>
      </w:r>
      <w:r w:rsidR="00666A49">
        <w:t>o</w:t>
      </w:r>
      <w:r w:rsidR="00A63672">
        <w:t xml:space="preserve"> the same </w:t>
      </w:r>
      <w:r w:rsidR="00A040D2">
        <w:t xml:space="preserve">vocabulary and melodies used </w:t>
      </w:r>
      <w:r w:rsidR="00666A49">
        <w:t xml:space="preserve">earlier </w:t>
      </w:r>
      <w:r w:rsidR="00A040D2">
        <w:t>in celebration of earthly love</w:t>
      </w:r>
      <w:r w:rsidR="00395C5C">
        <w:t>.</w:t>
      </w:r>
      <w:r w:rsidR="00395C5C">
        <w:rPr>
          <w:rStyle w:val="FootnoteReference"/>
        </w:rPr>
        <w:footnoteReference w:id="45"/>
      </w:r>
      <w:r w:rsidR="00943E0A">
        <w:t xml:space="preserve"> </w:t>
      </w:r>
      <w:r w:rsidR="001E087C">
        <w:t xml:space="preserve">The music of these groups </w:t>
      </w:r>
      <w:r w:rsidR="00180569">
        <w:t xml:space="preserve">no matter the subject of the song makes great attempt to </w:t>
      </w:r>
      <w:r w:rsidR="00B601BF">
        <w:t xml:space="preserve">remain delicate and </w:t>
      </w:r>
      <w:r w:rsidR="00313E6D">
        <w:t xml:space="preserve">elegant in both lyrical and </w:t>
      </w:r>
      <w:r w:rsidR="00863361">
        <w:t>melodic composition.</w:t>
      </w:r>
    </w:p>
    <w:p w14:paraId="623959F8" w14:textId="77777777" w:rsidR="00623607" w:rsidRDefault="00623607" w:rsidP="00123398">
      <w:pPr>
        <w:ind w:firstLine="720"/>
      </w:pPr>
    </w:p>
    <w:p w14:paraId="61A3E0E9" w14:textId="464EEB79" w:rsidR="00D36E18" w:rsidRDefault="00863361" w:rsidP="00AB2265">
      <w:pPr>
        <w:ind w:firstLine="720"/>
      </w:pPr>
      <w:r>
        <w:t xml:space="preserve">On the other end of the spectrum, it would be impossible </w:t>
      </w:r>
      <w:r w:rsidR="000008F4">
        <w:t xml:space="preserve">to </w:t>
      </w:r>
      <w:r w:rsidR="00885124">
        <w:t xml:space="preserve">discuss the authors of medieval poetry without reference to the infamous </w:t>
      </w:r>
      <w:r w:rsidR="00F7118F">
        <w:rPr>
          <w:i/>
          <w:iCs/>
        </w:rPr>
        <w:t>g</w:t>
      </w:r>
      <w:r w:rsidR="00885124" w:rsidRPr="00885124">
        <w:rPr>
          <w:i/>
          <w:iCs/>
        </w:rPr>
        <w:t>oliards</w:t>
      </w:r>
      <w:r w:rsidR="00F7118F">
        <w:rPr>
          <w:i/>
          <w:iCs/>
        </w:rPr>
        <w:t>.</w:t>
      </w:r>
      <w:r w:rsidR="00724A1A">
        <w:rPr>
          <w:i/>
          <w:iCs/>
        </w:rPr>
        <w:t xml:space="preserve"> </w:t>
      </w:r>
      <w:r w:rsidR="00724A1A">
        <w:t xml:space="preserve">Predating the first </w:t>
      </w:r>
      <w:r w:rsidR="00724A1A">
        <w:rPr>
          <w:i/>
          <w:iCs/>
        </w:rPr>
        <w:t>troubadours</w:t>
      </w:r>
      <w:r w:rsidR="00937577">
        <w:rPr>
          <w:i/>
          <w:iCs/>
        </w:rPr>
        <w:t xml:space="preserve">, </w:t>
      </w:r>
      <w:r w:rsidR="00937577">
        <w:t xml:space="preserve">the </w:t>
      </w:r>
      <w:r w:rsidR="00937577">
        <w:rPr>
          <w:i/>
          <w:iCs/>
        </w:rPr>
        <w:t xml:space="preserve">goliards </w:t>
      </w:r>
      <w:r w:rsidR="00937577">
        <w:t>wrote</w:t>
      </w:r>
      <w:r w:rsidR="00161FF9">
        <w:t xml:space="preserve"> a wide array of profane Latin lyrics</w:t>
      </w:r>
      <w:r w:rsidR="00C746DF">
        <w:t xml:space="preserve"> de</w:t>
      </w:r>
      <w:r w:rsidR="00B12002">
        <w:t>voted to wine, women and satire.</w:t>
      </w:r>
      <w:r w:rsidR="00B12002">
        <w:rPr>
          <w:rStyle w:val="FootnoteReference"/>
        </w:rPr>
        <w:footnoteReference w:id="46"/>
      </w:r>
      <w:r w:rsidR="00C03D88">
        <w:t xml:space="preserve"> </w:t>
      </w:r>
      <w:r w:rsidR="00844F9C">
        <w:t>The mythical patron for whom they wrote, the Bishop Golias</w:t>
      </w:r>
      <w:r w:rsidR="00AB1E49">
        <w:t>, appears himself to be a clerical parody derived either fro</w:t>
      </w:r>
      <w:r w:rsidR="00F17568">
        <w:t xml:space="preserve">m the word </w:t>
      </w:r>
      <w:r w:rsidR="00F17568">
        <w:rPr>
          <w:i/>
          <w:iCs/>
        </w:rPr>
        <w:t>gula</w:t>
      </w:r>
      <w:r w:rsidR="00F17568">
        <w:t xml:space="preserve"> meaning gluttony, or even from Goliath himself.</w:t>
      </w:r>
      <w:r w:rsidR="00F17568">
        <w:rPr>
          <w:rStyle w:val="FootnoteReference"/>
        </w:rPr>
        <w:footnoteReference w:id="47"/>
      </w:r>
      <w:r w:rsidR="00180261">
        <w:t xml:space="preserve"> </w:t>
      </w:r>
      <w:r w:rsidR="00180569">
        <w:t>A</w:t>
      </w:r>
      <w:r w:rsidR="009071E5">
        <w:t xml:space="preserve">ctive </w:t>
      </w:r>
      <w:r w:rsidR="007377DF">
        <w:t>from the 11</w:t>
      </w:r>
      <w:r w:rsidR="007377DF" w:rsidRPr="007377DF">
        <w:rPr>
          <w:vertAlign w:val="superscript"/>
        </w:rPr>
        <w:t>th</w:t>
      </w:r>
      <w:r w:rsidR="007377DF">
        <w:t xml:space="preserve"> - 13</w:t>
      </w:r>
      <w:r w:rsidR="007377DF" w:rsidRPr="007377DF">
        <w:rPr>
          <w:vertAlign w:val="superscript"/>
        </w:rPr>
        <w:t>th</w:t>
      </w:r>
      <w:r w:rsidR="007377DF">
        <w:t xml:space="preserve"> centuries </w:t>
      </w:r>
      <w:r w:rsidR="004D0E62">
        <w:t xml:space="preserve">the </w:t>
      </w:r>
      <w:r w:rsidR="004D0E62" w:rsidRPr="004D0E62">
        <w:rPr>
          <w:i/>
          <w:iCs/>
        </w:rPr>
        <w:t xml:space="preserve">goliards </w:t>
      </w:r>
      <w:r w:rsidR="007377DF" w:rsidRPr="004D0E62">
        <w:t>were</w:t>
      </w:r>
      <w:r w:rsidR="007377DF">
        <w:t xml:space="preserve"> made up of </w:t>
      </w:r>
      <w:r w:rsidR="005113E1">
        <w:t>students and footloose clerics who migrated from school to school in the days before the great universities were founded.</w:t>
      </w:r>
      <w:r w:rsidR="005113E1">
        <w:rPr>
          <w:rStyle w:val="FootnoteReference"/>
        </w:rPr>
        <w:footnoteReference w:id="48"/>
      </w:r>
      <w:r w:rsidR="00B8356C">
        <w:t xml:space="preserve"> </w:t>
      </w:r>
      <w:r w:rsidR="007B043F">
        <w:t>By the 13</w:t>
      </w:r>
      <w:r w:rsidR="007B043F" w:rsidRPr="007B043F">
        <w:rPr>
          <w:vertAlign w:val="superscript"/>
        </w:rPr>
        <w:t>th</w:t>
      </w:r>
      <w:r w:rsidR="007B043F">
        <w:t xml:space="preserve"> century these vagabond scholars had become a </w:t>
      </w:r>
      <w:r w:rsidR="003D2607">
        <w:t>nuisance</w:t>
      </w:r>
      <w:r w:rsidR="007D5457">
        <w:t>, commonly linked with</w:t>
      </w:r>
      <w:r w:rsidR="007A37AF">
        <w:t xml:space="preserve"> jugglers, </w:t>
      </w:r>
      <w:r w:rsidR="00C344F9">
        <w:t>buffoons</w:t>
      </w:r>
      <w:r w:rsidR="006E0149">
        <w:t>,</w:t>
      </w:r>
      <w:r w:rsidR="00C344F9">
        <w:t xml:space="preserve"> and entertainers</w:t>
      </w:r>
      <w:r w:rsidR="004D0E62">
        <w:t xml:space="preserve"> and </w:t>
      </w:r>
      <w:r w:rsidR="002B3137">
        <w:t xml:space="preserve">by the time of Chaucer, their name had become synonymous with </w:t>
      </w:r>
      <w:r w:rsidR="003F7DA0">
        <w:t>bad</w:t>
      </w:r>
      <w:r w:rsidR="00957CE7">
        <w:t>-</w:t>
      </w:r>
      <w:r w:rsidR="003F7DA0">
        <w:t>mouthed babbling.</w:t>
      </w:r>
      <w:r w:rsidR="003F7DA0">
        <w:rPr>
          <w:rStyle w:val="FootnoteReference"/>
        </w:rPr>
        <w:footnoteReference w:id="49"/>
      </w:r>
      <w:r w:rsidR="003F7DA0">
        <w:t xml:space="preserve"> </w:t>
      </w:r>
      <w:r w:rsidR="004D1754">
        <w:t xml:space="preserve">The image presented by the </w:t>
      </w:r>
      <w:r w:rsidR="009C234E">
        <w:t xml:space="preserve">normally anonymous </w:t>
      </w:r>
      <w:r w:rsidR="009C234E">
        <w:rPr>
          <w:i/>
          <w:iCs/>
        </w:rPr>
        <w:t>goliard</w:t>
      </w:r>
      <w:r w:rsidR="009C234E">
        <w:t xml:space="preserve"> poets </w:t>
      </w:r>
      <w:r w:rsidR="004A4C01">
        <w:t>as</w:t>
      </w:r>
      <w:r w:rsidR="009C234E">
        <w:t xml:space="preserve"> vagabond poet</w:t>
      </w:r>
      <w:r w:rsidR="00C92C9C">
        <w:t xml:space="preserve"> </w:t>
      </w:r>
      <w:r w:rsidR="004A4C01">
        <w:t>was</w:t>
      </w:r>
      <w:r w:rsidR="005D1CE2">
        <w:t xml:space="preserve"> perhaps </w:t>
      </w:r>
      <w:r w:rsidR="004A4C01">
        <w:t>slightly exaggerated</w:t>
      </w:r>
      <w:r w:rsidR="000867D2">
        <w:t xml:space="preserve"> though.</w:t>
      </w:r>
      <w:r w:rsidR="00BE2D2D">
        <w:t xml:space="preserve"> </w:t>
      </w:r>
      <w:r w:rsidR="00750D35">
        <w:t xml:space="preserve">Out of the five outstanding </w:t>
      </w:r>
      <w:r w:rsidR="00C4109C">
        <w:t xml:space="preserve">Goliards we know by name, three of them spent the greater part of their lives as professors at </w:t>
      </w:r>
      <w:r w:rsidR="00BF4875">
        <w:t xml:space="preserve">some of </w:t>
      </w:r>
      <w:r w:rsidR="00CF31DC">
        <w:t>Europe’s</w:t>
      </w:r>
      <w:r w:rsidR="00BF4875">
        <w:t xml:space="preserve"> greatest </w:t>
      </w:r>
      <w:r w:rsidR="000867D2">
        <w:t>universities</w:t>
      </w:r>
      <w:r w:rsidR="00BF4875">
        <w:t xml:space="preserve">, </w:t>
      </w:r>
      <w:r w:rsidR="00CF31DC">
        <w:t xml:space="preserve">and </w:t>
      </w:r>
      <w:r w:rsidR="00BF4875">
        <w:t>two were among the most prominent administrators of their day.</w:t>
      </w:r>
      <w:r w:rsidR="00BF4875">
        <w:rPr>
          <w:rStyle w:val="FootnoteReference"/>
        </w:rPr>
        <w:footnoteReference w:id="50"/>
      </w:r>
      <w:r w:rsidR="00983F04">
        <w:t xml:space="preserve"> The </w:t>
      </w:r>
      <w:r w:rsidR="00FB652D">
        <w:t xml:space="preserve">lyrics of writers such as the famous ‘Archpoet’ display a </w:t>
      </w:r>
      <w:r w:rsidR="00510DD5">
        <w:t xml:space="preserve">rich </w:t>
      </w:r>
      <w:r w:rsidR="00FB652D">
        <w:t>knowledge of the classical and biblical texts</w:t>
      </w:r>
      <w:r w:rsidR="00510DD5">
        <w:t xml:space="preserve"> obtained through </w:t>
      </w:r>
      <w:r w:rsidR="00942C28">
        <w:t>extensive education</w:t>
      </w:r>
      <w:r w:rsidR="00D462E0">
        <w:t>.</w:t>
      </w:r>
      <w:r w:rsidR="00D462E0">
        <w:rPr>
          <w:rStyle w:val="FootnoteReference"/>
        </w:rPr>
        <w:footnoteReference w:id="51"/>
      </w:r>
      <w:r w:rsidR="00853160">
        <w:t xml:space="preserve"> </w:t>
      </w:r>
      <w:r w:rsidR="003F719D">
        <w:t xml:space="preserve">Whatever truth there may be to the vagabond image, </w:t>
      </w:r>
      <w:r w:rsidR="007675E7">
        <w:t xml:space="preserve">many of </w:t>
      </w:r>
      <w:r w:rsidR="00337644">
        <w:t xml:space="preserve">the </w:t>
      </w:r>
      <w:r w:rsidR="00337644">
        <w:lastRenderedPageBreak/>
        <w:t xml:space="preserve">poems were </w:t>
      </w:r>
      <w:r w:rsidR="007675E7">
        <w:t xml:space="preserve">arguably </w:t>
      </w:r>
      <w:r w:rsidR="00337644">
        <w:t>written</w:t>
      </w:r>
      <w:r w:rsidR="007675E7">
        <w:t xml:space="preserve"> </w:t>
      </w:r>
      <w:r w:rsidR="00337644">
        <w:t>for the sophisticated entertainment of the educated elite.</w:t>
      </w:r>
      <w:r w:rsidR="0098308A">
        <w:rPr>
          <w:rStyle w:val="FootnoteReference"/>
        </w:rPr>
        <w:footnoteReference w:id="52"/>
      </w:r>
      <w:r w:rsidR="00F20C8A">
        <w:t xml:space="preserve"> </w:t>
      </w:r>
      <w:r w:rsidR="00E336CB">
        <w:t xml:space="preserve">Not all </w:t>
      </w:r>
      <w:r w:rsidR="00354095">
        <w:t xml:space="preserve">the writings are </w:t>
      </w:r>
      <w:r w:rsidR="003108FA">
        <w:t>profane, some</w:t>
      </w:r>
      <w:r w:rsidR="008648FF">
        <w:t xml:space="preserve"> touch upon themes of nature and love, they are all however</w:t>
      </w:r>
      <w:r w:rsidR="00E32884">
        <w:t xml:space="preserve"> written in </w:t>
      </w:r>
      <w:r w:rsidR="00061FA4">
        <w:t>the</w:t>
      </w:r>
      <w:r w:rsidR="00E32884">
        <w:t xml:space="preserve"> recognisable tone of youth and informality</w:t>
      </w:r>
      <w:r w:rsidR="008648FF">
        <w:t>.</w:t>
      </w:r>
      <w:r w:rsidR="00882BB3">
        <w:rPr>
          <w:rStyle w:val="FootnoteReference"/>
        </w:rPr>
        <w:footnoteReference w:id="53"/>
      </w:r>
      <w:r w:rsidR="008648FF">
        <w:t xml:space="preserve"> </w:t>
      </w:r>
      <w:r w:rsidR="00061FA4">
        <w:t>The</w:t>
      </w:r>
      <w:r w:rsidR="00F20C8A">
        <w:t xml:space="preserve"> finest collection of </w:t>
      </w:r>
      <w:r w:rsidR="00F20C8A">
        <w:rPr>
          <w:i/>
          <w:iCs/>
        </w:rPr>
        <w:t>goliard</w:t>
      </w:r>
      <w:r w:rsidR="00F20C8A">
        <w:t xml:space="preserve"> </w:t>
      </w:r>
      <w:r w:rsidR="00EB266E">
        <w:t>song is to be found in the 13</w:t>
      </w:r>
      <w:r w:rsidR="00EB266E" w:rsidRPr="00EB266E">
        <w:rPr>
          <w:vertAlign w:val="superscript"/>
        </w:rPr>
        <w:t>th</w:t>
      </w:r>
      <w:r w:rsidR="00EB266E">
        <w:t xml:space="preserve"> century </w:t>
      </w:r>
      <w:r w:rsidR="00854BBA">
        <w:t xml:space="preserve">German </w:t>
      </w:r>
      <w:r w:rsidR="00EB266E">
        <w:t>Carmina Burana</w:t>
      </w:r>
      <w:r w:rsidR="00854BBA">
        <w:t xml:space="preserve">. </w:t>
      </w:r>
      <w:r w:rsidR="0045383D">
        <w:t xml:space="preserve">It displays the key lyrical themes </w:t>
      </w:r>
      <w:r w:rsidR="009250A0">
        <w:t xml:space="preserve">of </w:t>
      </w:r>
      <w:r w:rsidR="009250A0">
        <w:rPr>
          <w:i/>
          <w:iCs/>
        </w:rPr>
        <w:t xml:space="preserve">goliard </w:t>
      </w:r>
      <w:r w:rsidR="009250A0">
        <w:t>literature, with poems on satire and morality</w:t>
      </w:r>
      <w:r w:rsidR="007A2469">
        <w:t>;</w:t>
      </w:r>
      <w:r w:rsidR="009250A0">
        <w:t xml:space="preserve"> love</w:t>
      </w:r>
      <w:r w:rsidR="007A2469">
        <w:t xml:space="preserve">, and nature; </w:t>
      </w:r>
      <w:r w:rsidR="00B145B3">
        <w:t xml:space="preserve">as well as </w:t>
      </w:r>
      <w:r w:rsidR="007A2469">
        <w:t>drinking, and the open road</w:t>
      </w:r>
      <w:r w:rsidR="00B145B3">
        <w:t>.</w:t>
      </w:r>
      <w:r w:rsidR="00B145B3">
        <w:rPr>
          <w:rStyle w:val="FootnoteReference"/>
        </w:rPr>
        <w:footnoteReference w:id="54"/>
      </w:r>
      <w:r w:rsidR="0011621C">
        <w:t xml:space="preserve"> </w:t>
      </w:r>
      <w:r w:rsidR="00CE2D90">
        <w:t xml:space="preserve">The songs written in Latin by the </w:t>
      </w:r>
      <w:r w:rsidR="00CE2D90">
        <w:rPr>
          <w:i/>
          <w:iCs/>
        </w:rPr>
        <w:t>goliards</w:t>
      </w:r>
      <w:r w:rsidR="00CE2D90">
        <w:t xml:space="preserve"> were not </w:t>
      </w:r>
      <w:r w:rsidR="00845575">
        <w:t xml:space="preserve">essentially all that different to the informal vernacular songs of the </w:t>
      </w:r>
      <w:r w:rsidR="00845575">
        <w:rPr>
          <w:i/>
          <w:iCs/>
        </w:rPr>
        <w:t>jongleur</w:t>
      </w:r>
      <w:r w:rsidR="00CC7F49">
        <w:t>.</w:t>
      </w:r>
      <w:r w:rsidR="00845575">
        <w:rPr>
          <w:rStyle w:val="FootnoteReference"/>
        </w:rPr>
        <w:footnoteReference w:id="55"/>
      </w:r>
      <w:r w:rsidR="00CC7F49">
        <w:t xml:space="preserve"> </w:t>
      </w:r>
      <w:r w:rsidR="00F4643A">
        <w:t>Perhaps there is some semblance of th</w:t>
      </w:r>
      <w:r w:rsidR="0028418A">
        <w:t>e</w:t>
      </w:r>
      <w:r w:rsidR="00F4643A">
        <w:t xml:space="preserve"> now mostly lost popular lyric to be found among the </w:t>
      </w:r>
      <w:r w:rsidR="00656359">
        <w:t xml:space="preserve">rowdy drinking songs and </w:t>
      </w:r>
      <w:r w:rsidR="001C4FB5">
        <w:t xml:space="preserve">the seasonal poetry of the Carmina Burana. </w:t>
      </w:r>
    </w:p>
    <w:p w14:paraId="2E59EE8A" w14:textId="77777777" w:rsidR="001C1966" w:rsidRDefault="001C1966" w:rsidP="00AB2265">
      <w:pPr>
        <w:ind w:firstLine="720"/>
      </w:pPr>
    </w:p>
    <w:p w14:paraId="474F7E15" w14:textId="0C084788" w:rsidR="001C1966" w:rsidRDefault="001C1966" w:rsidP="00AB2265">
      <w:pPr>
        <w:ind w:firstLine="720"/>
      </w:pPr>
      <w:r>
        <w:t xml:space="preserve">Of the nature of the performance </w:t>
      </w:r>
      <w:r w:rsidR="00AE6126">
        <w:t>practice, l</w:t>
      </w:r>
      <w:r w:rsidR="002931F8">
        <w:t>iter</w:t>
      </w:r>
      <w:r w:rsidR="0043157C">
        <w:t>ature largely leaves the impression that unaccompanied singing was less commo</w:t>
      </w:r>
      <w:r w:rsidR="00360133">
        <w:t xml:space="preserve">n, </w:t>
      </w:r>
      <w:r w:rsidR="0056570B">
        <w:t xml:space="preserve">and that </w:t>
      </w:r>
      <w:r w:rsidR="00975058">
        <w:t>the solo singer would normally accompany his or herself on the instrument of their choice</w:t>
      </w:r>
      <w:r w:rsidR="00677616">
        <w:t>.</w:t>
      </w:r>
      <w:r w:rsidR="00677616">
        <w:rPr>
          <w:rStyle w:val="FootnoteReference"/>
        </w:rPr>
        <w:footnoteReference w:id="56"/>
      </w:r>
      <w:r w:rsidR="0064686E">
        <w:t xml:space="preserve"> </w:t>
      </w:r>
      <w:r w:rsidR="00144EB2">
        <w:t xml:space="preserve">There are fantastic records of such performances, perhaps the most striking is taken from the </w:t>
      </w:r>
      <w:r w:rsidR="00AE0E78">
        <w:t xml:space="preserve">Anglo-Norman </w:t>
      </w:r>
      <w:r w:rsidR="00144EB2">
        <w:rPr>
          <w:i/>
          <w:iCs/>
        </w:rPr>
        <w:t>Roman de Horn</w:t>
      </w:r>
      <w:r w:rsidR="00AE0E78">
        <w:t xml:space="preserve"> written around 1170.</w:t>
      </w:r>
      <w:r w:rsidR="00A47B11">
        <w:t xml:space="preserve"> In the story, the </w:t>
      </w:r>
      <w:r w:rsidR="00543F5C">
        <w:t xml:space="preserve">banished </w:t>
      </w:r>
      <w:r w:rsidR="00A47B11">
        <w:t xml:space="preserve">protagonist Horn, </w:t>
      </w:r>
      <w:r w:rsidR="00543F5C">
        <w:t xml:space="preserve">is in Ireland under the pseudonym Gudmod. </w:t>
      </w:r>
      <w:r w:rsidR="00192928">
        <w:t xml:space="preserve">Seeking to impress, </w:t>
      </w:r>
      <w:r w:rsidR="00B81C99">
        <w:t xml:space="preserve">Lenburc </w:t>
      </w:r>
      <w:r w:rsidR="00192928">
        <w:t>the daughter of the Irish king</w:t>
      </w:r>
      <w:r w:rsidR="00B81C99">
        <w:t xml:space="preserve"> attempts to play to him the recently composed lay of Rigmel</w:t>
      </w:r>
      <w:r w:rsidR="000303B4">
        <w:t>, next her brother tries, then the harp is passed around the assembled company until it is Horn’s turn to play.</w:t>
      </w:r>
    </w:p>
    <w:p w14:paraId="3CFF28D6" w14:textId="77777777" w:rsidR="00AE0E78" w:rsidRDefault="00AE0E78" w:rsidP="00AB2265">
      <w:pPr>
        <w:ind w:firstLine="720"/>
      </w:pPr>
    </w:p>
    <w:p w14:paraId="6FE87EFF" w14:textId="71C66333" w:rsidR="00C53545" w:rsidRDefault="00F232EA" w:rsidP="00C53545">
      <w:pPr>
        <w:ind w:left="720"/>
      </w:pPr>
      <w:r>
        <w:t>“</w:t>
      </w:r>
      <w:r w:rsidR="00C53545">
        <w:t>Then he</w:t>
      </w:r>
      <w:r w:rsidR="00C53545">
        <w:t xml:space="preserve"> </w:t>
      </w:r>
      <w:r w:rsidR="00C53545">
        <w:t xml:space="preserve">takes up the harp, </w:t>
      </w:r>
      <w:proofErr w:type="gramStart"/>
      <w:r w:rsidR="00C53545">
        <w:t>so as to</w:t>
      </w:r>
      <w:proofErr w:type="gramEnd"/>
      <w:r w:rsidR="00C53545">
        <w:t xml:space="preserve"> tune it. Heavens, whoever might have seen how he could handle it, how he touched those strings, made them vibrate, sometimes in a single melody, sometimes harmonically, he would have recalled the celestial harmony. This man, more than all other there, caused wonderment. When he had played these themes, he raised the pitch of the strings and made them give out quite different tones from before. Many were utterly amazed at his touch. Then he began to sing the lay of Rigmel, singing loud and clear: the Bretons are expert in such performances. After singing, he made the strings repeat exactly what his voice had uttered. He performed the whole lay, omitting nothing. Dear God</w:t>
      </w:r>
      <w:r>
        <w:t>,</w:t>
      </w:r>
      <w:r w:rsidR="00C53545">
        <w:t xml:space="preserve"> what love his listeners felt for him.</w:t>
      </w:r>
      <w:r>
        <w:t>“</w:t>
      </w:r>
      <w:r w:rsidR="00F30CED">
        <w:rPr>
          <w:rStyle w:val="FootnoteReference"/>
        </w:rPr>
        <w:footnoteReference w:id="57"/>
      </w:r>
    </w:p>
    <w:p w14:paraId="41E7504B" w14:textId="77777777" w:rsidR="00AE0E78" w:rsidRDefault="00AE0E78" w:rsidP="00AB2265">
      <w:pPr>
        <w:ind w:firstLine="720"/>
      </w:pPr>
    </w:p>
    <w:p w14:paraId="67A3E8F7" w14:textId="1501E3C2" w:rsidR="00FE77ED" w:rsidRDefault="00F30CED" w:rsidP="00874D0E">
      <w:pPr>
        <w:ind w:firstLine="720"/>
      </w:pPr>
      <w:r>
        <w:t>Here it is desc</w:t>
      </w:r>
      <w:r w:rsidR="00CB1422">
        <w:t xml:space="preserve">ribed the context of </w:t>
      </w:r>
      <w:r w:rsidR="00A77870">
        <w:t>noble amateur performance,</w:t>
      </w:r>
      <w:r w:rsidR="00377C24">
        <w:t xml:space="preserve"> courtiers passing around instruments and singing to </w:t>
      </w:r>
      <w:r w:rsidR="00C93596">
        <w:t>each other</w:t>
      </w:r>
      <w:r w:rsidR="00377C24">
        <w:t xml:space="preserve"> as a social</w:t>
      </w:r>
      <w:r w:rsidR="000006CF">
        <w:t xml:space="preserve"> rather than professional</w:t>
      </w:r>
      <w:r w:rsidR="00377C24">
        <w:t xml:space="preserve"> </w:t>
      </w:r>
      <w:r w:rsidR="00C93596">
        <w:t>endeavour</w:t>
      </w:r>
      <w:r w:rsidR="00377C24">
        <w:t>.</w:t>
      </w:r>
      <w:r w:rsidR="00A77870">
        <w:t xml:space="preserve"> </w:t>
      </w:r>
      <w:r w:rsidR="00C93596">
        <w:t>Th</w:t>
      </w:r>
      <w:r w:rsidR="006866A2">
        <w:t>e</w:t>
      </w:r>
      <w:r w:rsidR="00C93596">
        <w:t xml:space="preserve"> passage gives us a</w:t>
      </w:r>
      <w:r w:rsidR="00D93318">
        <w:t>n</w:t>
      </w:r>
      <w:r w:rsidR="00C93596">
        <w:t xml:space="preserve"> </w:t>
      </w:r>
      <w:r w:rsidR="00D93318">
        <w:t xml:space="preserve">insight </w:t>
      </w:r>
      <w:r w:rsidR="00C93596">
        <w:t>in t</w:t>
      </w:r>
      <w:r w:rsidR="00D93318">
        <w:t>o</w:t>
      </w:r>
      <w:r w:rsidR="00A77870">
        <w:t xml:space="preserve"> the circulation of </w:t>
      </w:r>
      <w:r w:rsidR="00A77870">
        <w:rPr>
          <w:i/>
          <w:iCs/>
        </w:rPr>
        <w:t>troubadour</w:t>
      </w:r>
      <w:r w:rsidR="00A77870">
        <w:t xml:space="preserve"> style poetry</w:t>
      </w:r>
      <w:r w:rsidR="00D93318">
        <w:t xml:space="preserve">. </w:t>
      </w:r>
      <w:r w:rsidR="00F3389B">
        <w:t>The lay of Rigmel, composed in Brittany</w:t>
      </w:r>
      <w:r w:rsidR="00784C0C">
        <w:t xml:space="preserve">, has already </w:t>
      </w:r>
      <w:r w:rsidR="009E44EF">
        <w:t>become</w:t>
      </w:r>
      <w:r w:rsidR="00784C0C">
        <w:t xml:space="preserve"> popular in the Irish court.</w:t>
      </w:r>
      <w:r w:rsidR="00CA72B6">
        <w:t xml:space="preserve"> </w:t>
      </w:r>
      <w:r w:rsidR="009F0234">
        <w:t>The passage</w:t>
      </w:r>
      <w:r w:rsidR="00B00F34">
        <w:t xml:space="preserve"> also </w:t>
      </w:r>
      <w:r w:rsidR="009F0234">
        <w:t xml:space="preserve">of course </w:t>
      </w:r>
      <w:r w:rsidR="00B00F34">
        <w:t>describes the</w:t>
      </w:r>
      <w:r w:rsidR="009F0234">
        <w:t xml:space="preserve"> </w:t>
      </w:r>
      <w:r w:rsidR="00BF628A">
        <w:t xml:space="preserve">performance </w:t>
      </w:r>
      <w:r w:rsidR="009F0234">
        <w:t xml:space="preserve">itself </w:t>
      </w:r>
      <w:r w:rsidR="00BF628A">
        <w:t>in some detail</w:t>
      </w:r>
      <w:r w:rsidR="009F0234">
        <w:t>.</w:t>
      </w:r>
      <w:r w:rsidR="00BF628A">
        <w:t xml:space="preserve"> Horn </w:t>
      </w:r>
      <w:r w:rsidR="00692D15">
        <w:t xml:space="preserve">begins </w:t>
      </w:r>
      <w:r w:rsidR="00AD2939">
        <w:t>playing his instrument with great complexity before singing, and then repeating the sung melody on his harp</w:t>
      </w:r>
      <w:r w:rsidR="00AB2934">
        <w:t xml:space="preserve">. </w:t>
      </w:r>
      <w:r w:rsidR="006E574B">
        <w:t>From romances</w:t>
      </w:r>
      <w:r w:rsidR="00FD66C5">
        <w:t xml:space="preserve"> and other sources</w:t>
      </w:r>
      <w:r w:rsidR="006E574B">
        <w:t>, it appears that m</w:t>
      </w:r>
      <w:r w:rsidR="00F72C71">
        <w:t xml:space="preserve">ost </w:t>
      </w:r>
      <w:r w:rsidR="00D47B5F">
        <w:t xml:space="preserve">music of this </w:t>
      </w:r>
      <w:r w:rsidR="00AC18EB">
        <w:t>nature</w:t>
      </w:r>
      <w:r w:rsidR="00D47B5F">
        <w:t xml:space="preserve"> </w:t>
      </w:r>
      <w:r w:rsidR="00D812BB">
        <w:t>was</w:t>
      </w:r>
      <w:r w:rsidR="00D47B5F">
        <w:t xml:space="preserve"> performed </w:t>
      </w:r>
      <w:r w:rsidR="00660D68">
        <w:t xml:space="preserve">to instrumental </w:t>
      </w:r>
      <w:r w:rsidR="00FD66C5">
        <w:t>accompaniment</w:t>
      </w:r>
      <w:r w:rsidR="00660D68">
        <w:t>, either by the soloist</w:t>
      </w:r>
      <w:r w:rsidR="00FD66C5">
        <w:t xml:space="preserve"> himself</w:t>
      </w:r>
      <w:r w:rsidR="00660D68">
        <w:t xml:space="preserve"> or through </w:t>
      </w:r>
      <w:r w:rsidR="00FD66C5">
        <w:t xml:space="preserve">the aid of </w:t>
      </w:r>
      <w:r w:rsidR="00660D68">
        <w:t xml:space="preserve">an employed </w:t>
      </w:r>
      <w:r w:rsidR="00660D68" w:rsidRPr="0006669A">
        <w:rPr>
          <w:i/>
          <w:iCs/>
        </w:rPr>
        <w:t>jongleur</w:t>
      </w:r>
      <w:r w:rsidR="006E574B">
        <w:t xml:space="preserve">. </w:t>
      </w:r>
      <w:r w:rsidR="006D1590">
        <w:t>For t</w:t>
      </w:r>
      <w:r w:rsidR="004E2C66">
        <w:t>he</w:t>
      </w:r>
      <w:r w:rsidR="006D1590">
        <w:t xml:space="preserve"> </w:t>
      </w:r>
      <w:r w:rsidR="004E2C66">
        <w:t xml:space="preserve">more </w:t>
      </w:r>
      <w:r w:rsidR="00896843">
        <w:t>sophisticated high-brow songs</w:t>
      </w:r>
      <w:r w:rsidR="00CB48F2">
        <w:t xml:space="preserve"> of the </w:t>
      </w:r>
      <w:r w:rsidR="00816F35">
        <w:t>courtly poets</w:t>
      </w:r>
      <w:r w:rsidR="00896843">
        <w:t xml:space="preserve">, </w:t>
      </w:r>
      <w:r w:rsidR="006D1590">
        <w:t>there is some debate.</w:t>
      </w:r>
      <w:r w:rsidR="004E2C66">
        <w:t xml:space="preserve"> Ch</w:t>
      </w:r>
      <w:r w:rsidR="00896843">
        <w:t xml:space="preserve">istopher Page makes a distinction within courtly music of the ‘High </w:t>
      </w:r>
      <w:r w:rsidR="00896843">
        <w:lastRenderedPageBreak/>
        <w:t>Style</w:t>
      </w:r>
      <w:r w:rsidR="00F036E5">
        <w:t>’</w:t>
      </w:r>
      <w:r w:rsidR="00896843">
        <w:t xml:space="preserve"> and </w:t>
      </w:r>
      <w:r w:rsidR="00F036E5">
        <w:t>‘</w:t>
      </w:r>
      <w:r w:rsidR="00896843">
        <w:t xml:space="preserve">Low </w:t>
      </w:r>
      <w:r w:rsidR="006E68DC">
        <w:t>S</w:t>
      </w:r>
      <w:r w:rsidR="00896843">
        <w:t>tyle</w:t>
      </w:r>
      <w:r w:rsidR="00F036E5">
        <w:t>’</w:t>
      </w:r>
      <w:r w:rsidR="006E68DC">
        <w:t xml:space="preserve"> lyric</w:t>
      </w:r>
      <w:r w:rsidR="00952283">
        <w:t>.</w:t>
      </w:r>
      <w:r w:rsidR="00952283">
        <w:rPr>
          <w:rStyle w:val="FootnoteReference"/>
        </w:rPr>
        <w:footnoteReference w:id="58"/>
      </w:r>
      <w:r w:rsidR="00952283">
        <w:t xml:space="preserve"> </w:t>
      </w:r>
      <w:r w:rsidR="00BE392F">
        <w:t xml:space="preserve">His general conclusions are that </w:t>
      </w:r>
      <w:r w:rsidR="00EA4289">
        <w:t>the High Style song</w:t>
      </w:r>
      <w:r w:rsidR="003E06EA">
        <w:t xml:space="preserve"> for both the </w:t>
      </w:r>
      <w:r w:rsidR="003E06EA">
        <w:rPr>
          <w:i/>
          <w:iCs/>
        </w:rPr>
        <w:t>troubadours</w:t>
      </w:r>
      <w:r w:rsidR="003E06EA">
        <w:t xml:space="preserve"> and </w:t>
      </w:r>
      <w:r w:rsidR="003E06EA">
        <w:rPr>
          <w:i/>
          <w:iCs/>
        </w:rPr>
        <w:t>trouvères</w:t>
      </w:r>
      <w:r w:rsidR="003E06EA">
        <w:t xml:space="preserve"> was </w:t>
      </w:r>
      <w:r w:rsidR="00C66C13">
        <w:t>originally associated with performance by solo voice alone.</w:t>
      </w:r>
      <w:r w:rsidR="00C66C13">
        <w:rPr>
          <w:rStyle w:val="FootnoteReference"/>
        </w:rPr>
        <w:footnoteReference w:id="59"/>
      </w:r>
      <w:r w:rsidR="006E5D11">
        <w:t xml:space="preserve"> It is an interesting theory, however his evidence relies largely on the fact authors tend to </w:t>
      </w:r>
      <w:r w:rsidR="007B4A41">
        <w:t xml:space="preserve">refer to only one aspect of a musical performance in literature. A parallel could easily be drawn with </w:t>
      </w:r>
      <w:r w:rsidR="00A95502">
        <w:t>more recent times</w:t>
      </w:r>
      <w:r w:rsidR="005564C4">
        <w:t>.</w:t>
      </w:r>
      <w:r w:rsidR="00A95502">
        <w:t xml:space="preserve"> </w:t>
      </w:r>
      <w:r w:rsidR="005564C4">
        <w:t>A</w:t>
      </w:r>
      <w:r w:rsidR="00A95502">
        <w:t xml:space="preserve"> </w:t>
      </w:r>
      <w:r w:rsidR="0051438E">
        <w:t>writer describing a performance by Bob Dylan may refer to him as a singer, a guitarist, or a harmonica player, but there is no assumption that he will be referred to as all three.</w:t>
      </w:r>
      <w:r w:rsidR="00823F7B">
        <w:t xml:space="preserve"> </w:t>
      </w:r>
      <w:r w:rsidR="004D0564">
        <w:t>Page’s theory seems</w:t>
      </w:r>
      <w:r w:rsidR="00AF574E">
        <w:t xml:space="preserve"> at odds </w:t>
      </w:r>
      <w:r w:rsidR="00434BA5">
        <w:t>with medieval aesthetic attitudes</w:t>
      </w:r>
      <w:r w:rsidR="00913743">
        <w:t xml:space="preserve"> which </w:t>
      </w:r>
      <w:r w:rsidR="00D14E68">
        <w:t>delight in a rich complexity of form and tex</w:t>
      </w:r>
      <w:r w:rsidR="004D0564">
        <w:t>t</w:t>
      </w:r>
      <w:r w:rsidR="00D14E68">
        <w:t>ure</w:t>
      </w:r>
      <w:r w:rsidR="000D639E">
        <w:t>.</w:t>
      </w:r>
      <w:r w:rsidR="000D639E">
        <w:rPr>
          <w:rStyle w:val="FootnoteReference"/>
        </w:rPr>
        <w:footnoteReference w:id="60"/>
      </w:r>
      <w:r w:rsidR="00E1755A">
        <w:t xml:space="preserve"> </w:t>
      </w:r>
      <w:r w:rsidR="007914FE">
        <w:t xml:space="preserve">The richness of </w:t>
      </w:r>
      <w:r w:rsidR="00474470">
        <w:t xml:space="preserve">medieval art is not an indulgence to be scoffed at by the self-conscious </w:t>
      </w:r>
      <w:r w:rsidR="00474470">
        <w:rPr>
          <w:i/>
          <w:iCs/>
        </w:rPr>
        <w:t xml:space="preserve">troubadour, </w:t>
      </w:r>
      <w:r w:rsidR="00474470">
        <w:t xml:space="preserve">but part of the artistic </w:t>
      </w:r>
      <w:r w:rsidR="00E206D1">
        <w:t>culture they were so invested in.</w:t>
      </w:r>
    </w:p>
    <w:p w14:paraId="509CDEA2" w14:textId="77777777" w:rsidR="004544C6" w:rsidRDefault="004544C6" w:rsidP="00332579"/>
    <w:p w14:paraId="3E0B6D3F" w14:textId="39705073" w:rsidR="00641722" w:rsidRDefault="004544C6" w:rsidP="00332579">
      <w:r>
        <w:tab/>
      </w:r>
      <w:r w:rsidR="004F587D">
        <w:t>The</w:t>
      </w:r>
      <w:r w:rsidR="004F587D" w:rsidRPr="00E206D1">
        <w:rPr>
          <w:i/>
          <w:iCs/>
        </w:rPr>
        <w:t xml:space="preserve"> </w:t>
      </w:r>
      <w:r w:rsidR="00410092" w:rsidRPr="00E206D1">
        <w:rPr>
          <w:i/>
          <w:iCs/>
        </w:rPr>
        <w:t>jongleur</w:t>
      </w:r>
      <w:r w:rsidR="00410092">
        <w:t xml:space="preserve"> </w:t>
      </w:r>
      <w:r w:rsidR="00E206D1">
        <w:t>w</w:t>
      </w:r>
      <w:r w:rsidR="00410092">
        <w:t>ould have performed in a</w:t>
      </w:r>
      <w:r w:rsidR="00CD2380">
        <w:t xml:space="preserve"> wide range of settings; as an entertainer, their repertoire was enormous</w:t>
      </w:r>
      <w:r w:rsidR="00B26451">
        <w:t xml:space="preserve">. </w:t>
      </w:r>
      <w:r w:rsidR="00B07EE1">
        <w:t>They would perform on the road, in markets and taverns, in residences and at events</w:t>
      </w:r>
      <w:r w:rsidR="006714A8">
        <w:t>.</w:t>
      </w:r>
      <w:r w:rsidR="006714A8">
        <w:rPr>
          <w:rStyle w:val="FootnoteReference"/>
        </w:rPr>
        <w:footnoteReference w:id="61"/>
      </w:r>
      <w:r w:rsidR="006714A8">
        <w:t xml:space="preserve"> </w:t>
      </w:r>
      <w:r w:rsidR="003B283E">
        <w:t>Both the more intimate solo performance,</w:t>
      </w:r>
      <w:r w:rsidR="007C6B4F">
        <w:t xml:space="preserve"> and the rowdier feasts and celebrations are recorded in the literature. </w:t>
      </w:r>
      <w:r w:rsidR="001652BB">
        <w:t>The</w:t>
      </w:r>
      <w:r w:rsidR="00AF5979">
        <w:t xml:space="preserve"> previously</w:t>
      </w:r>
      <w:r w:rsidR="00E7407B">
        <w:t xml:space="preserve">, the </w:t>
      </w:r>
      <w:r w:rsidR="00656C8A">
        <w:t>caricature of the prelate written by Sextus Amarcius</w:t>
      </w:r>
      <w:r w:rsidR="00AF5979">
        <w:t xml:space="preserve"> give</w:t>
      </w:r>
      <w:r w:rsidR="00BE4863">
        <w:t xml:space="preserve">s us the context of a musician brought in </w:t>
      </w:r>
      <w:r w:rsidR="00E70286">
        <w:t>for a performance</w:t>
      </w:r>
      <w:r w:rsidR="00895DFC">
        <w:t>.</w:t>
      </w:r>
      <w:r w:rsidR="00895DFC">
        <w:rPr>
          <w:rStyle w:val="FootnoteReference"/>
        </w:rPr>
        <w:footnoteReference w:id="62"/>
      </w:r>
      <w:r w:rsidR="00672A72">
        <w:t xml:space="preserve"> </w:t>
      </w:r>
      <w:r w:rsidR="00786489">
        <w:t xml:space="preserve">A similar episode appears in </w:t>
      </w:r>
      <w:r w:rsidR="00C31FD8">
        <w:t>Jean Renarts Guillaume de Dole</w:t>
      </w:r>
      <w:r w:rsidR="00365C58">
        <w:t>.</w:t>
      </w:r>
      <w:r w:rsidR="00664609">
        <w:rPr>
          <w:rStyle w:val="FootnoteReference"/>
        </w:rPr>
        <w:footnoteReference w:id="63"/>
      </w:r>
      <w:r w:rsidR="00365C58">
        <w:t xml:space="preserve"> </w:t>
      </w:r>
      <w:r w:rsidR="00245263">
        <w:t xml:space="preserve">Guillaume and his party return to their hostel </w:t>
      </w:r>
      <w:r w:rsidR="0043299C">
        <w:t>after a night of entertainment, accompanied by the minstrel Jougle</w:t>
      </w:r>
      <w:r w:rsidR="00AB78CA">
        <w:t xml:space="preserve">t. </w:t>
      </w:r>
      <w:r w:rsidR="005A6662">
        <w:t xml:space="preserve">The minstrel, </w:t>
      </w:r>
      <w:r w:rsidR="00AB78CA">
        <w:t xml:space="preserve">at the request of the </w:t>
      </w:r>
      <w:r w:rsidR="00F333F5">
        <w:t>hostel keeper</w:t>
      </w:r>
      <w:r w:rsidR="00D035D9">
        <w:t>’s</w:t>
      </w:r>
      <w:r w:rsidR="00F333F5">
        <w:t xml:space="preserve"> daughter</w:t>
      </w:r>
      <w:r w:rsidR="005A6662">
        <w:t>,</w:t>
      </w:r>
      <w:r w:rsidR="00F333F5">
        <w:t xml:space="preserve"> is comm</w:t>
      </w:r>
      <w:r w:rsidR="00720F4F">
        <w:t>a</w:t>
      </w:r>
      <w:r w:rsidR="00F333F5">
        <w:t xml:space="preserve">nded to bring with him his </w:t>
      </w:r>
      <w:r w:rsidR="00F333F5">
        <w:rPr>
          <w:i/>
          <w:iCs/>
        </w:rPr>
        <w:t>vïele</w:t>
      </w:r>
      <w:r w:rsidR="005A6662">
        <w:t>; Jo</w:t>
      </w:r>
      <w:r w:rsidR="001625C8">
        <w:t>u</w:t>
      </w:r>
      <w:r w:rsidR="005A6662">
        <w:t>gle</w:t>
      </w:r>
      <w:r w:rsidR="001625C8">
        <w:t xml:space="preserve">t agrees to do so willingly so long as they </w:t>
      </w:r>
      <w:r w:rsidR="00BE27F4">
        <w:t>are to h</w:t>
      </w:r>
      <w:r w:rsidR="001625C8">
        <w:t xml:space="preserve">ave </w:t>
      </w:r>
      <w:r w:rsidR="001625C8">
        <w:rPr>
          <w:i/>
          <w:iCs/>
        </w:rPr>
        <w:t>caroles</w:t>
      </w:r>
      <w:r w:rsidR="00641722">
        <w:rPr>
          <w:i/>
          <w:iCs/>
        </w:rPr>
        <w:t>.</w:t>
      </w:r>
      <w:r w:rsidR="00641722">
        <w:t xml:space="preserve"> When they return to the </w:t>
      </w:r>
      <w:r w:rsidR="00D812BB">
        <w:t>hostel,</w:t>
      </w:r>
      <w:r w:rsidR="00B03B52">
        <w:t xml:space="preserve"> </w:t>
      </w:r>
      <w:r w:rsidR="00BE27F4">
        <w:t>they seek out the daughter</w:t>
      </w:r>
      <w:r w:rsidR="00B03B52">
        <w:t xml:space="preserve">; </w:t>
      </w:r>
      <w:r w:rsidR="002018DE">
        <w:t>they ascend to an upper floor decked out with wine and fruits,</w:t>
      </w:r>
      <w:r w:rsidR="00583FF7">
        <w:t xml:space="preserve"> the girl sings the </w:t>
      </w:r>
      <w:r w:rsidR="00583FF7">
        <w:rPr>
          <w:i/>
          <w:iCs/>
        </w:rPr>
        <w:t>rondet</w:t>
      </w:r>
      <w:r w:rsidR="00583FF7">
        <w:t xml:space="preserve"> and Jouglet accompanies her upon his fiddle.</w:t>
      </w:r>
      <w:r w:rsidR="00B03B52">
        <w:rPr>
          <w:rStyle w:val="FootnoteReference"/>
        </w:rPr>
        <w:footnoteReference w:id="64"/>
      </w:r>
      <w:r w:rsidR="009952B9">
        <w:t xml:space="preserve"> </w:t>
      </w:r>
      <w:r w:rsidR="000C0EBC">
        <w:t>N</w:t>
      </w:r>
      <w:r w:rsidR="00D035D9">
        <w:t xml:space="preserve">o other </w:t>
      </w:r>
      <w:r w:rsidR="00802CAB">
        <w:t xml:space="preserve">further </w:t>
      </w:r>
      <w:r w:rsidR="00D035D9">
        <w:t xml:space="preserve">instrumentation appears to be </w:t>
      </w:r>
      <w:r w:rsidR="00D812BB">
        <w:t>alluded</w:t>
      </w:r>
      <w:r w:rsidR="00D035D9">
        <w:t xml:space="preserve"> to </w:t>
      </w:r>
      <w:r w:rsidR="00BA15B6">
        <w:t>here</w:t>
      </w:r>
      <w:r w:rsidR="000C0EBC">
        <w:t xml:space="preserve"> by this passage</w:t>
      </w:r>
      <w:r w:rsidR="00BA15B6">
        <w:t xml:space="preserve">, although it is certainly possible to imagine the girl playing some form of percussion </w:t>
      </w:r>
      <w:r w:rsidR="00533373">
        <w:t xml:space="preserve">as she sang. The context of feasting is </w:t>
      </w:r>
      <w:r w:rsidR="007C078F">
        <w:t>described with great grandeur in other romances.</w:t>
      </w:r>
      <w:r w:rsidR="00FC137D">
        <w:t xml:space="preserve"> In the </w:t>
      </w:r>
      <w:r w:rsidR="0051619B">
        <w:t>anonymous 13</w:t>
      </w:r>
      <w:r w:rsidR="0051619B" w:rsidRPr="0051619B">
        <w:rPr>
          <w:vertAlign w:val="superscript"/>
        </w:rPr>
        <w:t>th</w:t>
      </w:r>
      <w:r w:rsidR="0051619B">
        <w:t xml:space="preserve"> century </w:t>
      </w:r>
      <w:r w:rsidR="00FC137D">
        <w:rPr>
          <w:i/>
          <w:iCs/>
        </w:rPr>
        <w:t>Roman de Flamenca</w:t>
      </w:r>
      <w:r w:rsidR="00D81341">
        <w:t xml:space="preserve"> </w:t>
      </w:r>
      <w:r w:rsidR="006E069F">
        <w:t>a feast displaying the whole bre</w:t>
      </w:r>
      <w:r w:rsidR="00FD7F87">
        <w:t>a</w:t>
      </w:r>
      <w:r w:rsidR="006E069F">
        <w:t>dth of medieval entertain</w:t>
      </w:r>
      <w:r w:rsidR="00FD7F87">
        <w:t>ment is</w:t>
      </w:r>
      <w:r w:rsidR="00731CF2">
        <w:t xml:space="preserve"> held </w:t>
      </w:r>
      <w:r w:rsidR="00F817A9">
        <w:t>by the wife of Lord Archambraut.</w:t>
      </w:r>
    </w:p>
    <w:p w14:paraId="049DBDFA" w14:textId="77777777" w:rsidR="00F817A9" w:rsidRDefault="00F817A9" w:rsidP="00332579"/>
    <w:p w14:paraId="7CA17589" w14:textId="1038961D" w:rsidR="00957D8D" w:rsidRDefault="00957D8D" w:rsidP="00957D8D">
      <w:pPr>
        <w:pStyle w:val="ListParagraph"/>
      </w:pPr>
      <w:r>
        <w:t>“</w:t>
      </w:r>
      <w:r>
        <w:t xml:space="preserve">After eating, the guests washed their hands once more, but remained at their places and had wine, as was their custom. Then the tablecloths were removed, cushions and fans were brought, and the </w:t>
      </w:r>
      <w:r w:rsidRPr="009D4BE7">
        <w:rPr>
          <w:i/>
          <w:iCs/>
        </w:rPr>
        <w:t xml:space="preserve">joglars </w:t>
      </w:r>
      <w:r>
        <w:t xml:space="preserve">arose, each longing to be heard. Then you could hear the chords of many a different tone echoing. Whoever could perform a new tune on the viol, a new canzone or </w:t>
      </w:r>
      <w:r w:rsidRPr="009D4BE7">
        <w:rPr>
          <w:i/>
          <w:iCs/>
        </w:rPr>
        <w:t>descort</w:t>
      </w:r>
      <w:r>
        <w:t xml:space="preserve"> or </w:t>
      </w:r>
      <w:r w:rsidRPr="009D4BE7">
        <w:rPr>
          <w:i/>
          <w:iCs/>
        </w:rPr>
        <w:t>lai</w:t>
      </w:r>
      <w:r>
        <w:t>, came forward with the greatest eagerness. One played the lay of Chèvrefeuil on the viol, another the lay of Tintagel, one sang the lay of the perfect lovers, another the lay composed by Yvain.</w:t>
      </w:r>
      <w:r>
        <w:t>”</w:t>
      </w:r>
      <w:r w:rsidR="00FA5396">
        <w:rPr>
          <w:rStyle w:val="FootnoteReference"/>
        </w:rPr>
        <w:footnoteReference w:id="65"/>
      </w:r>
    </w:p>
    <w:p w14:paraId="5BC1D008" w14:textId="77777777" w:rsidR="00AD451A" w:rsidRDefault="00AD451A" w:rsidP="00957D8D">
      <w:pPr>
        <w:pStyle w:val="ListParagraph"/>
      </w:pPr>
    </w:p>
    <w:p w14:paraId="4FE4D9A0" w14:textId="69AE85B2" w:rsidR="001D5C9E" w:rsidRDefault="00AD451A" w:rsidP="00763F36">
      <w:pPr>
        <w:ind w:firstLine="720"/>
      </w:pPr>
      <w:r>
        <w:t>Following this</w:t>
      </w:r>
      <w:r w:rsidR="00FA5396">
        <w:t xml:space="preserve">, </w:t>
      </w:r>
      <w:r w:rsidR="00E90362">
        <w:t>the instrumentalists appear</w:t>
      </w:r>
      <w:r w:rsidR="003C1645">
        <w:t>, playing</w:t>
      </w:r>
      <w:r w:rsidR="00330339">
        <w:t xml:space="preserve"> </w:t>
      </w:r>
      <w:r w:rsidR="003C1645">
        <w:t>string an</w:t>
      </w:r>
      <w:r w:rsidR="00330339">
        <w:t>d</w:t>
      </w:r>
      <w:r w:rsidR="003C1645">
        <w:t xml:space="preserve"> wind instruments as </w:t>
      </w:r>
      <w:r w:rsidR="00770BA3">
        <w:t xml:space="preserve">knife jugglers, acrobats and entertainers take the stage. Those who wished could then </w:t>
      </w:r>
      <w:r w:rsidR="00987302">
        <w:t xml:space="preserve">hear </w:t>
      </w:r>
      <w:r w:rsidR="00747EE6">
        <w:rPr>
          <w:i/>
          <w:iCs/>
        </w:rPr>
        <w:lastRenderedPageBreak/>
        <w:t>chansons de geste</w:t>
      </w:r>
      <w:r w:rsidR="00DC0BFB">
        <w:t xml:space="preserve">, classical and biblical stories and histories </w:t>
      </w:r>
      <w:r w:rsidR="00747EE6">
        <w:t>to instrumental accompaniment</w:t>
      </w:r>
      <w:r w:rsidR="00D72FB1">
        <w:t xml:space="preserve">. </w:t>
      </w:r>
      <w:r w:rsidR="00CE694E">
        <w:t xml:space="preserve">Finally, </w:t>
      </w:r>
      <w:r w:rsidR="00D81599">
        <w:t>Lord Archambaut calls for dancing</w:t>
      </w:r>
      <w:r w:rsidR="003E4EBA">
        <w:t xml:space="preserve"> to the accompaniment of </w:t>
      </w:r>
      <w:r w:rsidR="00D81599">
        <w:t xml:space="preserve">200 </w:t>
      </w:r>
      <w:r w:rsidR="00D81599" w:rsidRPr="00D81599">
        <w:rPr>
          <w:i/>
          <w:iCs/>
        </w:rPr>
        <w:t>joglars</w:t>
      </w:r>
      <w:r w:rsidR="00CC5C10">
        <w:t>.</w:t>
      </w:r>
      <w:r w:rsidR="005D59BE">
        <w:rPr>
          <w:rStyle w:val="FootnoteReference"/>
        </w:rPr>
        <w:footnoteReference w:id="66"/>
      </w:r>
      <w:r w:rsidR="004944D5">
        <w:t xml:space="preserve"> </w:t>
      </w:r>
      <w:r w:rsidR="005D59BE">
        <w:t xml:space="preserve">To say the description is rather </w:t>
      </w:r>
      <w:r w:rsidR="00B9124F">
        <w:t>exaggerated</w:t>
      </w:r>
      <w:r w:rsidR="00EB1AB1">
        <w:t xml:space="preserve"> is an understatement</w:t>
      </w:r>
      <w:r w:rsidR="003E4EBA">
        <w:t xml:space="preserve"> and i</w:t>
      </w:r>
      <w:r w:rsidR="00F9512D">
        <w:t>t is unclear how much the author is indulging in mere fancy</w:t>
      </w:r>
      <w:r w:rsidR="002D5D7F">
        <w:t xml:space="preserve"> when discussing such</w:t>
      </w:r>
      <w:r w:rsidR="003E4EBA">
        <w:t xml:space="preserve"> a</w:t>
      </w:r>
      <w:r w:rsidR="002D5D7F">
        <w:t xml:space="preserve"> musical ensemble.</w:t>
      </w:r>
      <w:r w:rsidR="002D5D7F">
        <w:rPr>
          <w:rStyle w:val="FootnoteReference"/>
        </w:rPr>
        <w:footnoteReference w:id="67"/>
      </w:r>
      <w:r w:rsidR="00884907">
        <w:t xml:space="preserve"> </w:t>
      </w:r>
      <w:r w:rsidR="00F12F04">
        <w:t>Despite this however</w:t>
      </w:r>
      <w:r w:rsidR="00EE565F">
        <w:t xml:space="preserve">, </w:t>
      </w:r>
      <w:r w:rsidR="009B6218">
        <w:t xml:space="preserve">we can understand from </w:t>
      </w:r>
      <w:r w:rsidR="003E4EBA">
        <w:t>this</w:t>
      </w:r>
      <w:r w:rsidR="009B6218">
        <w:t xml:space="preserve"> description the</w:t>
      </w:r>
      <w:r w:rsidR="005A500F">
        <w:t xml:space="preserve"> medieval ideal of entertainment.</w:t>
      </w:r>
      <w:r w:rsidR="003D250F">
        <w:t xml:space="preserve"> A </w:t>
      </w:r>
      <w:r w:rsidR="0089580E">
        <w:t xml:space="preserve">powerfully rich and </w:t>
      </w:r>
      <w:r w:rsidR="00AB1615">
        <w:t xml:space="preserve">vibrant atmosphere of music, dance, and general entertainment. </w:t>
      </w:r>
      <w:r w:rsidR="009C2250">
        <w:t xml:space="preserve">Themes ranging </w:t>
      </w:r>
      <w:r w:rsidR="00C371BD">
        <w:t>from the popular lyric</w:t>
      </w:r>
      <w:r w:rsidR="009C2250">
        <w:t xml:space="preserve"> to</w:t>
      </w:r>
      <w:r w:rsidR="0090142F">
        <w:t xml:space="preserve"> Arthurian legend</w:t>
      </w:r>
      <w:r w:rsidR="00C371BD">
        <w:t xml:space="preserve">; </w:t>
      </w:r>
      <w:r w:rsidR="0073444B">
        <w:t xml:space="preserve">histories, </w:t>
      </w:r>
      <w:r w:rsidR="00B17561">
        <w:t>biblical stories</w:t>
      </w:r>
      <w:r w:rsidR="00C371BD">
        <w:t xml:space="preserve"> and </w:t>
      </w:r>
      <w:r w:rsidR="00B17561">
        <w:rPr>
          <w:i/>
          <w:iCs/>
        </w:rPr>
        <w:t>chansons de geste</w:t>
      </w:r>
      <w:r w:rsidR="00B17561">
        <w:t>,</w:t>
      </w:r>
      <w:r w:rsidR="00C371BD">
        <w:t xml:space="preserve"> to </w:t>
      </w:r>
      <w:r w:rsidR="00B17561">
        <w:t>acrobatics</w:t>
      </w:r>
      <w:r w:rsidR="00C371BD">
        <w:t>. There was certain</w:t>
      </w:r>
      <w:r w:rsidR="00DA5974">
        <w:t xml:space="preserve">ly not a </w:t>
      </w:r>
      <w:r w:rsidR="009D4A83">
        <w:t>blank space in the soundscape of the medieval banquet.</w:t>
      </w:r>
    </w:p>
    <w:p w14:paraId="74A76D16" w14:textId="77777777" w:rsidR="00763F36" w:rsidRDefault="00763F36" w:rsidP="00763F36">
      <w:pPr>
        <w:ind w:firstLine="720"/>
      </w:pPr>
    </w:p>
    <w:p w14:paraId="6BE243CE" w14:textId="786AD16C" w:rsidR="006755AC" w:rsidRDefault="00763F36" w:rsidP="00D0529F">
      <w:pPr>
        <w:ind w:firstLine="720"/>
      </w:pPr>
      <w:r>
        <w:t xml:space="preserve">Dancing was another particularly rich area of musical performance </w:t>
      </w:r>
      <w:r w:rsidR="00E27FC4">
        <w:t>spanning the popular, courtly, and clerical domains</w:t>
      </w:r>
      <w:r w:rsidR="00997356">
        <w:t xml:space="preserve">. Much of the information we have, like that described in the </w:t>
      </w:r>
      <w:r w:rsidR="004D3EB3">
        <w:rPr>
          <w:i/>
          <w:iCs/>
        </w:rPr>
        <w:t>Roman de Flamenca</w:t>
      </w:r>
      <w:r w:rsidR="00014A56">
        <w:t>, is of the dances performed for the amusement of the dancers themselves</w:t>
      </w:r>
      <w:r w:rsidR="00CC21DC">
        <w:t xml:space="preserve">. </w:t>
      </w:r>
      <w:r w:rsidR="009A09C5">
        <w:t>Dancing in the middle</w:t>
      </w:r>
      <w:r w:rsidR="006410C3">
        <w:t>-</w:t>
      </w:r>
      <w:r w:rsidR="009A09C5">
        <w:t xml:space="preserve">ages could be seen as </w:t>
      </w:r>
      <w:r w:rsidR="00180E68">
        <w:t xml:space="preserve">both a </w:t>
      </w:r>
      <w:r w:rsidR="00660F23">
        <w:t xml:space="preserve">dangerous and a spiritual </w:t>
      </w:r>
      <w:r w:rsidR="009108E2">
        <w:t xml:space="preserve">practice depending on the context. </w:t>
      </w:r>
      <w:r w:rsidR="0047705C" w:rsidRPr="0047705C">
        <w:t>Honorius Augustodunensis</w:t>
      </w:r>
      <w:r w:rsidR="00AC5AB5">
        <w:t xml:space="preserve"> in the 12</w:t>
      </w:r>
      <w:r w:rsidR="00AC5AB5" w:rsidRPr="00AC5AB5">
        <w:rPr>
          <w:vertAlign w:val="superscript"/>
        </w:rPr>
        <w:t>th</w:t>
      </w:r>
      <w:r w:rsidR="00AC5AB5">
        <w:t xml:space="preserve"> century described </w:t>
      </w:r>
      <w:r w:rsidR="00585AE6">
        <w:t xml:space="preserve">the </w:t>
      </w:r>
      <w:r w:rsidR="00D0529F">
        <w:t xml:space="preserve">complex </w:t>
      </w:r>
      <w:r w:rsidR="00585AE6">
        <w:t xml:space="preserve">ethos behind the </w:t>
      </w:r>
      <w:r w:rsidR="00AC5AB5">
        <w:t>liturgical dance</w:t>
      </w:r>
      <w:r w:rsidR="00D0529F">
        <w:t>.</w:t>
      </w:r>
      <w:r w:rsidR="00033F15">
        <w:rPr>
          <w:rStyle w:val="FootnoteReference"/>
        </w:rPr>
        <w:footnoteReference w:id="68"/>
      </w:r>
      <w:r w:rsidR="00D0529F">
        <w:t xml:space="preserve"> H</w:t>
      </w:r>
      <w:r w:rsidR="006755AC">
        <w:t xml:space="preserve">is </w:t>
      </w:r>
      <w:r w:rsidR="00F67FB5">
        <w:t>description of the spiritual nature of</w:t>
      </w:r>
      <w:r w:rsidR="00186F0D">
        <w:t xml:space="preserve"> the movement</w:t>
      </w:r>
      <w:r w:rsidR="00F67FB5">
        <w:t xml:space="preserve"> </w:t>
      </w:r>
      <w:r w:rsidR="008908A5">
        <w:t>appears broader than the liturgy</w:t>
      </w:r>
      <w:r w:rsidR="009A3B28">
        <w:t xml:space="preserve"> as</w:t>
      </w:r>
      <w:r w:rsidR="00A35080">
        <w:t xml:space="preserve"> </w:t>
      </w:r>
      <w:r w:rsidR="00E54121">
        <w:t xml:space="preserve">both popular and courtly dance appears to have particularly thrived on </w:t>
      </w:r>
      <w:r w:rsidR="009F0535">
        <w:t>saints’</w:t>
      </w:r>
      <w:r w:rsidR="00E54121">
        <w:t xml:space="preserve"> days, the Pentecost and Christmas.</w:t>
      </w:r>
      <w:r w:rsidR="00FA4D83">
        <w:rPr>
          <w:rStyle w:val="FootnoteReference"/>
        </w:rPr>
        <w:footnoteReference w:id="69"/>
      </w:r>
      <w:r w:rsidR="009D1D6C">
        <w:t xml:space="preserve"> </w:t>
      </w:r>
      <w:r w:rsidR="00BB0209">
        <w:t>T</w:t>
      </w:r>
      <w:r w:rsidR="009F0535">
        <w:t xml:space="preserve">his was not normally to the fancy of the church who </w:t>
      </w:r>
      <w:r w:rsidR="009A3B28">
        <w:t>took</w:t>
      </w:r>
      <w:r w:rsidR="0021622D">
        <w:t xml:space="preserve"> the line of St Augustine, believing it better to dig and plough on the saints’ days than to dance.</w:t>
      </w:r>
      <w:r w:rsidR="0021622D">
        <w:rPr>
          <w:rStyle w:val="FootnoteReference"/>
        </w:rPr>
        <w:footnoteReference w:id="70"/>
      </w:r>
      <w:r w:rsidR="0021622D">
        <w:t xml:space="preserve"> </w:t>
      </w:r>
      <w:r w:rsidR="0008252C">
        <w:t>Nevertheless, these dances were incredibly popular</w:t>
      </w:r>
      <w:r w:rsidR="00DF5F5A">
        <w:t>; beyond the aristocratic walls they were lively public festivals in a world of much manual labouring.</w:t>
      </w:r>
      <w:r w:rsidR="00DF5F5A">
        <w:rPr>
          <w:rStyle w:val="FootnoteReference"/>
        </w:rPr>
        <w:footnoteReference w:id="71"/>
      </w:r>
      <w:r w:rsidR="00DF5F5A">
        <w:t xml:space="preserve"> </w:t>
      </w:r>
      <w:r w:rsidR="0021622D">
        <w:t>T</w:t>
      </w:r>
      <w:r w:rsidR="00BB0209">
        <w:t xml:space="preserve">he </w:t>
      </w:r>
      <w:r w:rsidR="00BB0209" w:rsidRPr="00443626">
        <w:rPr>
          <w:i/>
          <w:iCs/>
        </w:rPr>
        <w:t>carole</w:t>
      </w:r>
      <w:r w:rsidR="00BB0209">
        <w:t xml:space="preserve"> and the </w:t>
      </w:r>
      <w:r w:rsidR="00BB0209" w:rsidRPr="00BB0209">
        <w:rPr>
          <w:i/>
          <w:iCs/>
        </w:rPr>
        <w:t>rondeau</w:t>
      </w:r>
      <w:r w:rsidR="000A3E75">
        <w:t xml:space="preserve"> are the best known</w:t>
      </w:r>
      <w:r w:rsidR="00BE6A73">
        <w:t xml:space="preserve">, </w:t>
      </w:r>
      <w:r w:rsidR="00E50E9A">
        <w:t>and a</w:t>
      </w:r>
      <w:r w:rsidR="00CD41AC">
        <w:t xml:space="preserve">ppear to be generally </w:t>
      </w:r>
      <w:r w:rsidR="00E50E9A">
        <w:t>‘folk’</w:t>
      </w:r>
      <w:r w:rsidR="00CD41AC">
        <w:t xml:space="preserve"> forms </w:t>
      </w:r>
      <w:r w:rsidR="009E5823">
        <w:t xml:space="preserve">sung and danced in both the </w:t>
      </w:r>
      <w:r w:rsidR="00E50E9A">
        <w:t>popular</w:t>
      </w:r>
      <w:r w:rsidR="009E5823">
        <w:t xml:space="preserve"> and courtly setting</w:t>
      </w:r>
      <w:r w:rsidR="00CD41AC">
        <w:t>.</w:t>
      </w:r>
      <w:r w:rsidR="00CD41AC">
        <w:rPr>
          <w:rStyle w:val="FootnoteReference"/>
        </w:rPr>
        <w:footnoteReference w:id="72"/>
      </w:r>
      <w:r w:rsidR="001B4F58">
        <w:t xml:space="preserve"> These </w:t>
      </w:r>
      <w:r w:rsidR="00BE6A73">
        <w:t>dances</w:t>
      </w:r>
      <w:r w:rsidR="001B4F58">
        <w:t xml:space="preserve"> </w:t>
      </w:r>
      <w:r w:rsidR="00BE6A73">
        <w:t xml:space="preserve">probably </w:t>
      </w:r>
      <w:r w:rsidR="001B4F58">
        <w:t>flourished in Europe long before they were written about</w:t>
      </w:r>
      <w:r w:rsidR="00E400DE">
        <w:t>,</w:t>
      </w:r>
      <w:r w:rsidR="00BE6A73">
        <w:t xml:space="preserve"> </w:t>
      </w:r>
      <w:r w:rsidR="00E400DE">
        <w:t>and</w:t>
      </w:r>
      <w:r w:rsidR="007C2597">
        <w:t xml:space="preserve"> it seems likely that many court</w:t>
      </w:r>
      <w:r w:rsidR="003971F3">
        <w:t xml:space="preserve">ly </w:t>
      </w:r>
      <w:r w:rsidR="003971F3">
        <w:rPr>
          <w:i/>
          <w:iCs/>
        </w:rPr>
        <w:t>coreae</w:t>
      </w:r>
      <w:r w:rsidR="007C2597">
        <w:t xml:space="preserve"> may have</w:t>
      </w:r>
      <w:r w:rsidR="00FE05A2">
        <w:t xml:space="preserve"> originated from ‘below’.</w:t>
      </w:r>
      <w:r w:rsidR="00FE05A2">
        <w:rPr>
          <w:rStyle w:val="FootnoteReference"/>
        </w:rPr>
        <w:footnoteReference w:id="73"/>
      </w:r>
      <w:r w:rsidR="00FB5BC1">
        <w:t xml:space="preserve"> </w:t>
      </w:r>
      <w:r w:rsidR="008C6F2F">
        <w:t>M</w:t>
      </w:r>
      <w:r w:rsidR="00712DD2">
        <w:t xml:space="preserve">uch </w:t>
      </w:r>
      <w:r w:rsidR="008C6F2F">
        <w:t>of what we know about popular dance comes from the many moralist writing</w:t>
      </w:r>
      <w:r w:rsidR="00712DD2">
        <w:t>s</w:t>
      </w:r>
      <w:r w:rsidR="008C6F2F">
        <w:t xml:space="preserve"> condemning the practice</w:t>
      </w:r>
      <w:r w:rsidR="00712DD2">
        <w:t>.</w:t>
      </w:r>
      <w:r w:rsidR="00DA074F">
        <w:t xml:space="preserve"> </w:t>
      </w:r>
      <w:r w:rsidR="004C30B0">
        <w:t xml:space="preserve"> </w:t>
      </w:r>
      <w:r w:rsidR="00712DD2">
        <w:t>T</w:t>
      </w:r>
      <w:r w:rsidR="004C30B0">
        <w:t xml:space="preserve">he legend </w:t>
      </w:r>
      <w:r w:rsidR="00712DD2">
        <w:t>of</w:t>
      </w:r>
      <w:r w:rsidR="004C30B0">
        <w:t xml:space="preserve"> the cursed </w:t>
      </w:r>
      <w:r w:rsidR="004C30B0">
        <w:rPr>
          <w:i/>
          <w:iCs/>
        </w:rPr>
        <w:t>carollers</w:t>
      </w:r>
      <w:r w:rsidR="004C30B0">
        <w:t xml:space="preserve"> of Kölbi</w:t>
      </w:r>
      <w:r w:rsidR="006C4280">
        <w:t xml:space="preserve">gk tells of a ring dance cursed </w:t>
      </w:r>
      <w:r w:rsidR="00F856EE">
        <w:t>to carry on leapin</w:t>
      </w:r>
      <w:r w:rsidR="000B0A8F">
        <w:t xml:space="preserve">g, clapping, and singing for a whole year </w:t>
      </w:r>
      <w:r w:rsidR="006C4280">
        <w:t xml:space="preserve">by a priest </w:t>
      </w:r>
      <w:r w:rsidR="00487A31">
        <w:t>when they did not obey</w:t>
      </w:r>
      <w:r w:rsidR="006C4280">
        <w:t xml:space="preserve"> his command to leave the </w:t>
      </w:r>
      <w:r w:rsidR="006C4280">
        <w:rPr>
          <w:i/>
          <w:iCs/>
        </w:rPr>
        <w:t>carole</w:t>
      </w:r>
      <w:r w:rsidR="006C4280">
        <w:t xml:space="preserve"> and join </w:t>
      </w:r>
      <w:r w:rsidR="000B0A8F">
        <w:t xml:space="preserve">his </w:t>
      </w:r>
      <w:r w:rsidR="00F856EE">
        <w:t>Christmas Eve service</w:t>
      </w:r>
      <w:r w:rsidR="000B0A8F">
        <w:t>.</w:t>
      </w:r>
      <w:r w:rsidR="000B0A8F">
        <w:rPr>
          <w:rStyle w:val="FootnoteReference"/>
        </w:rPr>
        <w:footnoteReference w:id="74"/>
      </w:r>
    </w:p>
    <w:p w14:paraId="0C4F9BEC" w14:textId="77777777" w:rsidR="00C5065D" w:rsidRDefault="00C5065D" w:rsidP="006755AC"/>
    <w:p w14:paraId="35E3880E" w14:textId="1F65B309" w:rsidR="00C5065D" w:rsidRDefault="00C5065D" w:rsidP="005F0670">
      <w:r>
        <w:tab/>
        <w:t xml:space="preserve">The courtly </w:t>
      </w:r>
      <w:r w:rsidR="00B20E0D">
        <w:t>c</w:t>
      </w:r>
      <w:r w:rsidR="00B20E0D" w:rsidRPr="00713DBB">
        <w:rPr>
          <w:i/>
          <w:iCs/>
        </w:rPr>
        <w:t xml:space="preserve">arole </w:t>
      </w:r>
      <w:r w:rsidR="00C866EF">
        <w:t>takes the popular form and attempts to link it</w:t>
      </w:r>
      <w:r w:rsidR="00712B9D">
        <w:t xml:space="preserve"> with the refined </w:t>
      </w:r>
      <w:r w:rsidR="009A56D1">
        <w:t>sophisticated attitudes of noble culture</w:t>
      </w:r>
      <w:r w:rsidR="007A3EC2">
        <w:t xml:space="preserve">. In the </w:t>
      </w:r>
      <w:r w:rsidR="00EE206F">
        <w:t>12</w:t>
      </w:r>
      <w:r w:rsidR="00712CE4">
        <w:t xml:space="preserve">35 </w:t>
      </w:r>
      <w:r w:rsidR="007A3EC2">
        <w:rPr>
          <w:i/>
          <w:iCs/>
        </w:rPr>
        <w:t xml:space="preserve">Roman de la Rose </w:t>
      </w:r>
      <w:r w:rsidR="007A3EC2">
        <w:t xml:space="preserve">by Guillaume </w:t>
      </w:r>
      <w:r w:rsidR="00EE206F">
        <w:t xml:space="preserve">de Lorris, </w:t>
      </w:r>
      <w:r w:rsidR="00CA2AF1">
        <w:t xml:space="preserve">the protagonist dreamer </w:t>
      </w:r>
      <w:r w:rsidR="009E1687">
        <w:t xml:space="preserve">is led into a dance </w:t>
      </w:r>
      <w:r w:rsidR="009E4B7A">
        <w:t>by the Lady C</w:t>
      </w:r>
      <w:r w:rsidR="002C78F4">
        <w:t>urtesy</w:t>
      </w:r>
      <w:r w:rsidR="009E4B7A">
        <w:t xml:space="preserve">, </w:t>
      </w:r>
      <w:r w:rsidR="008F5C2E">
        <w:t xml:space="preserve">in which the </w:t>
      </w:r>
      <w:r w:rsidR="002C78F4">
        <w:t>G</w:t>
      </w:r>
      <w:r w:rsidR="008F5C2E">
        <w:t xml:space="preserve">od of </w:t>
      </w:r>
      <w:r w:rsidR="002C78F4">
        <w:t>L</w:t>
      </w:r>
      <w:r w:rsidR="008F5C2E">
        <w:t xml:space="preserve">ove and  </w:t>
      </w:r>
      <w:r w:rsidR="002C78F4">
        <w:t>his squire Sweet Longing are taking part with B</w:t>
      </w:r>
      <w:r w:rsidR="0030009A">
        <w:t>e</w:t>
      </w:r>
      <w:r w:rsidR="00274308">
        <w:t>a</w:t>
      </w:r>
      <w:r w:rsidR="0030009A">
        <w:t>uty</w:t>
      </w:r>
      <w:r w:rsidR="00274308">
        <w:t>, Wealth,</w:t>
      </w:r>
      <w:r w:rsidR="00362720">
        <w:t xml:space="preserve"> Largesse, and Franchise.</w:t>
      </w:r>
      <w:r w:rsidR="003B4C85">
        <w:rPr>
          <w:rStyle w:val="FootnoteReference"/>
        </w:rPr>
        <w:footnoteReference w:id="75"/>
      </w:r>
      <w:r w:rsidR="003B4C85">
        <w:t xml:space="preserve"> </w:t>
      </w:r>
      <w:r w:rsidR="005F0670">
        <w:t xml:space="preserve">This passage again is an idealised and abstract description of real courtly dance. </w:t>
      </w:r>
      <w:r w:rsidR="00347F32">
        <w:lastRenderedPageBreak/>
        <w:t>Through this allegory is</w:t>
      </w:r>
      <w:r w:rsidR="00D013A7">
        <w:t xml:space="preserve"> </w:t>
      </w:r>
      <w:r w:rsidR="003E5FF2">
        <w:t>unite</w:t>
      </w:r>
      <w:r w:rsidR="00347F32">
        <w:t>d</w:t>
      </w:r>
      <w:r w:rsidR="003E5FF2">
        <w:t xml:space="preserve"> into one movement all the desirable qualities that a lover must have.</w:t>
      </w:r>
      <w:r w:rsidR="003E5FF2">
        <w:rPr>
          <w:rStyle w:val="FootnoteReference"/>
        </w:rPr>
        <w:footnoteReference w:id="76"/>
      </w:r>
      <w:r w:rsidR="002C677E">
        <w:t xml:space="preserve"> </w:t>
      </w:r>
      <w:r w:rsidR="00977319">
        <w:t xml:space="preserve">The medieval </w:t>
      </w:r>
      <w:r w:rsidR="002A688F">
        <w:rPr>
          <w:i/>
          <w:iCs/>
        </w:rPr>
        <w:t xml:space="preserve">carole </w:t>
      </w:r>
      <w:r w:rsidR="002A688F">
        <w:t>was a ‘dance-song’</w:t>
      </w:r>
      <w:r w:rsidR="002F0498">
        <w:t>, sung and performed by the participants</w:t>
      </w:r>
      <w:r w:rsidR="005413DE">
        <w:t xml:space="preserve">. </w:t>
      </w:r>
      <w:r w:rsidR="008E005E">
        <w:t xml:space="preserve">Some dances would follow a narrative, sometimes a </w:t>
      </w:r>
      <w:r w:rsidR="008E005E" w:rsidRPr="008E005E">
        <w:t>pastourelle</w:t>
      </w:r>
      <w:r w:rsidR="008E005E">
        <w:t xml:space="preserve"> </w:t>
      </w:r>
      <w:r w:rsidR="008E005E" w:rsidRPr="008E005E">
        <w:t>and</w:t>
      </w:r>
      <w:r w:rsidR="008E005E">
        <w:t xml:space="preserve"> be almost like plays</w:t>
      </w:r>
      <w:r w:rsidR="00041B0A">
        <w:t xml:space="preserve"> with lines sung between </w:t>
      </w:r>
      <w:r w:rsidR="00EB5A96">
        <w:t>characters</w:t>
      </w:r>
      <w:r w:rsidR="00041B0A">
        <w:t xml:space="preserve"> and a refrain probably sung by a chorus.</w:t>
      </w:r>
      <w:r w:rsidR="00041B0A">
        <w:rPr>
          <w:rStyle w:val="FootnoteReference"/>
        </w:rPr>
        <w:footnoteReference w:id="77"/>
      </w:r>
      <w:r w:rsidR="00926DAA">
        <w:t xml:space="preserve"> Similarly</w:t>
      </w:r>
      <w:r w:rsidR="00FD1BAB">
        <w:t xml:space="preserve"> to this style</w:t>
      </w:r>
      <w:r w:rsidR="00926DAA">
        <w:t xml:space="preserve">, some </w:t>
      </w:r>
      <w:r w:rsidR="00FD1BAB">
        <w:t>were ‘dance</w:t>
      </w:r>
      <w:r w:rsidR="003F2C4A">
        <w:t>-</w:t>
      </w:r>
      <w:r w:rsidR="00FD1BAB">
        <w:t>games’.</w:t>
      </w:r>
      <w:r w:rsidR="00463F7D">
        <w:t xml:space="preserve"> Writing after 1285, Jaques Bretel recounts in his courtly narrative </w:t>
      </w:r>
      <w:r w:rsidR="00463F7D">
        <w:rPr>
          <w:i/>
          <w:iCs/>
        </w:rPr>
        <w:t>Le Tournoi de Chavency</w:t>
      </w:r>
      <w:r w:rsidR="007E2208">
        <w:t xml:space="preserve"> a dance led by the countess of Luxembourg called a chaplet.</w:t>
      </w:r>
      <w:r w:rsidR="007E2208">
        <w:rPr>
          <w:rStyle w:val="FootnoteReference"/>
        </w:rPr>
        <w:footnoteReference w:id="78"/>
      </w:r>
      <w:r w:rsidR="007E2208">
        <w:t xml:space="preserve"> </w:t>
      </w:r>
      <w:r w:rsidR="00112650">
        <w:t xml:space="preserve">The dance is structured around </w:t>
      </w:r>
      <w:r w:rsidR="00B654D5">
        <w:t xml:space="preserve">a girl who with the help of the minstrel, leads a young man into a dance before granting him a kiss. </w:t>
      </w:r>
      <w:r w:rsidR="00A418FF">
        <w:t xml:space="preserve">Dances like this </w:t>
      </w:r>
      <w:r w:rsidR="003F2C4A">
        <w:t>were both acted and sung, and likely required improvisation on a well-known pattern.</w:t>
      </w:r>
      <w:r w:rsidR="003F2C4A">
        <w:rPr>
          <w:rStyle w:val="FootnoteReference"/>
        </w:rPr>
        <w:footnoteReference w:id="79"/>
      </w:r>
    </w:p>
    <w:p w14:paraId="35AE413B" w14:textId="77777777" w:rsidR="00A04AA0" w:rsidRDefault="00A04AA0" w:rsidP="006755AC"/>
    <w:p w14:paraId="7246A50B" w14:textId="21B953FD" w:rsidR="00A04AA0" w:rsidRDefault="00A04AA0" w:rsidP="006755AC">
      <w:r>
        <w:tab/>
      </w:r>
      <w:r w:rsidR="006D47EA">
        <w:t xml:space="preserve">These dances and the stories they portray give us some inkling toward the nature of </w:t>
      </w:r>
      <w:r w:rsidR="006C31DA">
        <w:t>‘folk’ themes</w:t>
      </w:r>
      <w:r w:rsidR="00052E1D">
        <w:t xml:space="preserve">. </w:t>
      </w:r>
      <w:r w:rsidR="00DB6838">
        <w:t xml:space="preserve">The emphasis on </w:t>
      </w:r>
      <w:r w:rsidR="0036599D">
        <w:t>the pastoral scene</w:t>
      </w:r>
      <w:r w:rsidR="006C31DA">
        <w:t xml:space="preserve"> </w:t>
      </w:r>
      <w:r w:rsidR="002400BC">
        <w:t>and the quality of youth, although</w:t>
      </w:r>
      <w:r w:rsidR="006C31DA">
        <w:t xml:space="preserve"> utilised</w:t>
      </w:r>
      <w:r w:rsidR="002400BC">
        <w:t xml:space="preserve"> a</w:t>
      </w:r>
      <w:r w:rsidR="006C31DA">
        <w:t>lso by</w:t>
      </w:r>
      <w:r w:rsidR="002400BC">
        <w:t xml:space="preserve"> the elite, appear to call to a popular origin or inspiration. </w:t>
      </w:r>
      <w:r w:rsidR="00A5020A">
        <w:t xml:space="preserve">Perhaps the best passage regarding the nature of </w:t>
      </w:r>
      <w:r w:rsidR="00A6611B">
        <w:t xml:space="preserve">the more </w:t>
      </w:r>
      <w:r w:rsidR="00A5020A">
        <w:t>informal popular lyric is from a sermon given by</w:t>
      </w:r>
      <w:r w:rsidR="00335300">
        <w:t xml:space="preserve"> St John Chrysostom.</w:t>
      </w:r>
      <w:r w:rsidR="00B43AF1">
        <w:t xml:space="preserve"> </w:t>
      </w:r>
    </w:p>
    <w:p w14:paraId="7813B487" w14:textId="77777777" w:rsidR="00B43AF1" w:rsidRDefault="00B43AF1" w:rsidP="006755AC"/>
    <w:p w14:paraId="4C382F24" w14:textId="48AD9839" w:rsidR="00B43AF1" w:rsidRDefault="00B43AF1" w:rsidP="00B43AF1">
      <w:pPr>
        <w:ind w:left="720"/>
      </w:pPr>
      <w:r>
        <w:t>“</w:t>
      </w:r>
      <w:r>
        <w:t>By nature we take such delight in song that even infants clinging at the breast, if they are crying and perturbed, can be put to sleep by singing. This is how nurses who carry them in their arms, walking up and down many times and singing them childish ditties, make their eyelids close. So too journeymen, driving their yoked oxen in the noonday, often sing as they go, making the way less weary by their songs. Not only journeymen but wine-growers, treading the winepress, or gathering grapes, or dressing the vines, or doing any other piece of work, often do it to a song. And the sailors likewise, as they pull the oars. Again, women who are weaving, or disentangling the threads on their spindle, often sing: sometimes each of them sings for herself, at other times they all harmonise a melody together.</w:t>
      </w:r>
      <w:r>
        <w:t>”</w:t>
      </w:r>
      <w:r w:rsidR="00401E8F">
        <w:rPr>
          <w:rStyle w:val="FootnoteReference"/>
        </w:rPr>
        <w:footnoteReference w:id="80"/>
      </w:r>
    </w:p>
    <w:p w14:paraId="51A4672D" w14:textId="77777777" w:rsidR="00B43AF1" w:rsidRDefault="00B43AF1" w:rsidP="00B43AF1"/>
    <w:p w14:paraId="58CAE547" w14:textId="2048E951" w:rsidR="0062160A" w:rsidRDefault="003629D1" w:rsidP="006755AC">
      <w:r>
        <w:t xml:space="preserve">Although </w:t>
      </w:r>
      <w:r w:rsidR="003735DA">
        <w:t xml:space="preserve">this sermon is from the </w:t>
      </w:r>
      <w:r w:rsidR="00BB4E6F">
        <w:t xml:space="preserve">late </w:t>
      </w:r>
      <w:r w:rsidR="003735DA">
        <w:t>4</w:t>
      </w:r>
      <w:r w:rsidR="003735DA" w:rsidRPr="003735DA">
        <w:rPr>
          <w:vertAlign w:val="superscript"/>
        </w:rPr>
        <w:t>th</w:t>
      </w:r>
      <w:r w:rsidR="003735DA">
        <w:t xml:space="preserve"> century, </w:t>
      </w:r>
      <w:r w:rsidR="00A46053">
        <w:t>the living reality of such practices and numerous later</w:t>
      </w:r>
      <w:r w:rsidR="000517DB">
        <w:t xml:space="preserve"> references</w:t>
      </w:r>
      <w:r w:rsidR="00A46053">
        <w:t xml:space="preserve"> </w:t>
      </w:r>
      <w:r w:rsidR="003735DA">
        <w:t>indicat</w:t>
      </w:r>
      <w:r w:rsidR="000517DB">
        <w:t>e</w:t>
      </w:r>
      <w:r w:rsidR="003735DA">
        <w:t xml:space="preserve"> </w:t>
      </w:r>
      <w:r w:rsidR="000517DB">
        <w:t>the</w:t>
      </w:r>
      <w:r w:rsidR="0062160A">
        <w:t>ir existence right through the middle-ages.</w:t>
      </w:r>
      <w:r w:rsidR="0062160A">
        <w:rPr>
          <w:rStyle w:val="FootnoteReference"/>
        </w:rPr>
        <w:footnoteReference w:id="81"/>
      </w:r>
      <w:r w:rsidR="0062160A">
        <w:t xml:space="preserve"> </w:t>
      </w:r>
      <w:r w:rsidR="00527905">
        <w:t xml:space="preserve">Writing </w:t>
      </w:r>
      <w:r w:rsidR="0062160A">
        <w:t xml:space="preserve">in 1300, Johannes de Grocheo </w:t>
      </w:r>
      <w:r w:rsidR="0098752D">
        <w:t>recommend</w:t>
      </w:r>
      <w:r w:rsidR="002C69AE">
        <w:t>ed</w:t>
      </w:r>
      <w:r w:rsidR="0098752D">
        <w:t xml:space="preserve"> music be played to resting labourers so they may be inspired by the deeds of heroes.</w:t>
      </w:r>
      <w:r w:rsidR="00906A0B">
        <w:rPr>
          <w:rStyle w:val="FootnoteReference"/>
        </w:rPr>
        <w:footnoteReference w:id="82"/>
      </w:r>
      <w:r w:rsidR="00906A0B">
        <w:t xml:space="preserve"> </w:t>
      </w:r>
      <w:r w:rsidR="006E4E3F">
        <w:t xml:space="preserve">There appears to be a rich </w:t>
      </w:r>
      <w:r w:rsidR="006E7E24">
        <w:t xml:space="preserve">regional </w:t>
      </w:r>
      <w:r w:rsidR="006E4E3F">
        <w:t xml:space="preserve">diversity to folk music that is now all but lost. </w:t>
      </w:r>
      <w:r w:rsidR="0021604E">
        <w:t xml:space="preserve">Gerald of Wales’s </w:t>
      </w:r>
      <w:r w:rsidR="00EE317F">
        <w:t>12</w:t>
      </w:r>
      <w:r w:rsidR="00EE317F" w:rsidRPr="00EE317F">
        <w:rPr>
          <w:vertAlign w:val="superscript"/>
        </w:rPr>
        <w:t>th</w:t>
      </w:r>
      <w:r w:rsidR="00EE317F">
        <w:t xml:space="preserve"> century </w:t>
      </w:r>
      <w:r w:rsidR="0021604E">
        <w:rPr>
          <w:i/>
          <w:iCs/>
        </w:rPr>
        <w:t>Descriptio Cambriae</w:t>
      </w:r>
      <w:r w:rsidR="0021604E">
        <w:t xml:space="preserve">, gives a tantalising glimpse of this musical world. </w:t>
      </w:r>
      <w:r w:rsidR="00C5340B">
        <w:t>In Chapter X h</w:t>
      </w:r>
      <w:r w:rsidR="00367EAF">
        <w:t>e mentions</w:t>
      </w:r>
      <w:r w:rsidR="00316E03">
        <w:t xml:space="preserve"> </w:t>
      </w:r>
      <w:r w:rsidR="00C6618A">
        <w:t>how</w:t>
      </w:r>
      <w:r w:rsidR="00316E03">
        <w:t xml:space="preserve"> </w:t>
      </w:r>
      <w:r w:rsidR="0063289C">
        <w:t>in every house</w:t>
      </w:r>
      <w:r w:rsidR="00C6618A">
        <w:t xml:space="preserve"> the young women will play harp to you as part of their hospitality</w:t>
      </w:r>
      <w:r w:rsidR="00946798">
        <w:t xml:space="preserve">, and how men of </w:t>
      </w:r>
      <w:r w:rsidR="00331B54">
        <w:t>every family</w:t>
      </w:r>
      <w:r w:rsidR="00946798">
        <w:t xml:space="preserve"> see </w:t>
      </w:r>
      <w:r w:rsidR="00572514">
        <w:t xml:space="preserve">the </w:t>
      </w:r>
      <w:r w:rsidR="00946798">
        <w:t xml:space="preserve">playing </w:t>
      </w:r>
      <w:r w:rsidR="00572514">
        <w:t xml:space="preserve">of </w:t>
      </w:r>
      <w:r w:rsidR="00946798">
        <w:t xml:space="preserve">the harp as the greatest of </w:t>
      </w:r>
      <w:r w:rsidR="00572514">
        <w:t>accomplishments</w:t>
      </w:r>
      <w:r w:rsidR="00C6618A">
        <w:t>.</w:t>
      </w:r>
      <w:r w:rsidR="00C6618A">
        <w:rPr>
          <w:rStyle w:val="FootnoteReference"/>
        </w:rPr>
        <w:footnoteReference w:id="83"/>
      </w:r>
      <w:r w:rsidR="009337D0">
        <w:t xml:space="preserve"> </w:t>
      </w:r>
      <w:r w:rsidR="006716DF">
        <w:t>And, i</w:t>
      </w:r>
      <w:r w:rsidR="00C5340B">
        <w:t xml:space="preserve">n Chapter XIII, </w:t>
      </w:r>
      <w:r w:rsidR="00946798">
        <w:t xml:space="preserve">he </w:t>
      </w:r>
      <w:r w:rsidR="006A1237">
        <w:t>describes how the Welsh sing their traditional songs</w:t>
      </w:r>
      <w:r w:rsidR="00695F5D">
        <w:t xml:space="preserve"> “not in unison</w:t>
      </w:r>
      <w:r w:rsidR="00F73A68">
        <w:t>,</w:t>
      </w:r>
      <w:r w:rsidR="00695F5D">
        <w:t xml:space="preserve"> as is </w:t>
      </w:r>
      <w:r w:rsidR="00F73A68">
        <w:t>popular elsewhere</w:t>
      </w:r>
      <w:r w:rsidR="0066685E">
        <w:t>, but in parts, in many modes and modulations</w:t>
      </w:r>
      <w:r w:rsidR="00603608">
        <w:t>.</w:t>
      </w:r>
      <w:r w:rsidR="0066685E">
        <w:t>”</w:t>
      </w:r>
      <w:r w:rsidR="00603608">
        <w:t xml:space="preserve"> He likens this choral singing to the </w:t>
      </w:r>
      <w:r w:rsidR="0063489A">
        <w:t>traditional singing north of the Humber, where</w:t>
      </w:r>
      <w:r w:rsidR="007220FA">
        <w:t xml:space="preserve"> the same symphonic harmony is produced in two parts </w:t>
      </w:r>
      <w:r w:rsidR="007220FA">
        <w:lastRenderedPageBreak/>
        <w:t>alone.</w:t>
      </w:r>
      <w:r w:rsidR="0089693B">
        <w:rPr>
          <w:rStyle w:val="FootnoteReference"/>
        </w:rPr>
        <w:footnoteReference w:id="84"/>
      </w:r>
      <w:r w:rsidR="007220FA">
        <w:t xml:space="preserve"> </w:t>
      </w:r>
      <w:r w:rsidR="0089693B">
        <w:t xml:space="preserve">He describes </w:t>
      </w:r>
      <w:r w:rsidR="00F47017">
        <w:t xml:space="preserve">both the Northern and Welsh practice </w:t>
      </w:r>
      <w:r w:rsidR="00E91B26">
        <w:t>were</w:t>
      </w:r>
      <w:r w:rsidR="00F47017">
        <w:t xml:space="preserve"> developed by “age old custom,” believing it to be learned in Yorkshire from the Danes</w:t>
      </w:r>
      <w:r w:rsidR="001C1B0C">
        <w:t xml:space="preserve"> since the English in general do not adopt t</w:t>
      </w:r>
      <w:r w:rsidR="00581940">
        <w:t>he same</w:t>
      </w:r>
      <w:r w:rsidR="001C1B0C">
        <w:t xml:space="preserve"> style of singing.</w:t>
      </w:r>
      <w:r w:rsidR="001C1B0C">
        <w:rPr>
          <w:rStyle w:val="FootnoteReference"/>
        </w:rPr>
        <w:footnoteReference w:id="85"/>
      </w:r>
      <w:r w:rsidR="0089693B">
        <w:t xml:space="preserve"> </w:t>
      </w:r>
      <w:r w:rsidR="00572514">
        <w:t xml:space="preserve">This description </w:t>
      </w:r>
      <w:r w:rsidR="001378DB">
        <w:t xml:space="preserve">gives but a </w:t>
      </w:r>
      <w:r w:rsidR="00CA07EE">
        <w:t xml:space="preserve">glimpse of the detailed </w:t>
      </w:r>
      <w:r w:rsidR="00CA7BA1">
        <w:t xml:space="preserve">regional </w:t>
      </w:r>
      <w:r w:rsidR="00B34B1A">
        <w:t xml:space="preserve">musical culture </w:t>
      </w:r>
      <w:r w:rsidR="00A16CA1">
        <w:t xml:space="preserve">across </w:t>
      </w:r>
      <w:r w:rsidR="00CA7BA1">
        <w:t xml:space="preserve">Europe. There are many such references in less detail to the geographic skills of instrumentalists, such as in the previously mentioned </w:t>
      </w:r>
      <w:r w:rsidR="008340BD">
        <w:t>performance of Horn.</w:t>
      </w:r>
      <w:r w:rsidR="008340BD">
        <w:rPr>
          <w:rStyle w:val="FootnoteReference"/>
        </w:rPr>
        <w:footnoteReference w:id="86"/>
      </w:r>
      <w:r w:rsidR="008340BD">
        <w:t xml:space="preserve"> </w:t>
      </w:r>
      <w:r w:rsidR="001709FD">
        <w:t xml:space="preserve">There is little surviving popular lyric, in England there are however </w:t>
      </w:r>
      <w:r w:rsidR="004774E8">
        <w:t xml:space="preserve">the few surviving </w:t>
      </w:r>
      <w:r w:rsidR="00207136">
        <w:t xml:space="preserve">vernacular </w:t>
      </w:r>
      <w:r w:rsidR="00C541CD">
        <w:t xml:space="preserve">English </w:t>
      </w:r>
      <w:r w:rsidR="00F2594E">
        <w:t xml:space="preserve">songs like </w:t>
      </w:r>
      <w:r w:rsidR="00F2594E">
        <w:rPr>
          <w:i/>
          <w:iCs/>
        </w:rPr>
        <w:t xml:space="preserve">Mirie it is </w:t>
      </w:r>
      <w:r w:rsidR="00207136">
        <w:rPr>
          <w:i/>
          <w:iCs/>
        </w:rPr>
        <w:t>while sumer ilast</w:t>
      </w:r>
      <w:r w:rsidR="00207136">
        <w:t>,</w:t>
      </w:r>
      <w:r w:rsidR="00914299">
        <w:t xml:space="preserve"> </w:t>
      </w:r>
      <w:r w:rsidR="00BB6D8A" w:rsidRPr="00BB6D8A">
        <w:rPr>
          <w:i/>
          <w:iCs/>
        </w:rPr>
        <w:t>Wynter waken</w:t>
      </w:r>
      <w:r w:rsidR="007E1439">
        <w:rPr>
          <w:i/>
          <w:iCs/>
        </w:rPr>
        <w:t>e</w:t>
      </w:r>
      <w:r w:rsidR="007E1439" w:rsidRPr="007E1439">
        <w:rPr>
          <w:i/>
          <w:iCs/>
        </w:rPr>
        <w:t>Þ</w:t>
      </w:r>
      <w:r w:rsidR="00BB6D8A" w:rsidRPr="00BB6D8A">
        <w:rPr>
          <w:i/>
          <w:iCs/>
        </w:rPr>
        <w:t xml:space="preserve"> al my care</w:t>
      </w:r>
      <w:r w:rsidR="00BB6D8A">
        <w:t>,</w:t>
      </w:r>
      <w:r w:rsidR="00207136">
        <w:t xml:space="preserve"> and </w:t>
      </w:r>
      <w:r w:rsidR="00C541CD">
        <w:rPr>
          <w:i/>
          <w:iCs/>
        </w:rPr>
        <w:t>Summer</w:t>
      </w:r>
      <w:r w:rsidR="004774E8">
        <w:rPr>
          <w:i/>
          <w:iCs/>
        </w:rPr>
        <w:t xml:space="preserve"> is icummen in</w:t>
      </w:r>
      <w:r w:rsidR="004774E8">
        <w:t xml:space="preserve"> provide some insight into the seasonal nature of these lyrics.</w:t>
      </w:r>
      <w:r w:rsidR="004D233C">
        <w:rPr>
          <w:rStyle w:val="FootnoteReference"/>
        </w:rPr>
        <w:footnoteReference w:id="87"/>
      </w:r>
    </w:p>
    <w:p w14:paraId="3DB4AE62" w14:textId="77777777" w:rsidR="007F63B1" w:rsidRDefault="007F63B1" w:rsidP="006755AC"/>
    <w:p w14:paraId="31C49AE0" w14:textId="46B0D657" w:rsidR="007F63B1" w:rsidRDefault="007F63B1" w:rsidP="006755AC">
      <w:r>
        <w:tab/>
      </w:r>
      <w:r w:rsidR="0081653D">
        <w:t>Across the high medieval period</w:t>
      </w:r>
      <w:r w:rsidR="00B04AF5">
        <w:t xml:space="preserve"> secular music thrived in many forms</w:t>
      </w:r>
      <w:r w:rsidR="00CC319D">
        <w:t xml:space="preserve"> across all strata oof society</w:t>
      </w:r>
      <w:r w:rsidR="00B04AF5">
        <w:t xml:space="preserve">. </w:t>
      </w:r>
      <w:r w:rsidR="009C1001">
        <w:t>M</w:t>
      </w:r>
      <w:r w:rsidR="00AB0E99">
        <w:t>usic</w:t>
      </w:r>
      <w:r w:rsidR="00485BF0">
        <w:t xml:space="preserve"> was performed in professional and domestic setting</w:t>
      </w:r>
      <w:r w:rsidR="0097377A">
        <w:t xml:space="preserve">s, circulated by </w:t>
      </w:r>
      <w:r w:rsidR="00792A8B" w:rsidRPr="00792A8B">
        <w:t>jongleurs</w:t>
      </w:r>
      <w:r w:rsidR="00792A8B">
        <w:t>, courtiers, and commoners a like. Authorship could be of the popular realm</w:t>
      </w:r>
      <w:r w:rsidR="0097377A">
        <w:t xml:space="preserve">, </w:t>
      </w:r>
      <w:r w:rsidR="00FE0CBB">
        <w:t xml:space="preserve">the courtly composer, or even the clerical in the case of the </w:t>
      </w:r>
      <w:r w:rsidR="00FE0CBB">
        <w:rPr>
          <w:i/>
          <w:iCs/>
        </w:rPr>
        <w:t>goliards</w:t>
      </w:r>
      <w:r w:rsidR="00AB0E99">
        <w:rPr>
          <w:i/>
          <w:iCs/>
        </w:rPr>
        <w:t xml:space="preserve">. </w:t>
      </w:r>
      <w:r w:rsidR="009C1001">
        <w:rPr>
          <w:i/>
          <w:iCs/>
        </w:rPr>
        <w:t>‘</w:t>
      </w:r>
      <w:r w:rsidR="009C1001">
        <w:t>Folk’ music and dances thrived across Europe</w:t>
      </w:r>
      <w:r w:rsidR="00E449BA">
        <w:t xml:space="preserve"> through</w:t>
      </w:r>
      <w:r w:rsidR="00D360C5">
        <w:t xml:space="preserve"> dance and through local melody</w:t>
      </w:r>
      <w:r w:rsidR="0020274A">
        <w:t xml:space="preserve">. Although now largely lost, what remains tells us of a truly rich and </w:t>
      </w:r>
      <w:r w:rsidR="00451893">
        <w:t xml:space="preserve">variegated soundscape. </w:t>
      </w:r>
      <w:r w:rsidR="00FE611E">
        <w:t>To conclude, m</w:t>
      </w:r>
      <w:r w:rsidR="00451893">
        <w:t xml:space="preserve">any aspects of this essay </w:t>
      </w:r>
      <w:r w:rsidR="00FC0CF0">
        <w:t>could easily have made their own papers</w:t>
      </w:r>
      <w:r w:rsidR="00FE611E">
        <w:t>,</w:t>
      </w:r>
      <w:r w:rsidR="00750B69">
        <w:t xml:space="preserve"> however</w:t>
      </w:r>
      <w:r w:rsidR="00266CA2">
        <w:t>,</w:t>
      </w:r>
      <w:r w:rsidR="00750B69">
        <w:t xml:space="preserve"> sadly the beauty and refinement of medieval culture is too often </w:t>
      </w:r>
      <w:r w:rsidR="00FC0A57">
        <w:t xml:space="preserve">looked over or ignored. </w:t>
      </w:r>
      <w:r w:rsidR="00922D7D">
        <w:t xml:space="preserve">When it is mentioned, the music is often dealt with similarly. </w:t>
      </w:r>
      <w:r w:rsidR="00266CA2">
        <w:t xml:space="preserve">Through exercises such as this </w:t>
      </w:r>
      <w:r w:rsidR="00922D7D">
        <w:t xml:space="preserve">though, </w:t>
      </w:r>
      <w:r w:rsidR="00DF12D8">
        <w:t>aimed at</w:t>
      </w:r>
      <w:r w:rsidR="00266CA2">
        <w:t xml:space="preserve"> </w:t>
      </w:r>
      <w:r w:rsidR="00FC0A57">
        <w:t xml:space="preserve">better understanding the poetry, </w:t>
      </w:r>
      <w:r w:rsidR="00922D7D">
        <w:t>melodies</w:t>
      </w:r>
      <w:r w:rsidR="00FC0A57">
        <w:t xml:space="preserve">, and cultural practices of the </w:t>
      </w:r>
      <w:r w:rsidR="00DF12D8">
        <w:t>Middle Ages</w:t>
      </w:r>
      <w:r w:rsidR="00FC0A57">
        <w:t xml:space="preserve">, it is possible to add </w:t>
      </w:r>
      <w:r w:rsidR="003A380A">
        <w:t xml:space="preserve">patches of </w:t>
      </w:r>
      <w:r w:rsidR="00967AF2">
        <w:t>colour</w:t>
      </w:r>
      <w:r w:rsidR="003A380A">
        <w:t xml:space="preserve"> to a</w:t>
      </w:r>
      <w:r w:rsidR="00967AF2">
        <w:t xml:space="preserve"> truly underappreciated age of </w:t>
      </w:r>
      <w:r w:rsidR="0018788F">
        <w:t>culture and light.</w:t>
      </w:r>
    </w:p>
    <w:p w14:paraId="6CEE1F8B" w14:textId="77777777" w:rsidR="00C7444C" w:rsidRDefault="00C7444C" w:rsidP="006755AC"/>
    <w:p w14:paraId="7138DA65" w14:textId="77777777" w:rsidR="00C7444C" w:rsidRDefault="00C7444C" w:rsidP="006755AC"/>
    <w:p w14:paraId="23A46290" w14:textId="77777777" w:rsidR="00C7444C" w:rsidRDefault="00C7444C" w:rsidP="006755AC"/>
    <w:p w14:paraId="04E9E4AB" w14:textId="77777777" w:rsidR="00C7444C" w:rsidRDefault="00C7444C" w:rsidP="006755AC"/>
    <w:p w14:paraId="4E8A9C8B" w14:textId="77777777" w:rsidR="00C7444C" w:rsidRDefault="00C7444C" w:rsidP="006755AC"/>
    <w:p w14:paraId="5D9FBF15" w14:textId="77777777" w:rsidR="00C7444C" w:rsidRDefault="00C7444C" w:rsidP="006755AC"/>
    <w:p w14:paraId="42A8ADBB" w14:textId="77777777" w:rsidR="00C7444C" w:rsidRDefault="00C7444C" w:rsidP="006755AC"/>
    <w:p w14:paraId="7D573DCD" w14:textId="77777777" w:rsidR="00C7444C" w:rsidRDefault="00C7444C" w:rsidP="006755AC"/>
    <w:p w14:paraId="4D282CDA" w14:textId="77777777" w:rsidR="00C7444C" w:rsidRDefault="00C7444C" w:rsidP="006755AC"/>
    <w:p w14:paraId="4CEBECFC" w14:textId="77777777" w:rsidR="00C7444C" w:rsidRDefault="00C7444C" w:rsidP="006755AC"/>
    <w:p w14:paraId="274A90DF" w14:textId="77777777" w:rsidR="00C7444C" w:rsidRDefault="00C7444C" w:rsidP="006755AC"/>
    <w:p w14:paraId="2A68D4FD" w14:textId="77777777" w:rsidR="00C7444C" w:rsidRDefault="00C7444C" w:rsidP="006755AC"/>
    <w:p w14:paraId="5E3D1203" w14:textId="77777777" w:rsidR="00C7444C" w:rsidRDefault="00C7444C" w:rsidP="006755AC"/>
    <w:p w14:paraId="6D86D7BB" w14:textId="77777777" w:rsidR="00C7444C" w:rsidRDefault="00C7444C" w:rsidP="006755AC"/>
    <w:p w14:paraId="0118B443" w14:textId="77777777" w:rsidR="00C7444C" w:rsidRDefault="00C7444C" w:rsidP="006755AC"/>
    <w:p w14:paraId="3A0DA659" w14:textId="77777777" w:rsidR="00C7444C" w:rsidRDefault="00C7444C" w:rsidP="006755AC"/>
    <w:p w14:paraId="23A0F567" w14:textId="77777777" w:rsidR="00C2744D" w:rsidRDefault="00C2744D" w:rsidP="006755AC"/>
    <w:sdt>
      <w:sdtPr>
        <w:rPr>
          <w:rFonts w:asciiTheme="minorHAnsi" w:hAnsiTheme="minorHAnsi" w:cstheme="minorHAnsi"/>
          <w:sz w:val="24"/>
          <w:szCs w:val="24"/>
        </w:rPr>
        <w:id w:val="1480649753"/>
        <w:docPartObj>
          <w:docPartGallery w:val="Bibliographies"/>
          <w:docPartUnique/>
        </w:docPartObj>
      </w:sdtPr>
      <w:sdtEndPr>
        <w:rPr>
          <w:rFonts w:eastAsiaTheme="minorHAnsi"/>
          <w:color w:val="auto"/>
        </w:rPr>
      </w:sdtEndPr>
      <w:sdtContent>
        <w:p w14:paraId="6A27CEB3" w14:textId="3E8C6C38" w:rsidR="00C2744D" w:rsidRPr="009B1E7D" w:rsidRDefault="00C2744D">
          <w:pPr>
            <w:pStyle w:val="Heading1"/>
            <w:rPr>
              <w:rFonts w:asciiTheme="minorHAnsi" w:hAnsiTheme="minorHAnsi" w:cstheme="minorHAnsi"/>
              <w:sz w:val="24"/>
              <w:szCs w:val="24"/>
            </w:rPr>
          </w:pPr>
          <w:r w:rsidRPr="009B1E7D">
            <w:rPr>
              <w:rFonts w:asciiTheme="minorHAnsi" w:hAnsiTheme="minorHAnsi" w:cstheme="minorHAnsi"/>
              <w:sz w:val="24"/>
              <w:szCs w:val="24"/>
            </w:rPr>
            <w:t>Bibliography</w:t>
          </w:r>
        </w:p>
        <w:p w14:paraId="6BBE301A" w14:textId="65713B4F" w:rsidR="00C7444C" w:rsidRPr="009B1E7D" w:rsidRDefault="00C7444C" w:rsidP="00143288">
          <w:pPr>
            <w:pStyle w:val="ListParagraph"/>
            <w:numPr>
              <w:ilvl w:val="0"/>
              <w:numId w:val="4"/>
            </w:numPr>
            <w:rPr>
              <w:rFonts w:cstheme="minorHAnsi"/>
            </w:rPr>
          </w:pPr>
          <w:r w:rsidRPr="009B1E7D">
            <w:rPr>
              <w:rFonts w:cstheme="minorHAnsi"/>
            </w:rPr>
            <w:t>Anderson</w:t>
          </w:r>
          <w:r w:rsidRPr="009B1E7D">
            <w:rPr>
              <w:rFonts w:cstheme="minorHAnsi"/>
            </w:rPr>
            <w:t xml:space="preserve">, </w:t>
          </w:r>
          <w:r w:rsidRPr="009B1E7D">
            <w:rPr>
              <w:rFonts w:cstheme="minorHAnsi"/>
            </w:rPr>
            <w:t>Earl R.</w:t>
          </w:r>
          <w:r w:rsidRPr="009B1E7D">
            <w:rPr>
              <w:rFonts w:cstheme="minorHAnsi"/>
            </w:rPr>
            <w:t>,</w:t>
          </w:r>
          <w:r w:rsidRPr="009B1E7D">
            <w:rPr>
              <w:rFonts w:cstheme="minorHAnsi"/>
            </w:rPr>
            <w:t xml:space="preserve"> ‘The Seasons of the Year in Old English’, </w:t>
          </w:r>
          <w:r w:rsidRPr="009B1E7D">
            <w:rPr>
              <w:rFonts w:cstheme="minorHAnsi"/>
              <w:i/>
              <w:iCs/>
            </w:rPr>
            <w:t>Anglo-Saxon England</w:t>
          </w:r>
          <w:r w:rsidRPr="009B1E7D">
            <w:rPr>
              <w:rFonts w:cstheme="minorHAnsi"/>
            </w:rPr>
            <w:t>, 26 (1997), pp. 231–63</w:t>
          </w:r>
          <w:r w:rsidRPr="009B1E7D">
            <w:rPr>
              <w:rFonts w:cstheme="minorHAnsi"/>
            </w:rPr>
            <w:t>.</w:t>
          </w:r>
        </w:p>
        <w:p w14:paraId="42896462" w14:textId="77777777" w:rsidR="00C7444C" w:rsidRPr="009B1E7D" w:rsidRDefault="00C7444C" w:rsidP="00C7444C">
          <w:pPr>
            <w:pStyle w:val="ListParagraph"/>
            <w:rPr>
              <w:rFonts w:cstheme="minorHAnsi"/>
            </w:rPr>
          </w:pPr>
        </w:p>
        <w:p w14:paraId="6C77DF46" w14:textId="7A484B9B" w:rsidR="00143288" w:rsidRPr="009B1E7D" w:rsidRDefault="00143288" w:rsidP="00143288">
          <w:pPr>
            <w:pStyle w:val="ListParagraph"/>
            <w:numPr>
              <w:ilvl w:val="0"/>
              <w:numId w:val="4"/>
            </w:numPr>
            <w:rPr>
              <w:rFonts w:cstheme="minorHAnsi"/>
            </w:rPr>
          </w:pPr>
          <w:r w:rsidRPr="009B1E7D">
            <w:rPr>
              <w:rFonts w:cstheme="minorHAnsi"/>
            </w:rPr>
            <w:t>Ferreira, Manuel Pedro</w:t>
          </w:r>
          <w:r w:rsidRPr="009B1E7D">
            <w:rPr>
              <w:rFonts w:cstheme="minorHAnsi"/>
            </w:rPr>
            <w:t xml:space="preserve">, </w:t>
          </w:r>
          <w:r w:rsidRPr="009B1E7D">
            <w:rPr>
              <w:rFonts w:cstheme="minorHAnsi"/>
            </w:rPr>
            <w:t xml:space="preserve">‘Medieval Iberian Song in its Mediterranean Context: From Andalusian </w:t>
          </w:r>
          <w:r w:rsidRPr="009B1E7D">
            <w:rPr>
              <w:rFonts w:cstheme="minorHAnsi"/>
              <w:i/>
              <w:iCs/>
            </w:rPr>
            <w:t xml:space="preserve">Muwashshahat </w:t>
          </w:r>
          <w:r w:rsidRPr="009B1E7D">
            <w:rPr>
              <w:rFonts w:cstheme="minorHAnsi"/>
            </w:rPr>
            <w:t xml:space="preserve">to the Cantigas de Santa Maria’, in </w:t>
          </w:r>
          <w:r w:rsidRPr="009B1E7D">
            <w:rPr>
              <w:rFonts w:cstheme="minorHAnsi"/>
              <w:i/>
              <w:iCs/>
            </w:rPr>
            <w:t>Music and Instruments of the Middle Ages : Essays in Honour of Christopher Page</w:t>
          </w:r>
          <w:r w:rsidRPr="009B1E7D">
            <w:rPr>
              <w:rFonts w:cstheme="minorHAnsi"/>
            </w:rPr>
            <w:t>, ed. Tess Knighton &amp; David Skinner (The Boydell Press, 2020) pp. 61-76</w:t>
          </w:r>
          <w:r w:rsidRPr="009B1E7D">
            <w:rPr>
              <w:rFonts w:cstheme="minorHAnsi"/>
            </w:rPr>
            <w:t>.</w:t>
          </w:r>
        </w:p>
        <w:p w14:paraId="73529E43" w14:textId="77777777" w:rsidR="00C7444C" w:rsidRPr="009B1E7D" w:rsidRDefault="00C7444C" w:rsidP="00C7444C">
          <w:pPr>
            <w:rPr>
              <w:rFonts w:cstheme="minorHAnsi"/>
            </w:rPr>
          </w:pPr>
        </w:p>
        <w:p w14:paraId="44F19C28" w14:textId="1967E17F" w:rsidR="00C7444C" w:rsidRPr="009B1E7D" w:rsidRDefault="00C7444C" w:rsidP="00C7444C">
          <w:pPr>
            <w:pStyle w:val="ListParagraph"/>
            <w:numPr>
              <w:ilvl w:val="0"/>
              <w:numId w:val="4"/>
            </w:numPr>
            <w:rPr>
              <w:rFonts w:cstheme="minorHAnsi"/>
            </w:rPr>
          </w:pPr>
          <w:r w:rsidRPr="009B1E7D">
            <w:rPr>
              <w:rFonts w:cstheme="minorHAnsi"/>
            </w:rPr>
            <w:t xml:space="preserve">Gerald of Wales, </w:t>
          </w:r>
          <w:r w:rsidRPr="009B1E7D">
            <w:rPr>
              <w:rFonts w:cstheme="minorHAnsi"/>
              <w:i/>
              <w:iCs/>
            </w:rPr>
            <w:t xml:space="preserve">The Journey Through Wales and the Description of </w:t>
          </w:r>
          <w:r w:rsidRPr="009B1E7D">
            <w:rPr>
              <w:rFonts w:cstheme="minorHAnsi"/>
            </w:rPr>
            <w:t>Wales, trans. &amp; ed. by Lewis Thorpe (London: Penguin Books, 2004)</w:t>
          </w:r>
          <w:r w:rsidRPr="009B1E7D">
            <w:rPr>
              <w:rFonts w:cstheme="minorHAnsi"/>
            </w:rPr>
            <w:t>.</w:t>
          </w:r>
        </w:p>
        <w:p w14:paraId="099AF29B" w14:textId="77777777" w:rsidR="00143288" w:rsidRPr="009B1E7D" w:rsidRDefault="00143288" w:rsidP="00143288">
          <w:pPr>
            <w:pStyle w:val="ListParagraph"/>
            <w:rPr>
              <w:rFonts w:cstheme="minorHAnsi"/>
            </w:rPr>
          </w:pPr>
        </w:p>
        <w:p w14:paraId="44B23E9C" w14:textId="43FD31D2" w:rsidR="00080E51" w:rsidRPr="009B1E7D" w:rsidRDefault="00C2744D" w:rsidP="00143288">
          <w:pPr>
            <w:pStyle w:val="ListParagraph"/>
            <w:numPr>
              <w:ilvl w:val="0"/>
              <w:numId w:val="4"/>
            </w:numPr>
            <w:rPr>
              <w:rFonts w:cstheme="minorHAnsi"/>
            </w:rPr>
          </w:pPr>
          <w:sdt>
            <w:sdtPr>
              <w:rPr>
                <w:rFonts w:cstheme="minorHAnsi"/>
              </w:rPr>
              <w:id w:val="111145805"/>
              <w:bibliography/>
            </w:sdtPr>
            <w:sdtContent>
              <w:r w:rsidR="00EA47F6" w:rsidRPr="009B1E7D">
                <w:rPr>
                  <w:rFonts w:cstheme="minorHAnsi"/>
                </w:rPr>
                <w:t>Grout</w:t>
              </w:r>
              <w:r w:rsidR="00EA47F6" w:rsidRPr="009B1E7D">
                <w:rPr>
                  <w:rFonts w:cstheme="minorHAnsi"/>
                </w:rPr>
                <w:t xml:space="preserve">, </w:t>
              </w:r>
            </w:sdtContent>
          </w:sdt>
          <w:r w:rsidR="00570B3A" w:rsidRPr="009B1E7D">
            <w:rPr>
              <w:rFonts w:cstheme="minorHAnsi"/>
            </w:rPr>
            <w:t>Donald J.</w:t>
          </w:r>
          <w:r w:rsidR="00C7444C" w:rsidRPr="009B1E7D">
            <w:rPr>
              <w:rFonts w:cstheme="minorHAnsi"/>
            </w:rPr>
            <w:t>,</w:t>
          </w:r>
          <w:r w:rsidR="00570B3A" w:rsidRPr="009B1E7D">
            <w:rPr>
              <w:rFonts w:cstheme="minorHAnsi"/>
            </w:rPr>
            <w:t xml:space="preserve"> &amp; </w:t>
          </w:r>
          <w:r w:rsidR="00EA47F6" w:rsidRPr="009B1E7D">
            <w:rPr>
              <w:rFonts w:cstheme="minorHAnsi"/>
            </w:rPr>
            <w:t>Palisca</w:t>
          </w:r>
          <w:r w:rsidR="00EA47F6" w:rsidRPr="009B1E7D">
            <w:rPr>
              <w:rFonts w:cstheme="minorHAnsi"/>
            </w:rPr>
            <w:t xml:space="preserve">, </w:t>
          </w:r>
          <w:r w:rsidR="00570B3A" w:rsidRPr="009B1E7D">
            <w:rPr>
              <w:rFonts w:cstheme="minorHAnsi"/>
            </w:rPr>
            <w:t xml:space="preserve">Claude V., </w:t>
          </w:r>
          <w:r w:rsidR="00570B3A" w:rsidRPr="009B1E7D">
            <w:rPr>
              <w:rFonts w:cstheme="minorHAnsi"/>
              <w:i/>
              <w:iCs/>
            </w:rPr>
            <w:t>A History of Western Music,</w:t>
          </w:r>
          <w:r w:rsidR="00570B3A" w:rsidRPr="009B1E7D">
            <w:rPr>
              <w:rFonts w:cstheme="minorHAnsi"/>
            </w:rPr>
            <w:t xml:space="preserve"> 4</w:t>
          </w:r>
          <w:r w:rsidR="00570B3A" w:rsidRPr="009B1E7D">
            <w:rPr>
              <w:rFonts w:cstheme="minorHAnsi"/>
              <w:vertAlign w:val="superscript"/>
            </w:rPr>
            <w:t>th</w:t>
          </w:r>
          <w:r w:rsidR="00570B3A" w:rsidRPr="009B1E7D">
            <w:rPr>
              <w:rFonts w:cstheme="minorHAnsi"/>
            </w:rPr>
            <w:t xml:space="preserve"> edn. (USA: Norton &amp; Company, 1988)</w:t>
          </w:r>
          <w:r w:rsidR="00EA47F6" w:rsidRPr="009B1E7D">
            <w:rPr>
              <w:rFonts w:cstheme="minorHAnsi"/>
            </w:rPr>
            <w:t>.</w:t>
          </w:r>
        </w:p>
        <w:p w14:paraId="76A1D1EB" w14:textId="77777777" w:rsidR="00FB1CA7" w:rsidRPr="009B1E7D" w:rsidRDefault="00FB1CA7" w:rsidP="00FB1CA7">
          <w:pPr>
            <w:rPr>
              <w:rFonts w:cstheme="minorHAnsi"/>
            </w:rPr>
          </w:pPr>
        </w:p>
        <w:p w14:paraId="7F1FD9D9" w14:textId="0E5B1896" w:rsidR="00FB1CA7" w:rsidRPr="009B1E7D" w:rsidRDefault="00FB1CA7" w:rsidP="00FB1CA7">
          <w:pPr>
            <w:pStyle w:val="ListParagraph"/>
            <w:numPr>
              <w:ilvl w:val="0"/>
              <w:numId w:val="4"/>
            </w:numPr>
            <w:rPr>
              <w:rFonts w:cstheme="minorHAnsi"/>
            </w:rPr>
          </w:pPr>
          <w:r w:rsidRPr="009B1E7D">
            <w:rPr>
              <w:rFonts w:cstheme="minorHAnsi"/>
            </w:rPr>
            <w:t xml:space="preserve">Dronke, </w:t>
          </w:r>
          <w:r w:rsidRPr="009B1E7D">
            <w:rPr>
              <w:rFonts w:cstheme="minorHAnsi"/>
            </w:rPr>
            <w:t xml:space="preserve">Peter, </w:t>
          </w:r>
          <w:r w:rsidRPr="009B1E7D">
            <w:rPr>
              <w:rFonts w:cstheme="minorHAnsi"/>
              <w:i/>
              <w:iCs/>
            </w:rPr>
            <w:t>The Medieval Lyric</w:t>
          </w:r>
          <w:r w:rsidRPr="009B1E7D">
            <w:rPr>
              <w:rFonts w:cstheme="minorHAnsi"/>
            </w:rPr>
            <w:t>, 2</w:t>
          </w:r>
          <w:r w:rsidRPr="009B1E7D">
            <w:rPr>
              <w:rFonts w:cstheme="minorHAnsi"/>
              <w:vertAlign w:val="superscript"/>
            </w:rPr>
            <w:t>nd</w:t>
          </w:r>
          <w:r w:rsidRPr="009B1E7D">
            <w:rPr>
              <w:rFonts w:cstheme="minorHAnsi"/>
            </w:rPr>
            <w:t xml:space="preserve"> edn. (London: Hutchinson &amp; co., 1978)</w:t>
          </w:r>
          <w:r w:rsidRPr="009B1E7D">
            <w:rPr>
              <w:rFonts w:cstheme="minorHAnsi"/>
            </w:rPr>
            <w:t>.</w:t>
          </w:r>
        </w:p>
        <w:p w14:paraId="73D8FC38" w14:textId="77777777" w:rsidR="00E81EE0" w:rsidRPr="009B1E7D" w:rsidRDefault="00E81EE0" w:rsidP="00E81EE0">
          <w:pPr>
            <w:rPr>
              <w:rFonts w:cstheme="minorHAnsi"/>
            </w:rPr>
          </w:pPr>
        </w:p>
        <w:p w14:paraId="5AF30BCE" w14:textId="068E65D2" w:rsidR="00E81EE0" w:rsidRPr="009B1E7D" w:rsidRDefault="00E81EE0" w:rsidP="00E81EE0">
          <w:pPr>
            <w:pStyle w:val="ListParagraph"/>
            <w:numPr>
              <w:ilvl w:val="0"/>
              <w:numId w:val="4"/>
            </w:numPr>
            <w:rPr>
              <w:rFonts w:cstheme="minorHAnsi"/>
            </w:rPr>
          </w:pPr>
          <w:r w:rsidRPr="009B1E7D">
            <w:rPr>
              <w:rFonts w:cstheme="minorHAnsi"/>
            </w:rPr>
            <w:t xml:space="preserve">Harper, </w:t>
          </w:r>
          <w:r w:rsidRPr="009B1E7D">
            <w:rPr>
              <w:rFonts w:cstheme="minorHAnsi"/>
            </w:rPr>
            <w:t xml:space="preserve">Sally, </w:t>
          </w:r>
          <w:r w:rsidRPr="009B1E7D">
            <w:rPr>
              <w:rFonts w:cstheme="minorHAnsi"/>
              <w:i/>
              <w:iCs/>
            </w:rPr>
            <w:t>Music in Welsh Culture before 1650 : A Study of the Principal Sources</w:t>
          </w:r>
          <w:r w:rsidRPr="009B1E7D">
            <w:rPr>
              <w:rFonts w:cstheme="minorHAnsi"/>
            </w:rPr>
            <w:t xml:space="preserve"> (UK: Ashgate, 2007)</w:t>
          </w:r>
          <w:r w:rsidR="00174446" w:rsidRPr="009B1E7D">
            <w:rPr>
              <w:rFonts w:cstheme="minorHAnsi"/>
            </w:rPr>
            <w:t>.</w:t>
          </w:r>
        </w:p>
        <w:p w14:paraId="6852B000" w14:textId="77777777" w:rsidR="00FB1CA7" w:rsidRPr="009B1E7D" w:rsidRDefault="00FB1CA7" w:rsidP="00FB1CA7">
          <w:pPr>
            <w:pStyle w:val="ListParagraph"/>
            <w:rPr>
              <w:rFonts w:cstheme="minorHAnsi"/>
            </w:rPr>
          </w:pPr>
        </w:p>
        <w:p w14:paraId="004EC11A" w14:textId="23AB7F4B" w:rsidR="00FB1CA7" w:rsidRPr="009B1E7D" w:rsidRDefault="00FB1CA7" w:rsidP="00E81EE0">
          <w:pPr>
            <w:pStyle w:val="ListParagraph"/>
            <w:numPr>
              <w:ilvl w:val="0"/>
              <w:numId w:val="4"/>
            </w:numPr>
            <w:rPr>
              <w:rFonts w:cstheme="minorHAnsi"/>
            </w:rPr>
          </w:pPr>
          <w:r w:rsidRPr="009B1E7D">
            <w:rPr>
              <w:rFonts w:cstheme="minorHAnsi"/>
            </w:rPr>
            <w:t xml:space="preserve">Page, </w:t>
          </w:r>
          <w:r w:rsidRPr="009B1E7D">
            <w:rPr>
              <w:rFonts w:cstheme="minorHAnsi"/>
            </w:rPr>
            <w:t xml:space="preserve">Christopher, </w:t>
          </w:r>
          <w:r w:rsidRPr="009B1E7D">
            <w:rPr>
              <w:rFonts w:cstheme="minorHAnsi"/>
              <w:i/>
              <w:iCs/>
            </w:rPr>
            <w:t>The Owl &amp; the Nightingale: Musical Life and Ideas in France 1100-1300</w:t>
          </w:r>
          <w:r w:rsidRPr="009B1E7D">
            <w:rPr>
              <w:rFonts w:cstheme="minorHAnsi"/>
            </w:rPr>
            <w:t xml:space="preserve"> (California: University of California, Santa Barbara, 1992)</w:t>
          </w:r>
          <w:r w:rsidRPr="009B1E7D">
            <w:rPr>
              <w:rFonts w:cstheme="minorHAnsi"/>
            </w:rPr>
            <w:t>.</w:t>
          </w:r>
        </w:p>
        <w:p w14:paraId="7A17A021" w14:textId="77777777" w:rsidR="00FB1CA7" w:rsidRPr="009B1E7D" w:rsidRDefault="00FB1CA7" w:rsidP="00FB1CA7">
          <w:pPr>
            <w:pStyle w:val="ListParagraph"/>
            <w:rPr>
              <w:rFonts w:cstheme="minorHAnsi"/>
            </w:rPr>
          </w:pPr>
        </w:p>
        <w:p w14:paraId="625F38EC" w14:textId="0F61FAAA" w:rsidR="00FB1CA7" w:rsidRPr="009B1E7D" w:rsidRDefault="00FB1CA7" w:rsidP="00E81EE0">
          <w:pPr>
            <w:pStyle w:val="ListParagraph"/>
            <w:numPr>
              <w:ilvl w:val="0"/>
              <w:numId w:val="4"/>
            </w:numPr>
            <w:rPr>
              <w:rFonts w:cstheme="minorHAnsi"/>
            </w:rPr>
          </w:pPr>
          <w:r w:rsidRPr="009B1E7D">
            <w:rPr>
              <w:rFonts w:cstheme="minorHAnsi"/>
            </w:rPr>
            <w:t>Page, Christopher</w:t>
          </w:r>
          <w:r w:rsidRPr="009B1E7D">
            <w:rPr>
              <w:rFonts w:cstheme="minorHAnsi"/>
            </w:rPr>
            <w:t xml:space="preserve">, </w:t>
          </w:r>
          <w:r w:rsidRPr="009B1E7D">
            <w:rPr>
              <w:rFonts w:cstheme="minorHAnsi"/>
              <w:i/>
              <w:iCs/>
            </w:rPr>
            <w:t>Voices and Instruments of the Middle Ages</w:t>
          </w:r>
          <w:r w:rsidRPr="009B1E7D">
            <w:rPr>
              <w:rFonts w:cstheme="minorHAnsi"/>
            </w:rPr>
            <w:t xml:space="preserve"> (Oxford: Oxford University Press, 1987)</w:t>
          </w:r>
          <w:r w:rsidR="00C7444C" w:rsidRPr="009B1E7D">
            <w:rPr>
              <w:rFonts w:cstheme="minorHAnsi"/>
            </w:rPr>
            <w:t>.</w:t>
          </w:r>
        </w:p>
        <w:p w14:paraId="321BE8AC" w14:textId="77777777" w:rsidR="00A45148" w:rsidRPr="009B1E7D" w:rsidRDefault="00A45148" w:rsidP="00A45148">
          <w:pPr>
            <w:pStyle w:val="ListParagraph"/>
            <w:rPr>
              <w:rFonts w:cstheme="minorHAnsi"/>
            </w:rPr>
          </w:pPr>
        </w:p>
        <w:p w14:paraId="0346118C" w14:textId="63174940" w:rsidR="00A45148" w:rsidRPr="009B1E7D" w:rsidRDefault="00A45148" w:rsidP="00E81EE0">
          <w:pPr>
            <w:pStyle w:val="ListParagraph"/>
            <w:numPr>
              <w:ilvl w:val="0"/>
              <w:numId w:val="4"/>
            </w:numPr>
            <w:rPr>
              <w:rFonts w:cstheme="minorHAnsi"/>
            </w:rPr>
          </w:pPr>
          <w:r w:rsidRPr="009B1E7D">
            <w:rPr>
              <w:rFonts w:cstheme="minorHAnsi"/>
            </w:rPr>
            <w:t>Paterson, Linda M.</w:t>
          </w:r>
          <w:r w:rsidRPr="009B1E7D">
            <w:rPr>
              <w:rFonts w:cstheme="minorHAnsi"/>
            </w:rPr>
            <w:t xml:space="preserve">, </w:t>
          </w:r>
          <w:r w:rsidRPr="009B1E7D">
            <w:rPr>
              <w:rFonts w:cstheme="minorHAnsi"/>
              <w:i/>
              <w:iCs/>
            </w:rPr>
            <w:t>Troubadours and Eloquence</w:t>
          </w:r>
          <w:r w:rsidRPr="009B1E7D">
            <w:rPr>
              <w:rFonts w:cstheme="minorHAnsi"/>
            </w:rPr>
            <w:t xml:space="preserve"> (Oxford: Clarendon Press, 1975)</w:t>
          </w:r>
          <w:r w:rsidR="00C7444C" w:rsidRPr="009B1E7D">
            <w:rPr>
              <w:rFonts w:cstheme="minorHAnsi"/>
            </w:rPr>
            <w:t>.</w:t>
          </w:r>
        </w:p>
        <w:p w14:paraId="0D974898" w14:textId="77777777" w:rsidR="00C7444C" w:rsidRPr="009B1E7D" w:rsidRDefault="00C7444C" w:rsidP="00C7444C">
          <w:pPr>
            <w:pStyle w:val="ListParagraph"/>
            <w:rPr>
              <w:rFonts w:cstheme="minorHAnsi"/>
            </w:rPr>
          </w:pPr>
        </w:p>
        <w:p w14:paraId="2B8AF9A0" w14:textId="23786D7B" w:rsidR="00C7444C" w:rsidRPr="009B1E7D" w:rsidRDefault="00C7444C" w:rsidP="00E81EE0">
          <w:pPr>
            <w:pStyle w:val="ListParagraph"/>
            <w:numPr>
              <w:ilvl w:val="0"/>
              <w:numId w:val="4"/>
            </w:numPr>
            <w:rPr>
              <w:rFonts w:cstheme="minorHAnsi"/>
            </w:rPr>
          </w:pPr>
          <w:r w:rsidRPr="009B1E7D">
            <w:rPr>
              <w:rFonts w:cstheme="minorHAnsi"/>
            </w:rPr>
            <w:t>Pestell,</w:t>
          </w:r>
          <w:r w:rsidRPr="009B1E7D">
            <w:rPr>
              <w:rFonts w:cstheme="minorHAnsi"/>
            </w:rPr>
            <w:t xml:space="preserve"> Richard, </w:t>
          </w:r>
          <w:r w:rsidRPr="009B1E7D">
            <w:rPr>
              <w:rFonts w:cstheme="minorHAnsi"/>
            </w:rPr>
            <w:t xml:space="preserve">‘Medieval Art and the Performance of Medieval Music’, </w:t>
          </w:r>
          <w:r w:rsidRPr="009B1E7D">
            <w:rPr>
              <w:rFonts w:cstheme="minorHAnsi"/>
              <w:i/>
              <w:iCs/>
            </w:rPr>
            <w:t>Early Music</w:t>
          </w:r>
          <w:r w:rsidRPr="009B1E7D">
            <w:rPr>
              <w:rFonts w:cstheme="minorHAnsi"/>
            </w:rPr>
            <w:t>, 15.1 (1987), pp. 57–68</w:t>
          </w:r>
          <w:r w:rsidRPr="009B1E7D">
            <w:rPr>
              <w:rFonts w:cstheme="minorHAnsi"/>
            </w:rPr>
            <w:t>.</w:t>
          </w:r>
        </w:p>
        <w:p w14:paraId="75470E39" w14:textId="77777777" w:rsidR="00174446" w:rsidRPr="009B1E7D" w:rsidRDefault="00174446" w:rsidP="00174446">
          <w:pPr>
            <w:pStyle w:val="ListParagraph"/>
            <w:rPr>
              <w:rFonts w:cstheme="minorHAnsi"/>
            </w:rPr>
          </w:pPr>
        </w:p>
        <w:p w14:paraId="783DC8A3" w14:textId="47F113B8" w:rsidR="00174446" w:rsidRPr="009B1E7D" w:rsidRDefault="00174446" w:rsidP="00E81EE0">
          <w:pPr>
            <w:pStyle w:val="ListParagraph"/>
            <w:numPr>
              <w:ilvl w:val="0"/>
              <w:numId w:val="4"/>
            </w:numPr>
            <w:rPr>
              <w:rFonts w:cstheme="minorHAnsi"/>
            </w:rPr>
          </w:pPr>
          <w:r w:rsidRPr="009B1E7D">
            <w:rPr>
              <w:rFonts w:cstheme="minorHAnsi"/>
            </w:rPr>
            <w:t>Sanders,</w:t>
          </w:r>
          <w:r w:rsidRPr="009B1E7D">
            <w:rPr>
              <w:rFonts w:cstheme="minorHAnsi"/>
            </w:rPr>
            <w:t xml:space="preserve"> </w:t>
          </w:r>
          <w:r w:rsidRPr="009B1E7D">
            <w:rPr>
              <w:rFonts w:cstheme="minorHAnsi"/>
            </w:rPr>
            <w:t>Ernest H.</w:t>
          </w:r>
          <w:r w:rsidRPr="009B1E7D">
            <w:rPr>
              <w:rFonts w:cstheme="minorHAnsi"/>
            </w:rPr>
            <w:t>,</w:t>
          </w:r>
          <w:r w:rsidRPr="009B1E7D">
            <w:rPr>
              <w:rFonts w:cstheme="minorHAnsi"/>
            </w:rPr>
            <w:t xml:space="preserve"> ‘Polyphony and Secular Monophony: Ninth Century – c. 1300’, In</w:t>
          </w:r>
          <w:r w:rsidRPr="009B1E7D">
            <w:rPr>
              <w:rFonts w:cstheme="minorHAnsi"/>
              <w:i/>
              <w:iCs/>
            </w:rPr>
            <w:t xml:space="preserve"> A History of Western Music,</w:t>
          </w:r>
          <w:r w:rsidRPr="009B1E7D">
            <w:rPr>
              <w:rFonts w:cstheme="minorHAnsi"/>
            </w:rPr>
            <w:t xml:space="preserve"> ed. F. W. Sternfeld (London: Weidenfeld &amp; Nicolson, 1973)</w:t>
          </w:r>
          <w:r w:rsidRPr="009B1E7D">
            <w:rPr>
              <w:rFonts w:cstheme="minorHAnsi"/>
            </w:rPr>
            <w:t>.</w:t>
          </w:r>
        </w:p>
        <w:p w14:paraId="2D7B26D3" w14:textId="77777777" w:rsidR="00DB14F4" w:rsidRPr="009B1E7D" w:rsidRDefault="00DB14F4" w:rsidP="00DB14F4">
          <w:pPr>
            <w:pStyle w:val="ListParagraph"/>
            <w:rPr>
              <w:rFonts w:cstheme="minorHAnsi"/>
            </w:rPr>
          </w:pPr>
        </w:p>
        <w:p w14:paraId="2FA6CFB5" w14:textId="115DFB44" w:rsidR="00DB14F4" w:rsidRPr="009B1E7D" w:rsidRDefault="00DB14F4" w:rsidP="00E81EE0">
          <w:pPr>
            <w:pStyle w:val="ListParagraph"/>
            <w:numPr>
              <w:ilvl w:val="0"/>
              <w:numId w:val="4"/>
            </w:numPr>
            <w:rPr>
              <w:rFonts w:cstheme="minorHAnsi"/>
            </w:rPr>
          </w:pPr>
          <w:r w:rsidRPr="009B1E7D">
            <w:rPr>
              <w:rFonts w:cstheme="minorHAnsi"/>
            </w:rPr>
            <w:t xml:space="preserve">Sayce, </w:t>
          </w:r>
          <w:r w:rsidRPr="009B1E7D">
            <w:rPr>
              <w:rFonts w:cstheme="minorHAnsi"/>
            </w:rPr>
            <w:t xml:space="preserve">Oliver, </w:t>
          </w:r>
          <w:r w:rsidRPr="009B1E7D">
            <w:rPr>
              <w:rFonts w:cstheme="minorHAnsi"/>
              <w:i/>
              <w:iCs/>
            </w:rPr>
            <w:t>The Medieval German Lyric 1150-1300: The development of its themes and forms in their European context</w:t>
          </w:r>
          <w:r w:rsidRPr="009B1E7D">
            <w:rPr>
              <w:rFonts w:cstheme="minorHAnsi"/>
            </w:rPr>
            <w:t xml:space="preserve"> (Oxford: Clarendon Press, 1982</w:t>
          </w:r>
          <w:r w:rsidR="00C7444C" w:rsidRPr="009B1E7D">
            <w:rPr>
              <w:rFonts w:cstheme="minorHAnsi"/>
            </w:rPr>
            <w:t>).</w:t>
          </w:r>
        </w:p>
        <w:p w14:paraId="54C17204" w14:textId="77777777" w:rsidR="00080E51" w:rsidRPr="009B1E7D" w:rsidRDefault="00080E51" w:rsidP="00080E51">
          <w:pPr>
            <w:rPr>
              <w:rFonts w:cstheme="minorHAnsi"/>
            </w:rPr>
          </w:pPr>
        </w:p>
        <w:p w14:paraId="4ECB3C17" w14:textId="2788D2D3" w:rsidR="00FB1CA7" w:rsidRPr="009B1E7D" w:rsidRDefault="00080E51" w:rsidP="00080E51">
          <w:pPr>
            <w:pStyle w:val="ListParagraph"/>
            <w:numPr>
              <w:ilvl w:val="0"/>
              <w:numId w:val="4"/>
            </w:numPr>
            <w:rPr>
              <w:rFonts w:cstheme="minorHAnsi"/>
            </w:rPr>
          </w:pPr>
          <w:r w:rsidRPr="009B1E7D">
            <w:rPr>
              <w:rFonts w:cstheme="minorHAnsi"/>
            </w:rPr>
            <w:t>Stevens,</w:t>
          </w:r>
          <w:r w:rsidRPr="009B1E7D">
            <w:rPr>
              <w:rFonts w:cstheme="minorHAnsi"/>
            </w:rPr>
            <w:t xml:space="preserve"> John,</w:t>
          </w:r>
          <w:r w:rsidRPr="009B1E7D">
            <w:rPr>
              <w:rFonts w:cstheme="minorHAnsi"/>
            </w:rPr>
            <w:t xml:space="preserve"> </w:t>
          </w:r>
          <w:r w:rsidRPr="009B1E7D">
            <w:rPr>
              <w:rFonts w:cstheme="minorHAnsi"/>
              <w:i/>
              <w:iCs/>
            </w:rPr>
            <w:t>Words and Music in the Middle Ages: Song Narrative, Dance and Drama, 1050-1350</w:t>
          </w:r>
          <w:r w:rsidRPr="009B1E7D">
            <w:rPr>
              <w:rFonts w:cstheme="minorHAnsi"/>
            </w:rPr>
            <w:t xml:space="preserve"> (Cambridge: Cambridge University Press, 1986)</w:t>
          </w:r>
          <w:r w:rsidR="00FB1CA7" w:rsidRPr="009B1E7D">
            <w:rPr>
              <w:rFonts w:cstheme="minorHAnsi"/>
            </w:rPr>
            <w:t xml:space="preserve"> </w:t>
          </w:r>
          <w:r w:rsidR="00FB1CA7" w:rsidRPr="009B1E7D">
            <w:rPr>
              <w:rFonts w:cstheme="minorHAnsi"/>
            </w:rPr>
            <w:t>pp. 89-143</w:t>
          </w:r>
          <w:r w:rsidR="00FB1CA7" w:rsidRPr="009B1E7D">
            <w:rPr>
              <w:rFonts w:cstheme="minorHAnsi"/>
            </w:rPr>
            <w:t>.</w:t>
          </w:r>
        </w:p>
        <w:p w14:paraId="65CD0CF4" w14:textId="77777777" w:rsidR="00FB1CA7" w:rsidRPr="009B1E7D" w:rsidRDefault="00FB1CA7" w:rsidP="00FB1CA7">
          <w:pPr>
            <w:pStyle w:val="ListParagraph"/>
            <w:rPr>
              <w:rFonts w:cstheme="minorHAnsi"/>
            </w:rPr>
          </w:pPr>
        </w:p>
        <w:p w14:paraId="463B89EA" w14:textId="77777777" w:rsidR="00C7444C" w:rsidRPr="009B1E7D" w:rsidRDefault="00FB1CA7" w:rsidP="00FB1CA7">
          <w:pPr>
            <w:pStyle w:val="FootnoteText"/>
            <w:numPr>
              <w:ilvl w:val="0"/>
              <w:numId w:val="4"/>
            </w:numPr>
            <w:rPr>
              <w:rFonts w:cstheme="minorHAnsi"/>
              <w:sz w:val="24"/>
              <w:szCs w:val="24"/>
            </w:rPr>
          </w:pPr>
          <w:r w:rsidRPr="009B1E7D">
            <w:rPr>
              <w:rFonts w:cstheme="minorHAnsi"/>
              <w:sz w:val="24"/>
              <w:szCs w:val="24"/>
            </w:rPr>
            <w:t>Westrup</w:t>
          </w:r>
          <w:r w:rsidRPr="009B1E7D">
            <w:rPr>
              <w:rFonts w:cstheme="minorHAnsi"/>
              <w:sz w:val="24"/>
              <w:szCs w:val="24"/>
            </w:rPr>
            <w:t xml:space="preserve">, J. A, </w:t>
          </w:r>
          <w:r w:rsidRPr="009B1E7D">
            <w:rPr>
              <w:rFonts w:cstheme="minorHAnsi"/>
              <w:sz w:val="24"/>
              <w:szCs w:val="24"/>
            </w:rPr>
            <w:t xml:space="preserve">‘Medieval Song’, In </w:t>
          </w:r>
          <w:r w:rsidRPr="009B1E7D">
            <w:rPr>
              <w:rFonts w:cstheme="minorHAnsi"/>
              <w:i/>
              <w:iCs/>
              <w:sz w:val="24"/>
              <w:szCs w:val="24"/>
            </w:rPr>
            <w:t xml:space="preserve">The New Oxford History of Music vol. II: Early Medieval Music Up to 1300, </w:t>
          </w:r>
          <w:r w:rsidRPr="009B1E7D">
            <w:rPr>
              <w:rFonts w:cstheme="minorHAnsi"/>
              <w:sz w:val="24"/>
              <w:szCs w:val="24"/>
            </w:rPr>
            <w:t>2</w:t>
          </w:r>
          <w:r w:rsidRPr="009B1E7D">
            <w:rPr>
              <w:rFonts w:cstheme="minorHAnsi"/>
              <w:sz w:val="24"/>
              <w:szCs w:val="24"/>
              <w:vertAlign w:val="superscript"/>
            </w:rPr>
            <w:t>nd</w:t>
          </w:r>
          <w:r w:rsidRPr="009B1E7D">
            <w:rPr>
              <w:rFonts w:cstheme="minorHAnsi"/>
              <w:sz w:val="24"/>
              <w:szCs w:val="24"/>
            </w:rPr>
            <w:t xml:space="preserve"> edn, ed. Dom Anselm Hughes (London: Oxford University Press, 1955) pp. 220-269</w:t>
          </w:r>
          <w:r w:rsidRPr="009B1E7D">
            <w:rPr>
              <w:rFonts w:cstheme="minorHAnsi"/>
              <w:sz w:val="24"/>
              <w:szCs w:val="24"/>
            </w:rPr>
            <w:t>.</w:t>
          </w:r>
        </w:p>
        <w:p w14:paraId="7526AA99" w14:textId="77777777" w:rsidR="00C7444C" w:rsidRPr="009B1E7D" w:rsidRDefault="00C7444C" w:rsidP="00C7444C">
          <w:pPr>
            <w:pStyle w:val="ListParagraph"/>
            <w:rPr>
              <w:rFonts w:cstheme="minorHAnsi"/>
            </w:rPr>
          </w:pPr>
        </w:p>
        <w:p w14:paraId="14318BDC" w14:textId="29ADDEE8" w:rsidR="00C2744D" w:rsidRPr="009B1E7D" w:rsidRDefault="00C7444C" w:rsidP="00FB1CA7">
          <w:pPr>
            <w:pStyle w:val="FootnoteText"/>
            <w:numPr>
              <w:ilvl w:val="0"/>
              <w:numId w:val="4"/>
            </w:numPr>
            <w:rPr>
              <w:rFonts w:cstheme="minorHAnsi"/>
              <w:sz w:val="24"/>
              <w:szCs w:val="24"/>
            </w:rPr>
          </w:pPr>
          <w:r w:rsidRPr="009B1E7D">
            <w:rPr>
              <w:rFonts w:cstheme="minorHAnsi"/>
              <w:sz w:val="24"/>
              <w:szCs w:val="24"/>
            </w:rPr>
            <w:t xml:space="preserve">George F. Whicher, </w:t>
          </w:r>
          <w:r w:rsidRPr="009B1E7D">
            <w:rPr>
              <w:rFonts w:cstheme="minorHAnsi"/>
              <w:i/>
              <w:iCs/>
              <w:sz w:val="24"/>
              <w:szCs w:val="24"/>
            </w:rPr>
            <w:t xml:space="preserve">The Goliard Poets </w:t>
          </w:r>
          <w:r w:rsidRPr="009B1E7D">
            <w:rPr>
              <w:rFonts w:cstheme="minorHAnsi"/>
              <w:sz w:val="24"/>
              <w:szCs w:val="24"/>
            </w:rPr>
            <w:t>(USA: Greenwood Press, 1976)</w:t>
          </w:r>
          <w:r w:rsidRPr="009B1E7D">
            <w:rPr>
              <w:rFonts w:cstheme="minorHAnsi"/>
              <w:sz w:val="24"/>
              <w:szCs w:val="24"/>
            </w:rPr>
            <w:t>.</w:t>
          </w:r>
        </w:p>
      </w:sdtContent>
    </w:sdt>
    <w:p w14:paraId="3B1C5535" w14:textId="77777777" w:rsidR="00C2744D" w:rsidRPr="009B1E7D" w:rsidRDefault="00C2744D" w:rsidP="006755AC">
      <w:pPr>
        <w:rPr>
          <w:rFonts w:cstheme="minorHAnsi"/>
        </w:rPr>
      </w:pPr>
    </w:p>
    <w:sectPr w:rsidR="00C2744D" w:rsidRPr="009B1E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3E2C1" w14:textId="77777777" w:rsidR="00D5453C" w:rsidRDefault="00D5453C" w:rsidP="00D84801">
      <w:r>
        <w:separator/>
      </w:r>
    </w:p>
  </w:endnote>
  <w:endnote w:type="continuationSeparator" w:id="0">
    <w:p w14:paraId="5CB41CAA" w14:textId="77777777" w:rsidR="00D5453C" w:rsidRDefault="00D5453C" w:rsidP="00D848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A2B1A5" w14:textId="77777777" w:rsidR="00D5453C" w:rsidRDefault="00D5453C" w:rsidP="00D84801">
      <w:r>
        <w:separator/>
      </w:r>
    </w:p>
  </w:footnote>
  <w:footnote w:type="continuationSeparator" w:id="0">
    <w:p w14:paraId="073B2843" w14:textId="77777777" w:rsidR="00D5453C" w:rsidRDefault="00D5453C" w:rsidP="00D84801">
      <w:r>
        <w:continuationSeparator/>
      </w:r>
    </w:p>
  </w:footnote>
  <w:footnote w:id="1">
    <w:p w14:paraId="65B16262" w14:textId="2DC19D99" w:rsidR="00D84801" w:rsidRPr="00D84801" w:rsidRDefault="00D84801">
      <w:pPr>
        <w:pStyle w:val="FootnoteText"/>
      </w:pPr>
      <w:r>
        <w:rPr>
          <w:rStyle w:val="FootnoteReference"/>
        </w:rPr>
        <w:footnoteRef/>
      </w:r>
      <w:r>
        <w:t xml:space="preserve"> Donald J. Grout &amp; Claude V. Palisca, </w:t>
      </w:r>
      <w:r>
        <w:rPr>
          <w:i/>
          <w:iCs/>
        </w:rPr>
        <w:t>A History of Western Music,</w:t>
      </w:r>
      <w:r>
        <w:t xml:space="preserve"> 4</w:t>
      </w:r>
      <w:r w:rsidRPr="00D84801">
        <w:rPr>
          <w:vertAlign w:val="superscript"/>
        </w:rPr>
        <w:t>th</w:t>
      </w:r>
      <w:r>
        <w:t xml:space="preserve"> edn. (USA: Norton &amp; Company, 1988) p. 97.</w:t>
      </w:r>
    </w:p>
  </w:footnote>
  <w:footnote w:id="2">
    <w:p w14:paraId="2893CB46" w14:textId="7C050112" w:rsidR="00D84801" w:rsidRPr="00D84801" w:rsidRDefault="00D84801">
      <w:pPr>
        <w:pStyle w:val="FootnoteText"/>
      </w:pPr>
      <w:r>
        <w:rPr>
          <w:rStyle w:val="FootnoteReference"/>
        </w:rPr>
        <w:footnoteRef/>
      </w:r>
      <w:r>
        <w:t xml:space="preserve"> John Stevens, </w:t>
      </w:r>
      <w:r>
        <w:rPr>
          <w:i/>
          <w:iCs/>
        </w:rPr>
        <w:t>Words and Music in the Middle Ages: Song Narrative, Dance and Drama, 1050-1350</w:t>
      </w:r>
      <w:r>
        <w:t xml:space="preserve"> (Cambridge: Cambridge University Press, 1986) p. 199. </w:t>
      </w:r>
    </w:p>
  </w:footnote>
  <w:footnote w:id="3">
    <w:p w14:paraId="74CD8F44" w14:textId="05054069" w:rsidR="00123398" w:rsidRDefault="00123398">
      <w:pPr>
        <w:pStyle w:val="FootnoteText"/>
      </w:pPr>
      <w:r>
        <w:rPr>
          <w:rStyle w:val="FootnoteReference"/>
        </w:rPr>
        <w:footnoteRef/>
      </w:r>
      <w:r>
        <w:t xml:space="preserve"> S</w:t>
      </w:r>
      <w:r w:rsidRPr="00123398">
        <w:t>ally</w:t>
      </w:r>
      <w:r>
        <w:t xml:space="preserve"> Harper</w:t>
      </w:r>
      <w:r w:rsidRPr="00123398">
        <w:t xml:space="preserve">, </w:t>
      </w:r>
      <w:r w:rsidRPr="00123398">
        <w:rPr>
          <w:i/>
          <w:iCs/>
        </w:rPr>
        <w:t>Music in Welsh Culture before 1650 : A Study of the Principal Sources</w:t>
      </w:r>
      <w:r w:rsidRPr="00123398">
        <w:t xml:space="preserve"> (</w:t>
      </w:r>
      <w:r>
        <w:t xml:space="preserve">UK: </w:t>
      </w:r>
      <w:r w:rsidRPr="00123398">
        <w:t>Ashgate, 2007)</w:t>
      </w:r>
      <w:r>
        <w:t xml:space="preserve"> p. 37.</w:t>
      </w:r>
    </w:p>
  </w:footnote>
  <w:footnote w:id="4">
    <w:p w14:paraId="7D6750B4" w14:textId="1CEEC11D" w:rsidR="00D84801" w:rsidRPr="00D84801" w:rsidRDefault="00D84801">
      <w:pPr>
        <w:pStyle w:val="FootnoteText"/>
      </w:pPr>
      <w:r>
        <w:rPr>
          <w:rStyle w:val="FootnoteReference"/>
        </w:rPr>
        <w:footnoteRef/>
      </w:r>
      <w:r>
        <w:t xml:space="preserve"> Ernest H. Sanders, ‘Polyphony and Secular Monophony: Ninth Century – c. 1300’, In</w:t>
      </w:r>
      <w:r>
        <w:rPr>
          <w:i/>
          <w:iCs/>
        </w:rPr>
        <w:t xml:space="preserve"> A History of Western Music,</w:t>
      </w:r>
      <w:r>
        <w:t xml:space="preserve"> ed. F. W. Sternfeld (London: Weidenfeld &amp; Nicolson, 1973) pp. 89-143 (p. 128).</w:t>
      </w:r>
    </w:p>
  </w:footnote>
  <w:footnote w:id="5">
    <w:p w14:paraId="523846F9" w14:textId="72349803" w:rsidR="00D84801" w:rsidRPr="00D84801" w:rsidRDefault="00D84801">
      <w:pPr>
        <w:pStyle w:val="FootnoteText"/>
      </w:pPr>
      <w:r>
        <w:rPr>
          <w:rStyle w:val="FootnoteReference"/>
        </w:rPr>
        <w:footnoteRef/>
      </w:r>
      <w:r>
        <w:t xml:space="preserve"> Grout &amp; Palisca, </w:t>
      </w:r>
      <w:r>
        <w:rPr>
          <w:i/>
          <w:iCs/>
        </w:rPr>
        <w:t xml:space="preserve">A History of Western </w:t>
      </w:r>
      <w:r w:rsidR="00AE2EC0">
        <w:rPr>
          <w:i/>
          <w:iCs/>
        </w:rPr>
        <w:t>Music</w:t>
      </w:r>
      <w:r>
        <w:t>, p. 83.</w:t>
      </w:r>
    </w:p>
  </w:footnote>
  <w:footnote w:id="6">
    <w:p w14:paraId="7F0DD236" w14:textId="68637CA6" w:rsidR="00D84801" w:rsidRPr="00D84801" w:rsidRDefault="00D84801">
      <w:pPr>
        <w:pStyle w:val="FootnoteText"/>
      </w:pPr>
      <w:r>
        <w:rPr>
          <w:rStyle w:val="FootnoteReference"/>
        </w:rPr>
        <w:footnoteRef/>
      </w:r>
      <w:r>
        <w:t xml:space="preserve"> J. A. Westrup, ‘Medieval Song’, In </w:t>
      </w:r>
      <w:r>
        <w:rPr>
          <w:i/>
          <w:iCs/>
        </w:rPr>
        <w:t xml:space="preserve">The New Oxford History of Music vol. II: Early Medieval Music Up to 1300, </w:t>
      </w:r>
      <w:r>
        <w:t>2</w:t>
      </w:r>
      <w:r w:rsidRPr="00D84801">
        <w:rPr>
          <w:vertAlign w:val="superscript"/>
        </w:rPr>
        <w:t>nd</w:t>
      </w:r>
      <w:r>
        <w:t xml:space="preserve"> edn, ed. Dom Anselm Hughes (London: Oxford University Press, 1955) pp. 220-269 (p. 222).</w:t>
      </w:r>
    </w:p>
  </w:footnote>
  <w:footnote w:id="7">
    <w:p w14:paraId="66BDD720" w14:textId="4019869A" w:rsidR="00D84801" w:rsidRPr="00D84801" w:rsidRDefault="00D84801">
      <w:pPr>
        <w:pStyle w:val="FootnoteText"/>
      </w:pPr>
      <w:r>
        <w:rPr>
          <w:rStyle w:val="FootnoteReference"/>
        </w:rPr>
        <w:footnoteRef/>
      </w:r>
      <w:r>
        <w:t xml:space="preserve"> Peter Dronke, </w:t>
      </w:r>
      <w:r>
        <w:rPr>
          <w:i/>
          <w:iCs/>
        </w:rPr>
        <w:t>The Medieval Lyric</w:t>
      </w:r>
      <w:r>
        <w:t>, 2</w:t>
      </w:r>
      <w:r w:rsidRPr="00D84801">
        <w:rPr>
          <w:vertAlign w:val="superscript"/>
        </w:rPr>
        <w:t>nd</w:t>
      </w:r>
      <w:r>
        <w:t xml:space="preserve"> edn. (London: Hutchinson &amp; co., 1978) p. 20.</w:t>
      </w:r>
    </w:p>
  </w:footnote>
  <w:footnote w:id="8">
    <w:p w14:paraId="173B01DE" w14:textId="374DEE56" w:rsidR="00D84801" w:rsidRDefault="00D84801">
      <w:pPr>
        <w:pStyle w:val="FootnoteText"/>
      </w:pPr>
      <w:r>
        <w:rPr>
          <w:rStyle w:val="FootnoteReference"/>
        </w:rPr>
        <w:footnoteRef/>
      </w:r>
      <w:r>
        <w:t xml:space="preserve"> Westrup, p. 222. </w:t>
      </w:r>
    </w:p>
  </w:footnote>
  <w:footnote w:id="9">
    <w:p w14:paraId="61F4DF9C" w14:textId="5226554F" w:rsidR="00D84801" w:rsidRDefault="00D84801">
      <w:pPr>
        <w:pStyle w:val="FootnoteText"/>
      </w:pPr>
      <w:r>
        <w:rPr>
          <w:rStyle w:val="FootnoteReference"/>
        </w:rPr>
        <w:footnoteRef/>
      </w:r>
      <w:r>
        <w:t xml:space="preserve"> </w:t>
      </w:r>
      <w:r w:rsidRPr="00D84801">
        <w:t xml:space="preserve">Grout &amp; Palisca, </w:t>
      </w:r>
      <w:r w:rsidRPr="0052254A">
        <w:rPr>
          <w:i/>
          <w:iCs/>
        </w:rPr>
        <w:t xml:space="preserve">A History of Western </w:t>
      </w:r>
      <w:r w:rsidR="00AE2EC0" w:rsidRPr="0052254A">
        <w:rPr>
          <w:i/>
          <w:iCs/>
        </w:rPr>
        <w:t>Music</w:t>
      </w:r>
      <w:r w:rsidRPr="00D84801">
        <w:t>, p. 83.</w:t>
      </w:r>
    </w:p>
  </w:footnote>
  <w:footnote w:id="10">
    <w:p w14:paraId="2854AFD1" w14:textId="1BE45DE3" w:rsidR="00D84801" w:rsidRPr="00D84801" w:rsidRDefault="00D84801">
      <w:pPr>
        <w:pStyle w:val="FootnoteText"/>
      </w:pPr>
      <w:r>
        <w:rPr>
          <w:rStyle w:val="FootnoteReference"/>
        </w:rPr>
        <w:footnoteRef/>
      </w:r>
      <w:r>
        <w:t xml:space="preserve"> Dronke</w:t>
      </w:r>
      <w:r>
        <w:rPr>
          <w:i/>
          <w:iCs/>
        </w:rPr>
        <w:t>, The Medieval Lyric</w:t>
      </w:r>
      <w:r>
        <w:t>, p. 16.</w:t>
      </w:r>
    </w:p>
  </w:footnote>
  <w:footnote w:id="11">
    <w:p w14:paraId="2BFF0CFB" w14:textId="19D2EF20" w:rsidR="00D84801" w:rsidRDefault="00D84801">
      <w:pPr>
        <w:pStyle w:val="FootnoteText"/>
      </w:pPr>
      <w:r>
        <w:rPr>
          <w:rStyle w:val="FootnoteReference"/>
        </w:rPr>
        <w:footnoteRef/>
      </w:r>
      <w:r>
        <w:t xml:space="preserve"> Ibid. p. 22.</w:t>
      </w:r>
    </w:p>
  </w:footnote>
  <w:footnote w:id="12">
    <w:p w14:paraId="089DF8C0" w14:textId="23A38ADF" w:rsidR="00D84801" w:rsidRDefault="00D84801">
      <w:pPr>
        <w:pStyle w:val="FootnoteText"/>
      </w:pPr>
      <w:r>
        <w:rPr>
          <w:rStyle w:val="FootnoteReference"/>
        </w:rPr>
        <w:footnoteRef/>
      </w:r>
      <w:r>
        <w:t xml:space="preserve"> </w:t>
      </w:r>
      <w:r>
        <w:t xml:space="preserve">Grout &amp; Palisca, </w:t>
      </w:r>
      <w:r>
        <w:rPr>
          <w:i/>
          <w:iCs/>
        </w:rPr>
        <w:t xml:space="preserve">A History of Western </w:t>
      </w:r>
      <w:r w:rsidR="00AE2EC0">
        <w:rPr>
          <w:i/>
          <w:iCs/>
        </w:rPr>
        <w:t>Music</w:t>
      </w:r>
      <w:r>
        <w:t>, p. 83</w:t>
      </w:r>
      <w:r>
        <w:t>.</w:t>
      </w:r>
    </w:p>
  </w:footnote>
  <w:footnote w:id="13">
    <w:p w14:paraId="5F37F719" w14:textId="5E65FFA3" w:rsidR="00D84801" w:rsidRDefault="00D84801">
      <w:pPr>
        <w:pStyle w:val="FootnoteText"/>
      </w:pPr>
      <w:r>
        <w:rPr>
          <w:rStyle w:val="FootnoteReference"/>
        </w:rPr>
        <w:footnoteRef/>
      </w:r>
      <w:r>
        <w:t xml:space="preserve"> </w:t>
      </w:r>
      <w:r w:rsidR="002325E5" w:rsidRPr="002325E5">
        <w:t>Chistopher</w:t>
      </w:r>
      <w:r w:rsidR="002325E5">
        <w:t xml:space="preserve"> Page</w:t>
      </w:r>
      <w:r w:rsidR="002325E5" w:rsidRPr="002325E5">
        <w:t xml:space="preserve">, </w:t>
      </w:r>
      <w:r w:rsidR="002325E5" w:rsidRPr="002325E5">
        <w:rPr>
          <w:i/>
          <w:iCs/>
        </w:rPr>
        <w:t>The Owl &amp; the Nightingale: Musical Life and Ideas in France 1100-1300</w:t>
      </w:r>
      <w:r w:rsidR="002325E5" w:rsidRPr="002325E5">
        <w:t xml:space="preserve"> (California: University of California, Santa Barbara, 1992)</w:t>
      </w:r>
      <w:r w:rsidR="002325E5">
        <w:t xml:space="preserve"> p.</w:t>
      </w:r>
      <w:r w:rsidR="0043195D">
        <w:t>20.</w:t>
      </w:r>
    </w:p>
  </w:footnote>
  <w:footnote w:id="14">
    <w:p w14:paraId="14AAD8C7" w14:textId="5B4025C3" w:rsidR="006F572E" w:rsidRDefault="006F572E">
      <w:pPr>
        <w:pStyle w:val="FootnoteText"/>
      </w:pPr>
      <w:r>
        <w:rPr>
          <w:rStyle w:val="FootnoteReference"/>
        </w:rPr>
        <w:footnoteRef/>
      </w:r>
      <w:r>
        <w:t xml:space="preserve"> </w:t>
      </w:r>
      <w:r w:rsidR="005D0693">
        <w:t>Ibid. p. 22.</w:t>
      </w:r>
    </w:p>
  </w:footnote>
  <w:footnote w:id="15">
    <w:p w14:paraId="60F747FC" w14:textId="6BE9E233" w:rsidR="00123398" w:rsidRDefault="00123398">
      <w:pPr>
        <w:pStyle w:val="FootnoteText"/>
      </w:pPr>
      <w:r>
        <w:rPr>
          <w:rStyle w:val="FootnoteReference"/>
        </w:rPr>
        <w:footnoteRef/>
      </w:r>
      <w:r>
        <w:t xml:space="preserve"> Ibid.</w:t>
      </w:r>
    </w:p>
  </w:footnote>
  <w:footnote w:id="16">
    <w:p w14:paraId="3FA999B3" w14:textId="16BB7A8C" w:rsidR="00123398" w:rsidRPr="00123398" w:rsidRDefault="00123398">
      <w:pPr>
        <w:pStyle w:val="FootnoteText"/>
      </w:pPr>
      <w:r>
        <w:rPr>
          <w:rStyle w:val="FootnoteReference"/>
        </w:rPr>
        <w:footnoteRef/>
      </w:r>
      <w:r>
        <w:t xml:space="preserve"> Dronke, </w:t>
      </w:r>
      <w:r>
        <w:rPr>
          <w:i/>
          <w:iCs/>
        </w:rPr>
        <w:t>The Medieval Lyric</w:t>
      </w:r>
      <w:r>
        <w:t>, p. 16.</w:t>
      </w:r>
    </w:p>
  </w:footnote>
  <w:footnote w:id="17">
    <w:p w14:paraId="547CBA6B" w14:textId="21A3339C" w:rsidR="00123398" w:rsidRPr="00123398" w:rsidRDefault="00123398">
      <w:pPr>
        <w:pStyle w:val="FootnoteText"/>
      </w:pPr>
      <w:r>
        <w:rPr>
          <w:rStyle w:val="FootnoteReference"/>
        </w:rPr>
        <w:footnoteRef/>
      </w:r>
      <w:r>
        <w:t xml:space="preserve"> </w:t>
      </w:r>
      <w:r>
        <w:t>Page</w:t>
      </w:r>
      <w:r w:rsidRPr="002325E5">
        <w:t xml:space="preserve">, </w:t>
      </w:r>
      <w:r w:rsidRPr="002325E5">
        <w:rPr>
          <w:i/>
          <w:iCs/>
        </w:rPr>
        <w:t>The Owl &amp; the Nightingale</w:t>
      </w:r>
      <w:r>
        <w:t>, p. 18.</w:t>
      </w:r>
    </w:p>
  </w:footnote>
  <w:footnote w:id="18">
    <w:p w14:paraId="48EA53F9" w14:textId="14C045D0" w:rsidR="005C49FD" w:rsidRDefault="005C49FD">
      <w:pPr>
        <w:pStyle w:val="FootnoteText"/>
      </w:pPr>
      <w:r>
        <w:rPr>
          <w:rStyle w:val="FootnoteReference"/>
        </w:rPr>
        <w:footnoteRef/>
      </w:r>
      <w:r>
        <w:t xml:space="preserve"> </w:t>
      </w:r>
      <w:r>
        <w:t xml:space="preserve">Dronke, </w:t>
      </w:r>
      <w:r>
        <w:rPr>
          <w:i/>
          <w:iCs/>
        </w:rPr>
        <w:t>The Medieval Lyric,</w:t>
      </w:r>
      <w:r>
        <w:t xml:space="preserve"> p. 28.</w:t>
      </w:r>
    </w:p>
  </w:footnote>
  <w:footnote w:id="19">
    <w:p w14:paraId="21DB9413" w14:textId="779A1406" w:rsidR="00123398" w:rsidRPr="00123398" w:rsidRDefault="00123398">
      <w:pPr>
        <w:pStyle w:val="FootnoteText"/>
      </w:pPr>
      <w:r>
        <w:rPr>
          <w:rStyle w:val="FootnoteReference"/>
        </w:rPr>
        <w:footnoteRef/>
      </w:r>
      <w:r>
        <w:t xml:space="preserve"> </w:t>
      </w:r>
      <w:r w:rsidR="005C49FD">
        <w:t>Ibid.</w:t>
      </w:r>
    </w:p>
  </w:footnote>
  <w:footnote w:id="20">
    <w:p w14:paraId="11A283C2" w14:textId="606CDD87" w:rsidR="00123398" w:rsidRDefault="00123398">
      <w:pPr>
        <w:pStyle w:val="FootnoteText"/>
      </w:pPr>
      <w:r>
        <w:rPr>
          <w:rStyle w:val="FootnoteReference"/>
        </w:rPr>
        <w:footnoteRef/>
      </w:r>
      <w:r>
        <w:t xml:space="preserve"> Ibid. p.18. </w:t>
      </w:r>
    </w:p>
  </w:footnote>
  <w:footnote w:id="21">
    <w:p w14:paraId="7F6608AF" w14:textId="1309DE31" w:rsidR="00123398" w:rsidRPr="00123398" w:rsidRDefault="00123398">
      <w:pPr>
        <w:pStyle w:val="FootnoteText"/>
      </w:pPr>
      <w:r>
        <w:rPr>
          <w:rStyle w:val="FootnoteReference"/>
        </w:rPr>
        <w:footnoteRef/>
      </w:r>
      <w:r>
        <w:t xml:space="preserve"> </w:t>
      </w:r>
      <w:r>
        <w:t>Page</w:t>
      </w:r>
      <w:r w:rsidRPr="002325E5">
        <w:t xml:space="preserve">, </w:t>
      </w:r>
      <w:r w:rsidRPr="002325E5">
        <w:rPr>
          <w:i/>
          <w:iCs/>
        </w:rPr>
        <w:t>The Owl &amp; the Nightingale</w:t>
      </w:r>
      <w:r>
        <w:rPr>
          <w:i/>
          <w:iCs/>
        </w:rPr>
        <w:t xml:space="preserve">, </w:t>
      </w:r>
      <w:r>
        <w:t>p. 44.</w:t>
      </w:r>
    </w:p>
  </w:footnote>
  <w:footnote w:id="22">
    <w:p w14:paraId="00C18891" w14:textId="3172EADD" w:rsidR="00123398" w:rsidRDefault="00123398">
      <w:pPr>
        <w:pStyle w:val="FootnoteText"/>
      </w:pPr>
      <w:r>
        <w:rPr>
          <w:rStyle w:val="FootnoteReference"/>
        </w:rPr>
        <w:footnoteRef/>
      </w:r>
      <w:r>
        <w:t xml:space="preserve"> </w:t>
      </w:r>
      <w:r w:rsidRPr="00123398">
        <w:t>Dronke, The Medieval Lyric, p. 2</w:t>
      </w:r>
      <w:r>
        <w:t>3.</w:t>
      </w:r>
    </w:p>
  </w:footnote>
  <w:footnote w:id="23">
    <w:p w14:paraId="1AD5B441" w14:textId="6B1CE285" w:rsidR="00123398" w:rsidRDefault="00123398">
      <w:pPr>
        <w:pStyle w:val="FootnoteText"/>
      </w:pPr>
      <w:r>
        <w:rPr>
          <w:rStyle w:val="FootnoteReference"/>
        </w:rPr>
        <w:footnoteRef/>
      </w:r>
      <w:r>
        <w:t xml:space="preserve"> Ibid.</w:t>
      </w:r>
    </w:p>
  </w:footnote>
  <w:footnote w:id="24">
    <w:p w14:paraId="35F3DB3C" w14:textId="052FE3F6" w:rsidR="00123398" w:rsidRDefault="00123398">
      <w:pPr>
        <w:pStyle w:val="FootnoteText"/>
      </w:pPr>
      <w:r>
        <w:rPr>
          <w:rStyle w:val="FootnoteReference"/>
        </w:rPr>
        <w:footnoteRef/>
      </w:r>
      <w:r>
        <w:t xml:space="preserve"> Grout &amp; Palisca, </w:t>
      </w:r>
      <w:r>
        <w:t xml:space="preserve">, </w:t>
      </w:r>
      <w:r>
        <w:rPr>
          <w:i/>
          <w:iCs/>
        </w:rPr>
        <w:t xml:space="preserve">A History of Western </w:t>
      </w:r>
      <w:r w:rsidR="00AE2EC0">
        <w:rPr>
          <w:i/>
          <w:iCs/>
        </w:rPr>
        <w:t>Music</w:t>
      </w:r>
      <w:r>
        <w:t>, p. 83.</w:t>
      </w:r>
    </w:p>
  </w:footnote>
  <w:footnote w:id="25">
    <w:p w14:paraId="296BEAB0" w14:textId="0956CC46" w:rsidR="00123398" w:rsidRDefault="00123398">
      <w:pPr>
        <w:pStyle w:val="FootnoteText"/>
      </w:pPr>
      <w:r>
        <w:rPr>
          <w:rStyle w:val="FootnoteReference"/>
        </w:rPr>
        <w:footnoteRef/>
      </w:r>
      <w:r>
        <w:t xml:space="preserve"> Ibid. p. 84.</w:t>
      </w:r>
    </w:p>
  </w:footnote>
  <w:footnote w:id="26">
    <w:p w14:paraId="5F2014CF" w14:textId="0BE466BB" w:rsidR="00123398" w:rsidRDefault="00123398">
      <w:pPr>
        <w:pStyle w:val="FootnoteText"/>
      </w:pPr>
      <w:r>
        <w:rPr>
          <w:rStyle w:val="FootnoteReference"/>
        </w:rPr>
        <w:footnoteRef/>
      </w:r>
      <w:r>
        <w:t xml:space="preserve"> Ibid.</w:t>
      </w:r>
    </w:p>
  </w:footnote>
  <w:footnote w:id="27">
    <w:p w14:paraId="1583EE19" w14:textId="7D4B1ACB" w:rsidR="00123398" w:rsidRDefault="00123398">
      <w:pPr>
        <w:pStyle w:val="FootnoteText"/>
      </w:pPr>
      <w:r>
        <w:rPr>
          <w:rStyle w:val="FootnoteReference"/>
        </w:rPr>
        <w:footnoteRef/>
      </w:r>
      <w:r>
        <w:t xml:space="preserve"> Westrup, p. 225.</w:t>
      </w:r>
    </w:p>
  </w:footnote>
  <w:footnote w:id="28">
    <w:p w14:paraId="6C57FEBF" w14:textId="54135850" w:rsidR="00123398" w:rsidRDefault="00123398">
      <w:pPr>
        <w:pStyle w:val="FootnoteText"/>
      </w:pPr>
      <w:r>
        <w:rPr>
          <w:rStyle w:val="FootnoteReference"/>
        </w:rPr>
        <w:footnoteRef/>
      </w:r>
      <w:r>
        <w:t xml:space="preserve"> </w:t>
      </w:r>
      <w:r w:rsidRPr="00123398">
        <w:t xml:space="preserve">Grout &amp; Palisca, , A History of Western </w:t>
      </w:r>
      <w:r w:rsidR="00AE2EC0">
        <w:t>Music</w:t>
      </w:r>
      <w:r w:rsidRPr="00123398">
        <w:t>, p. 8</w:t>
      </w:r>
      <w:r>
        <w:t>4.</w:t>
      </w:r>
    </w:p>
  </w:footnote>
  <w:footnote w:id="29">
    <w:p w14:paraId="53CD73CD" w14:textId="525729B6" w:rsidR="00123398" w:rsidRDefault="00123398">
      <w:pPr>
        <w:pStyle w:val="FootnoteText"/>
      </w:pPr>
      <w:r>
        <w:rPr>
          <w:rStyle w:val="FootnoteReference"/>
        </w:rPr>
        <w:footnoteRef/>
      </w:r>
      <w:r>
        <w:t xml:space="preserve"> </w:t>
      </w:r>
      <w:r w:rsidRPr="00123398">
        <w:t>Christopher</w:t>
      </w:r>
      <w:r>
        <w:t xml:space="preserve"> Page</w:t>
      </w:r>
      <w:r w:rsidRPr="00123398">
        <w:t xml:space="preserve">, </w:t>
      </w:r>
      <w:r w:rsidRPr="00123398">
        <w:rPr>
          <w:i/>
          <w:iCs/>
        </w:rPr>
        <w:t>Voices and Instruments of the Middle Ages</w:t>
      </w:r>
      <w:r w:rsidRPr="00123398">
        <w:t xml:space="preserve"> (Oxford: Oxford University Press, 1987)</w:t>
      </w:r>
      <w:r>
        <w:t xml:space="preserve"> pp. 3-6.</w:t>
      </w:r>
    </w:p>
  </w:footnote>
  <w:footnote w:id="30">
    <w:p w14:paraId="61021676" w14:textId="6AA127BF" w:rsidR="00123398" w:rsidRDefault="00123398">
      <w:pPr>
        <w:pStyle w:val="FootnoteText"/>
      </w:pPr>
      <w:r>
        <w:rPr>
          <w:rStyle w:val="FootnoteReference"/>
        </w:rPr>
        <w:footnoteRef/>
      </w:r>
      <w:r>
        <w:t xml:space="preserve"> Ibid. p. 3.</w:t>
      </w:r>
    </w:p>
  </w:footnote>
  <w:footnote w:id="31">
    <w:p w14:paraId="4C4540CE" w14:textId="31C9BF49" w:rsidR="00123398" w:rsidRDefault="00123398">
      <w:pPr>
        <w:pStyle w:val="FootnoteText"/>
      </w:pPr>
      <w:r>
        <w:rPr>
          <w:rStyle w:val="FootnoteReference"/>
        </w:rPr>
        <w:footnoteRef/>
      </w:r>
      <w:r>
        <w:t xml:space="preserve"> Westrup, p. 224.</w:t>
      </w:r>
    </w:p>
  </w:footnote>
  <w:footnote w:id="32">
    <w:p w14:paraId="09663BD8" w14:textId="72421740" w:rsidR="00123398" w:rsidRPr="00123398" w:rsidRDefault="00123398">
      <w:pPr>
        <w:pStyle w:val="FootnoteText"/>
      </w:pPr>
      <w:r>
        <w:rPr>
          <w:rStyle w:val="FootnoteReference"/>
        </w:rPr>
        <w:footnoteRef/>
      </w:r>
      <w:r>
        <w:t xml:space="preserve"> Page, </w:t>
      </w:r>
      <w:r>
        <w:rPr>
          <w:i/>
          <w:iCs/>
        </w:rPr>
        <w:t>Voices and Instruments</w:t>
      </w:r>
      <w:r>
        <w:t>, p. 6-7.</w:t>
      </w:r>
    </w:p>
  </w:footnote>
  <w:footnote w:id="33">
    <w:p w14:paraId="6A3D59C7" w14:textId="4E4DD12B" w:rsidR="00123398" w:rsidRDefault="00123398">
      <w:pPr>
        <w:pStyle w:val="FootnoteText"/>
      </w:pPr>
      <w:r>
        <w:rPr>
          <w:rStyle w:val="FootnoteReference"/>
        </w:rPr>
        <w:footnoteRef/>
      </w:r>
      <w:r>
        <w:t xml:space="preserve"> S</w:t>
      </w:r>
      <w:r w:rsidR="00174446">
        <w:t>anders</w:t>
      </w:r>
      <w:r>
        <w:t>, p. 128.</w:t>
      </w:r>
    </w:p>
  </w:footnote>
  <w:footnote w:id="34">
    <w:p w14:paraId="20E81F61" w14:textId="59411D4D" w:rsidR="00123398" w:rsidRPr="00123398" w:rsidRDefault="00123398">
      <w:pPr>
        <w:pStyle w:val="FootnoteText"/>
      </w:pPr>
      <w:r>
        <w:rPr>
          <w:rStyle w:val="FootnoteReference"/>
        </w:rPr>
        <w:footnoteRef/>
      </w:r>
      <w:r>
        <w:t xml:space="preserve"> Dronke, </w:t>
      </w:r>
      <w:r>
        <w:rPr>
          <w:i/>
          <w:iCs/>
        </w:rPr>
        <w:t>The Medieval Lyric</w:t>
      </w:r>
      <w:r>
        <w:t>, p. 20.</w:t>
      </w:r>
    </w:p>
  </w:footnote>
  <w:footnote w:id="35">
    <w:p w14:paraId="21078C88" w14:textId="53AF89E4" w:rsidR="00C60EEA" w:rsidRDefault="00C60EEA">
      <w:pPr>
        <w:pStyle w:val="FootnoteText"/>
      </w:pPr>
      <w:r>
        <w:rPr>
          <w:rStyle w:val="FootnoteReference"/>
        </w:rPr>
        <w:footnoteRef/>
      </w:r>
      <w:r>
        <w:t xml:space="preserve"> </w:t>
      </w:r>
      <w:r>
        <w:t>S</w:t>
      </w:r>
      <w:r w:rsidR="00174446">
        <w:t>anders</w:t>
      </w:r>
      <w:r>
        <w:t>, p. 128.</w:t>
      </w:r>
    </w:p>
  </w:footnote>
  <w:footnote w:id="36">
    <w:p w14:paraId="6EA985E6" w14:textId="4E919268" w:rsidR="00123398" w:rsidRDefault="00123398">
      <w:pPr>
        <w:pStyle w:val="FootnoteText"/>
      </w:pPr>
      <w:r>
        <w:rPr>
          <w:rStyle w:val="FootnoteReference"/>
        </w:rPr>
        <w:footnoteRef/>
      </w:r>
      <w:r>
        <w:t xml:space="preserve"> </w:t>
      </w:r>
      <w:r w:rsidR="00C60EEA">
        <w:t>Ibid.</w:t>
      </w:r>
    </w:p>
  </w:footnote>
  <w:footnote w:id="37">
    <w:p w14:paraId="237AEFFC" w14:textId="35C129F7" w:rsidR="00123398" w:rsidRPr="00123398" w:rsidRDefault="00123398">
      <w:pPr>
        <w:pStyle w:val="FootnoteText"/>
      </w:pPr>
      <w:r>
        <w:rPr>
          <w:rStyle w:val="FootnoteReference"/>
        </w:rPr>
        <w:footnoteRef/>
      </w:r>
      <w:r>
        <w:t xml:space="preserve"> Dronke, </w:t>
      </w:r>
      <w:r>
        <w:rPr>
          <w:i/>
          <w:iCs/>
        </w:rPr>
        <w:t>The Medieval Lyric</w:t>
      </w:r>
      <w:r>
        <w:t>, p. 23.</w:t>
      </w:r>
    </w:p>
  </w:footnote>
  <w:footnote w:id="38">
    <w:p w14:paraId="4C44E5C0" w14:textId="3459A40D" w:rsidR="00123398" w:rsidRDefault="00123398" w:rsidP="00123398">
      <w:pPr>
        <w:pStyle w:val="FootnoteText"/>
      </w:pPr>
      <w:r>
        <w:rPr>
          <w:rStyle w:val="FootnoteReference"/>
        </w:rPr>
        <w:footnoteRef/>
      </w:r>
      <w:r>
        <w:t xml:space="preserve"> </w:t>
      </w:r>
      <w:r>
        <w:t>Manuel Pedro Ferreira</w:t>
      </w:r>
      <w:r>
        <w:t>, ‘</w:t>
      </w:r>
      <w:r>
        <w:t>Medieval Iberian Song in its Mediterranean</w:t>
      </w:r>
      <w:r>
        <w:t xml:space="preserve"> </w:t>
      </w:r>
      <w:r>
        <w:t xml:space="preserve">Context: From Andalusian </w:t>
      </w:r>
      <w:r w:rsidRPr="00123398">
        <w:rPr>
          <w:i/>
          <w:iCs/>
        </w:rPr>
        <w:t>Muwashshahat</w:t>
      </w:r>
      <w:r w:rsidRPr="00123398">
        <w:rPr>
          <w:i/>
          <w:iCs/>
        </w:rPr>
        <w:t xml:space="preserve"> </w:t>
      </w:r>
      <w:r>
        <w:t>to the Cantigas de</w:t>
      </w:r>
      <w:r>
        <w:t xml:space="preserve"> </w:t>
      </w:r>
      <w:r>
        <w:t>Santa Maria</w:t>
      </w:r>
      <w:r>
        <w:t xml:space="preserve">’, in </w:t>
      </w:r>
      <w:r w:rsidRPr="00123398">
        <w:rPr>
          <w:i/>
          <w:iCs/>
        </w:rPr>
        <w:t>Music and Instruments of the Middle Ages : Essays in Honour of Christopher Page</w:t>
      </w:r>
      <w:r w:rsidRPr="00123398">
        <w:t xml:space="preserve">, ed. Tess Knighton </w:t>
      </w:r>
      <w:r>
        <w:t>&amp;</w:t>
      </w:r>
      <w:r w:rsidRPr="00123398">
        <w:t xml:space="preserve"> David Skinner (The Boydell Press, 2020)</w:t>
      </w:r>
      <w:r>
        <w:t xml:space="preserve"> pp. 61-76 (p. 62).</w:t>
      </w:r>
    </w:p>
  </w:footnote>
  <w:footnote w:id="39">
    <w:p w14:paraId="0EDF75A2" w14:textId="247E6E2F" w:rsidR="00123398" w:rsidRDefault="00123398">
      <w:pPr>
        <w:pStyle w:val="FootnoteText"/>
      </w:pPr>
      <w:r>
        <w:rPr>
          <w:rStyle w:val="FootnoteReference"/>
        </w:rPr>
        <w:footnoteRef/>
      </w:r>
      <w:r>
        <w:t xml:space="preserve"> </w:t>
      </w:r>
      <w:r w:rsidR="00B90E7C">
        <w:t xml:space="preserve">Dronke, </w:t>
      </w:r>
      <w:r w:rsidR="00B90E7C">
        <w:rPr>
          <w:i/>
          <w:iCs/>
        </w:rPr>
        <w:t>The Medieval Lyric</w:t>
      </w:r>
      <w:r>
        <w:t>, p. 20.</w:t>
      </w:r>
    </w:p>
  </w:footnote>
  <w:footnote w:id="40">
    <w:p w14:paraId="5CFF6933" w14:textId="3B3F585F" w:rsidR="00123398" w:rsidRDefault="00123398">
      <w:pPr>
        <w:pStyle w:val="FootnoteText"/>
      </w:pPr>
      <w:r>
        <w:rPr>
          <w:rStyle w:val="FootnoteReference"/>
        </w:rPr>
        <w:footnoteRef/>
      </w:r>
      <w:r>
        <w:t xml:space="preserve"> Ibid. p. 21.</w:t>
      </w:r>
    </w:p>
  </w:footnote>
  <w:footnote w:id="41">
    <w:p w14:paraId="502D7FFE" w14:textId="19490140" w:rsidR="00123398" w:rsidRDefault="00123398">
      <w:pPr>
        <w:pStyle w:val="FootnoteText"/>
      </w:pPr>
      <w:r>
        <w:rPr>
          <w:rStyle w:val="FootnoteReference"/>
        </w:rPr>
        <w:footnoteRef/>
      </w:r>
      <w:r>
        <w:t xml:space="preserve"> </w:t>
      </w:r>
      <w:r>
        <w:t xml:space="preserve">Grout &amp; Palisca, , </w:t>
      </w:r>
      <w:r>
        <w:rPr>
          <w:i/>
          <w:iCs/>
        </w:rPr>
        <w:t xml:space="preserve">A History of Western </w:t>
      </w:r>
      <w:r w:rsidR="00DF02E1">
        <w:rPr>
          <w:i/>
          <w:iCs/>
        </w:rPr>
        <w:t>Music</w:t>
      </w:r>
      <w:r>
        <w:t xml:space="preserve">, p. </w:t>
      </w:r>
      <w:r>
        <w:t>86.</w:t>
      </w:r>
    </w:p>
  </w:footnote>
  <w:footnote w:id="42">
    <w:p w14:paraId="1AF38335" w14:textId="31E24837" w:rsidR="00123398" w:rsidRPr="00123398" w:rsidRDefault="00123398">
      <w:pPr>
        <w:pStyle w:val="FootnoteText"/>
      </w:pPr>
      <w:r>
        <w:rPr>
          <w:rStyle w:val="FootnoteReference"/>
        </w:rPr>
        <w:footnoteRef/>
      </w:r>
      <w:r>
        <w:t xml:space="preserve"> Olive Sayce, </w:t>
      </w:r>
      <w:r>
        <w:rPr>
          <w:i/>
          <w:iCs/>
        </w:rPr>
        <w:t>The Medieval German Lyric 1150-1300: The development of its themes and forms in their European context</w:t>
      </w:r>
      <w:r>
        <w:t xml:space="preserve"> (Oxford: Clarendon Press, 1982) p. 289.  </w:t>
      </w:r>
    </w:p>
  </w:footnote>
  <w:footnote w:id="43">
    <w:p w14:paraId="4FB30C68" w14:textId="03E14586" w:rsidR="00986B74" w:rsidRPr="00C360CF" w:rsidRDefault="00986B74">
      <w:pPr>
        <w:pStyle w:val="FootnoteText"/>
      </w:pPr>
      <w:r>
        <w:rPr>
          <w:rStyle w:val="FootnoteReference"/>
        </w:rPr>
        <w:footnoteRef/>
      </w:r>
      <w:r>
        <w:t xml:space="preserve"> Linda M. Paterson, </w:t>
      </w:r>
      <w:r w:rsidR="00C360CF">
        <w:rPr>
          <w:i/>
          <w:iCs/>
        </w:rPr>
        <w:t>Troubadours and Eloquence</w:t>
      </w:r>
      <w:r w:rsidR="00C360CF">
        <w:t xml:space="preserve"> (</w:t>
      </w:r>
      <w:r w:rsidR="005D0238">
        <w:t>Oxford: Clarendon Press</w:t>
      </w:r>
      <w:r w:rsidR="00623607">
        <w:t>, 1975) p. 1.</w:t>
      </w:r>
    </w:p>
  </w:footnote>
  <w:footnote w:id="44">
    <w:p w14:paraId="69FF37C8" w14:textId="20C1C686" w:rsidR="006F1C2A" w:rsidRDefault="006F1C2A">
      <w:pPr>
        <w:pStyle w:val="FootnoteText"/>
      </w:pPr>
      <w:r>
        <w:rPr>
          <w:rStyle w:val="FootnoteReference"/>
        </w:rPr>
        <w:footnoteRef/>
      </w:r>
      <w:r>
        <w:t xml:space="preserve"> </w:t>
      </w:r>
      <w:r>
        <w:t xml:space="preserve">Grout &amp; Palisca, , </w:t>
      </w:r>
      <w:r>
        <w:rPr>
          <w:i/>
          <w:iCs/>
        </w:rPr>
        <w:t xml:space="preserve">A History of Western </w:t>
      </w:r>
      <w:r w:rsidR="00DF02E1">
        <w:rPr>
          <w:i/>
          <w:iCs/>
        </w:rPr>
        <w:t>Music</w:t>
      </w:r>
      <w:r>
        <w:t>, p. 86.</w:t>
      </w:r>
    </w:p>
  </w:footnote>
  <w:footnote w:id="45">
    <w:p w14:paraId="4861B08B" w14:textId="5FE150FE" w:rsidR="00395C5C" w:rsidRDefault="00395C5C">
      <w:pPr>
        <w:pStyle w:val="FootnoteText"/>
      </w:pPr>
      <w:r>
        <w:rPr>
          <w:rStyle w:val="FootnoteReference"/>
        </w:rPr>
        <w:footnoteRef/>
      </w:r>
      <w:r>
        <w:t xml:space="preserve"> Ibid.</w:t>
      </w:r>
    </w:p>
  </w:footnote>
  <w:footnote w:id="46">
    <w:p w14:paraId="6D6CEE0E" w14:textId="30110AC0" w:rsidR="00B12002" w:rsidRDefault="00B12002">
      <w:pPr>
        <w:pStyle w:val="FootnoteText"/>
      </w:pPr>
      <w:r>
        <w:rPr>
          <w:rStyle w:val="FootnoteReference"/>
        </w:rPr>
        <w:footnoteRef/>
      </w:r>
      <w:r>
        <w:t xml:space="preserve"> Ibid. p. 82.</w:t>
      </w:r>
    </w:p>
  </w:footnote>
  <w:footnote w:id="47">
    <w:p w14:paraId="6259E1E0" w14:textId="0DF2B07C" w:rsidR="00F17568" w:rsidRPr="001504BF" w:rsidRDefault="00F17568">
      <w:pPr>
        <w:pStyle w:val="FootnoteText"/>
      </w:pPr>
      <w:r>
        <w:rPr>
          <w:rStyle w:val="FootnoteReference"/>
        </w:rPr>
        <w:footnoteRef/>
      </w:r>
      <w:r>
        <w:t xml:space="preserve"> </w:t>
      </w:r>
      <w:r w:rsidR="00F0140C">
        <w:t>George F. Whicher</w:t>
      </w:r>
      <w:r w:rsidR="006213C7">
        <w:t xml:space="preserve">, </w:t>
      </w:r>
      <w:r w:rsidR="006213C7">
        <w:rPr>
          <w:i/>
          <w:iCs/>
        </w:rPr>
        <w:t>The Goliard Poet</w:t>
      </w:r>
      <w:r w:rsidR="001504BF">
        <w:rPr>
          <w:i/>
          <w:iCs/>
        </w:rPr>
        <w:t xml:space="preserve">s </w:t>
      </w:r>
      <w:r w:rsidR="001504BF">
        <w:t xml:space="preserve">(USA: Greenwood Press, </w:t>
      </w:r>
      <w:r w:rsidR="00BE4DA5">
        <w:t xml:space="preserve">1976) pp. 2-3. </w:t>
      </w:r>
    </w:p>
  </w:footnote>
  <w:footnote w:id="48">
    <w:p w14:paraId="4A95870F" w14:textId="24A2F20B" w:rsidR="005113E1" w:rsidRDefault="005113E1">
      <w:pPr>
        <w:pStyle w:val="FootnoteText"/>
      </w:pPr>
      <w:r>
        <w:rPr>
          <w:rStyle w:val="FootnoteReference"/>
        </w:rPr>
        <w:footnoteRef/>
      </w:r>
      <w:r>
        <w:t xml:space="preserve"> </w:t>
      </w:r>
      <w:r>
        <w:t xml:space="preserve">Grout &amp; Palisca, , </w:t>
      </w:r>
      <w:r>
        <w:rPr>
          <w:i/>
          <w:iCs/>
        </w:rPr>
        <w:t xml:space="preserve">A History of Western </w:t>
      </w:r>
      <w:r w:rsidR="00D458E1">
        <w:rPr>
          <w:i/>
          <w:iCs/>
        </w:rPr>
        <w:t>Music</w:t>
      </w:r>
      <w:r>
        <w:t>, p. 8</w:t>
      </w:r>
      <w:r>
        <w:t>2.</w:t>
      </w:r>
    </w:p>
  </w:footnote>
  <w:footnote w:id="49">
    <w:p w14:paraId="40FA02AE" w14:textId="0AEB5CA1" w:rsidR="003F7DA0" w:rsidRPr="004A4C01" w:rsidRDefault="003F7DA0">
      <w:pPr>
        <w:pStyle w:val="FootnoteText"/>
      </w:pPr>
      <w:r>
        <w:rPr>
          <w:rStyle w:val="FootnoteReference"/>
        </w:rPr>
        <w:footnoteRef/>
      </w:r>
      <w:r>
        <w:t xml:space="preserve"> </w:t>
      </w:r>
      <w:r>
        <w:t xml:space="preserve">Whicher, </w:t>
      </w:r>
      <w:r>
        <w:rPr>
          <w:i/>
          <w:iCs/>
        </w:rPr>
        <w:t>The Goliard Poets</w:t>
      </w:r>
      <w:r w:rsidR="004A4C01">
        <w:t xml:space="preserve">, p. 3-4. </w:t>
      </w:r>
    </w:p>
  </w:footnote>
  <w:footnote w:id="50">
    <w:p w14:paraId="7DCA8833" w14:textId="704DF539" w:rsidR="00BF4875" w:rsidRPr="00BF4875" w:rsidRDefault="00BF4875">
      <w:pPr>
        <w:pStyle w:val="FootnoteText"/>
      </w:pPr>
      <w:r>
        <w:rPr>
          <w:rStyle w:val="FootnoteReference"/>
        </w:rPr>
        <w:footnoteRef/>
      </w:r>
      <w:r>
        <w:t xml:space="preserve"> Dronke, </w:t>
      </w:r>
      <w:r>
        <w:rPr>
          <w:i/>
          <w:iCs/>
        </w:rPr>
        <w:t>The Medieval Lyric</w:t>
      </w:r>
      <w:r>
        <w:t xml:space="preserve">, p. 21. </w:t>
      </w:r>
    </w:p>
  </w:footnote>
  <w:footnote w:id="51">
    <w:p w14:paraId="48E0EBE5" w14:textId="089C2695" w:rsidR="00D462E0" w:rsidRDefault="00D462E0">
      <w:pPr>
        <w:pStyle w:val="FootnoteText"/>
      </w:pPr>
      <w:r>
        <w:rPr>
          <w:rStyle w:val="FootnoteReference"/>
        </w:rPr>
        <w:footnoteRef/>
      </w:r>
      <w:r>
        <w:t xml:space="preserve"> </w:t>
      </w:r>
      <w:r w:rsidR="00853160">
        <w:t>Ibid.</w:t>
      </w:r>
    </w:p>
  </w:footnote>
  <w:footnote w:id="52">
    <w:p w14:paraId="1753E44A" w14:textId="5E952556" w:rsidR="0098308A" w:rsidRDefault="0098308A">
      <w:pPr>
        <w:pStyle w:val="FootnoteText"/>
      </w:pPr>
      <w:r>
        <w:rPr>
          <w:rStyle w:val="FootnoteReference"/>
        </w:rPr>
        <w:footnoteRef/>
      </w:r>
      <w:r>
        <w:t xml:space="preserve"> Ibid. pp. 21-22.</w:t>
      </w:r>
    </w:p>
  </w:footnote>
  <w:footnote w:id="53">
    <w:p w14:paraId="6D82B641" w14:textId="5D8B358D" w:rsidR="00882BB3" w:rsidRDefault="00882BB3">
      <w:pPr>
        <w:pStyle w:val="FootnoteText"/>
      </w:pPr>
      <w:r>
        <w:rPr>
          <w:rStyle w:val="FootnoteReference"/>
        </w:rPr>
        <w:footnoteRef/>
      </w:r>
      <w:r>
        <w:t xml:space="preserve"> </w:t>
      </w:r>
      <w:r w:rsidR="000021F3">
        <w:t xml:space="preserve">Grout &amp; Palisca, , </w:t>
      </w:r>
      <w:r w:rsidR="000021F3">
        <w:rPr>
          <w:i/>
          <w:iCs/>
        </w:rPr>
        <w:t xml:space="preserve">A History of Western </w:t>
      </w:r>
      <w:r w:rsidR="00D15D37">
        <w:rPr>
          <w:i/>
          <w:iCs/>
        </w:rPr>
        <w:t>Music</w:t>
      </w:r>
      <w:r w:rsidR="000021F3">
        <w:t>, p. 82.</w:t>
      </w:r>
    </w:p>
  </w:footnote>
  <w:footnote w:id="54">
    <w:p w14:paraId="794FD6CF" w14:textId="21A73573" w:rsidR="00B145B3" w:rsidRDefault="00B145B3">
      <w:pPr>
        <w:pStyle w:val="FootnoteText"/>
      </w:pPr>
      <w:r>
        <w:rPr>
          <w:rStyle w:val="FootnoteReference"/>
        </w:rPr>
        <w:footnoteRef/>
      </w:r>
      <w:r>
        <w:t xml:space="preserve"> </w:t>
      </w:r>
      <w:r>
        <w:t xml:space="preserve">Whicher, </w:t>
      </w:r>
      <w:r>
        <w:rPr>
          <w:i/>
          <w:iCs/>
        </w:rPr>
        <w:t>The Goliard Poets</w:t>
      </w:r>
      <w:r>
        <w:t xml:space="preserve">, p. </w:t>
      </w:r>
      <w:r>
        <w:t>141.</w:t>
      </w:r>
    </w:p>
  </w:footnote>
  <w:footnote w:id="55">
    <w:p w14:paraId="794E175A" w14:textId="015E76C2" w:rsidR="00845575" w:rsidRDefault="00845575">
      <w:pPr>
        <w:pStyle w:val="FootnoteText"/>
      </w:pPr>
      <w:r>
        <w:rPr>
          <w:rStyle w:val="FootnoteReference"/>
        </w:rPr>
        <w:footnoteRef/>
      </w:r>
      <w:r>
        <w:t xml:space="preserve"> Ibid</w:t>
      </w:r>
      <w:r w:rsidR="00F4643A">
        <w:t>. p. 4.</w:t>
      </w:r>
    </w:p>
  </w:footnote>
  <w:footnote w:id="56">
    <w:p w14:paraId="7E9DE3FD" w14:textId="6682E6CE" w:rsidR="00677616" w:rsidRPr="00677616" w:rsidRDefault="00677616">
      <w:pPr>
        <w:pStyle w:val="FootnoteText"/>
      </w:pPr>
      <w:r>
        <w:rPr>
          <w:rStyle w:val="FootnoteReference"/>
        </w:rPr>
        <w:footnoteRef/>
      </w:r>
      <w:r>
        <w:t xml:space="preserve"> Dronke, </w:t>
      </w:r>
      <w:r>
        <w:rPr>
          <w:i/>
          <w:iCs/>
        </w:rPr>
        <w:t>The Medieval Lyric</w:t>
      </w:r>
      <w:r>
        <w:t xml:space="preserve">, p. </w:t>
      </w:r>
      <w:r w:rsidR="00360133">
        <w:t>24</w:t>
      </w:r>
    </w:p>
  </w:footnote>
  <w:footnote w:id="57">
    <w:p w14:paraId="62D8A000" w14:textId="16D6D772" w:rsidR="00F30CED" w:rsidRPr="00F30CED" w:rsidRDefault="00F30CED">
      <w:pPr>
        <w:pStyle w:val="FootnoteText"/>
      </w:pPr>
      <w:r>
        <w:rPr>
          <w:rStyle w:val="FootnoteReference"/>
        </w:rPr>
        <w:footnoteRef/>
      </w:r>
      <w:r>
        <w:t xml:space="preserve"> Dronke, </w:t>
      </w:r>
      <w:r>
        <w:rPr>
          <w:i/>
          <w:iCs/>
        </w:rPr>
        <w:t xml:space="preserve">The Medieval Lyric, </w:t>
      </w:r>
      <w:r>
        <w:t xml:space="preserve">p. </w:t>
      </w:r>
      <w:r w:rsidR="00EB378D">
        <w:t>24.</w:t>
      </w:r>
    </w:p>
  </w:footnote>
  <w:footnote w:id="58">
    <w:p w14:paraId="090E099D" w14:textId="01C59585" w:rsidR="00952283" w:rsidRPr="00952283" w:rsidRDefault="00952283">
      <w:pPr>
        <w:pStyle w:val="FootnoteText"/>
      </w:pPr>
      <w:r>
        <w:rPr>
          <w:rStyle w:val="FootnoteReference"/>
        </w:rPr>
        <w:footnoteRef/>
      </w:r>
      <w:r>
        <w:t xml:space="preserve"> </w:t>
      </w:r>
      <w:r w:rsidRPr="00123398">
        <w:t>Christopher</w:t>
      </w:r>
      <w:r>
        <w:t xml:space="preserve"> Page</w:t>
      </w:r>
      <w:r w:rsidRPr="00123398">
        <w:t xml:space="preserve">, </w:t>
      </w:r>
      <w:r w:rsidRPr="00123398">
        <w:rPr>
          <w:i/>
          <w:iCs/>
        </w:rPr>
        <w:t>Voices and Instruments of the Middle Ages</w:t>
      </w:r>
      <w:r>
        <w:rPr>
          <w:i/>
          <w:iCs/>
        </w:rPr>
        <w:t xml:space="preserve">, </w:t>
      </w:r>
      <w:r>
        <w:t>p. 38.</w:t>
      </w:r>
    </w:p>
  </w:footnote>
  <w:footnote w:id="59">
    <w:p w14:paraId="4010E647" w14:textId="6FB94B7A" w:rsidR="00C66C13" w:rsidRDefault="00C66C13">
      <w:pPr>
        <w:pStyle w:val="FootnoteText"/>
      </w:pPr>
      <w:r>
        <w:rPr>
          <w:rStyle w:val="FootnoteReference"/>
        </w:rPr>
        <w:footnoteRef/>
      </w:r>
      <w:r>
        <w:t xml:space="preserve"> Ibid. p.134.</w:t>
      </w:r>
    </w:p>
  </w:footnote>
  <w:footnote w:id="60">
    <w:p w14:paraId="42DDD737" w14:textId="76E44ED8" w:rsidR="000D639E" w:rsidRDefault="000D639E">
      <w:pPr>
        <w:pStyle w:val="FootnoteText"/>
      </w:pPr>
      <w:r>
        <w:rPr>
          <w:rStyle w:val="FootnoteReference"/>
        </w:rPr>
        <w:footnoteRef/>
      </w:r>
      <w:r>
        <w:t xml:space="preserve"> </w:t>
      </w:r>
      <w:r w:rsidR="00913743" w:rsidRPr="00913743">
        <w:t>Richard</w:t>
      </w:r>
      <w:r w:rsidR="00913743">
        <w:t xml:space="preserve"> Pestell</w:t>
      </w:r>
      <w:r w:rsidR="00913743" w:rsidRPr="00913743">
        <w:t xml:space="preserve">, ‘Medieval Art and the Performance of Medieval Music’, </w:t>
      </w:r>
      <w:r w:rsidR="00913743" w:rsidRPr="00913743">
        <w:rPr>
          <w:i/>
          <w:iCs/>
        </w:rPr>
        <w:t>Early Music</w:t>
      </w:r>
      <w:r w:rsidR="00913743" w:rsidRPr="00913743">
        <w:t>, 15.1 (1987), pp. 57–68</w:t>
      </w:r>
      <w:r w:rsidR="00913743">
        <w:t xml:space="preserve"> (p. 58).</w:t>
      </w:r>
    </w:p>
  </w:footnote>
  <w:footnote w:id="61">
    <w:p w14:paraId="4EEBC8EB" w14:textId="388525E7" w:rsidR="006714A8" w:rsidRDefault="006714A8">
      <w:pPr>
        <w:pStyle w:val="FootnoteText"/>
      </w:pPr>
      <w:r>
        <w:rPr>
          <w:rStyle w:val="FootnoteReference"/>
        </w:rPr>
        <w:footnoteRef/>
      </w:r>
      <w:r>
        <w:t xml:space="preserve"> Westrup, p. 222.</w:t>
      </w:r>
    </w:p>
  </w:footnote>
  <w:footnote w:id="62">
    <w:p w14:paraId="2FF15799" w14:textId="1316BA71" w:rsidR="00895DFC" w:rsidRDefault="00895DFC">
      <w:pPr>
        <w:pStyle w:val="FootnoteText"/>
      </w:pPr>
      <w:r>
        <w:rPr>
          <w:rStyle w:val="FootnoteReference"/>
        </w:rPr>
        <w:footnoteRef/>
      </w:r>
      <w:r>
        <w:t xml:space="preserve"> </w:t>
      </w:r>
      <w:r w:rsidR="00672A72">
        <w:t xml:space="preserve">Dronke, </w:t>
      </w:r>
      <w:r w:rsidR="00672A72">
        <w:rPr>
          <w:i/>
          <w:iCs/>
        </w:rPr>
        <w:t>The Medieval Lyric,</w:t>
      </w:r>
      <w:r w:rsidR="00672A72">
        <w:t xml:space="preserve"> p. 28.</w:t>
      </w:r>
    </w:p>
  </w:footnote>
  <w:footnote w:id="63">
    <w:p w14:paraId="0244E052" w14:textId="7EE984E5" w:rsidR="00664609" w:rsidRDefault="00664609">
      <w:pPr>
        <w:pStyle w:val="FootnoteText"/>
      </w:pPr>
      <w:r>
        <w:rPr>
          <w:rStyle w:val="FootnoteReference"/>
        </w:rPr>
        <w:footnoteRef/>
      </w:r>
      <w:r>
        <w:t xml:space="preserve"> </w:t>
      </w:r>
      <w:r>
        <w:t>Page</w:t>
      </w:r>
      <w:r w:rsidRPr="00123398">
        <w:t xml:space="preserve">, </w:t>
      </w:r>
      <w:r w:rsidRPr="00123398">
        <w:rPr>
          <w:i/>
          <w:iCs/>
        </w:rPr>
        <w:t>Voices and Instruments of the Middle Ages</w:t>
      </w:r>
      <w:r>
        <w:rPr>
          <w:i/>
          <w:iCs/>
        </w:rPr>
        <w:t xml:space="preserve">, </w:t>
      </w:r>
      <w:r>
        <w:t>p. 3</w:t>
      </w:r>
      <w:r>
        <w:t>4.</w:t>
      </w:r>
    </w:p>
  </w:footnote>
  <w:footnote w:id="64">
    <w:p w14:paraId="55FF8299" w14:textId="2699C73E" w:rsidR="00B03B52" w:rsidRDefault="00B03B52">
      <w:pPr>
        <w:pStyle w:val="FootnoteText"/>
      </w:pPr>
      <w:r>
        <w:rPr>
          <w:rStyle w:val="FootnoteReference"/>
        </w:rPr>
        <w:footnoteRef/>
      </w:r>
      <w:r>
        <w:t xml:space="preserve"> Ibid. </w:t>
      </w:r>
    </w:p>
  </w:footnote>
  <w:footnote w:id="65">
    <w:p w14:paraId="65E3982C" w14:textId="7115645B" w:rsidR="00FA5396" w:rsidRPr="00FA5396" w:rsidRDefault="00FA5396">
      <w:pPr>
        <w:pStyle w:val="FootnoteText"/>
      </w:pPr>
      <w:r>
        <w:rPr>
          <w:rStyle w:val="FootnoteReference"/>
        </w:rPr>
        <w:footnoteRef/>
      </w:r>
      <w:r>
        <w:t xml:space="preserve"> Dronke,</w:t>
      </w:r>
      <w:r>
        <w:rPr>
          <w:i/>
          <w:iCs/>
        </w:rPr>
        <w:t xml:space="preserve"> The Medieval Lyric</w:t>
      </w:r>
      <w:r>
        <w:t>, p. 25</w:t>
      </w:r>
      <w:r w:rsidR="005D59BE">
        <w:t>-26</w:t>
      </w:r>
    </w:p>
  </w:footnote>
  <w:footnote w:id="66">
    <w:p w14:paraId="26DA2B36" w14:textId="7EF5FB33" w:rsidR="005D59BE" w:rsidRDefault="005D59BE">
      <w:pPr>
        <w:pStyle w:val="FootnoteText"/>
      </w:pPr>
      <w:r>
        <w:rPr>
          <w:rStyle w:val="FootnoteReference"/>
        </w:rPr>
        <w:footnoteRef/>
      </w:r>
      <w:r>
        <w:t xml:space="preserve"> Ibid.</w:t>
      </w:r>
    </w:p>
  </w:footnote>
  <w:footnote w:id="67">
    <w:p w14:paraId="71E443F7" w14:textId="12BEC549" w:rsidR="002D5D7F" w:rsidRPr="00EE722E" w:rsidRDefault="002D5D7F">
      <w:pPr>
        <w:pStyle w:val="FootnoteText"/>
      </w:pPr>
      <w:r>
        <w:rPr>
          <w:rStyle w:val="FootnoteReference"/>
        </w:rPr>
        <w:footnoteRef/>
      </w:r>
      <w:r>
        <w:t xml:space="preserve"> Grout &amp; Pa</w:t>
      </w:r>
      <w:r w:rsidR="00EE722E">
        <w:t xml:space="preserve">lisca, </w:t>
      </w:r>
      <w:r w:rsidR="00EE722E">
        <w:rPr>
          <w:i/>
          <w:iCs/>
        </w:rPr>
        <w:t>A History of Western Music</w:t>
      </w:r>
      <w:r w:rsidR="00EE722E">
        <w:t xml:space="preserve">, p. </w:t>
      </w:r>
      <w:r w:rsidR="00884907">
        <w:t>93.</w:t>
      </w:r>
    </w:p>
  </w:footnote>
  <w:footnote w:id="68">
    <w:p w14:paraId="656528B7" w14:textId="27CC3EB3" w:rsidR="00033F15" w:rsidRPr="0004269B" w:rsidRDefault="00033F15">
      <w:pPr>
        <w:pStyle w:val="FootnoteText"/>
      </w:pPr>
      <w:r>
        <w:rPr>
          <w:rStyle w:val="FootnoteReference"/>
        </w:rPr>
        <w:footnoteRef/>
      </w:r>
      <w:r>
        <w:t xml:space="preserve"> </w:t>
      </w:r>
      <w:r w:rsidR="00D0529F">
        <w:t>“By the circling of the dance moreover they wished the revolution of the heavens to be understood; by the joining of hands, the linking of elements; by the sound of singers, the harmony of the resounding planets; by bodily gestures, the movements of the constellations; by handclapping or the stamping of feet, the crashing of thunder</w:t>
      </w:r>
      <w:r w:rsidR="00D0529F">
        <w:t xml:space="preserve">” in, </w:t>
      </w:r>
      <w:r>
        <w:t xml:space="preserve">Stevens, </w:t>
      </w:r>
      <w:r w:rsidR="0004269B">
        <w:rPr>
          <w:i/>
          <w:iCs/>
        </w:rPr>
        <w:t>Words and Music in the Middle Ages</w:t>
      </w:r>
      <w:r w:rsidR="0004269B">
        <w:rPr>
          <w:i/>
          <w:iCs/>
        </w:rPr>
        <w:t xml:space="preserve">, </w:t>
      </w:r>
      <w:r w:rsidR="0004269B">
        <w:t>p. 160.</w:t>
      </w:r>
    </w:p>
  </w:footnote>
  <w:footnote w:id="69">
    <w:p w14:paraId="785FDB64" w14:textId="371FCCF1" w:rsidR="00FA4D83" w:rsidRDefault="00FA4D83">
      <w:pPr>
        <w:pStyle w:val="FootnoteText"/>
      </w:pPr>
      <w:r>
        <w:rPr>
          <w:rStyle w:val="FootnoteReference"/>
        </w:rPr>
        <w:footnoteRef/>
      </w:r>
      <w:r>
        <w:t xml:space="preserve"> </w:t>
      </w:r>
      <w:r>
        <w:t>Page</w:t>
      </w:r>
      <w:r w:rsidRPr="00123398">
        <w:t xml:space="preserve">, </w:t>
      </w:r>
      <w:r w:rsidRPr="00123398">
        <w:rPr>
          <w:i/>
          <w:iCs/>
        </w:rPr>
        <w:t>Voices and Instruments of the Middle Ages</w:t>
      </w:r>
      <w:r>
        <w:rPr>
          <w:i/>
          <w:iCs/>
        </w:rPr>
        <w:t xml:space="preserve">, </w:t>
      </w:r>
      <w:r>
        <w:t xml:space="preserve">p. </w:t>
      </w:r>
      <w:r>
        <w:t>79.</w:t>
      </w:r>
    </w:p>
  </w:footnote>
  <w:footnote w:id="70">
    <w:p w14:paraId="3A2DE611" w14:textId="385D715E" w:rsidR="0021622D" w:rsidRDefault="0021622D">
      <w:pPr>
        <w:pStyle w:val="FootnoteText"/>
      </w:pPr>
      <w:r>
        <w:rPr>
          <w:rStyle w:val="FootnoteReference"/>
        </w:rPr>
        <w:footnoteRef/>
      </w:r>
      <w:r>
        <w:t xml:space="preserve"> </w:t>
      </w:r>
      <w:r>
        <w:t xml:space="preserve">Stevens, </w:t>
      </w:r>
      <w:r>
        <w:rPr>
          <w:i/>
          <w:iCs/>
        </w:rPr>
        <w:t xml:space="preserve">Words and Music in the Middle Ages, </w:t>
      </w:r>
      <w:r>
        <w:t>p. 16</w:t>
      </w:r>
      <w:r>
        <w:t>1.</w:t>
      </w:r>
    </w:p>
  </w:footnote>
  <w:footnote w:id="71">
    <w:p w14:paraId="7B042878" w14:textId="1A34DD57" w:rsidR="00DF5F5A" w:rsidRDefault="00DF5F5A">
      <w:pPr>
        <w:pStyle w:val="FootnoteText"/>
      </w:pPr>
      <w:r>
        <w:rPr>
          <w:rStyle w:val="FootnoteReference"/>
        </w:rPr>
        <w:footnoteRef/>
      </w:r>
      <w:r>
        <w:t xml:space="preserve"> </w:t>
      </w:r>
      <w:r w:rsidR="00886C24">
        <w:t>Page</w:t>
      </w:r>
      <w:r w:rsidR="00886C24" w:rsidRPr="00123398">
        <w:t xml:space="preserve">, </w:t>
      </w:r>
      <w:r w:rsidR="00886C24" w:rsidRPr="00123398">
        <w:rPr>
          <w:i/>
          <w:iCs/>
        </w:rPr>
        <w:t>Voices and Instruments of the Middle Ages</w:t>
      </w:r>
      <w:r w:rsidR="00886C24">
        <w:rPr>
          <w:i/>
          <w:iCs/>
        </w:rPr>
        <w:t xml:space="preserve">, </w:t>
      </w:r>
      <w:r w:rsidR="00886C24">
        <w:t>p. 79.</w:t>
      </w:r>
    </w:p>
  </w:footnote>
  <w:footnote w:id="72">
    <w:p w14:paraId="0DF66E05" w14:textId="72471D29" w:rsidR="00CD41AC" w:rsidRPr="00A441D7" w:rsidRDefault="00CD41AC">
      <w:pPr>
        <w:pStyle w:val="FootnoteText"/>
      </w:pPr>
      <w:r>
        <w:rPr>
          <w:rStyle w:val="FootnoteReference"/>
        </w:rPr>
        <w:footnoteRef/>
      </w:r>
      <w:r>
        <w:t xml:space="preserve"> Dronke, </w:t>
      </w:r>
      <w:r w:rsidR="00A441D7">
        <w:rPr>
          <w:i/>
          <w:iCs/>
        </w:rPr>
        <w:t>The Medieval Lyric</w:t>
      </w:r>
      <w:r w:rsidR="00A441D7">
        <w:t>, p. 188-189.</w:t>
      </w:r>
    </w:p>
  </w:footnote>
  <w:footnote w:id="73">
    <w:p w14:paraId="3E994ACB" w14:textId="7E4FCC36" w:rsidR="00FE05A2" w:rsidRDefault="00FE05A2">
      <w:pPr>
        <w:pStyle w:val="FootnoteText"/>
      </w:pPr>
      <w:r>
        <w:rPr>
          <w:rStyle w:val="FootnoteReference"/>
        </w:rPr>
        <w:footnoteRef/>
      </w:r>
      <w:r>
        <w:t xml:space="preserve"> </w:t>
      </w:r>
      <w:r>
        <w:t xml:space="preserve">Stevens, </w:t>
      </w:r>
      <w:r>
        <w:rPr>
          <w:i/>
          <w:iCs/>
        </w:rPr>
        <w:t xml:space="preserve">Words and Music in the Middle Ages, </w:t>
      </w:r>
      <w:r>
        <w:t>p. 16</w:t>
      </w:r>
      <w:r w:rsidR="00FB5BC1">
        <w:t>2.</w:t>
      </w:r>
    </w:p>
  </w:footnote>
  <w:footnote w:id="74">
    <w:p w14:paraId="587C3350" w14:textId="15F00363" w:rsidR="000B0A8F" w:rsidRDefault="000B0A8F">
      <w:pPr>
        <w:pStyle w:val="FootnoteText"/>
      </w:pPr>
      <w:r>
        <w:rPr>
          <w:rStyle w:val="FootnoteReference"/>
        </w:rPr>
        <w:footnoteRef/>
      </w:r>
      <w:r>
        <w:t xml:space="preserve"> </w:t>
      </w:r>
      <w:r w:rsidR="00282E99">
        <w:t>Ibid. p. 161.</w:t>
      </w:r>
    </w:p>
  </w:footnote>
  <w:footnote w:id="75">
    <w:p w14:paraId="4BEE7DC7" w14:textId="0A4ADE0C" w:rsidR="003B4C85" w:rsidRDefault="003B4C85">
      <w:pPr>
        <w:pStyle w:val="FootnoteText"/>
      </w:pPr>
      <w:r>
        <w:rPr>
          <w:rStyle w:val="FootnoteReference"/>
        </w:rPr>
        <w:footnoteRef/>
      </w:r>
      <w:r>
        <w:t xml:space="preserve"> Ibid. p. 164.</w:t>
      </w:r>
    </w:p>
  </w:footnote>
  <w:footnote w:id="76">
    <w:p w14:paraId="10E1DDD4" w14:textId="5D521F5E" w:rsidR="003E5FF2" w:rsidRDefault="003E5FF2">
      <w:pPr>
        <w:pStyle w:val="FootnoteText"/>
      </w:pPr>
      <w:r>
        <w:rPr>
          <w:rStyle w:val="FootnoteReference"/>
        </w:rPr>
        <w:footnoteRef/>
      </w:r>
      <w:r>
        <w:t xml:space="preserve"> </w:t>
      </w:r>
      <w:r w:rsidR="00B56569">
        <w:t>Ibid. pp. 164-165.</w:t>
      </w:r>
    </w:p>
  </w:footnote>
  <w:footnote w:id="77">
    <w:p w14:paraId="4087F5D8" w14:textId="51C591A1" w:rsidR="00041B0A" w:rsidRPr="00041B0A" w:rsidRDefault="00041B0A">
      <w:pPr>
        <w:pStyle w:val="FootnoteText"/>
      </w:pPr>
      <w:r>
        <w:rPr>
          <w:rStyle w:val="FootnoteReference"/>
        </w:rPr>
        <w:footnoteRef/>
      </w:r>
      <w:r>
        <w:t xml:space="preserve"> Grout &amp; Palisca</w:t>
      </w:r>
      <w:r>
        <w:rPr>
          <w:i/>
          <w:iCs/>
        </w:rPr>
        <w:t>, A History of Western Music</w:t>
      </w:r>
      <w:r>
        <w:t>, p</w:t>
      </w:r>
      <w:r w:rsidR="00EB5A96">
        <w:t>p</w:t>
      </w:r>
      <w:r>
        <w:t>. 8</w:t>
      </w:r>
      <w:r w:rsidR="00EB5A96">
        <w:t>4-86.</w:t>
      </w:r>
    </w:p>
  </w:footnote>
  <w:footnote w:id="78">
    <w:p w14:paraId="3612A013" w14:textId="747260C4" w:rsidR="007E2208" w:rsidRDefault="007E2208">
      <w:pPr>
        <w:pStyle w:val="FootnoteText"/>
      </w:pPr>
      <w:r>
        <w:rPr>
          <w:rStyle w:val="FootnoteReference"/>
        </w:rPr>
        <w:footnoteRef/>
      </w:r>
      <w:r>
        <w:t xml:space="preserve"> </w:t>
      </w:r>
      <w:r w:rsidRPr="007E2208">
        <w:t xml:space="preserve">Stevens, </w:t>
      </w:r>
      <w:r w:rsidRPr="007E2208">
        <w:rPr>
          <w:i/>
          <w:iCs/>
        </w:rPr>
        <w:t>Words and Music in the Middle Ages</w:t>
      </w:r>
      <w:r w:rsidRPr="007E2208">
        <w:t>,</w:t>
      </w:r>
      <w:r>
        <w:t xml:space="preserve"> pp. 166-167.</w:t>
      </w:r>
    </w:p>
  </w:footnote>
  <w:footnote w:id="79">
    <w:p w14:paraId="62203B32" w14:textId="54127E75" w:rsidR="003F2C4A" w:rsidRDefault="003F2C4A">
      <w:pPr>
        <w:pStyle w:val="FootnoteText"/>
      </w:pPr>
      <w:r>
        <w:rPr>
          <w:rStyle w:val="FootnoteReference"/>
        </w:rPr>
        <w:footnoteRef/>
      </w:r>
      <w:r>
        <w:t xml:space="preserve"> Ibid. p. 167.</w:t>
      </w:r>
    </w:p>
  </w:footnote>
  <w:footnote w:id="80">
    <w:p w14:paraId="46B59B7F" w14:textId="21E69E48" w:rsidR="00401E8F" w:rsidRPr="00CB1A2B" w:rsidRDefault="00401E8F">
      <w:pPr>
        <w:pStyle w:val="FootnoteText"/>
      </w:pPr>
      <w:r>
        <w:rPr>
          <w:rStyle w:val="FootnoteReference"/>
        </w:rPr>
        <w:footnoteRef/>
      </w:r>
      <w:r>
        <w:t xml:space="preserve"> </w:t>
      </w:r>
      <w:r w:rsidR="00CB1A2B">
        <w:t xml:space="preserve">Dronke, </w:t>
      </w:r>
      <w:r w:rsidR="00CB1A2B">
        <w:rPr>
          <w:i/>
          <w:iCs/>
        </w:rPr>
        <w:t xml:space="preserve">The Medieval Lyric, </w:t>
      </w:r>
      <w:r w:rsidR="00CB1A2B">
        <w:t>p. 15.</w:t>
      </w:r>
    </w:p>
  </w:footnote>
  <w:footnote w:id="81">
    <w:p w14:paraId="050846E9" w14:textId="33727ABB" w:rsidR="0062160A" w:rsidRDefault="0062160A">
      <w:pPr>
        <w:pStyle w:val="FootnoteText"/>
      </w:pPr>
      <w:r>
        <w:rPr>
          <w:rStyle w:val="FootnoteReference"/>
        </w:rPr>
        <w:footnoteRef/>
      </w:r>
      <w:r>
        <w:t xml:space="preserve"> </w:t>
      </w:r>
      <w:r w:rsidR="00E91B26">
        <w:t>Ibid.</w:t>
      </w:r>
    </w:p>
  </w:footnote>
  <w:footnote w:id="82">
    <w:p w14:paraId="2938FD9C" w14:textId="5DA8E020" w:rsidR="00906A0B" w:rsidRDefault="00906A0B">
      <w:pPr>
        <w:pStyle w:val="FootnoteText"/>
      </w:pPr>
      <w:r>
        <w:rPr>
          <w:rStyle w:val="FootnoteReference"/>
        </w:rPr>
        <w:footnoteRef/>
      </w:r>
      <w:r>
        <w:t xml:space="preserve"> Westrup, p. 223.</w:t>
      </w:r>
    </w:p>
  </w:footnote>
  <w:footnote w:id="83">
    <w:p w14:paraId="2EFC96AA" w14:textId="5E641E5A" w:rsidR="00C6618A" w:rsidRDefault="00C6618A">
      <w:pPr>
        <w:pStyle w:val="FootnoteText"/>
      </w:pPr>
      <w:r>
        <w:rPr>
          <w:rStyle w:val="FootnoteReference"/>
        </w:rPr>
        <w:footnoteRef/>
      </w:r>
      <w:r>
        <w:t xml:space="preserve"> </w:t>
      </w:r>
      <w:r w:rsidR="008902E0">
        <w:t>Gerald of Wales</w:t>
      </w:r>
      <w:r w:rsidR="008A613A">
        <w:t xml:space="preserve">, </w:t>
      </w:r>
      <w:r w:rsidR="008A613A">
        <w:rPr>
          <w:i/>
          <w:iCs/>
        </w:rPr>
        <w:t>The Journey Through Wales</w:t>
      </w:r>
      <w:r w:rsidR="007A3408">
        <w:rPr>
          <w:i/>
          <w:iCs/>
        </w:rPr>
        <w:t xml:space="preserve"> and the Description of </w:t>
      </w:r>
      <w:r w:rsidR="007A3408" w:rsidRPr="007A3408">
        <w:t>Wales</w:t>
      </w:r>
      <w:r w:rsidR="007A3408">
        <w:t xml:space="preserve">, trans. </w:t>
      </w:r>
      <w:r w:rsidR="002A06DA">
        <w:t xml:space="preserve">&amp; </w:t>
      </w:r>
      <w:r w:rsidR="007A3408">
        <w:t xml:space="preserve">ed. </w:t>
      </w:r>
      <w:r w:rsidR="002A06DA">
        <w:t xml:space="preserve">by </w:t>
      </w:r>
      <w:r w:rsidR="007A3408">
        <w:t>Lewis Thorpe</w:t>
      </w:r>
      <w:r w:rsidR="002A06DA">
        <w:t xml:space="preserve"> (</w:t>
      </w:r>
      <w:r w:rsidR="003F13C8">
        <w:t>London: Penguin Books, 2004) p.</w:t>
      </w:r>
      <w:r w:rsidR="00EB7D2F">
        <w:t xml:space="preserve"> </w:t>
      </w:r>
      <w:r w:rsidRPr="007A3408">
        <w:t>236</w:t>
      </w:r>
      <w:r w:rsidR="003F13C8">
        <w:t>.</w:t>
      </w:r>
    </w:p>
  </w:footnote>
  <w:footnote w:id="84">
    <w:p w14:paraId="1F3D0B5A" w14:textId="159D7A56" w:rsidR="0089693B" w:rsidRDefault="0089693B">
      <w:pPr>
        <w:pStyle w:val="FootnoteText"/>
      </w:pPr>
      <w:r>
        <w:rPr>
          <w:rStyle w:val="FootnoteReference"/>
        </w:rPr>
        <w:footnoteRef/>
      </w:r>
      <w:r>
        <w:t xml:space="preserve"> </w:t>
      </w:r>
      <w:r w:rsidR="003F13C8">
        <w:t xml:space="preserve">Ibid. p. </w:t>
      </w:r>
      <w:r>
        <w:t>242</w:t>
      </w:r>
      <w:r w:rsidR="003F13C8">
        <w:t>.</w:t>
      </w:r>
    </w:p>
  </w:footnote>
  <w:footnote w:id="85">
    <w:p w14:paraId="195B8D95" w14:textId="0C167037" w:rsidR="001C1B0C" w:rsidRDefault="001C1B0C">
      <w:pPr>
        <w:pStyle w:val="FootnoteText"/>
      </w:pPr>
      <w:r>
        <w:rPr>
          <w:rStyle w:val="FootnoteReference"/>
        </w:rPr>
        <w:footnoteRef/>
      </w:r>
      <w:r>
        <w:t xml:space="preserve"> </w:t>
      </w:r>
      <w:r w:rsidR="003F13C8">
        <w:t xml:space="preserve">Ibid. </w:t>
      </w:r>
      <w:r>
        <w:t>243</w:t>
      </w:r>
      <w:r w:rsidR="003F13C8">
        <w:t>.</w:t>
      </w:r>
    </w:p>
  </w:footnote>
  <w:footnote w:id="86">
    <w:p w14:paraId="33962714" w14:textId="2DB3BC71" w:rsidR="008340BD" w:rsidRPr="00D60642" w:rsidRDefault="008340BD">
      <w:pPr>
        <w:pStyle w:val="FootnoteText"/>
      </w:pPr>
      <w:r>
        <w:rPr>
          <w:rStyle w:val="FootnoteReference"/>
        </w:rPr>
        <w:footnoteRef/>
      </w:r>
      <w:r>
        <w:t xml:space="preserve"> </w:t>
      </w:r>
      <w:r w:rsidR="00D60642">
        <w:t>“</w:t>
      </w:r>
      <w:r w:rsidR="00D34210" w:rsidRPr="00D60642">
        <w:t>Singing</w:t>
      </w:r>
      <w:r w:rsidR="00D60642" w:rsidRPr="00D60642">
        <w:t xml:space="preserve"> loud and clear: the Bretons are expert in such performances.</w:t>
      </w:r>
      <w:r w:rsidR="00D60642">
        <w:t xml:space="preserve">” In Dronke, </w:t>
      </w:r>
      <w:r w:rsidR="00D60642">
        <w:rPr>
          <w:i/>
          <w:iCs/>
        </w:rPr>
        <w:t>The Medieval Lyric</w:t>
      </w:r>
      <w:r w:rsidR="00D60642">
        <w:t>, p. 24.</w:t>
      </w:r>
    </w:p>
  </w:footnote>
  <w:footnote w:id="87">
    <w:p w14:paraId="0500ED8B" w14:textId="19E88694" w:rsidR="004D233C" w:rsidRDefault="004D233C">
      <w:pPr>
        <w:pStyle w:val="FootnoteText"/>
      </w:pPr>
      <w:r>
        <w:rPr>
          <w:rStyle w:val="FootnoteReference"/>
        </w:rPr>
        <w:footnoteRef/>
      </w:r>
      <w:r>
        <w:t xml:space="preserve"> </w:t>
      </w:r>
      <w:r w:rsidR="003B3F9A" w:rsidRPr="003B3F9A">
        <w:t>Earl R</w:t>
      </w:r>
      <w:r w:rsidR="003B3F9A">
        <w:t>. Anderson</w:t>
      </w:r>
      <w:r w:rsidR="003B3F9A" w:rsidRPr="003B3F9A">
        <w:t xml:space="preserve"> ‘The Seasons of the Year in Old English’, </w:t>
      </w:r>
      <w:r w:rsidR="003B3F9A" w:rsidRPr="003B3F9A">
        <w:rPr>
          <w:i/>
          <w:iCs/>
        </w:rPr>
        <w:t>Anglo-Saxon England</w:t>
      </w:r>
      <w:r w:rsidR="003B3F9A" w:rsidRPr="003B3F9A">
        <w:t>, 26 (1997), pp. 231–63</w:t>
      </w:r>
      <w:r w:rsidR="003B3F9A">
        <w:t xml:space="preserve"> (pp. </w:t>
      </w:r>
      <w:r w:rsidR="00CC1A36">
        <w:t>261-262).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801676"/>
    <w:multiLevelType w:val="hybridMultilevel"/>
    <w:tmpl w:val="E79E4106"/>
    <w:lvl w:ilvl="0" w:tplc="FED4A476">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3E7FE1"/>
    <w:multiLevelType w:val="hybridMultilevel"/>
    <w:tmpl w:val="D9A2B1F8"/>
    <w:lvl w:ilvl="0" w:tplc="AE2E855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1055EF"/>
    <w:multiLevelType w:val="hybridMultilevel"/>
    <w:tmpl w:val="687AA56A"/>
    <w:lvl w:ilvl="0" w:tplc="21A05D8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301F9"/>
    <w:multiLevelType w:val="hybridMultilevel"/>
    <w:tmpl w:val="73FE3600"/>
    <w:lvl w:ilvl="0" w:tplc="98EAF7C8">
      <w:start w:val="1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138664">
    <w:abstractNumId w:val="1"/>
  </w:num>
  <w:num w:numId="2" w16cid:durableId="1445226536">
    <w:abstractNumId w:val="2"/>
  </w:num>
  <w:num w:numId="3" w16cid:durableId="1143082022">
    <w:abstractNumId w:val="3"/>
  </w:num>
  <w:num w:numId="4" w16cid:durableId="1642268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801"/>
    <w:rsid w:val="000006CF"/>
    <w:rsid w:val="000008F4"/>
    <w:rsid w:val="00000E34"/>
    <w:rsid w:val="000021F3"/>
    <w:rsid w:val="00014A56"/>
    <w:rsid w:val="0001777E"/>
    <w:rsid w:val="0002087E"/>
    <w:rsid w:val="000303B4"/>
    <w:rsid w:val="00033547"/>
    <w:rsid w:val="00033F15"/>
    <w:rsid w:val="00036548"/>
    <w:rsid w:val="00041B0A"/>
    <w:rsid w:val="0004269B"/>
    <w:rsid w:val="000517DB"/>
    <w:rsid w:val="00052BF7"/>
    <w:rsid w:val="00052E1D"/>
    <w:rsid w:val="00053EFB"/>
    <w:rsid w:val="00060AE1"/>
    <w:rsid w:val="00061FA4"/>
    <w:rsid w:val="00063605"/>
    <w:rsid w:val="0006669A"/>
    <w:rsid w:val="00080E51"/>
    <w:rsid w:val="0008226E"/>
    <w:rsid w:val="0008252C"/>
    <w:rsid w:val="000867D2"/>
    <w:rsid w:val="00090C64"/>
    <w:rsid w:val="000A3E75"/>
    <w:rsid w:val="000B0A8F"/>
    <w:rsid w:val="000C0EBC"/>
    <w:rsid w:val="000C1EC9"/>
    <w:rsid w:val="000D639E"/>
    <w:rsid w:val="000E58D9"/>
    <w:rsid w:val="00104F2D"/>
    <w:rsid w:val="00112650"/>
    <w:rsid w:val="0011621C"/>
    <w:rsid w:val="00120FB2"/>
    <w:rsid w:val="00123398"/>
    <w:rsid w:val="001378DB"/>
    <w:rsid w:val="00140111"/>
    <w:rsid w:val="00143288"/>
    <w:rsid w:val="0014447F"/>
    <w:rsid w:val="00144EB2"/>
    <w:rsid w:val="001504BF"/>
    <w:rsid w:val="00152A00"/>
    <w:rsid w:val="001534FF"/>
    <w:rsid w:val="00161FF9"/>
    <w:rsid w:val="001625C8"/>
    <w:rsid w:val="001652BB"/>
    <w:rsid w:val="001676AF"/>
    <w:rsid w:val="00170489"/>
    <w:rsid w:val="001709FD"/>
    <w:rsid w:val="00170A0F"/>
    <w:rsid w:val="00170D66"/>
    <w:rsid w:val="00170E80"/>
    <w:rsid w:val="00174446"/>
    <w:rsid w:val="001765DE"/>
    <w:rsid w:val="00180261"/>
    <w:rsid w:val="00180569"/>
    <w:rsid w:val="00180E68"/>
    <w:rsid w:val="00186F0D"/>
    <w:rsid w:val="0018788F"/>
    <w:rsid w:val="00190C2A"/>
    <w:rsid w:val="00192669"/>
    <w:rsid w:val="00192928"/>
    <w:rsid w:val="0019385F"/>
    <w:rsid w:val="001B26A4"/>
    <w:rsid w:val="001B4F58"/>
    <w:rsid w:val="001B6EAF"/>
    <w:rsid w:val="001C1966"/>
    <w:rsid w:val="001C1B0C"/>
    <w:rsid w:val="001C3D9B"/>
    <w:rsid w:val="001C4FB5"/>
    <w:rsid w:val="001C6CB8"/>
    <w:rsid w:val="001D5C9E"/>
    <w:rsid w:val="001E087C"/>
    <w:rsid w:val="001E3FEC"/>
    <w:rsid w:val="001F2E26"/>
    <w:rsid w:val="001F3260"/>
    <w:rsid w:val="001F3A52"/>
    <w:rsid w:val="002018DE"/>
    <w:rsid w:val="0020239F"/>
    <w:rsid w:val="0020274A"/>
    <w:rsid w:val="00207136"/>
    <w:rsid w:val="0021604E"/>
    <w:rsid w:val="0021622D"/>
    <w:rsid w:val="00217C86"/>
    <w:rsid w:val="002223F7"/>
    <w:rsid w:val="002325E5"/>
    <w:rsid w:val="002400BC"/>
    <w:rsid w:val="00245263"/>
    <w:rsid w:val="002468EB"/>
    <w:rsid w:val="00252923"/>
    <w:rsid w:val="00256138"/>
    <w:rsid w:val="00266CA2"/>
    <w:rsid w:val="00274308"/>
    <w:rsid w:val="002746E2"/>
    <w:rsid w:val="002770B8"/>
    <w:rsid w:val="00282E99"/>
    <w:rsid w:val="0028418A"/>
    <w:rsid w:val="002904BB"/>
    <w:rsid w:val="002931F8"/>
    <w:rsid w:val="00296B6D"/>
    <w:rsid w:val="002A06DA"/>
    <w:rsid w:val="002A4269"/>
    <w:rsid w:val="002A688F"/>
    <w:rsid w:val="002B2E37"/>
    <w:rsid w:val="002B3137"/>
    <w:rsid w:val="002B7D83"/>
    <w:rsid w:val="002C677E"/>
    <w:rsid w:val="002C69AE"/>
    <w:rsid w:val="002C7264"/>
    <w:rsid w:val="002C78F4"/>
    <w:rsid w:val="002D404F"/>
    <w:rsid w:val="002D5D7F"/>
    <w:rsid w:val="002F0498"/>
    <w:rsid w:val="002F6852"/>
    <w:rsid w:val="002F7063"/>
    <w:rsid w:val="002F72BF"/>
    <w:rsid w:val="0030009A"/>
    <w:rsid w:val="003108FA"/>
    <w:rsid w:val="003117DC"/>
    <w:rsid w:val="00313E6D"/>
    <w:rsid w:val="00314CEE"/>
    <w:rsid w:val="00316E03"/>
    <w:rsid w:val="0032355B"/>
    <w:rsid w:val="0033004B"/>
    <w:rsid w:val="00330339"/>
    <w:rsid w:val="00331B54"/>
    <w:rsid w:val="00332579"/>
    <w:rsid w:val="00335300"/>
    <w:rsid w:val="00337644"/>
    <w:rsid w:val="003474DD"/>
    <w:rsid w:val="00347F32"/>
    <w:rsid w:val="00354095"/>
    <w:rsid w:val="00360133"/>
    <w:rsid w:val="00362720"/>
    <w:rsid w:val="003629D1"/>
    <w:rsid w:val="0036599D"/>
    <w:rsid w:val="00365C58"/>
    <w:rsid w:val="00367EAF"/>
    <w:rsid w:val="003735DA"/>
    <w:rsid w:val="003749E8"/>
    <w:rsid w:val="00377C24"/>
    <w:rsid w:val="00381099"/>
    <w:rsid w:val="003876F2"/>
    <w:rsid w:val="0039272C"/>
    <w:rsid w:val="00395C5C"/>
    <w:rsid w:val="003971F3"/>
    <w:rsid w:val="003A015B"/>
    <w:rsid w:val="003A380A"/>
    <w:rsid w:val="003B283E"/>
    <w:rsid w:val="003B3F9A"/>
    <w:rsid w:val="003B4C85"/>
    <w:rsid w:val="003B544E"/>
    <w:rsid w:val="003C1645"/>
    <w:rsid w:val="003C7891"/>
    <w:rsid w:val="003D250F"/>
    <w:rsid w:val="003D2607"/>
    <w:rsid w:val="003E06EA"/>
    <w:rsid w:val="003E26D2"/>
    <w:rsid w:val="003E4EBA"/>
    <w:rsid w:val="003E5FF2"/>
    <w:rsid w:val="003E7FA8"/>
    <w:rsid w:val="003F13C8"/>
    <w:rsid w:val="003F2C4A"/>
    <w:rsid w:val="003F323F"/>
    <w:rsid w:val="003F63DF"/>
    <w:rsid w:val="003F719D"/>
    <w:rsid w:val="003F7DA0"/>
    <w:rsid w:val="00401E8F"/>
    <w:rsid w:val="00404A29"/>
    <w:rsid w:val="004066B4"/>
    <w:rsid w:val="00410092"/>
    <w:rsid w:val="0041305C"/>
    <w:rsid w:val="0043157C"/>
    <w:rsid w:val="0043195D"/>
    <w:rsid w:val="0043299C"/>
    <w:rsid w:val="00434BA5"/>
    <w:rsid w:val="00436259"/>
    <w:rsid w:val="00440D61"/>
    <w:rsid w:val="0044200B"/>
    <w:rsid w:val="0044212C"/>
    <w:rsid w:val="00443626"/>
    <w:rsid w:val="00445A18"/>
    <w:rsid w:val="00446C72"/>
    <w:rsid w:val="00447345"/>
    <w:rsid w:val="00451719"/>
    <w:rsid w:val="00451893"/>
    <w:rsid w:val="0045383D"/>
    <w:rsid w:val="004544C6"/>
    <w:rsid w:val="00460B57"/>
    <w:rsid w:val="00462DC2"/>
    <w:rsid w:val="00463F7D"/>
    <w:rsid w:val="00466CA5"/>
    <w:rsid w:val="00473C71"/>
    <w:rsid w:val="00474470"/>
    <w:rsid w:val="0047705C"/>
    <w:rsid w:val="004774E8"/>
    <w:rsid w:val="00485380"/>
    <w:rsid w:val="00485BF0"/>
    <w:rsid w:val="00487A31"/>
    <w:rsid w:val="00487A3C"/>
    <w:rsid w:val="0049392C"/>
    <w:rsid w:val="004944D5"/>
    <w:rsid w:val="004A4C01"/>
    <w:rsid w:val="004B041A"/>
    <w:rsid w:val="004B445E"/>
    <w:rsid w:val="004B4F07"/>
    <w:rsid w:val="004B6AFE"/>
    <w:rsid w:val="004C30B0"/>
    <w:rsid w:val="004D0564"/>
    <w:rsid w:val="004D0E62"/>
    <w:rsid w:val="004D1555"/>
    <w:rsid w:val="004D1754"/>
    <w:rsid w:val="004D233C"/>
    <w:rsid w:val="004D3EB3"/>
    <w:rsid w:val="004D44EB"/>
    <w:rsid w:val="004E2C66"/>
    <w:rsid w:val="004F530F"/>
    <w:rsid w:val="004F587D"/>
    <w:rsid w:val="005031CB"/>
    <w:rsid w:val="00504397"/>
    <w:rsid w:val="005053A6"/>
    <w:rsid w:val="00506C44"/>
    <w:rsid w:val="00510DD5"/>
    <w:rsid w:val="005113E1"/>
    <w:rsid w:val="0051438E"/>
    <w:rsid w:val="00515422"/>
    <w:rsid w:val="0051619B"/>
    <w:rsid w:val="0052254A"/>
    <w:rsid w:val="005229A6"/>
    <w:rsid w:val="00525B6D"/>
    <w:rsid w:val="005262C4"/>
    <w:rsid w:val="00527540"/>
    <w:rsid w:val="00527905"/>
    <w:rsid w:val="005331B2"/>
    <w:rsid w:val="00533373"/>
    <w:rsid w:val="005413DE"/>
    <w:rsid w:val="00542820"/>
    <w:rsid w:val="00543F5C"/>
    <w:rsid w:val="005505E2"/>
    <w:rsid w:val="005564C4"/>
    <w:rsid w:val="0056302C"/>
    <w:rsid w:val="0056570B"/>
    <w:rsid w:val="00570B3A"/>
    <w:rsid w:val="00572514"/>
    <w:rsid w:val="00580346"/>
    <w:rsid w:val="00581940"/>
    <w:rsid w:val="00583FF7"/>
    <w:rsid w:val="00585AE6"/>
    <w:rsid w:val="005945A4"/>
    <w:rsid w:val="005975D4"/>
    <w:rsid w:val="005A14BB"/>
    <w:rsid w:val="005A500F"/>
    <w:rsid w:val="005A6662"/>
    <w:rsid w:val="005A78A4"/>
    <w:rsid w:val="005B041D"/>
    <w:rsid w:val="005C49FD"/>
    <w:rsid w:val="005D0238"/>
    <w:rsid w:val="005D0693"/>
    <w:rsid w:val="005D1CE2"/>
    <w:rsid w:val="005D59BE"/>
    <w:rsid w:val="005E7A14"/>
    <w:rsid w:val="005F0670"/>
    <w:rsid w:val="005F0EF0"/>
    <w:rsid w:val="006023C2"/>
    <w:rsid w:val="00602BCF"/>
    <w:rsid w:val="00603608"/>
    <w:rsid w:val="00605C22"/>
    <w:rsid w:val="006213C7"/>
    <w:rsid w:val="0062160A"/>
    <w:rsid w:val="00623607"/>
    <w:rsid w:val="00626A8D"/>
    <w:rsid w:val="00627048"/>
    <w:rsid w:val="0063287A"/>
    <w:rsid w:val="0063289C"/>
    <w:rsid w:val="0063489A"/>
    <w:rsid w:val="006350A9"/>
    <w:rsid w:val="006410C3"/>
    <w:rsid w:val="00641722"/>
    <w:rsid w:val="0064686E"/>
    <w:rsid w:val="006519F4"/>
    <w:rsid w:val="00651FD9"/>
    <w:rsid w:val="00656359"/>
    <w:rsid w:val="00656C8A"/>
    <w:rsid w:val="00660D68"/>
    <w:rsid w:val="00660F23"/>
    <w:rsid w:val="00664609"/>
    <w:rsid w:val="0066685E"/>
    <w:rsid w:val="00666A49"/>
    <w:rsid w:val="006714A8"/>
    <w:rsid w:val="006716DF"/>
    <w:rsid w:val="00672A72"/>
    <w:rsid w:val="006755AC"/>
    <w:rsid w:val="00677616"/>
    <w:rsid w:val="00684C7D"/>
    <w:rsid w:val="00685527"/>
    <w:rsid w:val="00685F85"/>
    <w:rsid w:val="006866A2"/>
    <w:rsid w:val="006909D7"/>
    <w:rsid w:val="006921A1"/>
    <w:rsid w:val="00692D15"/>
    <w:rsid w:val="00695F5D"/>
    <w:rsid w:val="006A1237"/>
    <w:rsid w:val="006A59A0"/>
    <w:rsid w:val="006C31DA"/>
    <w:rsid w:val="006C4280"/>
    <w:rsid w:val="006D1590"/>
    <w:rsid w:val="006D1844"/>
    <w:rsid w:val="006D191D"/>
    <w:rsid w:val="006D3FF2"/>
    <w:rsid w:val="006D47EA"/>
    <w:rsid w:val="006E0149"/>
    <w:rsid w:val="006E069F"/>
    <w:rsid w:val="006E2D88"/>
    <w:rsid w:val="006E4E3F"/>
    <w:rsid w:val="006E574B"/>
    <w:rsid w:val="006E5D11"/>
    <w:rsid w:val="006E68DC"/>
    <w:rsid w:val="006E7E24"/>
    <w:rsid w:val="006F1C2A"/>
    <w:rsid w:val="006F572E"/>
    <w:rsid w:val="00701052"/>
    <w:rsid w:val="00705F5B"/>
    <w:rsid w:val="00710BF6"/>
    <w:rsid w:val="00712B9D"/>
    <w:rsid w:val="00712CE4"/>
    <w:rsid w:val="00712DD2"/>
    <w:rsid w:val="00713DBB"/>
    <w:rsid w:val="00720F4F"/>
    <w:rsid w:val="007220FA"/>
    <w:rsid w:val="00724A1A"/>
    <w:rsid w:val="007251E0"/>
    <w:rsid w:val="0072541E"/>
    <w:rsid w:val="00731CF2"/>
    <w:rsid w:val="0073444B"/>
    <w:rsid w:val="007377DF"/>
    <w:rsid w:val="00740E27"/>
    <w:rsid w:val="007461E9"/>
    <w:rsid w:val="00747EE6"/>
    <w:rsid w:val="00750B69"/>
    <w:rsid w:val="00750D35"/>
    <w:rsid w:val="00763F36"/>
    <w:rsid w:val="007675E7"/>
    <w:rsid w:val="00770BA3"/>
    <w:rsid w:val="00781B5F"/>
    <w:rsid w:val="00784348"/>
    <w:rsid w:val="00784C0C"/>
    <w:rsid w:val="00786489"/>
    <w:rsid w:val="007866EF"/>
    <w:rsid w:val="007914FE"/>
    <w:rsid w:val="00792A8B"/>
    <w:rsid w:val="00794E96"/>
    <w:rsid w:val="007A2469"/>
    <w:rsid w:val="007A3408"/>
    <w:rsid w:val="007A37AF"/>
    <w:rsid w:val="007A3EC2"/>
    <w:rsid w:val="007B043F"/>
    <w:rsid w:val="007B3FE7"/>
    <w:rsid w:val="007B4A41"/>
    <w:rsid w:val="007B5298"/>
    <w:rsid w:val="007C078F"/>
    <w:rsid w:val="007C2597"/>
    <w:rsid w:val="007C2EAF"/>
    <w:rsid w:val="007C6B4F"/>
    <w:rsid w:val="007C7373"/>
    <w:rsid w:val="007D060C"/>
    <w:rsid w:val="007D5457"/>
    <w:rsid w:val="007E039A"/>
    <w:rsid w:val="007E1439"/>
    <w:rsid w:val="007E2208"/>
    <w:rsid w:val="007F130F"/>
    <w:rsid w:val="007F135D"/>
    <w:rsid w:val="007F63B1"/>
    <w:rsid w:val="007F7D04"/>
    <w:rsid w:val="00802CAB"/>
    <w:rsid w:val="00805EB9"/>
    <w:rsid w:val="0081653D"/>
    <w:rsid w:val="00816F35"/>
    <w:rsid w:val="00823F7B"/>
    <w:rsid w:val="008340BD"/>
    <w:rsid w:val="00835C90"/>
    <w:rsid w:val="008422E7"/>
    <w:rsid w:val="00844F9C"/>
    <w:rsid w:val="00845575"/>
    <w:rsid w:val="008512B2"/>
    <w:rsid w:val="00852E06"/>
    <w:rsid w:val="00853160"/>
    <w:rsid w:val="00854BBA"/>
    <w:rsid w:val="0085689B"/>
    <w:rsid w:val="00863361"/>
    <w:rsid w:val="008648FF"/>
    <w:rsid w:val="008726FE"/>
    <w:rsid w:val="00874D0E"/>
    <w:rsid w:val="00882BB3"/>
    <w:rsid w:val="00884907"/>
    <w:rsid w:val="00885124"/>
    <w:rsid w:val="00886C24"/>
    <w:rsid w:val="008902E0"/>
    <w:rsid w:val="008908A5"/>
    <w:rsid w:val="00890BA1"/>
    <w:rsid w:val="00890BE6"/>
    <w:rsid w:val="0089580E"/>
    <w:rsid w:val="00895DFC"/>
    <w:rsid w:val="00896843"/>
    <w:rsid w:val="0089693B"/>
    <w:rsid w:val="008A3C76"/>
    <w:rsid w:val="008A613A"/>
    <w:rsid w:val="008A7FF9"/>
    <w:rsid w:val="008B3671"/>
    <w:rsid w:val="008C6F2F"/>
    <w:rsid w:val="008E005E"/>
    <w:rsid w:val="008F25A9"/>
    <w:rsid w:val="008F3B92"/>
    <w:rsid w:val="008F4F75"/>
    <w:rsid w:val="008F5C2E"/>
    <w:rsid w:val="008F6E06"/>
    <w:rsid w:val="00900EF7"/>
    <w:rsid w:val="0090142F"/>
    <w:rsid w:val="009014BD"/>
    <w:rsid w:val="00904706"/>
    <w:rsid w:val="00906A0B"/>
    <w:rsid w:val="009071E5"/>
    <w:rsid w:val="009108E2"/>
    <w:rsid w:val="00913743"/>
    <w:rsid w:val="00914299"/>
    <w:rsid w:val="00922D7D"/>
    <w:rsid w:val="009250A0"/>
    <w:rsid w:val="00926DAA"/>
    <w:rsid w:val="009337D0"/>
    <w:rsid w:val="00937577"/>
    <w:rsid w:val="00942C28"/>
    <w:rsid w:val="00943E0A"/>
    <w:rsid w:val="00943EC9"/>
    <w:rsid w:val="00946798"/>
    <w:rsid w:val="00952283"/>
    <w:rsid w:val="00952B89"/>
    <w:rsid w:val="00957285"/>
    <w:rsid w:val="00957CE7"/>
    <w:rsid w:val="00957D8D"/>
    <w:rsid w:val="00964268"/>
    <w:rsid w:val="00966005"/>
    <w:rsid w:val="00967AF2"/>
    <w:rsid w:val="0097377A"/>
    <w:rsid w:val="00975058"/>
    <w:rsid w:val="00977319"/>
    <w:rsid w:val="0098308A"/>
    <w:rsid w:val="00983F04"/>
    <w:rsid w:val="009858C4"/>
    <w:rsid w:val="00986B74"/>
    <w:rsid w:val="00987302"/>
    <w:rsid w:val="0098752D"/>
    <w:rsid w:val="00992091"/>
    <w:rsid w:val="009952B9"/>
    <w:rsid w:val="00997356"/>
    <w:rsid w:val="009A09C5"/>
    <w:rsid w:val="009A3B28"/>
    <w:rsid w:val="009A56D1"/>
    <w:rsid w:val="009A60FD"/>
    <w:rsid w:val="009A7589"/>
    <w:rsid w:val="009B1E7D"/>
    <w:rsid w:val="009B485A"/>
    <w:rsid w:val="009B6218"/>
    <w:rsid w:val="009C1001"/>
    <w:rsid w:val="009C2250"/>
    <w:rsid w:val="009C234E"/>
    <w:rsid w:val="009D1D6C"/>
    <w:rsid w:val="009D4A83"/>
    <w:rsid w:val="009D4BE7"/>
    <w:rsid w:val="009D632C"/>
    <w:rsid w:val="009D7C71"/>
    <w:rsid w:val="009E1687"/>
    <w:rsid w:val="009E44EF"/>
    <w:rsid w:val="009E4B7A"/>
    <w:rsid w:val="009E5005"/>
    <w:rsid w:val="009E5823"/>
    <w:rsid w:val="009F0234"/>
    <w:rsid w:val="009F0535"/>
    <w:rsid w:val="009F6E5E"/>
    <w:rsid w:val="00A01F0B"/>
    <w:rsid w:val="00A040D2"/>
    <w:rsid w:val="00A04550"/>
    <w:rsid w:val="00A04AA0"/>
    <w:rsid w:val="00A05B0E"/>
    <w:rsid w:val="00A15251"/>
    <w:rsid w:val="00A1604C"/>
    <w:rsid w:val="00A16CA1"/>
    <w:rsid w:val="00A32A3A"/>
    <w:rsid w:val="00A35080"/>
    <w:rsid w:val="00A366C2"/>
    <w:rsid w:val="00A418FF"/>
    <w:rsid w:val="00A441D7"/>
    <w:rsid w:val="00A45148"/>
    <w:rsid w:val="00A46053"/>
    <w:rsid w:val="00A47B11"/>
    <w:rsid w:val="00A5020A"/>
    <w:rsid w:val="00A50BB0"/>
    <w:rsid w:val="00A63672"/>
    <w:rsid w:val="00A6611B"/>
    <w:rsid w:val="00A77870"/>
    <w:rsid w:val="00A946CE"/>
    <w:rsid w:val="00A95502"/>
    <w:rsid w:val="00A95946"/>
    <w:rsid w:val="00AA4287"/>
    <w:rsid w:val="00AA50C4"/>
    <w:rsid w:val="00AB0E99"/>
    <w:rsid w:val="00AB1615"/>
    <w:rsid w:val="00AB1DA3"/>
    <w:rsid w:val="00AB1E49"/>
    <w:rsid w:val="00AB2265"/>
    <w:rsid w:val="00AB2934"/>
    <w:rsid w:val="00AB4B9D"/>
    <w:rsid w:val="00AB78CA"/>
    <w:rsid w:val="00AC18EB"/>
    <w:rsid w:val="00AC360C"/>
    <w:rsid w:val="00AC5AB5"/>
    <w:rsid w:val="00AC5CE3"/>
    <w:rsid w:val="00AD2939"/>
    <w:rsid w:val="00AD451A"/>
    <w:rsid w:val="00AE0E78"/>
    <w:rsid w:val="00AE2EC0"/>
    <w:rsid w:val="00AE6126"/>
    <w:rsid w:val="00AF574E"/>
    <w:rsid w:val="00AF5979"/>
    <w:rsid w:val="00AF7C79"/>
    <w:rsid w:val="00B00F34"/>
    <w:rsid w:val="00B03B52"/>
    <w:rsid w:val="00B03CD0"/>
    <w:rsid w:val="00B04AF5"/>
    <w:rsid w:val="00B07EE1"/>
    <w:rsid w:val="00B12002"/>
    <w:rsid w:val="00B145B3"/>
    <w:rsid w:val="00B156C9"/>
    <w:rsid w:val="00B17561"/>
    <w:rsid w:val="00B20E0D"/>
    <w:rsid w:val="00B26451"/>
    <w:rsid w:val="00B316C3"/>
    <w:rsid w:val="00B31FCF"/>
    <w:rsid w:val="00B32009"/>
    <w:rsid w:val="00B346A1"/>
    <w:rsid w:val="00B34B1A"/>
    <w:rsid w:val="00B43AF1"/>
    <w:rsid w:val="00B44782"/>
    <w:rsid w:val="00B500FC"/>
    <w:rsid w:val="00B56569"/>
    <w:rsid w:val="00B601BF"/>
    <w:rsid w:val="00B654D5"/>
    <w:rsid w:val="00B81C99"/>
    <w:rsid w:val="00B8356C"/>
    <w:rsid w:val="00B86102"/>
    <w:rsid w:val="00B90E7C"/>
    <w:rsid w:val="00B9124F"/>
    <w:rsid w:val="00B94BE8"/>
    <w:rsid w:val="00BA15B6"/>
    <w:rsid w:val="00BA73EF"/>
    <w:rsid w:val="00BB0209"/>
    <w:rsid w:val="00BB4E6F"/>
    <w:rsid w:val="00BB6D8A"/>
    <w:rsid w:val="00BC5F0B"/>
    <w:rsid w:val="00BC6FAB"/>
    <w:rsid w:val="00BD01AE"/>
    <w:rsid w:val="00BD53B4"/>
    <w:rsid w:val="00BE1EA7"/>
    <w:rsid w:val="00BE27F4"/>
    <w:rsid w:val="00BE2D2D"/>
    <w:rsid w:val="00BE2DEE"/>
    <w:rsid w:val="00BE392F"/>
    <w:rsid w:val="00BE4863"/>
    <w:rsid w:val="00BE4DA5"/>
    <w:rsid w:val="00BE6A73"/>
    <w:rsid w:val="00BF4875"/>
    <w:rsid w:val="00BF628A"/>
    <w:rsid w:val="00C03D88"/>
    <w:rsid w:val="00C04D04"/>
    <w:rsid w:val="00C068E8"/>
    <w:rsid w:val="00C14817"/>
    <w:rsid w:val="00C2744D"/>
    <w:rsid w:val="00C31FD8"/>
    <w:rsid w:val="00C344F9"/>
    <w:rsid w:val="00C360CF"/>
    <w:rsid w:val="00C371BD"/>
    <w:rsid w:val="00C407F4"/>
    <w:rsid w:val="00C4109C"/>
    <w:rsid w:val="00C45ECD"/>
    <w:rsid w:val="00C475B6"/>
    <w:rsid w:val="00C5065D"/>
    <w:rsid w:val="00C5340B"/>
    <w:rsid w:val="00C53545"/>
    <w:rsid w:val="00C541CD"/>
    <w:rsid w:val="00C60EEA"/>
    <w:rsid w:val="00C6618A"/>
    <w:rsid w:val="00C66C13"/>
    <w:rsid w:val="00C67E37"/>
    <w:rsid w:val="00C7444C"/>
    <w:rsid w:val="00C746DF"/>
    <w:rsid w:val="00C83C94"/>
    <w:rsid w:val="00C866EF"/>
    <w:rsid w:val="00C92C9C"/>
    <w:rsid w:val="00C93596"/>
    <w:rsid w:val="00CA07EE"/>
    <w:rsid w:val="00CA2AF1"/>
    <w:rsid w:val="00CA72B6"/>
    <w:rsid w:val="00CA7BA1"/>
    <w:rsid w:val="00CB1422"/>
    <w:rsid w:val="00CB1A2B"/>
    <w:rsid w:val="00CB48F2"/>
    <w:rsid w:val="00CC0FA0"/>
    <w:rsid w:val="00CC1A36"/>
    <w:rsid w:val="00CC21DC"/>
    <w:rsid w:val="00CC319D"/>
    <w:rsid w:val="00CC5C10"/>
    <w:rsid w:val="00CC6C3F"/>
    <w:rsid w:val="00CC7F49"/>
    <w:rsid w:val="00CD2380"/>
    <w:rsid w:val="00CD41AC"/>
    <w:rsid w:val="00CE2D90"/>
    <w:rsid w:val="00CE694E"/>
    <w:rsid w:val="00CE7524"/>
    <w:rsid w:val="00CF31DC"/>
    <w:rsid w:val="00D013A7"/>
    <w:rsid w:val="00D035D9"/>
    <w:rsid w:val="00D03DCC"/>
    <w:rsid w:val="00D0529F"/>
    <w:rsid w:val="00D14E68"/>
    <w:rsid w:val="00D15D37"/>
    <w:rsid w:val="00D20480"/>
    <w:rsid w:val="00D23409"/>
    <w:rsid w:val="00D23472"/>
    <w:rsid w:val="00D34210"/>
    <w:rsid w:val="00D360C5"/>
    <w:rsid w:val="00D36E18"/>
    <w:rsid w:val="00D458E1"/>
    <w:rsid w:val="00D462E0"/>
    <w:rsid w:val="00D47B5F"/>
    <w:rsid w:val="00D5453C"/>
    <w:rsid w:val="00D547FA"/>
    <w:rsid w:val="00D60642"/>
    <w:rsid w:val="00D72FB1"/>
    <w:rsid w:val="00D8072D"/>
    <w:rsid w:val="00D812BB"/>
    <w:rsid w:val="00D81341"/>
    <w:rsid w:val="00D81379"/>
    <w:rsid w:val="00D81599"/>
    <w:rsid w:val="00D84801"/>
    <w:rsid w:val="00D93318"/>
    <w:rsid w:val="00DA074F"/>
    <w:rsid w:val="00DA5974"/>
    <w:rsid w:val="00DB14F4"/>
    <w:rsid w:val="00DB1F7B"/>
    <w:rsid w:val="00DB3E9C"/>
    <w:rsid w:val="00DB6838"/>
    <w:rsid w:val="00DC0BFB"/>
    <w:rsid w:val="00DC0D02"/>
    <w:rsid w:val="00DD006F"/>
    <w:rsid w:val="00DD52AB"/>
    <w:rsid w:val="00DE2572"/>
    <w:rsid w:val="00DE27BC"/>
    <w:rsid w:val="00DE50E1"/>
    <w:rsid w:val="00DF02E1"/>
    <w:rsid w:val="00DF0E42"/>
    <w:rsid w:val="00DF12D8"/>
    <w:rsid w:val="00DF32F9"/>
    <w:rsid w:val="00DF59AF"/>
    <w:rsid w:val="00DF5F5A"/>
    <w:rsid w:val="00E1755A"/>
    <w:rsid w:val="00E206D1"/>
    <w:rsid w:val="00E22BBA"/>
    <w:rsid w:val="00E27FC4"/>
    <w:rsid w:val="00E32884"/>
    <w:rsid w:val="00E336CB"/>
    <w:rsid w:val="00E400DE"/>
    <w:rsid w:val="00E40B9F"/>
    <w:rsid w:val="00E42A21"/>
    <w:rsid w:val="00E449BA"/>
    <w:rsid w:val="00E44F4A"/>
    <w:rsid w:val="00E46936"/>
    <w:rsid w:val="00E50E9A"/>
    <w:rsid w:val="00E534AA"/>
    <w:rsid w:val="00E54121"/>
    <w:rsid w:val="00E611E1"/>
    <w:rsid w:val="00E651A7"/>
    <w:rsid w:val="00E65A26"/>
    <w:rsid w:val="00E66BAF"/>
    <w:rsid w:val="00E70286"/>
    <w:rsid w:val="00E7407B"/>
    <w:rsid w:val="00E75557"/>
    <w:rsid w:val="00E77752"/>
    <w:rsid w:val="00E81D50"/>
    <w:rsid w:val="00E81EE0"/>
    <w:rsid w:val="00E87A91"/>
    <w:rsid w:val="00E90362"/>
    <w:rsid w:val="00E91B26"/>
    <w:rsid w:val="00EA4289"/>
    <w:rsid w:val="00EA47F6"/>
    <w:rsid w:val="00EB1AB1"/>
    <w:rsid w:val="00EB266E"/>
    <w:rsid w:val="00EB378D"/>
    <w:rsid w:val="00EB3B48"/>
    <w:rsid w:val="00EB5A96"/>
    <w:rsid w:val="00EB7C66"/>
    <w:rsid w:val="00EB7D2F"/>
    <w:rsid w:val="00EE206F"/>
    <w:rsid w:val="00EE317F"/>
    <w:rsid w:val="00EE565F"/>
    <w:rsid w:val="00EE722E"/>
    <w:rsid w:val="00F00B0C"/>
    <w:rsid w:val="00F0140C"/>
    <w:rsid w:val="00F036E5"/>
    <w:rsid w:val="00F048C5"/>
    <w:rsid w:val="00F12F04"/>
    <w:rsid w:val="00F16F2D"/>
    <w:rsid w:val="00F17568"/>
    <w:rsid w:val="00F20C8A"/>
    <w:rsid w:val="00F232EA"/>
    <w:rsid w:val="00F2594E"/>
    <w:rsid w:val="00F30CED"/>
    <w:rsid w:val="00F30F5E"/>
    <w:rsid w:val="00F333F5"/>
    <w:rsid w:val="00F3389B"/>
    <w:rsid w:val="00F4643A"/>
    <w:rsid w:val="00F47017"/>
    <w:rsid w:val="00F65797"/>
    <w:rsid w:val="00F67FB5"/>
    <w:rsid w:val="00F7118F"/>
    <w:rsid w:val="00F72C71"/>
    <w:rsid w:val="00F73A68"/>
    <w:rsid w:val="00F817A9"/>
    <w:rsid w:val="00F82D1B"/>
    <w:rsid w:val="00F856EE"/>
    <w:rsid w:val="00F90B33"/>
    <w:rsid w:val="00F92D68"/>
    <w:rsid w:val="00F9512D"/>
    <w:rsid w:val="00FA4D83"/>
    <w:rsid w:val="00FA5396"/>
    <w:rsid w:val="00FB1CA7"/>
    <w:rsid w:val="00FB2E2A"/>
    <w:rsid w:val="00FB4735"/>
    <w:rsid w:val="00FB5BC1"/>
    <w:rsid w:val="00FB652D"/>
    <w:rsid w:val="00FC0A57"/>
    <w:rsid w:val="00FC0CF0"/>
    <w:rsid w:val="00FC137D"/>
    <w:rsid w:val="00FC2621"/>
    <w:rsid w:val="00FC3C0B"/>
    <w:rsid w:val="00FD1BAB"/>
    <w:rsid w:val="00FD3DBC"/>
    <w:rsid w:val="00FD66C5"/>
    <w:rsid w:val="00FD7F87"/>
    <w:rsid w:val="00FE05A2"/>
    <w:rsid w:val="00FE0CBB"/>
    <w:rsid w:val="00FE611E"/>
    <w:rsid w:val="00FE616A"/>
    <w:rsid w:val="00FE77ED"/>
    <w:rsid w:val="00FF4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3045BC"/>
  <w15:chartTrackingRefBased/>
  <w15:docId w15:val="{231A49F7-D2D5-0441-A2F6-698B39A17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8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48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48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48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48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480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80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80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80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8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48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48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48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48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4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801"/>
    <w:rPr>
      <w:rFonts w:eastAsiaTheme="majorEastAsia" w:cstheme="majorBidi"/>
      <w:color w:val="272727" w:themeColor="text1" w:themeTint="D8"/>
    </w:rPr>
  </w:style>
  <w:style w:type="paragraph" w:styleId="Title">
    <w:name w:val="Title"/>
    <w:basedOn w:val="Normal"/>
    <w:next w:val="Normal"/>
    <w:link w:val="TitleChar"/>
    <w:uiPriority w:val="10"/>
    <w:qFormat/>
    <w:rsid w:val="00D848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8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8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4801"/>
    <w:rPr>
      <w:i/>
      <w:iCs/>
      <w:color w:val="404040" w:themeColor="text1" w:themeTint="BF"/>
    </w:rPr>
  </w:style>
  <w:style w:type="paragraph" w:styleId="ListParagraph">
    <w:name w:val="List Paragraph"/>
    <w:basedOn w:val="Normal"/>
    <w:uiPriority w:val="34"/>
    <w:qFormat/>
    <w:rsid w:val="00D84801"/>
    <w:pPr>
      <w:ind w:left="720"/>
      <w:contextualSpacing/>
    </w:pPr>
  </w:style>
  <w:style w:type="character" w:styleId="IntenseEmphasis">
    <w:name w:val="Intense Emphasis"/>
    <w:basedOn w:val="DefaultParagraphFont"/>
    <w:uiPriority w:val="21"/>
    <w:qFormat/>
    <w:rsid w:val="00D84801"/>
    <w:rPr>
      <w:i/>
      <w:iCs/>
      <w:color w:val="2F5496" w:themeColor="accent1" w:themeShade="BF"/>
    </w:rPr>
  </w:style>
  <w:style w:type="paragraph" w:styleId="IntenseQuote">
    <w:name w:val="Intense Quote"/>
    <w:basedOn w:val="Normal"/>
    <w:next w:val="Normal"/>
    <w:link w:val="IntenseQuoteChar"/>
    <w:uiPriority w:val="30"/>
    <w:qFormat/>
    <w:rsid w:val="00D848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4801"/>
    <w:rPr>
      <w:i/>
      <w:iCs/>
      <w:color w:val="2F5496" w:themeColor="accent1" w:themeShade="BF"/>
    </w:rPr>
  </w:style>
  <w:style w:type="character" w:styleId="IntenseReference">
    <w:name w:val="Intense Reference"/>
    <w:basedOn w:val="DefaultParagraphFont"/>
    <w:uiPriority w:val="32"/>
    <w:qFormat/>
    <w:rsid w:val="00D84801"/>
    <w:rPr>
      <w:b/>
      <w:bCs/>
      <w:smallCaps/>
      <w:color w:val="2F5496" w:themeColor="accent1" w:themeShade="BF"/>
      <w:spacing w:val="5"/>
    </w:rPr>
  </w:style>
  <w:style w:type="paragraph" w:styleId="FootnoteText">
    <w:name w:val="footnote text"/>
    <w:basedOn w:val="Normal"/>
    <w:link w:val="FootnoteTextChar"/>
    <w:uiPriority w:val="99"/>
    <w:unhideWhenUsed/>
    <w:rsid w:val="00D84801"/>
    <w:rPr>
      <w:sz w:val="20"/>
      <w:szCs w:val="20"/>
    </w:rPr>
  </w:style>
  <w:style w:type="character" w:customStyle="1" w:styleId="FootnoteTextChar">
    <w:name w:val="Footnote Text Char"/>
    <w:basedOn w:val="DefaultParagraphFont"/>
    <w:link w:val="FootnoteText"/>
    <w:uiPriority w:val="99"/>
    <w:rsid w:val="00D84801"/>
    <w:rPr>
      <w:sz w:val="20"/>
      <w:szCs w:val="20"/>
    </w:rPr>
  </w:style>
  <w:style w:type="character" w:styleId="FootnoteReference">
    <w:name w:val="footnote reference"/>
    <w:basedOn w:val="DefaultParagraphFont"/>
    <w:uiPriority w:val="99"/>
    <w:semiHidden/>
    <w:unhideWhenUsed/>
    <w:rsid w:val="00D84801"/>
    <w:rPr>
      <w:vertAlign w:val="superscript"/>
    </w:rPr>
  </w:style>
  <w:style w:type="paragraph" w:styleId="Caption">
    <w:name w:val="caption"/>
    <w:basedOn w:val="Normal"/>
    <w:next w:val="Normal"/>
    <w:uiPriority w:val="35"/>
    <w:unhideWhenUsed/>
    <w:qFormat/>
    <w:rsid w:val="0012339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45208">
      <w:bodyDiv w:val="1"/>
      <w:marLeft w:val="0"/>
      <w:marRight w:val="0"/>
      <w:marTop w:val="0"/>
      <w:marBottom w:val="0"/>
      <w:divBdr>
        <w:top w:val="none" w:sz="0" w:space="0" w:color="auto"/>
        <w:left w:val="none" w:sz="0" w:space="0" w:color="auto"/>
        <w:bottom w:val="none" w:sz="0" w:space="0" w:color="auto"/>
        <w:right w:val="none" w:sz="0" w:space="0" w:color="auto"/>
      </w:divBdr>
    </w:div>
    <w:div w:id="116604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B4240-250E-5944-98B6-09183F8EA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1231</TotalTime>
  <Pages>11</Pages>
  <Words>4749</Words>
  <Characters>23892</Characters>
  <Application>Microsoft Office Word</Application>
  <DocSecurity>0</DocSecurity>
  <Lines>404</Lines>
  <Paragraphs>94</Paragraphs>
  <ScaleCrop>false</ScaleCrop>
  <Company/>
  <LinksUpToDate>false</LinksUpToDate>
  <CharactersWithSpaces>28547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747</cp:revision>
  <cp:lastPrinted>2025-05-04T20:23:00Z</cp:lastPrinted>
  <dcterms:created xsi:type="dcterms:W3CDTF">2025-05-01T15:01:00Z</dcterms:created>
  <dcterms:modified xsi:type="dcterms:W3CDTF">2025-05-04T22:54:00Z</dcterms:modified>
</cp:coreProperties>
</file>