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598"/>
        <w:gridCol w:w="8753"/>
      </w:tblGrid>
      <w:tr w:rsidR="00AB55B6" w14:paraId="4C7BEAB7" w14:textId="77777777" w:rsidTr="00AB55B6">
        <w:tc>
          <w:tcPr>
            <w:tcW w:w="598" w:type="dxa"/>
          </w:tcPr>
          <w:p w14:paraId="43E7A820" w14:textId="12B34741" w:rsidR="00AB55B6" w:rsidRDefault="00AB55B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8753" w:type="dxa"/>
          </w:tcPr>
          <w:p w14:paraId="71BAAB65" w14:textId="77777777" w:rsidR="00AB55B6" w:rsidRDefault="00AB55B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62D18A4" w14:textId="20A56866" w:rsidR="00AB55B6" w:rsidRPr="00AB55B6" w:rsidRDefault="00AB55B6" w:rsidP="00AB55B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Explain the meaning of the Standard Risk Level for Domestic Violence victims (1 Mark)</w:t>
            </w:r>
          </w:p>
        </w:tc>
      </w:tr>
      <w:tr w:rsidR="00AB55B6" w14:paraId="142AEC72" w14:textId="77777777" w:rsidTr="00AB55B6">
        <w:tc>
          <w:tcPr>
            <w:tcW w:w="598" w:type="dxa"/>
          </w:tcPr>
          <w:p w14:paraId="3D9D4F2A" w14:textId="0FE48F19" w:rsidR="00AB55B6" w:rsidRDefault="00AB55B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8753" w:type="dxa"/>
          </w:tcPr>
          <w:p w14:paraId="70B07FD4" w14:textId="77777777" w:rsidR="00AB55B6" w:rsidRDefault="00AB55B6">
            <w:pPr>
              <w:rPr>
                <w:rFonts w:ascii="Arial" w:hAnsi="Arial" w:cs="Arial"/>
                <w:sz w:val="24"/>
                <w:szCs w:val="24"/>
              </w:rPr>
            </w:pPr>
          </w:p>
          <w:p w14:paraId="24FC8B69" w14:textId="3FF669D2" w:rsidR="00AB55B6" w:rsidRDefault="00AB55B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Define Serial Perpetrator </w:t>
            </w:r>
            <w:r w:rsidR="00CF3DEE">
              <w:rPr>
                <w:rFonts w:ascii="Arial" w:hAnsi="Arial" w:cs="Arial"/>
                <w:sz w:val="24"/>
                <w:szCs w:val="24"/>
              </w:rPr>
              <w:t>regarding</w:t>
            </w:r>
            <w:r>
              <w:rPr>
                <w:rFonts w:ascii="Arial" w:hAnsi="Arial" w:cs="Arial"/>
                <w:sz w:val="24"/>
                <w:szCs w:val="24"/>
              </w:rPr>
              <w:t xml:space="preserve"> domestic violence (3 marks)</w:t>
            </w:r>
          </w:p>
          <w:p w14:paraId="62D78D85" w14:textId="77777777" w:rsidR="00AB55B6" w:rsidRDefault="00AB55B6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1D55E4" w14:textId="77777777" w:rsidR="00AB55B6" w:rsidRDefault="00AB55B6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B55B6" w14:paraId="79DC794A" w14:textId="77777777" w:rsidTr="00AB55B6">
        <w:tc>
          <w:tcPr>
            <w:tcW w:w="598" w:type="dxa"/>
          </w:tcPr>
          <w:p w14:paraId="3B6A9F00" w14:textId="4E527D76" w:rsidR="00AB55B6" w:rsidRDefault="00AB55B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8753" w:type="dxa"/>
          </w:tcPr>
          <w:p w14:paraId="6E269534" w14:textId="77777777" w:rsidR="00AB55B6" w:rsidRDefault="00AB55B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Define Section 3 of the Fraud Act 2006</w:t>
            </w:r>
            <w:r w:rsidR="00CF3DEE">
              <w:rPr>
                <w:rFonts w:ascii="Arial" w:hAnsi="Arial" w:cs="Arial"/>
                <w:sz w:val="24"/>
                <w:szCs w:val="24"/>
              </w:rPr>
              <w:t xml:space="preserve"> (5 Marks)</w:t>
            </w:r>
          </w:p>
          <w:p w14:paraId="2799AE18" w14:textId="77777777" w:rsidR="00CF3DEE" w:rsidRDefault="00CF3DEE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3A3E36" w14:textId="6F796A5A" w:rsidR="00CF3DEE" w:rsidRDefault="00CF3DE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B55B6" w14:paraId="4259A657" w14:textId="77777777" w:rsidTr="00AB55B6">
        <w:tc>
          <w:tcPr>
            <w:tcW w:w="598" w:type="dxa"/>
          </w:tcPr>
          <w:p w14:paraId="53141936" w14:textId="4215E013" w:rsidR="00AB55B6" w:rsidRDefault="00AB55B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8753" w:type="dxa"/>
          </w:tcPr>
          <w:p w14:paraId="0DD6D68A" w14:textId="3099273F" w:rsidR="00AB55B6" w:rsidRDefault="00CF3DE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When considering Section 4 A of the Protection from Harassment Act 1997, explain what would constitute as a substantial adverse effect on the victim’s day to day activities (4 Marks)</w:t>
            </w:r>
          </w:p>
          <w:p w14:paraId="0EFA4DFA" w14:textId="77777777" w:rsidR="00CF3DEE" w:rsidRDefault="00CF3DEE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A1E4F4" w14:textId="2197C2CB" w:rsidR="00CF3DEE" w:rsidRDefault="00CF3DE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B55B6" w14:paraId="6D7C1055" w14:textId="77777777" w:rsidTr="00AB55B6">
        <w:tc>
          <w:tcPr>
            <w:tcW w:w="598" w:type="dxa"/>
          </w:tcPr>
          <w:p w14:paraId="48296C3E" w14:textId="5C422027" w:rsidR="00AB55B6" w:rsidRDefault="00AB55B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8753" w:type="dxa"/>
          </w:tcPr>
          <w:p w14:paraId="5F8FFBF3" w14:textId="6E2E939A" w:rsidR="00AB55B6" w:rsidRDefault="00CF3DE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Define the offence of Causing a person to engage in sexual activity without consent country to section 4 of the Sexual Offences Act 2003 (4 marks)</w:t>
            </w:r>
          </w:p>
          <w:p w14:paraId="69D0E4DF" w14:textId="77777777" w:rsidR="00CF3DEE" w:rsidRDefault="00CF3DEE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C8C027" w14:textId="62565907" w:rsidR="00CF3DEE" w:rsidRDefault="00CF3DE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F5DAC5D" w14:textId="4FB90A6C" w:rsidR="00AD0E77" w:rsidRDefault="00AD0E77">
      <w:pPr>
        <w:rPr>
          <w:noProof/>
        </w:rPr>
      </w:pPr>
    </w:p>
    <w:p w14:paraId="6DF8F0F1" w14:textId="77777777" w:rsidR="00CF3DEE" w:rsidRDefault="00CF3DEE">
      <w:pPr>
        <w:rPr>
          <w:noProof/>
        </w:rPr>
      </w:pPr>
    </w:p>
    <w:p w14:paraId="0401BC78" w14:textId="51A7F8AC" w:rsidR="00CF3DEE" w:rsidRPr="00AB55B6" w:rsidRDefault="00CF3DEE" w:rsidP="00CF3DEE">
      <w:pPr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3FBB75A" wp14:editId="5AB5BB81">
            <wp:extent cx="3438525" cy="2305050"/>
            <wp:effectExtent l="0" t="0" r="9525" b="0"/>
            <wp:docPr id="663729862" name="Picture 1" descr="A notebook with a clock and mark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729862" name="Picture 1" descr="A notebook with a clock and markers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438525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F3DEE" w:rsidRPr="00AB55B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DFE73C0" w14:textId="77777777" w:rsidR="00485B6B" w:rsidRDefault="00485B6B" w:rsidP="00AB55B6">
      <w:pPr>
        <w:spacing w:after="0" w:line="240" w:lineRule="auto"/>
      </w:pPr>
      <w:r>
        <w:separator/>
      </w:r>
    </w:p>
  </w:endnote>
  <w:endnote w:type="continuationSeparator" w:id="0">
    <w:p w14:paraId="78CB4036" w14:textId="77777777" w:rsidR="00485B6B" w:rsidRDefault="00485B6B" w:rsidP="00AB55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E28E009" w14:textId="77777777" w:rsidR="00485B6B" w:rsidRDefault="00485B6B" w:rsidP="00AB55B6">
      <w:pPr>
        <w:spacing w:after="0" w:line="240" w:lineRule="auto"/>
      </w:pPr>
      <w:r>
        <w:separator/>
      </w:r>
    </w:p>
  </w:footnote>
  <w:footnote w:type="continuationSeparator" w:id="0">
    <w:p w14:paraId="5C64E44E" w14:textId="77777777" w:rsidR="00485B6B" w:rsidRDefault="00485B6B" w:rsidP="00AB55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E30FAB9" w14:textId="77777777" w:rsidR="00AB55B6" w:rsidRDefault="00AB55B6">
    <w:pPr>
      <w:pStyle w:val="Header"/>
    </w:pPr>
  </w:p>
  <w:p w14:paraId="2036ED4B" w14:textId="352963C0" w:rsidR="00AB55B6" w:rsidRDefault="00AB55B6">
    <w:pPr>
      <w:pStyle w:val="Header"/>
    </w:pPr>
    <w:r>
      <w:t xml:space="preserve">Example Questions: </w:t>
    </w:r>
  </w:p>
  <w:p w14:paraId="2F56C48E" w14:textId="77777777" w:rsidR="00AB55B6" w:rsidRDefault="00AB55B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55B6"/>
    <w:rsid w:val="00485B6B"/>
    <w:rsid w:val="0050103A"/>
    <w:rsid w:val="00700651"/>
    <w:rsid w:val="00955819"/>
    <w:rsid w:val="00AB55B6"/>
    <w:rsid w:val="00AD0E77"/>
    <w:rsid w:val="00CF3DEE"/>
    <w:rsid w:val="00FA0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92C90"/>
  <w15:chartTrackingRefBased/>
  <w15:docId w15:val="{490475A9-7184-4545-94E5-1ACBD00C83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55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55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55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55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55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55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55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55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55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55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55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55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55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55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55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55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55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55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55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55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55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55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55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55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55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55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55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55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55B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B55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B55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55B6"/>
  </w:style>
  <w:style w:type="paragraph" w:styleId="Footer">
    <w:name w:val="footer"/>
    <w:basedOn w:val="Normal"/>
    <w:link w:val="FooterChar"/>
    <w:uiPriority w:val="99"/>
    <w:unhideWhenUsed/>
    <w:rsid w:val="00AB55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55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83</Words>
  <Characters>475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1</cp:revision>
  <dcterms:created xsi:type="dcterms:W3CDTF">2024-12-06T09:27:00Z</dcterms:created>
  <dcterms:modified xsi:type="dcterms:W3CDTF">2024-12-06T09:45:00Z</dcterms:modified>
</cp:coreProperties>
</file>