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63FDB1" w14:textId="77777777" w:rsidR="00E828C7" w:rsidRDefault="00D37AA8" w:rsidP="00871450">
      <w:pPr>
        <w:spacing w:line="480" w:lineRule="auto"/>
        <w:jc w:val="center"/>
        <w:rPr>
          <w:rFonts w:ascii="Times New Roman" w:hAnsi="Times New Roman" w:cs="Times New Roman"/>
          <w:sz w:val="24"/>
          <w:szCs w:val="24"/>
        </w:rPr>
      </w:pPr>
      <w:bookmarkStart w:id="0" w:name="_GoBack"/>
      <w:r>
        <w:rPr>
          <w:rFonts w:ascii="Times New Roman" w:hAnsi="Times New Roman" w:cs="Times New Roman"/>
          <w:sz w:val="24"/>
          <w:szCs w:val="24"/>
          <w:u w:val="single"/>
        </w:rPr>
        <w:t>Were the Eastern Desert port towns of Berenike and Myos Hormos purely utilitarian?</w:t>
      </w:r>
    </w:p>
    <w:p w14:paraId="20082361" w14:textId="77777777" w:rsidR="00D37AA8" w:rsidRDefault="00D37AA8" w:rsidP="00871450">
      <w:pPr>
        <w:spacing w:line="480" w:lineRule="auto"/>
        <w:rPr>
          <w:rFonts w:ascii="Times New Roman" w:hAnsi="Times New Roman" w:cs="Times New Roman"/>
          <w:sz w:val="24"/>
          <w:szCs w:val="24"/>
        </w:rPr>
      </w:pPr>
    </w:p>
    <w:p w14:paraId="4591153F" w14:textId="3D17B88D" w:rsidR="00EA4CF1" w:rsidRDefault="001D36BF" w:rsidP="00871450">
      <w:pPr>
        <w:spacing w:line="480" w:lineRule="auto"/>
        <w:rPr>
          <w:rFonts w:ascii="Times New Roman" w:hAnsi="Times New Roman" w:cs="Times New Roman"/>
          <w:sz w:val="24"/>
          <w:szCs w:val="24"/>
        </w:rPr>
      </w:pPr>
      <w:r>
        <w:rPr>
          <w:rFonts w:ascii="Times New Roman" w:hAnsi="Times New Roman" w:cs="Times New Roman"/>
          <w:sz w:val="24"/>
          <w:szCs w:val="24"/>
        </w:rPr>
        <w:t xml:space="preserve">Berenike and Myos Hormos were two towns in the eastern desert of Egypt that were involved in the Red Sea trade route between the west and the east. </w:t>
      </w:r>
      <w:r w:rsidR="00175D1D">
        <w:rPr>
          <w:rFonts w:ascii="Times New Roman" w:hAnsi="Times New Roman" w:cs="Times New Roman"/>
          <w:sz w:val="24"/>
          <w:szCs w:val="24"/>
        </w:rPr>
        <w:t xml:space="preserve">In this essay I will be looking at where these port towns can be considered to have been purely utilitarian in nature, or whether they had other aspects to them, such as family, social stratification, and luxury materials, that elevated them above the status of utilitarian. </w:t>
      </w:r>
      <w:r w:rsidR="00561C94">
        <w:rPr>
          <w:rFonts w:ascii="Times New Roman" w:hAnsi="Times New Roman" w:cs="Times New Roman"/>
          <w:sz w:val="24"/>
          <w:szCs w:val="24"/>
        </w:rPr>
        <w:t xml:space="preserve">One of the main sources of evidence for Berenike and Myos Hormos is archaeological, with records pertaining to industry, merchants, domestic life, and clothing, to name a few. </w:t>
      </w:r>
      <w:r w:rsidR="00575B05">
        <w:rPr>
          <w:rFonts w:ascii="Times New Roman" w:hAnsi="Times New Roman" w:cs="Times New Roman"/>
          <w:sz w:val="24"/>
          <w:szCs w:val="24"/>
        </w:rPr>
        <w:t xml:space="preserve">The archaeological remains show us that the sites were in use over different periods of history, though to varying degrees in certain periods, which suggests that the sites were of significant importance to the trade activity of the area (and the extended world along the trade route) for the majority of the sites’ histories. </w:t>
      </w:r>
      <w:r w:rsidR="00C25E5F">
        <w:rPr>
          <w:rFonts w:ascii="Times New Roman" w:hAnsi="Times New Roman" w:cs="Times New Roman"/>
          <w:sz w:val="24"/>
          <w:szCs w:val="24"/>
        </w:rPr>
        <w:t>Some types of evidence have only been found as coming from specific time periods, which suggests that nature of the sites, for example their levels of utility, was not a static concept, but rather shows that they were dynamic towns that changed with trade activity and patterns of population.</w:t>
      </w:r>
    </w:p>
    <w:p w14:paraId="0452D49A" w14:textId="6F57C231" w:rsidR="00D727B6" w:rsidRDefault="0080283E" w:rsidP="00871450">
      <w:pPr>
        <w:spacing w:line="480" w:lineRule="auto"/>
        <w:rPr>
          <w:rFonts w:ascii="Times New Roman" w:hAnsi="Times New Roman" w:cs="Times New Roman"/>
          <w:sz w:val="24"/>
          <w:szCs w:val="24"/>
        </w:rPr>
      </w:pPr>
      <w:r>
        <w:rPr>
          <w:rFonts w:ascii="Times New Roman" w:hAnsi="Times New Roman" w:cs="Times New Roman"/>
          <w:sz w:val="24"/>
          <w:szCs w:val="24"/>
        </w:rPr>
        <w:t>Berenike is located about 825km south of Clysma and around 260km east of Aswan, and functioned as a major emporium between the third century B.C. and the sixth century A.D.</w:t>
      </w:r>
      <w:r>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Founded in around 275 B.C. by Ptolemy II Philadelphus and named after his mother</w:t>
      </w:r>
      <w:r>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Berenike was one of the major Red Sea ports in Egypt in the early Roman period.</w:t>
      </w:r>
      <w:r>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Archaeological evidence found over several digs between the years 1994 and 2001 indicate</w:t>
      </w:r>
      <w:r w:rsidR="00D758E2">
        <w:rPr>
          <w:rFonts w:ascii="Times New Roman" w:hAnsi="Times New Roman" w:cs="Times New Roman"/>
          <w:sz w:val="24"/>
          <w:szCs w:val="24"/>
        </w:rPr>
        <w:t xml:space="preserve"> that Berenike was a trade town </w:t>
      </w:r>
      <w:r>
        <w:rPr>
          <w:rFonts w:ascii="Times New Roman" w:hAnsi="Times New Roman" w:cs="Times New Roman"/>
          <w:sz w:val="24"/>
          <w:szCs w:val="24"/>
        </w:rPr>
        <w:t xml:space="preserve">that imported common trade goods and luxuries from around </w:t>
      </w:r>
      <w:r>
        <w:rPr>
          <w:rFonts w:ascii="Times New Roman" w:hAnsi="Times New Roman" w:cs="Times New Roman"/>
          <w:sz w:val="24"/>
          <w:szCs w:val="24"/>
        </w:rPr>
        <w:lastRenderedPageBreak/>
        <w:t>the known world, including items from as far west as Gaul and Spain and as far east as India and Sri Lanka.</w:t>
      </w:r>
      <w:r>
        <w:rPr>
          <w:rStyle w:val="FootnoteReference"/>
          <w:rFonts w:ascii="Times New Roman" w:hAnsi="Times New Roman" w:cs="Times New Roman"/>
          <w:sz w:val="24"/>
          <w:szCs w:val="24"/>
        </w:rPr>
        <w:footnoteReference w:id="4"/>
      </w:r>
      <w:r>
        <w:rPr>
          <w:rFonts w:ascii="Times New Roman" w:hAnsi="Times New Roman" w:cs="Times New Roman"/>
          <w:sz w:val="24"/>
          <w:szCs w:val="24"/>
        </w:rPr>
        <w:t xml:space="preserve"> </w:t>
      </w:r>
      <w:r w:rsidR="00CA5B82">
        <w:rPr>
          <w:rFonts w:ascii="Times New Roman" w:hAnsi="Times New Roman" w:cs="Times New Roman"/>
          <w:sz w:val="24"/>
          <w:szCs w:val="24"/>
        </w:rPr>
        <w:t>Copper alloy nails from the Ptolemaic period that have been excavated</w:t>
      </w:r>
      <w:r w:rsidR="00243E2F">
        <w:rPr>
          <w:rFonts w:ascii="Times New Roman" w:hAnsi="Times New Roman" w:cs="Times New Roman"/>
          <w:sz w:val="24"/>
          <w:szCs w:val="24"/>
        </w:rPr>
        <w:t xml:space="preserve"> also suggest that some shipbuilding or repair may have been undertaken in Berenike, this is corroborated by a papyrus found in the Fayum dated to 224 B.C. which indicates that a large deep-water vessel was outfitted at a port named Berenike.</w:t>
      </w:r>
      <w:r w:rsidR="00243E2F">
        <w:rPr>
          <w:rStyle w:val="FootnoteReference"/>
          <w:rFonts w:ascii="Times New Roman" w:hAnsi="Times New Roman" w:cs="Times New Roman"/>
          <w:sz w:val="24"/>
          <w:szCs w:val="24"/>
        </w:rPr>
        <w:footnoteReference w:id="5"/>
      </w:r>
      <w:r w:rsidR="00243E2F">
        <w:rPr>
          <w:rFonts w:ascii="Times New Roman" w:hAnsi="Times New Roman" w:cs="Times New Roman"/>
          <w:sz w:val="24"/>
          <w:szCs w:val="24"/>
        </w:rPr>
        <w:t xml:space="preserve"> In the early Roman period Berenike grew in size and stature which is indicated by from analysis of the trash dumps located to the north of the city.</w:t>
      </w:r>
      <w:r w:rsidR="00243E2F">
        <w:rPr>
          <w:rStyle w:val="FootnoteReference"/>
          <w:rFonts w:ascii="Times New Roman" w:hAnsi="Times New Roman" w:cs="Times New Roman"/>
          <w:sz w:val="24"/>
          <w:szCs w:val="24"/>
        </w:rPr>
        <w:footnoteReference w:id="6"/>
      </w:r>
      <w:r w:rsidR="00243E2F">
        <w:rPr>
          <w:rFonts w:ascii="Times New Roman" w:hAnsi="Times New Roman" w:cs="Times New Roman"/>
          <w:sz w:val="24"/>
          <w:szCs w:val="24"/>
        </w:rPr>
        <w:t xml:space="preserve"> These dumps contain a plethora of archaeological evidence including organic and inorganic remains, mummified pets, ostraca and papyri that provide lots of evidence </w:t>
      </w:r>
      <w:r w:rsidR="00CA5B82">
        <w:rPr>
          <w:rFonts w:ascii="Times New Roman" w:hAnsi="Times New Roman" w:cs="Times New Roman"/>
          <w:sz w:val="24"/>
          <w:szCs w:val="24"/>
        </w:rPr>
        <w:t>of daily life and industrial activity in Berenike.</w:t>
      </w:r>
      <w:r w:rsidR="00CA5B82">
        <w:rPr>
          <w:rStyle w:val="FootnoteReference"/>
          <w:rFonts w:ascii="Times New Roman" w:hAnsi="Times New Roman" w:cs="Times New Roman"/>
          <w:sz w:val="24"/>
          <w:szCs w:val="24"/>
        </w:rPr>
        <w:footnoteReference w:id="7"/>
      </w:r>
      <w:r w:rsidR="00CA5B82">
        <w:rPr>
          <w:rFonts w:ascii="Times New Roman" w:hAnsi="Times New Roman" w:cs="Times New Roman"/>
          <w:sz w:val="24"/>
          <w:szCs w:val="24"/>
        </w:rPr>
        <w:t xml:space="preserve"> Alongside these discoveries there have also been numerous ship related finds from these dumps, including Indian-made sailcloth and fishing nets, a papyrus containing a list of sailing items found in 1999 also suggests that Berenike was indeed a busy and well-functioning port.</w:t>
      </w:r>
      <w:r w:rsidR="00CA5B82">
        <w:rPr>
          <w:rStyle w:val="FootnoteReference"/>
          <w:rFonts w:ascii="Times New Roman" w:hAnsi="Times New Roman" w:cs="Times New Roman"/>
          <w:sz w:val="24"/>
          <w:szCs w:val="24"/>
        </w:rPr>
        <w:footnoteReference w:id="8"/>
      </w:r>
      <w:r w:rsidR="00CA5B82">
        <w:rPr>
          <w:rFonts w:ascii="Times New Roman" w:hAnsi="Times New Roman" w:cs="Times New Roman"/>
          <w:sz w:val="24"/>
          <w:szCs w:val="24"/>
        </w:rPr>
        <w:t xml:space="preserve"> From these dumps we can see that as Berenike grew in size as a trading port more and more people were making it their home, which we can assume would eventually turn Berenike into more of a utilitarian port than the Ptolemaic trade and ship-building port that it may have once been. </w:t>
      </w:r>
    </w:p>
    <w:p w14:paraId="7CAEB15D" w14:textId="54D72981" w:rsidR="00D727B6" w:rsidRDefault="00D727B6" w:rsidP="00871450">
      <w:pPr>
        <w:spacing w:line="480" w:lineRule="auto"/>
        <w:rPr>
          <w:rFonts w:ascii="Times New Roman" w:hAnsi="Times New Roman" w:cs="Times New Roman"/>
          <w:sz w:val="24"/>
          <w:szCs w:val="24"/>
        </w:rPr>
      </w:pPr>
    </w:p>
    <w:p w14:paraId="5D602948" w14:textId="77777777" w:rsidR="00D727B6" w:rsidRDefault="00D727B6" w:rsidP="00871450">
      <w:pPr>
        <w:spacing w:line="480" w:lineRule="auto"/>
        <w:rPr>
          <w:rFonts w:ascii="Times New Roman" w:hAnsi="Times New Roman" w:cs="Times New Roman"/>
          <w:sz w:val="24"/>
          <w:szCs w:val="24"/>
        </w:rPr>
      </w:pPr>
    </w:p>
    <w:p w14:paraId="402853EB" w14:textId="634744E6" w:rsidR="007D6B95" w:rsidRDefault="00081781" w:rsidP="00871450">
      <w:pPr>
        <w:spacing w:line="480" w:lineRule="auto"/>
        <w:rPr>
          <w:rFonts w:ascii="Times New Roman" w:hAnsi="Times New Roman" w:cs="Times New Roman"/>
          <w:sz w:val="24"/>
          <w:szCs w:val="24"/>
        </w:rPr>
      </w:pPr>
      <w:r>
        <w:rPr>
          <w:rFonts w:ascii="Times New Roman" w:hAnsi="Times New Roman" w:cs="Times New Roman"/>
          <w:sz w:val="24"/>
          <w:szCs w:val="24"/>
        </w:rPr>
        <w:t>Myos Hormos is thought to have been at the site today known as Quseir al-Qadim, though its exact location has been the subject of much discussion. Peacock</w:t>
      </w:r>
      <w:r w:rsidR="00560A8D">
        <w:rPr>
          <w:rFonts w:ascii="Times New Roman" w:hAnsi="Times New Roman" w:cs="Times New Roman"/>
          <w:sz w:val="24"/>
          <w:szCs w:val="24"/>
        </w:rPr>
        <w:t xml:space="preserve"> was the first to propose that the site of Quseir al-Qadim was potentially that of Myos Hormos and a wealth of new information from excavations in the form of </w:t>
      </w:r>
      <w:r w:rsidR="00560A8D">
        <w:rPr>
          <w:rFonts w:ascii="Times New Roman" w:hAnsi="Times New Roman" w:cs="Times New Roman"/>
          <w:i/>
          <w:sz w:val="24"/>
          <w:szCs w:val="24"/>
        </w:rPr>
        <w:t xml:space="preserve">ostraca </w:t>
      </w:r>
      <w:r w:rsidR="00560A8D">
        <w:rPr>
          <w:rFonts w:ascii="Times New Roman" w:hAnsi="Times New Roman" w:cs="Times New Roman"/>
          <w:sz w:val="24"/>
          <w:szCs w:val="24"/>
        </w:rPr>
        <w:t xml:space="preserve">and </w:t>
      </w:r>
      <w:r w:rsidR="00560A8D">
        <w:rPr>
          <w:rFonts w:ascii="Times New Roman" w:hAnsi="Times New Roman" w:cs="Times New Roman"/>
          <w:i/>
          <w:sz w:val="24"/>
          <w:szCs w:val="24"/>
        </w:rPr>
        <w:t xml:space="preserve">papyri </w:t>
      </w:r>
      <w:r w:rsidR="00560A8D">
        <w:rPr>
          <w:rFonts w:ascii="Times New Roman" w:hAnsi="Times New Roman" w:cs="Times New Roman"/>
          <w:sz w:val="24"/>
          <w:szCs w:val="24"/>
        </w:rPr>
        <w:t xml:space="preserve">confirmed </w:t>
      </w:r>
      <w:r>
        <w:rPr>
          <w:rFonts w:ascii="Times New Roman" w:hAnsi="Times New Roman" w:cs="Times New Roman"/>
          <w:sz w:val="24"/>
          <w:szCs w:val="24"/>
        </w:rPr>
        <w:t xml:space="preserve">that the </w:t>
      </w:r>
      <w:r>
        <w:rPr>
          <w:rFonts w:ascii="Times New Roman" w:hAnsi="Times New Roman" w:cs="Times New Roman"/>
          <w:sz w:val="24"/>
          <w:szCs w:val="24"/>
        </w:rPr>
        <w:lastRenderedPageBreak/>
        <w:t xml:space="preserve">topography and location conformed to the ancient sources, including the </w:t>
      </w:r>
      <w:r>
        <w:rPr>
          <w:rFonts w:ascii="Times New Roman" w:hAnsi="Times New Roman" w:cs="Times New Roman"/>
          <w:i/>
          <w:sz w:val="24"/>
          <w:szCs w:val="24"/>
        </w:rPr>
        <w:t>Periplus</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9"/>
      </w:r>
      <w:r>
        <w:rPr>
          <w:rFonts w:ascii="Times New Roman" w:hAnsi="Times New Roman" w:cs="Times New Roman"/>
          <w:sz w:val="24"/>
          <w:szCs w:val="24"/>
        </w:rPr>
        <w:t xml:space="preserve"> </w:t>
      </w:r>
      <w:r w:rsidR="00560A8D">
        <w:rPr>
          <w:rFonts w:ascii="Times New Roman" w:hAnsi="Times New Roman" w:cs="Times New Roman"/>
          <w:sz w:val="24"/>
          <w:szCs w:val="24"/>
        </w:rPr>
        <w:t xml:space="preserve">It is also clear from historical sources such as </w:t>
      </w:r>
      <w:r w:rsidR="00560A8D">
        <w:rPr>
          <w:rFonts w:ascii="Times New Roman" w:hAnsi="Times New Roman" w:cs="Times New Roman"/>
          <w:i/>
          <w:sz w:val="24"/>
          <w:szCs w:val="24"/>
        </w:rPr>
        <w:t xml:space="preserve">Strabo </w:t>
      </w:r>
      <w:r w:rsidR="007D6B95">
        <w:rPr>
          <w:rFonts w:ascii="Times New Roman" w:hAnsi="Times New Roman" w:cs="Times New Roman"/>
          <w:sz w:val="24"/>
          <w:szCs w:val="24"/>
        </w:rPr>
        <w:t>that Myos Hormos was considered a major Roman trading port, this is corroborated by a wealth of archaeological finds of imported artefacts.</w:t>
      </w:r>
      <w:r w:rsidR="007D6B95">
        <w:rPr>
          <w:rStyle w:val="FootnoteReference"/>
          <w:rFonts w:ascii="Times New Roman" w:hAnsi="Times New Roman" w:cs="Times New Roman"/>
          <w:sz w:val="24"/>
          <w:szCs w:val="24"/>
        </w:rPr>
        <w:footnoteReference w:id="10"/>
      </w:r>
      <w:r w:rsidR="007D6B95">
        <w:rPr>
          <w:rFonts w:ascii="Times New Roman" w:hAnsi="Times New Roman" w:cs="Times New Roman"/>
          <w:sz w:val="24"/>
          <w:szCs w:val="24"/>
        </w:rPr>
        <w:t xml:space="preserve"> Excavations at the Quesir al-Qadim site have unearthed what is believed to be the early Roman pier, and amphoras dating from the late first century B.C. to the early first century A.D., however it is clear that in comparison to the sprawling complex at Berenike, the port at Myos Hormos was rather primitive at points and not at all as monumental.</w:t>
      </w:r>
      <w:r w:rsidR="007D6B95">
        <w:rPr>
          <w:rStyle w:val="FootnoteReference"/>
          <w:rFonts w:ascii="Times New Roman" w:hAnsi="Times New Roman" w:cs="Times New Roman"/>
          <w:sz w:val="24"/>
          <w:szCs w:val="24"/>
        </w:rPr>
        <w:footnoteReference w:id="11"/>
      </w:r>
      <w:r w:rsidR="007D6B95">
        <w:rPr>
          <w:rFonts w:ascii="Times New Roman" w:hAnsi="Times New Roman" w:cs="Times New Roman"/>
          <w:sz w:val="24"/>
          <w:szCs w:val="24"/>
        </w:rPr>
        <w:t xml:space="preserve"> </w:t>
      </w:r>
    </w:p>
    <w:p w14:paraId="46CCFEC2" w14:textId="33A75C00" w:rsidR="001F49A9" w:rsidRDefault="001F49A9" w:rsidP="00871450">
      <w:pPr>
        <w:spacing w:line="480" w:lineRule="auto"/>
        <w:rPr>
          <w:rFonts w:ascii="Times New Roman" w:hAnsi="Times New Roman" w:cs="Times New Roman"/>
          <w:sz w:val="24"/>
          <w:szCs w:val="24"/>
        </w:rPr>
      </w:pPr>
      <w:r>
        <w:rPr>
          <w:rFonts w:ascii="Times New Roman" w:hAnsi="Times New Roman" w:cs="Times New Roman"/>
          <w:sz w:val="24"/>
          <w:szCs w:val="24"/>
        </w:rPr>
        <w:t>Myos Hormos occupied a crucial position on the coast, connecting Coptos and the Luxor region with the Red Sea, with a land distance of around 180km from city to port.</w:t>
      </w:r>
      <w:r>
        <w:rPr>
          <w:rStyle w:val="FootnoteReference"/>
          <w:rFonts w:ascii="Times New Roman" w:hAnsi="Times New Roman" w:cs="Times New Roman"/>
          <w:sz w:val="24"/>
          <w:szCs w:val="24"/>
        </w:rPr>
        <w:footnoteReference w:id="12"/>
      </w:r>
      <w:r>
        <w:rPr>
          <w:rFonts w:ascii="Times New Roman" w:hAnsi="Times New Roman" w:cs="Times New Roman"/>
          <w:sz w:val="24"/>
          <w:szCs w:val="24"/>
        </w:rPr>
        <w:t xml:space="preserve"> This much shorter distance than that between Berenike and Coptos affords a quicker travel time, and thus Myos Hormos could be seen as a more strategic port for military efforts. This is supported by the current salt-flat (</w:t>
      </w:r>
      <w:r>
        <w:rPr>
          <w:rFonts w:ascii="Times New Roman" w:hAnsi="Times New Roman" w:cs="Times New Roman"/>
          <w:i/>
          <w:sz w:val="24"/>
          <w:szCs w:val="24"/>
        </w:rPr>
        <w:t>sabkha</w:t>
      </w:r>
      <w:r>
        <w:rPr>
          <w:rFonts w:ascii="Times New Roman" w:hAnsi="Times New Roman" w:cs="Times New Roman"/>
          <w:sz w:val="24"/>
          <w:szCs w:val="24"/>
        </w:rPr>
        <w:t>) located behind Quesir al-Qadim that once could have been a shallow lagoon large enough for a naval base.</w:t>
      </w:r>
      <w:r>
        <w:rPr>
          <w:rStyle w:val="FootnoteReference"/>
          <w:rFonts w:ascii="Times New Roman" w:hAnsi="Times New Roman" w:cs="Times New Roman"/>
          <w:sz w:val="24"/>
          <w:szCs w:val="24"/>
        </w:rPr>
        <w:footnoteReference w:id="13"/>
      </w:r>
      <w:r>
        <w:rPr>
          <w:rFonts w:ascii="Times New Roman" w:hAnsi="Times New Roman" w:cs="Times New Roman"/>
          <w:sz w:val="24"/>
          <w:szCs w:val="24"/>
        </w:rPr>
        <w:t xml:space="preserve"> </w:t>
      </w:r>
      <w:r w:rsidR="00894784">
        <w:rPr>
          <w:rFonts w:ascii="Times New Roman" w:hAnsi="Times New Roman" w:cs="Times New Roman"/>
          <w:sz w:val="24"/>
          <w:szCs w:val="24"/>
        </w:rPr>
        <w:t>It seems also that the Romans invested a significant amount of money into the port to maintain its function, as evidenced by harbour dredging dumps located to the south of the site.</w:t>
      </w:r>
      <w:r w:rsidR="00894784">
        <w:rPr>
          <w:rStyle w:val="FootnoteReference"/>
          <w:rFonts w:ascii="Times New Roman" w:hAnsi="Times New Roman" w:cs="Times New Roman"/>
          <w:sz w:val="24"/>
          <w:szCs w:val="24"/>
        </w:rPr>
        <w:footnoteReference w:id="14"/>
      </w:r>
    </w:p>
    <w:p w14:paraId="5F47AAC3" w14:textId="3FD48964" w:rsidR="00E905C2" w:rsidRDefault="00894784" w:rsidP="00871450">
      <w:pPr>
        <w:spacing w:line="480" w:lineRule="auto"/>
        <w:rPr>
          <w:rFonts w:ascii="Times New Roman" w:hAnsi="Times New Roman" w:cs="Times New Roman"/>
          <w:sz w:val="24"/>
          <w:szCs w:val="24"/>
        </w:rPr>
      </w:pPr>
      <w:r>
        <w:rPr>
          <w:rFonts w:ascii="Times New Roman" w:hAnsi="Times New Roman" w:cs="Times New Roman"/>
          <w:sz w:val="24"/>
          <w:szCs w:val="24"/>
        </w:rPr>
        <w:t>As with Berenike there is archaeological evidence of ship-building and repair at Myos Hormos, including the discovery of metal nails, fishing hooks, toggles and pulleys.</w:t>
      </w:r>
      <w:r>
        <w:rPr>
          <w:rStyle w:val="FootnoteReference"/>
          <w:rFonts w:ascii="Times New Roman" w:hAnsi="Times New Roman" w:cs="Times New Roman"/>
          <w:sz w:val="24"/>
          <w:szCs w:val="24"/>
        </w:rPr>
        <w:footnoteReference w:id="15"/>
      </w:r>
      <w:r>
        <w:rPr>
          <w:rFonts w:ascii="Times New Roman" w:hAnsi="Times New Roman" w:cs="Times New Roman"/>
          <w:sz w:val="24"/>
          <w:szCs w:val="24"/>
        </w:rPr>
        <w:t xml:space="preserve"> </w:t>
      </w:r>
      <w:r w:rsidR="00E905C2">
        <w:rPr>
          <w:rFonts w:ascii="Times New Roman" w:hAnsi="Times New Roman" w:cs="Times New Roman"/>
          <w:sz w:val="24"/>
          <w:szCs w:val="24"/>
        </w:rPr>
        <w:t>To the western limits of the port an area of Roman smelting furnaces, sand extraction and more evidence for ship repairs has been identified.</w:t>
      </w:r>
      <w:r w:rsidR="00E905C2">
        <w:rPr>
          <w:rStyle w:val="FootnoteReference"/>
          <w:rFonts w:ascii="Times New Roman" w:hAnsi="Times New Roman" w:cs="Times New Roman"/>
          <w:sz w:val="24"/>
          <w:szCs w:val="24"/>
        </w:rPr>
        <w:footnoteReference w:id="16"/>
      </w:r>
      <w:r w:rsidR="00E905C2">
        <w:rPr>
          <w:rFonts w:ascii="Times New Roman" w:hAnsi="Times New Roman" w:cs="Times New Roman"/>
          <w:sz w:val="24"/>
          <w:szCs w:val="24"/>
        </w:rPr>
        <w:t xml:space="preserve"> </w:t>
      </w:r>
    </w:p>
    <w:p w14:paraId="36814790" w14:textId="2CFE6348" w:rsidR="00894784" w:rsidRDefault="00894784" w:rsidP="00871450">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The signific</w:t>
      </w:r>
      <w:r w:rsidR="00E905C2">
        <w:rPr>
          <w:rFonts w:ascii="Times New Roman" w:hAnsi="Times New Roman" w:cs="Times New Roman"/>
          <w:sz w:val="24"/>
          <w:szCs w:val="24"/>
        </w:rPr>
        <w:t xml:space="preserve">ance of Myos Hormos however could </w:t>
      </w:r>
      <w:r>
        <w:rPr>
          <w:rFonts w:ascii="Times New Roman" w:hAnsi="Times New Roman" w:cs="Times New Roman"/>
          <w:sz w:val="24"/>
          <w:szCs w:val="24"/>
        </w:rPr>
        <w:t>be attributed to the role it potentially played as a naval port and of its trade links along the Red Sea.</w:t>
      </w:r>
      <w:r>
        <w:rPr>
          <w:rStyle w:val="FootnoteReference"/>
          <w:rFonts w:ascii="Times New Roman" w:hAnsi="Times New Roman" w:cs="Times New Roman"/>
          <w:sz w:val="24"/>
          <w:szCs w:val="24"/>
        </w:rPr>
        <w:footnoteReference w:id="17"/>
      </w:r>
      <w:r>
        <w:rPr>
          <w:rFonts w:ascii="Times New Roman" w:hAnsi="Times New Roman" w:cs="Times New Roman"/>
          <w:sz w:val="24"/>
          <w:szCs w:val="24"/>
        </w:rPr>
        <w:t xml:space="preserve"> </w:t>
      </w:r>
      <w:r w:rsidR="00E905C2">
        <w:rPr>
          <w:rFonts w:ascii="Times New Roman" w:hAnsi="Times New Roman" w:cs="Times New Roman"/>
          <w:sz w:val="24"/>
          <w:szCs w:val="24"/>
        </w:rPr>
        <w:t>This apparent link with a potential naval base is corroborated by historical accounts of the port that describe the entrance as being ‘extremely narrow, crooked, or winding’.</w:t>
      </w:r>
      <w:r w:rsidR="00E905C2">
        <w:rPr>
          <w:rStyle w:val="FootnoteReference"/>
          <w:rFonts w:ascii="Times New Roman" w:hAnsi="Times New Roman" w:cs="Times New Roman"/>
          <w:sz w:val="24"/>
          <w:szCs w:val="24"/>
        </w:rPr>
        <w:footnoteReference w:id="18"/>
      </w:r>
      <w:r w:rsidR="00E905C2">
        <w:rPr>
          <w:rFonts w:ascii="Times New Roman" w:hAnsi="Times New Roman" w:cs="Times New Roman"/>
          <w:sz w:val="24"/>
          <w:szCs w:val="24"/>
        </w:rPr>
        <w:t xml:space="preserve"> This difficult entrance to the harbour would afford some safety to the port’s inhabitants, and the conical hill to the south-west of the site affords an excellent look-out point to sea.</w:t>
      </w:r>
      <w:r w:rsidR="00E905C2">
        <w:rPr>
          <w:rStyle w:val="FootnoteReference"/>
          <w:rFonts w:ascii="Times New Roman" w:hAnsi="Times New Roman" w:cs="Times New Roman"/>
          <w:sz w:val="24"/>
          <w:szCs w:val="24"/>
        </w:rPr>
        <w:footnoteReference w:id="19"/>
      </w:r>
    </w:p>
    <w:p w14:paraId="175898F3" w14:textId="716FA11B" w:rsidR="00560A8D" w:rsidRDefault="007D6B95" w:rsidP="00871450">
      <w:pPr>
        <w:spacing w:line="480" w:lineRule="auto"/>
        <w:rPr>
          <w:rFonts w:ascii="Times New Roman" w:hAnsi="Times New Roman" w:cs="Times New Roman"/>
          <w:sz w:val="24"/>
          <w:szCs w:val="24"/>
        </w:rPr>
      </w:pPr>
      <w:r>
        <w:rPr>
          <w:rFonts w:ascii="Times New Roman" w:hAnsi="Times New Roman" w:cs="Times New Roman"/>
          <w:sz w:val="24"/>
          <w:szCs w:val="24"/>
        </w:rPr>
        <w:t>Trade activity ceased at Myos Hormos with the decline of the Roman Empire in the early third century A.D. however after around one thousand years the Islamic port of Quesir al-Qadim was thriving once again.</w:t>
      </w:r>
      <w:r>
        <w:rPr>
          <w:rStyle w:val="FootnoteReference"/>
          <w:rFonts w:ascii="Times New Roman" w:hAnsi="Times New Roman" w:cs="Times New Roman"/>
          <w:sz w:val="24"/>
          <w:szCs w:val="24"/>
        </w:rPr>
        <w:footnoteReference w:id="20"/>
      </w:r>
      <w:r>
        <w:rPr>
          <w:rFonts w:ascii="Times New Roman" w:hAnsi="Times New Roman" w:cs="Times New Roman"/>
          <w:sz w:val="24"/>
          <w:szCs w:val="24"/>
        </w:rPr>
        <w:t xml:space="preserve"> This goes to show that the location of the port was in high demand throughout the ages until the beginning of the 16</w:t>
      </w:r>
      <w:r w:rsidRPr="007D6B95">
        <w:rPr>
          <w:rFonts w:ascii="Times New Roman" w:hAnsi="Times New Roman" w:cs="Times New Roman"/>
          <w:sz w:val="24"/>
          <w:szCs w:val="24"/>
          <w:vertAlign w:val="superscript"/>
        </w:rPr>
        <w:t>th</w:t>
      </w:r>
      <w:r>
        <w:rPr>
          <w:rFonts w:ascii="Times New Roman" w:hAnsi="Times New Roman" w:cs="Times New Roman"/>
          <w:sz w:val="24"/>
          <w:szCs w:val="24"/>
        </w:rPr>
        <w:t xml:space="preserve"> century when trade seems to have shifted to the </w:t>
      </w:r>
      <w:r w:rsidR="001F49A9">
        <w:rPr>
          <w:rFonts w:ascii="Times New Roman" w:hAnsi="Times New Roman" w:cs="Times New Roman"/>
          <w:sz w:val="24"/>
          <w:szCs w:val="24"/>
        </w:rPr>
        <w:t>modern-day</w:t>
      </w:r>
      <w:r>
        <w:rPr>
          <w:rFonts w:ascii="Times New Roman" w:hAnsi="Times New Roman" w:cs="Times New Roman"/>
          <w:sz w:val="24"/>
          <w:szCs w:val="24"/>
        </w:rPr>
        <w:t xml:space="preserve"> town of Quesir, about 8km to the south.</w:t>
      </w:r>
      <w:r>
        <w:rPr>
          <w:rStyle w:val="FootnoteReference"/>
          <w:rFonts w:ascii="Times New Roman" w:hAnsi="Times New Roman" w:cs="Times New Roman"/>
          <w:sz w:val="24"/>
          <w:szCs w:val="24"/>
        </w:rPr>
        <w:footnoteReference w:id="21"/>
      </w:r>
    </w:p>
    <w:p w14:paraId="4E9A386E" w14:textId="77777777" w:rsidR="00C05079" w:rsidRDefault="00C05079" w:rsidP="00871450">
      <w:pPr>
        <w:spacing w:line="480" w:lineRule="auto"/>
        <w:rPr>
          <w:rFonts w:ascii="Times New Roman" w:hAnsi="Times New Roman" w:cs="Times New Roman"/>
          <w:b/>
          <w:sz w:val="24"/>
          <w:szCs w:val="24"/>
          <w:u w:val="single"/>
        </w:rPr>
      </w:pPr>
    </w:p>
    <w:p w14:paraId="5A28CC60" w14:textId="402B0CE3" w:rsidR="00081781" w:rsidRPr="00495C2B" w:rsidRDefault="00886891" w:rsidP="00871450">
      <w:pPr>
        <w:spacing w:line="480" w:lineRule="auto"/>
        <w:rPr>
          <w:rFonts w:ascii="Times New Roman" w:hAnsi="Times New Roman" w:cs="Times New Roman"/>
          <w:b/>
          <w:sz w:val="24"/>
          <w:szCs w:val="24"/>
          <w:u w:val="single"/>
        </w:rPr>
      </w:pPr>
      <w:r w:rsidRPr="00495C2B">
        <w:rPr>
          <w:rFonts w:ascii="Times New Roman" w:hAnsi="Times New Roman" w:cs="Times New Roman"/>
          <w:b/>
          <w:sz w:val="24"/>
          <w:szCs w:val="24"/>
          <w:u w:val="single"/>
        </w:rPr>
        <w:t xml:space="preserve">Function of ports </w:t>
      </w:r>
    </w:p>
    <w:p w14:paraId="274E804D" w14:textId="67C723EE" w:rsidR="00886891" w:rsidRDefault="00886891" w:rsidP="00871450">
      <w:pPr>
        <w:spacing w:line="480" w:lineRule="auto"/>
        <w:rPr>
          <w:rFonts w:ascii="Times New Roman" w:hAnsi="Times New Roman" w:cs="Times New Roman"/>
          <w:sz w:val="24"/>
          <w:szCs w:val="24"/>
        </w:rPr>
      </w:pPr>
      <w:r>
        <w:rPr>
          <w:rFonts w:ascii="Times New Roman" w:hAnsi="Times New Roman" w:cs="Times New Roman"/>
          <w:sz w:val="24"/>
          <w:szCs w:val="24"/>
        </w:rPr>
        <w:t xml:space="preserve">Ports are utilised in the ancient world for a number of different reasons, however it can be agreed that all ports provide some kind of utilitarian </w:t>
      </w:r>
      <w:r w:rsidR="007D6B95">
        <w:rPr>
          <w:rFonts w:ascii="Times New Roman" w:hAnsi="Times New Roman" w:cs="Times New Roman"/>
          <w:sz w:val="24"/>
          <w:szCs w:val="24"/>
        </w:rPr>
        <w:t>service, acting as a conduit for trade and maritime activity between the land and sea.</w:t>
      </w:r>
      <w:r w:rsidR="007D6B95">
        <w:rPr>
          <w:rStyle w:val="FootnoteReference"/>
          <w:rFonts w:ascii="Times New Roman" w:hAnsi="Times New Roman" w:cs="Times New Roman"/>
          <w:sz w:val="24"/>
          <w:szCs w:val="24"/>
        </w:rPr>
        <w:footnoteReference w:id="22"/>
      </w:r>
      <w:r>
        <w:rPr>
          <w:rFonts w:ascii="Times New Roman" w:hAnsi="Times New Roman" w:cs="Times New Roman"/>
          <w:sz w:val="24"/>
          <w:szCs w:val="24"/>
        </w:rPr>
        <w:t xml:space="preserve"> Myos Hormos is located higher up in the red sea, where sailors would have to row the ships up into the port due to the seasonal weather changes.</w:t>
      </w:r>
      <w:r w:rsidR="00660B0B">
        <w:rPr>
          <w:rStyle w:val="FootnoteReference"/>
          <w:rFonts w:ascii="Times New Roman" w:hAnsi="Times New Roman" w:cs="Times New Roman"/>
          <w:sz w:val="24"/>
          <w:szCs w:val="24"/>
        </w:rPr>
        <w:footnoteReference w:id="23"/>
      </w:r>
      <w:r w:rsidR="00660B0B">
        <w:rPr>
          <w:rFonts w:ascii="Times New Roman" w:hAnsi="Times New Roman" w:cs="Times New Roman"/>
          <w:sz w:val="24"/>
          <w:szCs w:val="24"/>
        </w:rPr>
        <w:t xml:space="preserve"> It is also closer to Coptos with assumedly easier routes to transport food to the port for the soldiers and military personnel. </w:t>
      </w:r>
    </w:p>
    <w:p w14:paraId="1ADB17E7" w14:textId="7FD77B3C" w:rsidR="00660B0B" w:rsidRDefault="00660B0B" w:rsidP="00871450">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Berenike is in the lower part of the Eastern Desert on the Red Sea, this makes it a good place fo</w:t>
      </w:r>
      <w:r w:rsidR="004004D2">
        <w:rPr>
          <w:rFonts w:ascii="Times New Roman" w:hAnsi="Times New Roman" w:cs="Times New Roman"/>
          <w:sz w:val="24"/>
          <w:szCs w:val="24"/>
        </w:rPr>
        <w:t xml:space="preserve">r a trade centre to be located </w:t>
      </w:r>
      <w:r>
        <w:rPr>
          <w:rFonts w:ascii="Times New Roman" w:hAnsi="Times New Roman" w:cs="Times New Roman"/>
          <w:sz w:val="24"/>
          <w:szCs w:val="24"/>
        </w:rPr>
        <w:t>due to its eas</w:t>
      </w:r>
      <w:r w:rsidR="004004D2">
        <w:rPr>
          <w:rFonts w:ascii="Times New Roman" w:hAnsi="Times New Roman" w:cs="Times New Roman"/>
          <w:sz w:val="24"/>
          <w:szCs w:val="24"/>
        </w:rPr>
        <w:t xml:space="preserve">y travel routes on the Red Sea. Cargo ships are also heavier and therefore harder to sail further up the Red Sea, </w:t>
      </w:r>
      <w:r w:rsidR="00C05079">
        <w:rPr>
          <w:rFonts w:ascii="Times New Roman" w:hAnsi="Times New Roman" w:cs="Times New Roman"/>
          <w:sz w:val="24"/>
          <w:szCs w:val="24"/>
        </w:rPr>
        <w:t>which presumably</w:t>
      </w:r>
      <w:r w:rsidR="004004D2">
        <w:rPr>
          <w:rFonts w:ascii="Times New Roman" w:hAnsi="Times New Roman" w:cs="Times New Roman"/>
          <w:sz w:val="24"/>
          <w:szCs w:val="24"/>
        </w:rPr>
        <w:t xml:space="preserve"> mak</w:t>
      </w:r>
      <w:r w:rsidR="00C05079">
        <w:rPr>
          <w:rFonts w:ascii="Times New Roman" w:hAnsi="Times New Roman" w:cs="Times New Roman"/>
          <w:sz w:val="24"/>
          <w:szCs w:val="24"/>
        </w:rPr>
        <w:t>es</w:t>
      </w:r>
      <w:r w:rsidR="004004D2">
        <w:rPr>
          <w:rFonts w:ascii="Times New Roman" w:hAnsi="Times New Roman" w:cs="Times New Roman"/>
          <w:sz w:val="24"/>
          <w:szCs w:val="24"/>
        </w:rPr>
        <w:t xml:space="preserve"> Berenike a good place to trade and perform ship maintenance</w:t>
      </w:r>
      <w:r w:rsidR="00C05079">
        <w:rPr>
          <w:rFonts w:ascii="Times New Roman" w:hAnsi="Times New Roman" w:cs="Times New Roman"/>
          <w:sz w:val="24"/>
          <w:szCs w:val="24"/>
        </w:rPr>
        <w:t xml:space="preserve"> as it is located at the mouth of the Red Sea</w:t>
      </w:r>
      <w:r w:rsidR="004004D2">
        <w:rPr>
          <w:rFonts w:ascii="Times New Roman" w:hAnsi="Times New Roman" w:cs="Times New Roman"/>
          <w:sz w:val="24"/>
          <w:szCs w:val="24"/>
        </w:rPr>
        <w:t>.</w:t>
      </w:r>
      <w:r w:rsidR="00CA5B82">
        <w:rPr>
          <w:rFonts w:ascii="Times New Roman" w:hAnsi="Times New Roman" w:cs="Times New Roman"/>
          <w:sz w:val="24"/>
          <w:szCs w:val="24"/>
        </w:rPr>
        <w:t xml:space="preserve"> Berenike also has </w:t>
      </w:r>
      <w:r w:rsidR="004004D2">
        <w:rPr>
          <w:rFonts w:ascii="Times New Roman" w:hAnsi="Times New Roman" w:cs="Times New Roman"/>
          <w:sz w:val="24"/>
          <w:szCs w:val="24"/>
        </w:rPr>
        <w:t xml:space="preserve">land routes to Coptos </w:t>
      </w:r>
      <w:r w:rsidR="00CA5B82">
        <w:rPr>
          <w:rFonts w:ascii="Times New Roman" w:hAnsi="Times New Roman" w:cs="Times New Roman"/>
          <w:sz w:val="24"/>
          <w:szCs w:val="24"/>
        </w:rPr>
        <w:t xml:space="preserve">and other cities </w:t>
      </w:r>
      <w:r w:rsidR="004004D2">
        <w:rPr>
          <w:rFonts w:ascii="Times New Roman" w:hAnsi="Times New Roman" w:cs="Times New Roman"/>
          <w:sz w:val="24"/>
          <w:szCs w:val="24"/>
        </w:rPr>
        <w:t>but i</w:t>
      </w:r>
      <w:r w:rsidR="00243E2F">
        <w:rPr>
          <w:rFonts w:ascii="Times New Roman" w:hAnsi="Times New Roman" w:cs="Times New Roman"/>
          <w:sz w:val="24"/>
          <w:szCs w:val="24"/>
        </w:rPr>
        <w:t>s further away than Myos Hormos, being a twelve day journey over land,</w:t>
      </w:r>
      <w:r w:rsidR="00243E2F">
        <w:rPr>
          <w:rStyle w:val="FootnoteReference"/>
          <w:rFonts w:ascii="Times New Roman" w:hAnsi="Times New Roman" w:cs="Times New Roman"/>
          <w:sz w:val="24"/>
          <w:szCs w:val="24"/>
        </w:rPr>
        <w:footnoteReference w:id="24"/>
      </w:r>
      <w:r w:rsidR="00243E2F">
        <w:rPr>
          <w:rFonts w:ascii="Times New Roman" w:hAnsi="Times New Roman" w:cs="Times New Roman"/>
          <w:sz w:val="24"/>
          <w:szCs w:val="24"/>
        </w:rPr>
        <w:t xml:space="preserve"> </w:t>
      </w:r>
      <w:r w:rsidR="004004D2">
        <w:rPr>
          <w:rFonts w:ascii="Times New Roman" w:hAnsi="Times New Roman" w:cs="Times New Roman"/>
          <w:sz w:val="24"/>
          <w:szCs w:val="24"/>
        </w:rPr>
        <w:t>indicating</w:t>
      </w:r>
      <w:r w:rsidR="00CA5B82">
        <w:rPr>
          <w:rFonts w:ascii="Times New Roman" w:hAnsi="Times New Roman" w:cs="Times New Roman"/>
          <w:sz w:val="24"/>
          <w:szCs w:val="24"/>
        </w:rPr>
        <w:t xml:space="preserve"> that trade and transport of goods over land would have been a costly and time</w:t>
      </w:r>
      <w:r w:rsidR="00D758E2">
        <w:rPr>
          <w:rFonts w:ascii="Times New Roman" w:hAnsi="Times New Roman" w:cs="Times New Roman"/>
          <w:sz w:val="24"/>
          <w:szCs w:val="24"/>
        </w:rPr>
        <w:t xml:space="preserve"> consuming activity</w:t>
      </w:r>
      <w:r w:rsidR="004004D2">
        <w:rPr>
          <w:rFonts w:ascii="Times New Roman" w:hAnsi="Times New Roman" w:cs="Times New Roman"/>
          <w:sz w:val="24"/>
          <w:szCs w:val="24"/>
        </w:rPr>
        <w:t>.</w:t>
      </w:r>
      <w:r w:rsidR="00D758E2">
        <w:rPr>
          <w:rStyle w:val="FootnoteReference"/>
          <w:rFonts w:ascii="Times New Roman" w:hAnsi="Times New Roman" w:cs="Times New Roman"/>
          <w:sz w:val="24"/>
          <w:szCs w:val="24"/>
        </w:rPr>
        <w:footnoteReference w:id="25"/>
      </w:r>
      <w:r w:rsidR="004004D2">
        <w:rPr>
          <w:rFonts w:ascii="Times New Roman" w:hAnsi="Times New Roman" w:cs="Times New Roman"/>
          <w:sz w:val="24"/>
          <w:szCs w:val="24"/>
        </w:rPr>
        <w:t xml:space="preserve"> Luxor and Edfu are closer to Berenike allowing up to assume that any trade from Berenike may have travelled by land to these locations prior to making its way to Coptos. Another trade route may have been to send smaller amounts of cargo up the Red Sea to Myos Hormos for a more direct route to Coptos, however as mentioned previously this could not have happened all year round due to seasonal weather changes, therefore it may be assumed that if Berenike was indeed trading with Coptos the caravans and tradesmen may have opted for the land routes as a safer and consistent route.</w:t>
      </w:r>
      <w:r w:rsidR="00D727B6">
        <w:rPr>
          <w:rFonts w:ascii="Times New Roman" w:hAnsi="Times New Roman" w:cs="Times New Roman"/>
          <w:sz w:val="24"/>
          <w:szCs w:val="24"/>
        </w:rPr>
        <w:t xml:space="preserve"> </w:t>
      </w:r>
      <w:r w:rsidR="00D758E2">
        <w:rPr>
          <w:rFonts w:ascii="Times New Roman" w:hAnsi="Times New Roman" w:cs="Times New Roman"/>
          <w:sz w:val="24"/>
          <w:szCs w:val="24"/>
        </w:rPr>
        <w:t>As evidence mentioned previously indicates that some ship-building or repair may have taken place at Berenike, we can assume that if the transport of heavy ship beams was to be undertaken they would perhaps transport them via the Red Sea and not land routes, due to the high cost and danger associated with land transport at the time.</w:t>
      </w:r>
      <w:r w:rsidR="00D758E2">
        <w:rPr>
          <w:rStyle w:val="FootnoteReference"/>
          <w:rFonts w:ascii="Times New Roman" w:hAnsi="Times New Roman" w:cs="Times New Roman"/>
          <w:sz w:val="24"/>
          <w:szCs w:val="24"/>
        </w:rPr>
        <w:footnoteReference w:id="26"/>
      </w:r>
    </w:p>
    <w:p w14:paraId="3D6EE7B7" w14:textId="62BC3657" w:rsidR="00547C02" w:rsidRDefault="00547C02" w:rsidP="00871450">
      <w:pPr>
        <w:spacing w:line="480" w:lineRule="auto"/>
        <w:rPr>
          <w:rFonts w:ascii="Times New Roman" w:hAnsi="Times New Roman" w:cs="Times New Roman"/>
          <w:sz w:val="24"/>
          <w:szCs w:val="24"/>
        </w:rPr>
      </w:pPr>
    </w:p>
    <w:p w14:paraId="697D7FCB" w14:textId="15760433" w:rsidR="00547C02" w:rsidRDefault="00547C02" w:rsidP="00871450">
      <w:pPr>
        <w:spacing w:line="480" w:lineRule="auto"/>
        <w:rPr>
          <w:rFonts w:ascii="Times New Roman" w:hAnsi="Times New Roman" w:cs="Times New Roman"/>
          <w:sz w:val="24"/>
          <w:szCs w:val="24"/>
        </w:rPr>
      </w:pPr>
      <w:r w:rsidRPr="00032426">
        <w:rPr>
          <w:rFonts w:ascii="Times New Roman" w:hAnsi="Times New Roman" w:cs="Times New Roman"/>
          <w:sz w:val="24"/>
          <w:szCs w:val="24"/>
        </w:rPr>
        <w:t xml:space="preserve">From the lack of archaeological evidence found at Berenike dating to the second, third and fourth centuries A.D., it can be assumed that there was a decline in trade at Berenike at some point throughout these years. However from excavations at Quesir al-Qadim recently, it can be seen that there was vibrant activity in the area in the second century, suggesting that Myos </w:t>
      </w:r>
      <w:r w:rsidRPr="00032426">
        <w:rPr>
          <w:rFonts w:ascii="Times New Roman" w:hAnsi="Times New Roman" w:cs="Times New Roman"/>
          <w:sz w:val="24"/>
          <w:szCs w:val="24"/>
        </w:rPr>
        <w:lastRenderedPageBreak/>
        <w:t>Hormos may have surpassed Berenike to become the leading port for trade in the Red Sea at that time.</w:t>
      </w:r>
      <w:r w:rsidRPr="00032426">
        <w:rPr>
          <w:rStyle w:val="FootnoteReference"/>
          <w:rFonts w:ascii="Times New Roman" w:hAnsi="Times New Roman" w:cs="Times New Roman"/>
          <w:sz w:val="24"/>
          <w:szCs w:val="24"/>
        </w:rPr>
        <w:footnoteReference w:id="27"/>
      </w:r>
      <w:r w:rsidRPr="00032426">
        <w:rPr>
          <w:rFonts w:ascii="Times New Roman" w:hAnsi="Times New Roman" w:cs="Times New Roman"/>
          <w:sz w:val="24"/>
          <w:szCs w:val="24"/>
        </w:rPr>
        <w:t xml:space="preserve"> Myos Hormos’ position as the trade power in the Eastern Desert did not last for too long, as archaeological evidence suggests that trade and commerce ceased operations there sometime in the third century A.D.</w:t>
      </w:r>
      <w:r w:rsidR="00495C2B" w:rsidRPr="00032426">
        <w:rPr>
          <w:rFonts w:ascii="Times New Roman" w:hAnsi="Times New Roman" w:cs="Times New Roman"/>
          <w:sz w:val="24"/>
          <w:szCs w:val="24"/>
        </w:rPr>
        <w:t>, after this Berenike and others became the main trade towns of the late Roman period.</w:t>
      </w:r>
      <w:r w:rsidR="00495C2B" w:rsidRPr="00032426">
        <w:rPr>
          <w:rStyle w:val="FootnoteReference"/>
          <w:rFonts w:ascii="Times New Roman" w:hAnsi="Times New Roman" w:cs="Times New Roman"/>
          <w:sz w:val="24"/>
          <w:szCs w:val="24"/>
        </w:rPr>
        <w:footnoteReference w:id="28"/>
      </w:r>
    </w:p>
    <w:p w14:paraId="5F78A677" w14:textId="45C98B6C" w:rsidR="00495C2B" w:rsidRDefault="00495C2B" w:rsidP="00871450">
      <w:pPr>
        <w:spacing w:line="480" w:lineRule="auto"/>
        <w:rPr>
          <w:rFonts w:ascii="Times New Roman" w:hAnsi="Times New Roman" w:cs="Times New Roman"/>
          <w:sz w:val="24"/>
          <w:szCs w:val="24"/>
        </w:rPr>
      </w:pPr>
    </w:p>
    <w:p w14:paraId="5FF67FAE" w14:textId="6BF18782" w:rsidR="00495C2B" w:rsidRDefault="00495C2B" w:rsidP="00871450">
      <w:pPr>
        <w:spacing w:line="48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People of berenike </w:t>
      </w:r>
    </w:p>
    <w:p w14:paraId="0F3B8802" w14:textId="77777777" w:rsidR="00225E91" w:rsidRDefault="0080325E" w:rsidP="00871450">
      <w:pPr>
        <w:spacing w:line="480" w:lineRule="auto"/>
        <w:rPr>
          <w:rFonts w:ascii="Times New Roman" w:hAnsi="Times New Roman" w:cs="Times New Roman"/>
          <w:sz w:val="24"/>
          <w:szCs w:val="24"/>
        </w:rPr>
      </w:pPr>
      <w:r>
        <w:rPr>
          <w:rFonts w:ascii="Times New Roman" w:hAnsi="Times New Roman" w:cs="Times New Roman"/>
          <w:sz w:val="24"/>
          <w:szCs w:val="24"/>
        </w:rPr>
        <w:t xml:space="preserve">Taxes that were levied on the goods traded through the port were collected by the </w:t>
      </w:r>
      <w:r>
        <w:rPr>
          <w:rFonts w:ascii="Times New Roman" w:hAnsi="Times New Roman" w:cs="Times New Roman"/>
          <w:i/>
          <w:sz w:val="24"/>
          <w:szCs w:val="24"/>
        </w:rPr>
        <w:t>quintanensis</w:t>
      </w:r>
      <w:r>
        <w:rPr>
          <w:rFonts w:ascii="Times New Roman" w:hAnsi="Times New Roman" w:cs="Times New Roman"/>
          <w:sz w:val="24"/>
          <w:szCs w:val="24"/>
        </w:rPr>
        <w:t xml:space="preserve"> and were generally considered to be collected by the military, although this could sometimes be a private enterprise. This indicates that Berenike was organised </w:t>
      </w:r>
      <w:r w:rsidR="00E905C2">
        <w:rPr>
          <w:rFonts w:ascii="Times New Roman" w:hAnsi="Times New Roman" w:cs="Times New Roman"/>
          <w:sz w:val="24"/>
          <w:szCs w:val="24"/>
        </w:rPr>
        <w:t>by the R</w:t>
      </w:r>
      <w:r>
        <w:rPr>
          <w:rFonts w:ascii="Times New Roman" w:hAnsi="Times New Roman" w:cs="Times New Roman"/>
          <w:sz w:val="24"/>
          <w:szCs w:val="24"/>
        </w:rPr>
        <w:t>oman military or had a contingent of personnel stationed among its residents.</w:t>
      </w:r>
      <w:r>
        <w:rPr>
          <w:rStyle w:val="FootnoteReference"/>
          <w:rFonts w:ascii="Times New Roman" w:hAnsi="Times New Roman" w:cs="Times New Roman"/>
          <w:sz w:val="24"/>
          <w:szCs w:val="24"/>
        </w:rPr>
        <w:footnoteReference w:id="29"/>
      </w:r>
      <w:r w:rsidR="00892F15">
        <w:rPr>
          <w:rFonts w:ascii="Times New Roman" w:hAnsi="Times New Roman" w:cs="Times New Roman"/>
          <w:sz w:val="24"/>
          <w:szCs w:val="24"/>
        </w:rPr>
        <w:t xml:space="preserve"> The population of Berenike is likely to have fluctuated throughout the year, and would have peaked with the arrival of ships, as where the ships go employment comes, this is corroborated by the evidence of prostitutes found at Berenike.</w:t>
      </w:r>
      <w:r w:rsidR="00892F15">
        <w:rPr>
          <w:rStyle w:val="FootnoteReference"/>
          <w:rFonts w:ascii="Times New Roman" w:hAnsi="Times New Roman" w:cs="Times New Roman"/>
          <w:sz w:val="24"/>
          <w:szCs w:val="24"/>
        </w:rPr>
        <w:footnoteReference w:id="30"/>
      </w:r>
      <w:r w:rsidR="00892F15">
        <w:rPr>
          <w:rFonts w:ascii="Times New Roman" w:hAnsi="Times New Roman" w:cs="Times New Roman"/>
          <w:sz w:val="24"/>
          <w:szCs w:val="24"/>
        </w:rPr>
        <w:t xml:space="preserve"> With the ships would come a diverse range of people that would have travelled from all across the known world to potentially settle in Berenike.</w:t>
      </w:r>
      <w:r w:rsidR="00892F15">
        <w:rPr>
          <w:rStyle w:val="FootnoteReference"/>
          <w:rFonts w:ascii="Times New Roman" w:hAnsi="Times New Roman" w:cs="Times New Roman"/>
          <w:sz w:val="24"/>
          <w:szCs w:val="24"/>
        </w:rPr>
        <w:footnoteReference w:id="31"/>
      </w:r>
      <w:r w:rsidR="00892F15">
        <w:rPr>
          <w:rFonts w:ascii="Times New Roman" w:hAnsi="Times New Roman" w:cs="Times New Roman"/>
          <w:sz w:val="24"/>
          <w:szCs w:val="24"/>
        </w:rPr>
        <w:t xml:space="preserve"> These people of different backgrounds and social standing would have participated in life and trade within Berenike, contributing to its infrastructure and support.</w:t>
      </w:r>
      <w:r w:rsidR="00892F15">
        <w:rPr>
          <w:rStyle w:val="FootnoteReference"/>
          <w:rFonts w:ascii="Times New Roman" w:hAnsi="Times New Roman" w:cs="Times New Roman"/>
          <w:sz w:val="24"/>
          <w:szCs w:val="24"/>
        </w:rPr>
        <w:footnoteReference w:id="32"/>
      </w:r>
      <w:r w:rsidR="00892F15">
        <w:rPr>
          <w:rFonts w:ascii="Times New Roman" w:hAnsi="Times New Roman" w:cs="Times New Roman"/>
          <w:sz w:val="24"/>
          <w:szCs w:val="24"/>
        </w:rPr>
        <w:t xml:space="preserve"> Settlers in Berenike whether from Egypt or the wider world were both temporary and permanent residents of the town. </w:t>
      </w:r>
    </w:p>
    <w:p w14:paraId="045FFAC8" w14:textId="1211F76D" w:rsidR="00225E91" w:rsidRPr="00225E91" w:rsidRDefault="00225E91" w:rsidP="00871450">
      <w:pPr>
        <w:spacing w:line="480" w:lineRule="auto"/>
        <w:rPr>
          <w:rFonts w:ascii="Times New Roman" w:hAnsi="Times New Roman" w:cs="Times New Roman"/>
          <w:i/>
          <w:sz w:val="24"/>
          <w:szCs w:val="24"/>
        </w:rPr>
      </w:pPr>
      <w:r>
        <w:rPr>
          <w:rFonts w:ascii="Times New Roman" w:hAnsi="Times New Roman" w:cs="Times New Roman"/>
          <w:sz w:val="24"/>
          <w:szCs w:val="24"/>
        </w:rPr>
        <w:lastRenderedPageBreak/>
        <w:t>Important families in Egypt such as the Alexanders’ were greatly involved in the trade of the time as mentioned in the Nikanor Archive.</w:t>
      </w:r>
      <w:r>
        <w:rPr>
          <w:rStyle w:val="FootnoteReference"/>
          <w:rFonts w:ascii="Times New Roman" w:hAnsi="Times New Roman" w:cs="Times New Roman"/>
          <w:sz w:val="24"/>
          <w:szCs w:val="24"/>
        </w:rPr>
        <w:footnoteReference w:id="33"/>
      </w:r>
      <w:r>
        <w:rPr>
          <w:rFonts w:ascii="Times New Roman" w:hAnsi="Times New Roman" w:cs="Times New Roman"/>
          <w:sz w:val="24"/>
          <w:szCs w:val="24"/>
        </w:rPr>
        <w:t xml:space="preserve"> This could be through the sponsoring of ships and expeditions into foreign lands to gather the most precious materials and luxuries for trade. Whil</w:t>
      </w:r>
      <w:r w:rsidR="00E828C4">
        <w:rPr>
          <w:rFonts w:ascii="Times New Roman" w:hAnsi="Times New Roman" w:cs="Times New Roman"/>
          <w:sz w:val="24"/>
          <w:szCs w:val="24"/>
        </w:rPr>
        <w:t>st the higher-ranking</w:t>
      </w:r>
      <w:r>
        <w:rPr>
          <w:rFonts w:ascii="Times New Roman" w:hAnsi="Times New Roman" w:cs="Times New Roman"/>
          <w:sz w:val="24"/>
          <w:szCs w:val="24"/>
        </w:rPr>
        <w:t xml:space="preserve"> members </w:t>
      </w:r>
      <w:r w:rsidR="00E828C4">
        <w:rPr>
          <w:rFonts w:ascii="Times New Roman" w:hAnsi="Times New Roman" w:cs="Times New Roman"/>
          <w:sz w:val="24"/>
          <w:szCs w:val="24"/>
        </w:rPr>
        <w:t xml:space="preserve">of the family </w:t>
      </w:r>
      <w:r>
        <w:rPr>
          <w:rFonts w:ascii="Times New Roman" w:hAnsi="Times New Roman" w:cs="Times New Roman"/>
          <w:sz w:val="24"/>
          <w:szCs w:val="24"/>
        </w:rPr>
        <w:t xml:space="preserve">didn’t live in Berenike themselves members of </w:t>
      </w:r>
      <w:r w:rsidR="00E828C4">
        <w:rPr>
          <w:rFonts w:ascii="Times New Roman" w:hAnsi="Times New Roman" w:cs="Times New Roman"/>
          <w:sz w:val="24"/>
          <w:szCs w:val="24"/>
        </w:rPr>
        <w:t>t</w:t>
      </w:r>
      <w:r>
        <w:rPr>
          <w:rFonts w:ascii="Times New Roman" w:hAnsi="Times New Roman" w:cs="Times New Roman"/>
          <w:sz w:val="24"/>
          <w:szCs w:val="24"/>
        </w:rPr>
        <w:t>heir household and hous</w:t>
      </w:r>
      <w:r w:rsidR="00E828C4">
        <w:rPr>
          <w:rFonts w:ascii="Times New Roman" w:hAnsi="Times New Roman" w:cs="Times New Roman"/>
          <w:sz w:val="24"/>
          <w:szCs w:val="24"/>
        </w:rPr>
        <w:t>eholds like them</w:t>
      </w:r>
      <w:r>
        <w:rPr>
          <w:rFonts w:ascii="Times New Roman" w:hAnsi="Times New Roman" w:cs="Times New Roman"/>
          <w:sz w:val="24"/>
          <w:szCs w:val="24"/>
        </w:rPr>
        <w:t xml:space="preserve"> did maintain a presence in the town</w:t>
      </w:r>
      <w:r w:rsidR="00032426">
        <w:rPr>
          <w:rFonts w:ascii="Times New Roman" w:hAnsi="Times New Roman" w:cs="Times New Roman"/>
          <w:sz w:val="24"/>
          <w:szCs w:val="24"/>
        </w:rPr>
        <w:t>, and conducting business on their behalf</w:t>
      </w:r>
      <w:r>
        <w:rPr>
          <w:rFonts w:ascii="Times New Roman" w:hAnsi="Times New Roman" w:cs="Times New Roman"/>
          <w:sz w:val="24"/>
          <w:szCs w:val="24"/>
        </w:rPr>
        <w:t>.</w:t>
      </w:r>
      <w:r w:rsidR="00E828C4">
        <w:rPr>
          <w:rStyle w:val="FootnoteReference"/>
          <w:rFonts w:ascii="Times New Roman" w:hAnsi="Times New Roman" w:cs="Times New Roman"/>
          <w:sz w:val="24"/>
          <w:szCs w:val="24"/>
        </w:rPr>
        <w:footnoteReference w:id="34"/>
      </w:r>
      <w:r w:rsidR="00E828C4">
        <w:rPr>
          <w:rFonts w:ascii="Times New Roman" w:hAnsi="Times New Roman" w:cs="Times New Roman"/>
          <w:sz w:val="24"/>
          <w:szCs w:val="24"/>
        </w:rPr>
        <w:t xml:space="preserve"> </w:t>
      </w:r>
    </w:p>
    <w:p w14:paraId="2BB45827" w14:textId="6ED17325" w:rsidR="00984E24" w:rsidRDefault="00892F15" w:rsidP="00871450">
      <w:pPr>
        <w:spacing w:line="480" w:lineRule="auto"/>
        <w:rPr>
          <w:rFonts w:ascii="Times New Roman" w:hAnsi="Times New Roman" w:cs="Times New Roman"/>
          <w:sz w:val="24"/>
          <w:szCs w:val="24"/>
        </w:rPr>
      </w:pPr>
      <w:r>
        <w:rPr>
          <w:rFonts w:ascii="Times New Roman" w:hAnsi="Times New Roman" w:cs="Times New Roman"/>
          <w:sz w:val="24"/>
          <w:szCs w:val="24"/>
        </w:rPr>
        <w:t xml:space="preserve">Archaeological graffito, inscriptions, ostraca, and papyri provide a glimpse into these </w:t>
      </w:r>
      <w:r w:rsidR="00225E91">
        <w:rPr>
          <w:rFonts w:ascii="Times New Roman" w:hAnsi="Times New Roman" w:cs="Times New Roman"/>
          <w:sz w:val="24"/>
          <w:szCs w:val="24"/>
        </w:rPr>
        <w:t>people’s</w:t>
      </w:r>
      <w:r>
        <w:rPr>
          <w:rFonts w:ascii="Times New Roman" w:hAnsi="Times New Roman" w:cs="Times New Roman"/>
          <w:sz w:val="24"/>
          <w:szCs w:val="24"/>
        </w:rPr>
        <w:t xml:space="preserve"> lives including their diet, clothing, and jewellery.</w:t>
      </w:r>
      <w:r>
        <w:rPr>
          <w:rStyle w:val="FootnoteReference"/>
          <w:rFonts w:ascii="Times New Roman" w:hAnsi="Times New Roman" w:cs="Times New Roman"/>
          <w:sz w:val="24"/>
          <w:szCs w:val="24"/>
        </w:rPr>
        <w:footnoteReference w:id="35"/>
      </w:r>
      <w:r>
        <w:rPr>
          <w:rFonts w:ascii="Times New Roman" w:hAnsi="Times New Roman" w:cs="Times New Roman"/>
          <w:sz w:val="24"/>
          <w:szCs w:val="24"/>
        </w:rPr>
        <w:t xml:space="preserve"> </w:t>
      </w:r>
      <w:r w:rsidR="00225E91">
        <w:rPr>
          <w:rFonts w:ascii="Times New Roman" w:hAnsi="Times New Roman" w:cs="Times New Roman"/>
          <w:sz w:val="24"/>
          <w:szCs w:val="24"/>
        </w:rPr>
        <w:t xml:space="preserve">Berenike </w:t>
      </w:r>
      <w:r w:rsidR="006735A9">
        <w:rPr>
          <w:rFonts w:ascii="Times New Roman" w:hAnsi="Times New Roman" w:cs="Times New Roman"/>
          <w:sz w:val="24"/>
          <w:szCs w:val="24"/>
        </w:rPr>
        <w:t>can be</w:t>
      </w:r>
      <w:r w:rsidR="00225E91">
        <w:rPr>
          <w:rFonts w:ascii="Times New Roman" w:hAnsi="Times New Roman" w:cs="Times New Roman"/>
          <w:sz w:val="24"/>
          <w:szCs w:val="24"/>
        </w:rPr>
        <w:t xml:space="preserve"> considered a </w:t>
      </w:r>
      <w:r w:rsidR="006735A9">
        <w:rPr>
          <w:rFonts w:ascii="Times New Roman" w:hAnsi="Times New Roman" w:cs="Times New Roman"/>
          <w:sz w:val="24"/>
          <w:szCs w:val="24"/>
        </w:rPr>
        <w:t>society-based</w:t>
      </w:r>
      <w:r w:rsidR="00225E91">
        <w:rPr>
          <w:rFonts w:ascii="Times New Roman" w:hAnsi="Times New Roman" w:cs="Times New Roman"/>
          <w:sz w:val="24"/>
          <w:szCs w:val="24"/>
        </w:rPr>
        <w:t xml:space="preserve"> town as there is evidence of both male and female activity in the area, </w:t>
      </w:r>
      <w:r w:rsidR="006735A9">
        <w:rPr>
          <w:rFonts w:ascii="Times New Roman" w:hAnsi="Times New Roman" w:cs="Times New Roman"/>
          <w:sz w:val="24"/>
          <w:szCs w:val="24"/>
        </w:rPr>
        <w:t xml:space="preserve">indicating that this was not just a place where male workers lived to work, but that they brought their families and made a home here, </w:t>
      </w:r>
      <w:r w:rsidR="00225E91">
        <w:rPr>
          <w:rFonts w:ascii="Times New Roman" w:hAnsi="Times New Roman" w:cs="Times New Roman"/>
          <w:sz w:val="24"/>
          <w:szCs w:val="24"/>
        </w:rPr>
        <w:t>including female jewelled adornments such as beads, fragments of bangles and housing decoration.</w:t>
      </w:r>
      <w:r w:rsidR="00225E91">
        <w:rPr>
          <w:rStyle w:val="FootnoteReference"/>
          <w:rFonts w:ascii="Times New Roman" w:hAnsi="Times New Roman" w:cs="Times New Roman"/>
          <w:sz w:val="24"/>
          <w:szCs w:val="24"/>
        </w:rPr>
        <w:footnoteReference w:id="36"/>
      </w:r>
      <w:r w:rsidR="00225E91">
        <w:rPr>
          <w:rFonts w:ascii="Times New Roman" w:hAnsi="Times New Roman" w:cs="Times New Roman"/>
          <w:sz w:val="24"/>
          <w:szCs w:val="24"/>
        </w:rPr>
        <w:t xml:space="preserve"> This does not corroborate the image of Berenike in the early Roman period as a frontier town, </w:t>
      </w:r>
      <w:r w:rsidR="00984E24">
        <w:rPr>
          <w:rFonts w:ascii="Times New Roman" w:hAnsi="Times New Roman" w:cs="Times New Roman"/>
          <w:sz w:val="24"/>
          <w:szCs w:val="24"/>
        </w:rPr>
        <w:t>“</w:t>
      </w:r>
      <w:r w:rsidR="00225E91">
        <w:rPr>
          <w:rFonts w:ascii="Times New Roman" w:hAnsi="Times New Roman" w:cs="Times New Roman"/>
          <w:sz w:val="24"/>
          <w:szCs w:val="24"/>
        </w:rPr>
        <w:t>desolate</w:t>
      </w:r>
      <w:r w:rsidR="00984E24">
        <w:rPr>
          <w:rFonts w:ascii="Times New Roman" w:hAnsi="Times New Roman" w:cs="Times New Roman"/>
          <w:sz w:val="24"/>
          <w:szCs w:val="24"/>
        </w:rPr>
        <w:t>,</w:t>
      </w:r>
      <w:r w:rsidR="00225E91">
        <w:rPr>
          <w:rFonts w:ascii="Times New Roman" w:hAnsi="Times New Roman" w:cs="Times New Roman"/>
          <w:sz w:val="24"/>
          <w:szCs w:val="24"/>
        </w:rPr>
        <w:t xml:space="preserve"> offering few comforts</w:t>
      </w:r>
      <w:r w:rsidR="00984E24">
        <w:rPr>
          <w:rFonts w:ascii="Times New Roman" w:hAnsi="Times New Roman" w:cs="Times New Roman"/>
          <w:sz w:val="24"/>
          <w:szCs w:val="24"/>
        </w:rPr>
        <w:t>,</w:t>
      </w:r>
      <w:r w:rsidR="00225E91">
        <w:rPr>
          <w:rFonts w:ascii="Times New Roman" w:hAnsi="Times New Roman" w:cs="Times New Roman"/>
          <w:sz w:val="24"/>
          <w:szCs w:val="24"/>
        </w:rPr>
        <w:t xml:space="preserve"> and inhabited mostly by men</w:t>
      </w:r>
      <w:r w:rsidR="00984E24">
        <w:rPr>
          <w:rFonts w:ascii="Times New Roman" w:hAnsi="Times New Roman" w:cs="Times New Roman"/>
          <w:sz w:val="24"/>
          <w:szCs w:val="24"/>
        </w:rPr>
        <w:t>”</w:t>
      </w:r>
      <w:r w:rsidR="00225E91">
        <w:rPr>
          <w:rFonts w:ascii="Times New Roman" w:hAnsi="Times New Roman" w:cs="Times New Roman"/>
          <w:sz w:val="24"/>
          <w:szCs w:val="24"/>
        </w:rPr>
        <w:t>.</w:t>
      </w:r>
      <w:r w:rsidR="00225E91">
        <w:rPr>
          <w:rStyle w:val="FootnoteReference"/>
          <w:rFonts w:ascii="Times New Roman" w:hAnsi="Times New Roman" w:cs="Times New Roman"/>
          <w:sz w:val="24"/>
          <w:szCs w:val="24"/>
        </w:rPr>
        <w:footnoteReference w:id="37"/>
      </w:r>
      <w:r w:rsidR="00225E91">
        <w:rPr>
          <w:rFonts w:ascii="Times New Roman" w:hAnsi="Times New Roman" w:cs="Times New Roman"/>
          <w:sz w:val="24"/>
          <w:szCs w:val="24"/>
        </w:rPr>
        <w:t xml:space="preserve"> </w:t>
      </w:r>
      <w:r w:rsidR="00984E24">
        <w:rPr>
          <w:rFonts w:ascii="Times New Roman" w:hAnsi="Times New Roman" w:cs="Times New Roman"/>
          <w:sz w:val="24"/>
          <w:szCs w:val="24"/>
        </w:rPr>
        <w:t>Burial evidence also supports the idea of families being present in Berenike</w:t>
      </w:r>
      <w:r w:rsidR="00DE3E07">
        <w:rPr>
          <w:rFonts w:ascii="Times New Roman" w:hAnsi="Times New Roman" w:cs="Times New Roman"/>
          <w:sz w:val="24"/>
          <w:szCs w:val="24"/>
        </w:rPr>
        <w:t>, with the graves of some young children and women having been found.</w:t>
      </w:r>
      <w:r w:rsidR="00DE3E07">
        <w:rPr>
          <w:rStyle w:val="FootnoteReference"/>
          <w:rFonts w:ascii="Times New Roman" w:hAnsi="Times New Roman" w:cs="Times New Roman"/>
          <w:sz w:val="24"/>
          <w:szCs w:val="24"/>
        </w:rPr>
        <w:footnoteReference w:id="38"/>
      </w:r>
    </w:p>
    <w:p w14:paraId="7CA96D78" w14:textId="0AD9818B" w:rsidR="00AE7D5F" w:rsidRDefault="00AE7D5F" w:rsidP="00871450">
      <w:pPr>
        <w:spacing w:line="480" w:lineRule="auto"/>
        <w:rPr>
          <w:rFonts w:ascii="Times New Roman" w:hAnsi="Times New Roman" w:cs="Times New Roman"/>
          <w:sz w:val="24"/>
          <w:szCs w:val="24"/>
        </w:rPr>
      </w:pPr>
    </w:p>
    <w:p w14:paraId="554B692B" w14:textId="72703308" w:rsidR="00AE7D5F" w:rsidRDefault="00AE7D5F" w:rsidP="00871450">
      <w:pPr>
        <w:spacing w:line="480" w:lineRule="auto"/>
        <w:rPr>
          <w:rFonts w:ascii="Times New Roman" w:hAnsi="Times New Roman" w:cs="Times New Roman"/>
          <w:b/>
          <w:sz w:val="24"/>
          <w:szCs w:val="24"/>
          <w:u w:val="single"/>
        </w:rPr>
      </w:pPr>
      <w:r>
        <w:rPr>
          <w:rFonts w:ascii="Times New Roman" w:hAnsi="Times New Roman" w:cs="Times New Roman"/>
          <w:b/>
          <w:sz w:val="24"/>
          <w:szCs w:val="24"/>
          <w:u w:val="single"/>
        </w:rPr>
        <w:t>Conclusion</w:t>
      </w:r>
    </w:p>
    <w:p w14:paraId="484CC777" w14:textId="22E0A364" w:rsidR="00AE7D5F" w:rsidRDefault="00A6199B" w:rsidP="00871450">
      <w:pPr>
        <w:spacing w:line="480" w:lineRule="auto"/>
        <w:rPr>
          <w:rFonts w:ascii="Times New Roman" w:hAnsi="Times New Roman" w:cs="Times New Roman"/>
          <w:sz w:val="24"/>
          <w:szCs w:val="24"/>
        </w:rPr>
      </w:pPr>
      <w:r>
        <w:rPr>
          <w:rFonts w:ascii="Times New Roman" w:hAnsi="Times New Roman" w:cs="Times New Roman"/>
          <w:sz w:val="24"/>
          <w:szCs w:val="24"/>
        </w:rPr>
        <w:t>In conclusion we can assume that Berenike is more of a society</w:t>
      </w:r>
      <w:r w:rsidR="00032426">
        <w:rPr>
          <w:rFonts w:ascii="Times New Roman" w:hAnsi="Times New Roman" w:cs="Times New Roman"/>
          <w:sz w:val="24"/>
          <w:szCs w:val="24"/>
        </w:rPr>
        <w:t>-</w:t>
      </w:r>
      <w:r>
        <w:rPr>
          <w:rFonts w:ascii="Times New Roman" w:hAnsi="Times New Roman" w:cs="Times New Roman"/>
          <w:sz w:val="24"/>
          <w:szCs w:val="24"/>
        </w:rPr>
        <w:t xml:space="preserve">based port whereas Myos Hormos is more seasonally populated with additional travellers, and shows less evidence of luxury that would indicated families in the area. Myos Hormos seems to be a much more </w:t>
      </w:r>
      <w:r>
        <w:rPr>
          <w:rFonts w:ascii="Times New Roman" w:hAnsi="Times New Roman" w:cs="Times New Roman"/>
          <w:sz w:val="24"/>
          <w:szCs w:val="24"/>
        </w:rPr>
        <w:lastRenderedPageBreak/>
        <w:t xml:space="preserve">military or naval based town due to its natural geographical features that could be utilised for defence and protection purposes. Berenike, seems to have been, at the height of its trade, a port focussed mainly on commerce and international trade than any sort of military base. This does not mean that there wasn’t a military base in the town, but this was perhaps not the base function of the town. As we have seen from the archaeological evidence both towns were used for ship-building and repair, however it is Myos Hormos that has evidence of Roman forges and more of the intense equipment necessary to maintain and build ships, lending this evidence to the conclusion that Myos Hormos was utilised as a naval base. </w:t>
      </w:r>
    </w:p>
    <w:p w14:paraId="1EE9078D" w14:textId="6CD365FD" w:rsidR="00FC5A2C" w:rsidRDefault="00FC5A2C" w:rsidP="00871450">
      <w:pPr>
        <w:spacing w:line="480" w:lineRule="auto"/>
        <w:rPr>
          <w:rFonts w:ascii="Times New Roman" w:hAnsi="Times New Roman" w:cs="Times New Roman"/>
          <w:sz w:val="24"/>
          <w:szCs w:val="24"/>
        </w:rPr>
      </w:pPr>
      <w:r>
        <w:rPr>
          <w:rFonts w:ascii="Times New Roman" w:hAnsi="Times New Roman" w:cs="Times New Roman"/>
          <w:sz w:val="24"/>
          <w:szCs w:val="24"/>
        </w:rPr>
        <w:br w:type="page"/>
      </w:r>
    </w:p>
    <w:p w14:paraId="04FC9CD7" w14:textId="48EB65CE" w:rsidR="00FC5A2C" w:rsidRPr="00FC5A2C" w:rsidRDefault="00FC5A2C" w:rsidP="00871450">
      <w:pPr>
        <w:spacing w:line="480" w:lineRule="auto"/>
        <w:rPr>
          <w:rFonts w:ascii="Times New Roman" w:hAnsi="Times New Roman" w:cs="Times New Roman"/>
          <w:b/>
          <w:bCs/>
          <w:sz w:val="24"/>
          <w:szCs w:val="24"/>
        </w:rPr>
      </w:pPr>
      <w:r w:rsidRPr="00FC5A2C">
        <w:rPr>
          <w:rFonts w:ascii="Times New Roman" w:hAnsi="Times New Roman" w:cs="Times New Roman"/>
          <w:b/>
          <w:bCs/>
          <w:sz w:val="24"/>
          <w:szCs w:val="24"/>
          <w:u w:val="single"/>
        </w:rPr>
        <w:lastRenderedPageBreak/>
        <w:t>Bibliography</w:t>
      </w:r>
    </w:p>
    <w:p w14:paraId="09AD6A47" w14:textId="123BAD36" w:rsidR="00FC5A2C" w:rsidRDefault="00FC5A2C" w:rsidP="00871450">
      <w:pPr>
        <w:spacing w:line="480" w:lineRule="auto"/>
        <w:rPr>
          <w:rFonts w:ascii="Times New Roman" w:hAnsi="Times New Roman" w:cs="Times New Roman"/>
          <w:sz w:val="24"/>
          <w:szCs w:val="24"/>
        </w:rPr>
      </w:pPr>
      <w:r>
        <w:rPr>
          <w:rFonts w:ascii="Times New Roman" w:hAnsi="Times New Roman" w:cs="Times New Roman"/>
          <w:sz w:val="24"/>
          <w:szCs w:val="24"/>
          <w:u w:val="single"/>
        </w:rPr>
        <w:t>Modern Scholarship</w:t>
      </w:r>
    </w:p>
    <w:p w14:paraId="528EF55D" w14:textId="77777777" w:rsidR="008840C9" w:rsidRDefault="008840C9" w:rsidP="00871450">
      <w:pPr>
        <w:spacing w:line="480" w:lineRule="auto"/>
        <w:rPr>
          <w:rFonts w:ascii="Times New Roman" w:hAnsi="Times New Roman" w:cs="Times New Roman"/>
          <w:sz w:val="24"/>
          <w:szCs w:val="24"/>
        </w:rPr>
      </w:pPr>
      <w:r>
        <w:rPr>
          <w:rFonts w:ascii="Times New Roman" w:hAnsi="Times New Roman" w:cs="Times New Roman"/>
          <w:sz w:val="24"/>
          <w:szCs w:val="24"/>
        </w:rPr>
        <w:t xml:space="preserve">Blue, L. (2007) ‘Locating the Harbour: Myos Hormos/Quseir al-Qadim: a Roman and Islamic Port on the Red Sea Coast of Egypt’, </w:t>
      </w:r>
      <w:r>
        <w:rPr>
          <w:rFonts w:ascii="Times New Roman" w:hAnsi="Times New Roman" w:cs="Times New Roman"/>
          <w:i/>
          <w:iCs/>
          <w:sz w:val="24"/>
          <w:szCs w:val="24"/>
        </w:rPr>
        <w:t>The International Journal of Nautical Archaeology</w:t>
      </w:r>
      <w:r>
        <w:rPr>
          <w:rFonts w:ascii="Times New Roman" w:hAnsi="Times New Roman" w:cs="Times New Roman"/>
          <w:sz w:val="24"/>
          <w:szCs w:val="24"/>
        </w:rPr>
        <w:t>, 36(2), pp. 265-281.</w:t>
      </w:r>
    </w:p>
    <w:p w14:paraId="5167D437" w14:textId="77777777" w:rsidR="008840C9" w:rsidRDefault="008840C9" w:rsidP="00871450">
      <w:pPr>
        <w:spacing w:line="480" w:lineRule="auto"/>
        <w:rPr>
          <w:rFonts w:ascii="Times New Roman" w:hAnsi="Times New Roman" w:cs="Times New Roman"/>
          <w:sz w:val="24"/>
          <w:szCs w:val="24"/>
        </w:rPr>
      </w:pPr>
      <w:r>
        <w:rPr>
          <w:rFonts w:ascii="Times New Roman" w:hAnsi="Times New Roman" w:cs="Times New Roman"/>
          <w:sz w:val="24"/>
          <w:szCs w:val="24"/>
        </w:rPr>
        <w:t xml:space="preserve">Sidebotham, S. (2008) ‘Archaeological Evidence for Ships and Harbour Facilities at Berenike (Red Sea Coast), Egypt’, </w:t>
      </w:r>
      <w:r>
        <w:rPr>
          <w:rFonts w:ascii="Times New Roman" w:hAnsi="Times New Roman" w:cs="Times New Roman"/>
          <w:i/>
          <w:iCs/>
          <w:sz w:val="24"/>
          <w:szCs w:val="24"/>
        </w:rPr>
        <w:t>Memoirs of the American Academy in Rome. Supplementary Volumes</w:t>
      </w:r>
      <w:r>
        <w:rPr>
          <w:rFonts w:ascii="Times New Roman" w:hAnsi="Times New Roman" w:cs="Times New Roman"/>
          <w:sz w:val="24"/>
          <w:szCs w:val="24"/>
        </w:rPr>
        <w:t>, 6, pp. 305-324.</w:t>
      </w:r>
    </w:p>
    <w:p w14:paraId="17451D3F" w14:textId="77777777" w:rsidR="008840C9" w:rsidRPr="00FC5A2C" w:rsidRDefault="008840C9" w:rsidP="00871450">
      <w:pPr>
        <w:spacing w:line="480" w:lineRule="auto"/>
        <w:rPr>
          <w:rFonts w:ascii="Times New Roman" w:hAnsi="Times New Roman" w:cs="Times New Roman"/>
          <w:sz w:val="24"/>
          <w:szCs w:val="24"/>
        </w:rPr>
      </w:pPr>
      <w:r>
        <w:rPr>
          <w:rFonts w:ascii="Times New Roman" w:hAnsi="Times New Roman" w:cs="Times New Roman"/>
          <w:sz w:val="24"/>
          <w:szCs w:val="24"/>
        </w:rPr>
        <w:t xml:space="preserve">Sidebotham, S. (2011) </w:t>
      </w:r>
      <w:r>
        <w:rPr>
          <w:rFonts w:ascii="Times New Roman" w:hAnsi="Times New Roman" w:cs="Times New Roman"/>
          <w:i/>
          <w:iCs/>
          <w:sz w:val="24"/>
          <w:szCs w:val="24"/>
        </w:rPr>
        <w:t>Berenike and the Ancient Maritime Spice Route</w:t>
      </w:r>
      <w:r>
        <w:rPr>
          <w:rFonts w:ascii="Times New Roman" w:hAnsi="Times New Roman" w:cs="Times New Roman"/>
          <w:sz w:val="24"/>
          <w:szCs w:val="24"/>
        </w:rPr>
        <w:t>. California: University of California Press.</w:t>
      </w:r>
      <w:bookmarkEnd w:id="0"/>
    </w:p>
    <w:sectPr w:rsidR="008840C9" w:rsidRPr="00FC5A2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BE4913" w14:textId="77777777" w:rsidR="008E10F5" w:rsidRDefault="008E10F5" w:rsidP="00EA4CF1">
      <w:pPr>
        <w:spacing w:after="0" w:line="240" w:lineRule="auto"/>
      </w:pPr>
      <w:r>
        <w:separator/>
      </w:r>
    </w:p>
  </w:endnote>
  <w:endnote w:type="continuationSeparator" w:id="0">
    <w:p w14:paraId="559D42BB" w14:textId="77777777" w:rsidR="008E10F5" w:rsidRDefault="008E10F5" w:rsidP="00EA4C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B4D2A4" w14:textId="77777777" w:rsidR="008E10F5" w:rsidRDefault="008E10F5" w:rsidP="00EA4CF1">
      <w:pPr>
        <w:spacing w:after="0" w:line="240" w:lineRule="auto"/>
      </w:pPr>
      <w:r>
        <w:separator/>
      </w:r>
    </w:p>
  </w:footnote>
  <w:footnote w:type="continuationSeparator" w:id="0">
    <w:p w14:paraId="7108FF80" w14:textId="77777777" w:rsidR="008E10F5" w:rsidRDefault="008E10F5" w:rsidP="00EA4CF1">
      <w:pPr>
        <w:spacing w:after="0" w:line="240" w:lineRule="auto"/>
      </w:pPr>
      <w:r>
        <w:continuationSeparator/>
      </w:r>
    </w:p>
  </w:footnote>
  <w:footnote w:id="1">
    <w:p w14:paraId="73444279" w14:textId="1566231B" w:rsidR="0080283E" w:rsidRDefault="0080283E">
      <w:pPr>
        <w:pStyle w:val="FootnoteText"/>
      </w:pPr>
      <w:r>
        <w:rPr>
          <w:rStyle w:val="FootnoteReference"/>
        </w:rPr>
        <w:footnoteRef/>
      </w:r>
      <w:r>
        <w:t xml:space="preserve"> Sidebotham 2008</w:t>
      </w:r>
    </w:p>
  </w:footnote>
  <w:footnote w:id="2">
    <w:p w14:paraId="52D5A48D" w14:textId="25BC52F6" w:rsidR="0080283E" w:rsidRDefault="0080283E">
      <w:pPr>
        <w:pStyle w:val="FootnoteText"/>
      </w:pPr>
      <w:r>
        <w:rPr>
          <w:rStyle w:val="FootnoteReference"/>
        </w:rPr>
        <w:footnoteRef/>
      </w:r>
      <w:r>
        <w:t xml:space="preserve"> Pliny HN 6.33.168</w:t>
      </w:r>
    </w:p>
  </w:footnote>
  <w:footnote w:id="3">
    <w:p w14:paraId="0F012652" w14:textId="69B37F64" w:rsidR="0080283E" w:rsidRDefault="0080283E">
      <w:pPr>
        <w:pStyle w:val="FootnoteText"/>
      </w:pPr>
      <w:r>
        <w:rPr>
          <w:rStyle w:val="FootnoteReference"/>
        </w:rPr>
        <w:footnoteRef/>
      </w:r>
      <w:r>
        <w:t xml:space="preserve"> Sidebotham 2008</w:t>
      </w:r>
    </w:p>
  </w:footnote>
  <w:footnote w:id="4">
    <w:p w14:paraId="619B3F3D" w14:textId="60F816B2" w:rsidR="0080283E" w:rsidRDefault="0080283E">
      <w:pPr>
        <w:pStyle w:val="FootnoteText"/>
      </w:pPr>
      <w:r>
        <w:rPr>
          <w:rStyle w:val="FootnoteReference"/>
        </w:rPr>
        <w:footnoteRef/>
      </w:r>
      <w:r>
        <w:t xml:space="preserve"> Sidebotham 2008</w:t>
      </w:r>
    </w:p>
  </w:footnote>
  <w:footnote w:id="5">
    <w:p w14:paraId="74EF4CE1" w14:textId="2E0113AE" w:rsidR="00243E2F" w:rsidRDefault="00243E2F">
      <w:pPr>
        <w:pStyle w:val="FootnoteText"/>
      </w:pPr>
      <w:r>
        <w:rPr>
          <w:rStyle w:val="FootnoteReference"/>
        </w:rPr>
        <w:footnoteRef/>
      </w:r>
      <w:r>
        <w:t xml:space="preserve"> Sidebotham 2008</w:t>
      </w:r>
    </w:p>
  </w:footnote>
  <w:footnote w:id="6">
    <w:p w14:paraId="0B5BD959" w14:textId="40F053B7" w:rsidR="00243E2F" w:rsidRDefault="00243E2F">
      <w:pPr>
        <w:pStyle w:val="FootnoteText"/>
      </w:pPr>
      <w:r>
        <w:rPr>
          <w:rStyle w:val="FootnoteReference"/>
        </w:rPr>
        <w:footnoteRef/>
      </w:r>
      <w:r>
        <w:t xml:space="preserve"> Sidebotham 2008 </w:t>
      </w:r>
    </w:p>
  </w:footnote>
  <w:footnote w:id="7">
    <w:p w14:paraId="070B37CE" w14:textId="04474C9F" w:rsidR="00CA5B82" w:rsidRDefault="00CA5B82">
      <w:pPr>
        <w:pStyle w:val="FootnoteText"/>
      </w:pPr>
      <w:r>
        <w:rPr>
          <w:rStyle w:val="FootnoteReference"/>
        </w:rPr>
        <w:footnoteRef/>
      </w:r>
      <w:r>
        <w:t xml:space="preserve"> Sidebotham 2008</w:t>
      </w:r>
    </w:p>
  </w:footnote>
  <w:footnote w:id="8">
    <w:p w14:paraId="1CFE0969" w14:textId="3AECE03E" w:rsidR="00CA5B82" w:rsidRDefault="00CA5B82">
      <w:pPr>
        <w:pStyle w:val="FootnoteText"/>
      </w:pPr>
      <w:r>
        <w:rPr>
          <w:rStyle w:val="FootnoteReference"/>
        </w:rPr>
        <w:footnoteRef/>
      </w:r>
      <w:r>
        <w:t xml:space="preserve"> Sidebotham 2008</w:t>
      </w:r>
    </w:p>
  </w:footnote>
  <w:footnote w:id="9">
    <w:p w14:paraId="41685434" w14:textId="38C11B76" w:rsidR="00081781" w:rsidRDefault="00081781">
      <w:pPr>
        <w:pStyle w:val="FootnoteText"/>
      </w:pPr>
      <w:r>
        <w:rPr>
          <w:rStyle w:val="FootnoteReference"/>
        </w:rPr>
        <w:footnoteRef/>
      </w:r>
      <w:r>
        <w:t xml:space="preserve"> </w:t>
      </w:r>
      <w:r w:rsidR="00C05079">
        <w:t>Blue 2007: 265</w:t>
      </w:r>
    </w:p>
  </w:footnote>
  <w:footnote w:id="10">
    <w:p w14:paraId="30668960" w14:textId="37F1E197" w:rsidR="007D6B95" w:rsidRDefault="007D6B95">
      <w:pPr>
        <w:pStyle w:val="FootnoteText"/>
      </w:pPr>
      <w:r>
        <w:rPr>
          <w:rStyle w:val="FootnoteReference"/>
        </w:rPr>
        <w:footnoteRef/>
      </w:r>
      <w:r>
        <w:t xml:space="preserve"> Blue 2007</w:t>
      </w:r>
    </w:p>
  </w:footnote>
  <w:footnote w:id="11">
    <w:p w14:paraId="70EA8402" w14:textId="77777777" w:rsidR="007D6B95" w:rsidRDefault="007D6B95" w:rsidP="007D6B95">
      <w:pPr>
        <w:pStyle w:val="FootnoteText"/>
      </w:pPr>
      <w:r>
        <w:rPr>
          <w:rStyle w:val="FootnoteReference"/>
        </w:rPr>
        <w:footnoteRef/>
      </w:r>
      <w:r>
        <w:t xml:space="preserve"> Sidebotham 2008</w:t>
      </w:r>
    </w:p>
  </w:footnote>
  <w:footnote w:id="12">
    <w:p w14:paraId="466635E1" w14:textId="634D21CF" w:rsidR="001F49A9" w:rsidRDefault="001F49A9">
      <w:pPr>
        <w:pStyle w:val="FootnoteText"/>
      </w:pPr>
      <w:r>
        <w:rPr>
          <w:rStyle w:val="FootnoteReference"/>
        </w:rPr>
        <w:footnoteRef/>
      </w:r>
      <w:r>
        <w:t xml:space="preserve"> B</w:t>
      </w:r>
      <w:r w:rsidR="00894784">
        <w:t>l</w:t>
      </w:r>
      <w:r>
        <w:t>ue 2007</w:t>
      </w:r>
    </w:p>
  </w:footnote>
  <w:footnote w:id="13">
    <w:p w14:paraId="06B7B5EB" w14:textId="6F0A0F82" w:rsidR="001F49A9" w:rsidRDefault="001F49A9">
      <w:pPr>
        <w:pStyle w:val="FootnoteText"/>
      </w:pPr>
      <w:r>
        <w:rPr>
          <w:rStyle w:val="FootnoteReference"/>
        </w:rPr>
        <w:footnoteRef/>
      </w:r>
      <w:r>
        <w:t xml:space="preserve"> Whitcomb and Johnson 1979: 1</w:t>
      </w:r>
    </w:p>
  </w:footnote>
  <w:footnote w:id="14">
    <w:p w14:paraId="512D359D" w14:textId="40E53176" w:rsidR="00894784" w:rsidRDefault="00894784">
      <w:pPr>
        <w:pStyle w:val="FootnoteText"/>
      </w:pPr>
      <w:r>
        <w:rPr>
          <w:rStyle w:val="FootnoteReference"/>
        </w:rPr>
        <w:footnoteRef/>
      </w:r>
      <w:r>
        <w:t xml:space="preserve"> Whitcomb and Johnson 1979: 37</w:t>
      </w:r>
    </w:p>
  </w:footnote>
  <w:footnote w:id="15">
    <w:p w14:paraId="74FCEC8B" w14:textId="5877E899" w:rsidR="00894784" w:rsidRDefault="00894784">
      <w:pPr>
        <w:pStyle w:val="FootnoteText"/>
      </w:pPr>
      <w:r>
        <w:rPr>
          <w:rStyle w:val="FootnoteReference"/>
        </w:rPr>
        <w:footnoteRef/>
      </w:r>
      <w:r>
        <w:t xml:space="preserve"> Whitcomb and Johnson 1979: 203</w:t>
      </w:r>
    </w:p>
  </w:footnote>
  <w:footnote w:id="16">
    <w:p w14:paraId="5B83CF78" w14:textId="7013BA07" w:rsidR="00E905C2" w:rsidRDefault="00E905C2">
      <w:pPr>
        <w:pStyle w:val="FootnoteText"/>
      </w:pPr>
      <w:r>
        <w:rPr>
          <w:rStyle w:val="FootnoteReference"/>
        </w:rPr>
        <w:footnoteRef/>
      </w:r>
      <w:r>
        <w:t xml:space="preserve"> Whitaker et al. 2006</w:t>
      </w:r>
    </w:p>
  </w:footnote>
  <w:footnote w:id="17">
    <w:p w14:paraId="79620C88" w14:textId="00C9E90A" w:rsidR="00894784" w:rsidRDefault="00894784">
      <w:pPr>
        <w:pStyle w:val="FootnoteText"/>
      </w:pPr>
      <w:r>
        <w:rPr>
          <w:rStyle w:val="FootnoteReference"/>
        </w:rPr>
        <w:footnoteRef/>
      </w:r>
      <w:r>
        <w:t xml:space="preserve"> Blue 2007</w:t>
      </w:r>
      <w:r w:rsidR="00E905C2">
        <w:t>: 268</w:t>
      </w:r>
    </w:p>
  </w:footnote>
  <w:footnote w:id="18">
    <w:p w14:paraId="2690FF56" w14:textId="36AAE23C" w:rsidR="00E905C2" w:rsidRDefault="00E905C2">
      <w:pPr>
        <w:pStyle w:val="FootnoteText"/>
      </w:pPr>
      <w:r>
        <w:rPr>
          <w:rStyle w:val="FootnoteReference"/>
        </w:rPr>
        <w:footnoteRef/>
      </w:r>
      <w:r>
        <w:t xml:space="preserve"> Strabo 16.4.5; Dio Sic 3.39.1-2</w:t>
      </w:r>
    </w:p>
  </w:footnote>
  <w:footnote w:id="19">
    <w:p w14:paraId="4578E5DF" w14:textId="3C2E1652" w:rsidR="00E905C2" w:rsidRDefault="00E905C2">
      <w:pPr>
        <w:pStyle w:val="FootnoteText"/>
      </w:pPr>
      <w:r>
        <w:rPr>
          <w:rStyle w:val="FootnoteReference"/>
        </w:rPr>
        <w:footnoteRef/>
      </w:r>
      <w:r>
        <w:t xml:space="preserve"> Peacock 2006a: 5</w:t>
      </w:r>
    </w:p>
  </w:footnote>
  <w:footnote w:id="20">
    <w:p w14:paraId="6B588A72" w14:textId="2161E73E" w:rsidR="007D6B95" w:rsidRDefault="007D6B95">
      <w:pPr>
        <w:pStyle w:val="FootnoteText"/>
      </w:pPr>
      <w:r>
        <w:rPr>
          <w:rStyle w:val="FootnoteReference"/>
        </w:rPr>
        <w:footnoteRef/>
      </w:r>
      <w:r>
        <w:t xml:space="preserve"> Blue 2007</w:t>
      </w:r>
    </w:p>
  </w:footnote>
  <w:footnote w:id="21">
    <w:p w14:paraId="572F0995" w14:textId="70C41D56" w:rsidR="007D6B95" w:rsidRDefault="007D6B95">
      <w:pPr>
        <w:pStyle w:val="FootnoteText"/>
      </w:pPr>
      <w:r>
        <w:rPr>
          <w:rStyle w:val="FootnoteReference"/>
        </w:rPr>
        <w:footnoteRef/>
      </w:r>
      <w:r>
        <w:t xml:space="preserve"> Peacock 2006a: 4 </w:t>
      </w:r>
    </w:p>
  </w:footnote>
  <w:footnote w:id="22">
    <w:p w14:paraId="11DBCC03" w14:textId="2ED90B76" w:rsidR="007D6B95" w:rsidRDefault="007D6B95">
      <w:pPr>
        <w:pStyle w:val="FootnoteText"/>
      </w:pPr>
      <w:r>
        <w:rPr>
          <w:rStyle w:val="FootnoteReference"/>
        </w:rPr>
        <w:footnoteRef/>
      </w:r>
      <w:r>
        <w:t xml:space="preserve"> Blue 2007</w:t>
      </w:r>
    </w:p>
  </w:footnote>
  <w:footnote w:id="23">
    <w:p w14:paraId="49C2F2A8" w14:textId="1AAFDD3D" w:rsidR="00660B0B" w:rsidRDefault="00660B0B">
      <w:pPr>
        <w:pStyle w:val="FootnoteText"/>
      </w:pPr>
      <w:r>
        <w:rPr>
          <w:rStyle w:val="FootnoteReference"/>
        </w:rPr>
        <w:footnoteRef/>
      </w:r>
      <w:r>
        <w:t xml:space="preserve"> </w:t>
      </w:r>
      <w:r w:rsidR="00C05079">
        <w:t xml:space="preserve"> Blue 2007: 266</w:t>
      </w:r>
    </w:p>
  </w:footnote>
  <w:footnote w:id="24">
    <w:p w14:paraId="34FD0AC6" w14:textId="04EC3BD2" w:rsidR="00243E2F" w:rsidRDefault="00243E2F">
      <w:pPr>
        <w:pStyle w:val="FootnoteText"/>
      </w:pPr>
      <w:r>
        <w:rPr>
          <w:rStyle w:val="FootnoteReference"/>
        </w:rPr>
        <w:footnoteRef/>
      </w:r>
      <w:r>
        <w:t xml:space="preserve"> Sidebotham 2011</w:t>
      </w:r>
    </w:p>
  </w:footnote>
  <w:footnote w:id="25">
    <w:p w14:paraId="0D953C82" w14:textId="000FFFD0" w:rsidR="00D758E2" w:rsidRDefault="00D758E2">
      <w:pPr>
        <w:pStyle w:val="FootnoteText"/>
      </w:pPr>
      <w:r>
        <w:rPr>
          <w:rStyle w:val="FootnoteReference"/>
        </w:rPr>
        <w:footnoteRef/>
      </w:r>
      <w:r>
        <w:t xml:space="preserve"> Sidebotham 2008</w:t>
      </w:r>
    </w:p>
  </w:footnote>
  <w:footnote w:id="26">
    <w:p w14:paraId="66198DC7" w14:textId="4BFDECBC" w:rsidR="00D758E2" w:rsidRDefault="00D758E2">
      <w:pPr>
        <w:pStyle w:val="FootnoteText"/>
      </w:pPr>
      <w:r>
        <w:rPr>
          <w:rStyle w:val="FootnoteReference"/>
        </w:rPr>
        <w:footnoteRef/>
      </w:r>
      <w:r>
        <w:t xml:space="preserve"> Sidebotham 2008 </w:t>
      </w:r>
    </w:p>
  </w:footnote>
  <w:footnote w:id="27">
    <w:p w14:paraId="7525E593" w14:textId="43AE09E5" w:rsidR="00547C02" w:rsidRDefault="00547C02">
      <w:pPr>
        <w:pStyle w:val="FootnoteText"/>
      </w:pPr>
      <w:r>
        <w:rPr>
          <w:rStyle w:val="FootnoteReference"/>
        </w:rPr>
        <w:footnoteRef/>
      </w:r>
      <w:r>
        <w:t xml:space="preserve"> Sidebotham 2008</w:t>
      </w:r>
    </w:p>
  </w:footnote>
  <w:footnote w:id="28">
    <w:p w14:paraId="48D6EC90" w14:textId="6A77EAC2" w:rsidR="00495C2B" w:rsidRDefault="00495C2B">
      <w:pPr>
        <w:pStyle w:val="FootnoteText"/>
      </w:pPr>
      <w:r>
        <w:rPr>
          <w:rStyle w:val="FootnoteReference"/>
        </w:rPr>
        <w:footnoteRef/>
      </w:r>
      <w:r>
        <w:t xml:space="preserve"> Sidebotham 2008 </w:t>
      </w:r>
    </w:p>
  </w:footnote>
  <w:footnote w:id="29">
    <w:p w14:paraId="168B8360" w14:textId="17763BC2" w:rsidR="0080325E" w:rsidRDefault="0080325E">
      <w:pPr>
        <w:pStyle w:val="FootnoteText"/>
      </w:pPr>
      <w:r>
        <w:rPr>
          <w:rStyle w:val="FootnoteReference"/>
        </w:rPr>
        <w:footnoteRef/>
      </w:r>
      <w:r>
        <w:t xml:space="preserve"> Inhabitants of berenike pg 76</w:t>
      </w:r>
    </w:p>
  </w:footnote>
  <w:footnote w:id="30">
    <w:p w14:paraId="2E218E46" w14:textId="6A0EE6AA" w:rsidR="00892F15" w:rsidRDefault="00892F15">
      <w:pPr>
        <w:pStyle w:val="FootnoteText"/>
      </w:pPr>
      <w:r>
        <w:rPr>
          <w:rStyle w:val="FootnoteReference"/>
        </w:rPr>
        <w:footnoteRef/>
      </w:r>
      <w:r>
        <w:t xml:space="preserve"> Sidebotham 2011: 68</w:t>
      </w:r>
    </w:p>
  </w:footnote>
  <w:footnote w:id="31">
    <w:p w14:paraId="6823FE8B" w14:textId="41E8FDBA" w:rsidR="00892F15" w:rsidRDefault="00892F15">
      <w:pPr>
        <w:pStyle w:val="FootnoteText"/>
      </w:pPr>
      <w:r>
        <w:rPr>
          <w:rStyle w:val="FootnoteReference"/>
        </w:rPr>
        <w:footnoteRef/>
      </w:r>
      <w:r>
        <w:t xml:space="preserve"> Sidebotham 2011: 69</w:t>
      </w:r>
    </w:p>
  </w:footnote>
  <w:footnote w:id="32">
    <w:p w14:paraId="34ABB77C" w14:textId="7BBAED23" w:rsidR="00892F15" w:rsidRDefault="00892F15">
      <w:pPr>
        <w:pStyle w:val="FootnoteText"/>
      </w:pPr>
      <w:r>
        <w:rPr>
          <w:rStyle w:val="FootnoteReference"/>
        </w:rPr>
        <w:footnoteRef/>
      </w:r>
      <w:r>
        <w:t xml:space="preserve"> Sidebotham 2011: 69</w:t>
      </w:r>
    </w:p>
  </w:footnote>
  <w:footnote w:id="33">
    <w:p w14:paraId="187A8F55" w14:textId="48818F41" w:rsidR="00225E91" w:rsidRDefault="00225E91">
      <w:pPr>
        <w:pStyle w:val="FootnoteText"/>
      </w:pPr>
      <w:r>
        <w:rPr>
          <w:rStyle w:val="FootnoteReference"/>
        </w:rPr>
        <w:footnoteRef/>
      </w:r>
      <w:r>
        <w:t xml:space="preserve"> Sidebotham 2011: 70</w:t>
      </w:r>
    </w:p>
  </w:footnote>
  <w:footnote w:id="34">
    <w:p w14:paraId="1C7AE259" w14:textId="30F429D1" w:rsidR="00E828C4" w:rsidRDefault="00E828C4">
      <w:pPr>
        <w:pStyle w:val="FootnoteText"/>
      </w:pPr>
      <w:r>
        <w:rPr>
          <w:rStyle w:val="FootnoteReference"/>
        </w:rPr>
        <w:footnoteRef/>
      </w:r>
      <w:r>
        <w:t xml:space="preserve"> Sidebotham 2011: 70 </w:t>
      </w:r>
    </w:p>
  </w:footnote>
  <w:footnote w:id="35">
    <w:p w14:paraId="58C8DBF2" w14:textId="511D2B95" w:rsidR="00892F15" w:rsidRDefault="00892F15">
      <w:pPr>
        <w:pStyle w:val="FootnoteText"/>
      </w:pPr>
      <w:r>
        <w:rPr>
          <w:rStyle w:val="FootnoteReference"/>
        </w:rPr>
        <w:footnoteRef/>
      </w:r>
      <w:r>
        <w:t xml:space="preserve"> Sidebotham 2011: 69</w:t>
      </w:r>
    </w:p>
  </w:footnote>
  <w:footnote w:id="36">
    <w:p w14:paraId="0C404B91" w14:textId="7DAD24A3" w:rsidR="00225E91" w:rsidRDefault="00225E91">
      <w:pPr>
        <w:pStyle w:val="FootnoteText"/>
      </w:pPr>
      <w:r>
        <w:rPr>
          <w:rStyle w:val="FootnoteReference"/>
        </w:rPr>
        <w:footnoteRef/>
      </w:r>
      <w:r>
        <w:t xml:space="preserve"> Sidebotham 2011: 76</w:t>
      </w:r>
    </w:p>
  </w:footnote>
  <w:footnote w:id="37">
    <w:p w14:paraId="4D262451" w14:textId="2CC9C904" w:rsidR="00225E91" w:rsidRDefault="00225E91">
      <w:pPr>
        <w:pStyle w:val="FootnoteText"/>
      </w:pPr>
      <w:r>
        <w:rPr>
          <w:rStyle w:val="FootnoteReference"/>
        </w:rPr>
        <w:footnoteRef/>
      </w:r>
      <w:r>
        <w:t xml:space="preserve"> Sidebotham 2011: 76</w:t>
      </w:r>
    </w:p>
  </w:footnote>
  <w:footnote w:id="38">
    <w:p w14:paraId="13ADB88A" w14:textId="7D498382" w:rsidR="00DE3E07" w:rsidRDefault="00DE3E07">
      <w:pPr>
        <w:pStyle w:val="FootnoteText"/>
      </w:pPr>
      <w:r>
        <w:rPr>
          <w:rStyle w:val="FootnoteReference"/>
        </w:rPr>
        <w:footnoteRef/>
      </w:r>
      <w:r>
        <w:t xml:space="preserve"> Sidebotham 2011: 76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AA8"/>
    <w:rsid w:val="00032426"/>
    <w:rsid w:val="00034E7B"/>
    <w:rsid w:val="0006762B"/>
    <w:rsid w:val="00077178"/>
    <w:rsid w:val="00081781"/>
    <w:rsid w:val="001706D1"/>
    <w:rsid w:val="00175D1D"/>
    <w:rsid w:val="001D36BF"/>
    <w:rsid w:val="001F49A9"/>
    <w:rsid w:val="00225E91"/>
    <w:rsid w:val="00243E2F"/>
    <w:rsid w:val="00333B46"/>
    <w:rsid w:val="00360D59"/>
    <w:rsid w:val="003B1EB1"/>
    <w:rsid w:val="004004D2"/>
    <w:rsid w:val="00495C2B"/>
    <w:rsid w:val="00547C02"/>
    <w:rsid w:val="00560A8D"/>
    <w:rsid w:val="00561C94"/>
    <w:rsid w:val="00575B05"/>
    <w:rsid w:val="00624249"/>
    <w:rsid w:val="00660B0B"/>
    <w:rsid w:val="006735A9"/>
    <w:rsid w:val="006D7975"/>
    <w:rsid w:val="007D6B95"/>
    <w:rsid w:val="0080283E"/>
    <w:rsid w:val="0080325E"/>
    <w:rsid w:val="008226B8"/>
    <w:rsid w:val="00871450"/>
    <w:rsid w:val="008840C9"/>
    <w:rsid w:val="00886891"/>
    <w:rsid w:val="00892F15"/>
    <w:rsid w:val="00894784"/>
    <w:rsid w:val="008A7F2A"/>
    <w:rsid w:val="008E10F5"/>
    <w:rsid w:val="0090654F"/>
    <w:rsid w:val="00984E24"/>
    <w:rsid w:val="00A6199B"/>
    <w:rsid w:val="00AE7D5F"/>
    <w:rsid w:val="00AF5A05"/>
    <w:rsid w:val="00C05079"/>
    <w:rsid w:val="00C25E5F"/>
    <w:rsid w:val="00CA5B82"/>
    <w:rsid w:val="00CD2BE3"/>
    <w:rsid w:val="00D37AA8"/>
    <w:rsid w:val="00D727B6"/>
    <w:rsid w:val="00D758E2"/>
    <w:rsid w:val="00DD7568"/>
    <w:rsid w:val="00DE3E07"/>
    <w:rsid w:val="00E828C4"/>
    <w:rsid w:val="00E828C7"/>
    <w:rsid w:val="00E905C2"/>
    <w:rsid w:val="00EA4CF1"/>
    <w:rsid w:val="00F41EF6"/>
    <w:rsid w:val="00FC5A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C4E2F"/>
  <w15:chartTrackingRefBased/>
  <w15:docId w15:val="{2D9F49D5-1ED9-46EC-AA4A-79E982846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A4CF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A4CF1"/>
    <w:rPr>
      <w:sz w:val="20"/>
      <w:szCs w:val="20"/>
    </w:rPr>
  </w:style>
  <w:style w:type="character" w:styleId="FootnoteReference">
    <w:name w:val="footnote reference"/>
    <w:basedOn w:val="DefaultParagraphFont"/>
    <w:uiPriority w:val="99"/>
    <w:semiHidden/>
    <w:unhideWhenUsed/>
    <w:rsid w:val="00EA4CF1"/>
    <w:rPr>
      <w:vertAlign w:val="superscript"/>
    </w:rPr>
  </w:style>
  <w:style w:type="character" w:styleId="CommentReference">
    <w:name w:val="annotation reference"/>
    <w:basedOn w:val="DefaultParagraphFont"/>
    <w:uiPriority w:val="99"/>
    <w:semiHidden/>
    <w:unhideWhenUsed/>
    <w:rsid w:val="00081781"/>
    <w:rPr>
      <w:sz w:val="16"/>
      <w:szCs w:val="16"/>
    </w:rPr>
  </w:style>
  <w:style w:type="paragraph" w:styleId="CommentText">
    <w:name w:val="annotation text"/>
    <w:basedOn w:val="Normal"/>
    <w:link w:val="CommentTextChar"/>
    <w:uiPriority w:val="99"/>
    <w:semiHidden/>
    <w:unhideWhenUsed/>
    <w:rsid w:val="00081781"/>
    <w:pPr>
      <w:spacing w:line="240" w:lineRule="auto"/>
    </w:pPr>
    <w:rPr>
      <w:sz w:val="20"/>
      <w:szCs w:val="20"/>
    </w:rPr>
  </w:style>
  <w:style w:type="character" w:customStyle="1" w:styleId="CommentTextChar">
    <w:name w:val="Comment Text Char"/>
    <w:basedOn w:val="DefaultParagraphFont"/>
    <w:link w:val="CommentText"/>
    <w:uiPriority w:val="99"/>
    <w:semiHidden/>
    <w:rsid w:val="00081781"/>
    <w:rPr>
      <w:sz w:val="20"/>
      <w:szCs w:val="20"/>
    </w:rPr>
  </w:style>
  <w:style w:type="paragraph" w:styleId="CommentSubject">
    <w:name w:val="annotation subject"/>
    <w:basedOn w:val="CommentText"/>
    <w:next w:val="CommentText"/>
    <w:link w:val="CommentSubjectChar"/>
    <w:uiPriority w:val="99"/>
    <w:semiHidden/>
    <w:unhideWhenUsed/>
    <w:rsid w:val="00081781"/>
    <w:rPr>
      <w:b/>
      <w:bCs/>
    </w:rPr>
  </w:style>
  <w:style w:type="character" w:customStyle="1" w:styleId="CommentSubjectChar">
    <w:name w:val="Comment Subject Char"/>
    <w:basedOn w:val="CommentTextChar"/>
    <w:link w:val="CommentSubject"/>
    <w:uiPriority w:val="99"/>
    <w:semiHidden/>
    <w:rsid w:val="00081781"/>
    <w:rPr>
      <w:b/>
      <w:bCs/>
      <w:sz w:val="20"/>
      <w:szCs w:val="20"/>
    </w:rPr>
  </w:style>
  <w:style w:type="paragraph" w:styleId="BalloonText">
    <w:name w:val="Balloon Text"/>
    <w:basedOn w:val="Normal"/>
    <w:link w:val="BalloonTextChar"/>
    <w:uiPriority w:val="99"/>
    <w:semiHidden/>
    <w:unhideWhenUsed/>
    <w:rsid w:val="000817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178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EED66E-58C6-461D-90DA-67C0E733F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9</Pages>
  <Words>1912</Words>
  <Characters>10903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Travers</dc:creator>
  <cp:keywords/>
  <dc:description/>
  <cp:lastModifiedBy>Eleanor Travers</cp:lastModifiedBy>
  <cp:revision>11</cp:revision>
  <dcterms:created xsi:type="dcterms:W3CDTF">2019-07-30T21:31:00Z</dcterms:created>
  <dcterms:modified xsi:type="dcterms:W3CDTF">2019-07-31T16:29:00Z</dcterms:modified>
</cp:coreProperties>
</file>