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797CD767" w:rsidR="00DD5969" w:rsidRPr="00C86756" w:rsidRDefault="00DD5969" w:rsidP="00DD5969">
      <w:pPr>
        <w:spacing w:before="212"/>
        <w:rPr>
          <w:rFonts w:ascii="Arial"/>
          <w:b/>
          <w:sz w:val="48"/>
          <w:szCs w:val="48"/>
        </w:rPr>
      </w:pPr>
      <w:r w:rsidRPr="00C86756">
        <w:rPr>
          <w:rFonts w:ascii="Arial"/>
          <w:b/>
          <w:sz w:val="48"/>
          <w:szCs w:val="48"/>
        </w:rPr>
        <w:t>MODULE CODE:</w:t>
      </w:r>
      <w:r w:rsidR="0000375B" w:rsidRPr="00C86756">
        <w:rPr>
          <w:rFonts w:ascii="Arial"/>
          <w:b/>
          <w:sz w:val="48"/>
          <w:szCs w:val="48"/>
        </w:rPr>
        <w:t>ECAD401</w:t>
      </w:r>
      <w:r w:rsidR="00C86756">
        <w:rPr>
          <w:rFonts w:ascii="Arial"/>
          <w:b/>
          <w:sz w:val="48"/>
          <w:szCs w:val="48"/>
        </w:rPr>
        <w:t>5</w:t>
      </w:r>
    </w:p>
    <w:p w14:paraId="5051A2D5" w14:textId="77777777" w:rsidR="00347EA1" w:rsidRPr="00C86756" w:rsidRDefault="00347EA1" w:rsidP="00DD5969">
      <w:pPr>
        <w:spacing w:before="212"/>
        <w:rPr>
          <w:rFonts w:ascii="Arial"/>
          <w:b/>
          <w:sz w:val="48"/>
          <w:szCs w:val="48"/>
        </w:rPr>
      </w:pPr>
    </w:p>
    <w:p w14:paraId="7681432B" w14:textId="4FF73F3B" w:rsidR="00DD5969" w:rsidRPr="00DD5969" w:rsidRDefault="00DD5969" w:rsidP="00DD5969">
      <w:pPr>
        <w:spacing w:before="3"/>
        <w:rPr>
          <w:rFonts w:ascii="Arial"/>
          <w:b/>
          <w:sz w:val="48"/>
          <w:szCs w:val="48"/>
        </w:rPr>
      </w:pPr>
      <w:r w:rsidRPr="00DD5969">
        <w:rPr>
          <w:rFonts w:ascii="Arial"/>
          <w:b/>
          <w:sz w:val="48"/>
          <w:szCs w:val="48"/>
        </w:rPr>
        <w:t>STUDENT NAME:</w:t>
      </w:r>
      <w:r w:rsidR="6A18BD86" w:rsidRPr="007BAF3C">
        <w:rPr>
          <w:rFonts w:ascii="Arial"/>
          <w:b/>
          <w:bCs/>
          <w:sz w:val="48"/>
          <w:szCs w:val="48"/>
        </w:rPr>
        <w:t xml:space="preserve"> </w:t>
      </w:r>
      <w:r w:rsidR="6A18BD86" w:rsidRPr="3C752A85">
        <w:rPr>
          <w:rFonts w:ascii="Arial"/>
          <w:b/>
          <w:bCs/>
          <w:sz w:val="48"/>
          <w:szCs w:val="48"/>
        </w:rPr>
        <w:t xml:space="preserve">Emily </w:t>
      </w:r>
      <w:r w:rsidR="6A18BD86" w:rsidRPr="0F6D2BE8">
        <w:rPr>
          <w:rFonts w:ascii="Arial"/>
          <w:b/>
          <w:bCs/>
          <w:sz w:val="48"/>
          <w:szCs w:val="48"/>
        </w:rPr>
        <w:t>Hopkins</w:t>
      </w:r>
    </w:p>
    <w:p w14:paraId="0D16D138" w14:textId="77777777" w:rsidR="00DD5969" w:rsidRPr="00DD5969" w:rsidRDefault="00DD5969" w:rsidP="00DD5969">
      <w:pPr>
        <w:spacing w:before="3"/>
        <w:rPr>
          <w:rFonts w:ascii="Arial"/>
          <w:b/>
          <w:sz w:val="48"/>
          <w:szCs w:val="48"/>
        </w:rPr>
      </w:pPr>
    </w:p>
    <w:p w14:paraId="18107AFF" w14:textId="3D707EBD"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4484C486" w:rsidRPr="0F6D2BE8">
        <w:rPr>
          <w:rFonts w:ascii="Arial"/>
          <w:b/>
          <w:bCs/>
          <w:sz w:val="48"/>
          <w:szCs w:val="48"/>
        </w:rPr>
        <w:t xml:space="preserve"> </w:t>
      </w:r>
      <w:r w:rsidR="4484C486" w:rsidRPr="76E37BB4">
        <w:rPr>
          <w:rFonts w:ascii="Arial"/>
          <w:b/>
          <w:bCs/>
          <w:sz w:val="48"/>
          <w:szCs w:val="48"/>
        </w:rPr>
        <w:t>2406128</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3A56DF45" w14:textId="77777777" w:rsidR="0000375B" w:rsidRDefault="0000375B" w:rsidP="00DD5969">
      <w:pPr>
        <w:jc w:val="center"/>
        <w:rPr>
          <w:rFonts w:ascii="Arial"/>
          <w:b/>
          <w:sz w:val="40"/>
        </w:rPr>
      </w:pPr>
    </w:p>
    <w:p w14:paraId="35E77934" w14:textId="77777777" w:rsidR="0000375B" w:rsidRPr="00192D3C" w:rsidRDefault="0000375B" w:rsidP="00DD5969">
      <w:pPr>
        <w:jc w:val="center"/>
        <w:rPr>
          <w:rFonts w:ascii="Arial"/>
          <w:b/>
          <w:sz w:val="40"/>
        </w:rPr>
      </w:pPr>
    </w:p>
    <w:p w14:paraId="4C9C9B74" w14:textId="32AE2462" w:rsidR="00B103B9" w:rsidRPr="00E243A8" w:rsidRDefault="00B103B9" w:rsidP="00DD5969">
      <w:pPr>
        <w:rPr>
          <w:b/>
          <w:bCs/>
          <w:sz w:val="32"/>
          <w:szCs w:val="32"/>
          <w:u w:val="single"/>
        </w:rPr>
      </w:pPr>
      <w:r w:rsidRPr="00E243A8">
        <w:rPr>
          <w:b/>
          <w:bCs/>
          <w:sz w:val="32"/>
          <w:szCs w:val="32"/>
          <w:u w:val="single"/>
        </w:rPr>
        <w:t>AI Acknowledgement</w:t>
      </w:r>
    </w:p>
    <w:p w14:paraId="5A38292B" w14:textId="77777777" w:rsidR="00B103B9" w:rsidRDefault="00B103B9" w:rsidP="00DD5969"/>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P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00DEC237" w14:textId="77777777" w:rsidR="0000375B" w:rsidRDefault="0000375B">
      <w:pPr>
        <w:rPr>
          <w:sz w:val="16"/>
          <w:szCs w:val="16"/>
        </w:rPr>
      </w:pPr>
    </w:p>
    <w:p w14:paraId="6D2D955E" w14:textId="77777777" w:rsidR="0000375B" w:rsidRDefault="0000375B">
      <w:pPr>
        <w:rPr>
          <w:sz w:val="16"/>
          <w:szCs w:val="16"/>
        </w:rPr>
      </w:pPr>
    </w:p>
    <w:p w14:paraId="02511CD8" w14:textId="77777777" w:rsidR="0000375B" w:rsidRDefault="0000375B">
      <w:pPr>
        <w:rPr>
          <w:sz w:val="16"/>
          <w:szCs w:val="16"/>
        </w:rPr>
      </w:pPr>
    </w:p>
    <w:p w14:paraId="44120BD6" w14:textId="77777777" w:rsidR="0000375B" w:rsidRDefault="0000375B">
      <w:pPr>
        <w:rPr>
          <w:sz w:val="16"/>
          <w:szCs w:val="16"/>
        </w:rPr>
      </w:pPr>
    </w:p>
    <w:p w14:paraId="1EB16707" w14:textId="77777777" w:rsidR="0000375B" w:rsidRDefault="0000375B">
      <w:pPr>
        <w:rPr>
          <w:sz w:val="16"/>
          <w:szCs w:val="16"/>
        </w:rPr>
      </w:pPr>
    </w:p>
    <w:p w14:paraId="66DB19BA" w14:textId="77777777" w:rsidR="0000375B" w:rsidRDefault="0000375B">
      <w:pPr>
        <w:rPr>
          <w:sz w:val="16"/>
          <w:szCs w:val="16"/>
        </w:rPr>
      </w:pPr>
    </w:p>
    <w:p w14:paraId="2F521E63" w14:textId="77777777" w:rsidR="0000375B" w:rsidRDefault="0000375B">
      <w:pPr>
        <w:rPr>
          <w:sz w:val="16"/>
          <w:szCs w:val="16"/>
        </w:rPr>
      </w:pPr>
    </w:p>
    <w:p w14:paraId="36D1742B" w14:textId="77777777" w:rsidR="0000375B" w:rsidRDefault="0000375B">
      <w:pPr>
        <w:rPr>
          <w:sz w:val="16"/>
          <w:szCs w:val="16"/>
        </w:rPr>
      </w:pPr>
    </w:p>
    <w:p w14:paraId="5154171D" w14:textId="77777777" w:rsidR="0000375B" w:rsidRDefault="0000375B">
      <w:pPr>
        <w:rPr>
          <w:b/>
          <w:bCs/>
        </w:rPr>
      </w:pPr>
      <w:r w:rsidRPr="0000375B">
        <w:rPr>
          <w:b/>
          <w:bCs/>
        </w:rPr>
        <w:t>Targets from my previous assignment</w:t>
      </w:r>
    </w:p>
    <w:p w14:paraId="17A7A376" w14:textId="77777777" w:rsidR="0000375B" w:rsidRDefault="0000375B">
      <w:pPr>
        <w:rPr>
          <w:b/>
          <w:bCs/>
        </w:rPr>
      </w:pPr>
    </w:p>
    <w:tbl>
      <w:tblPr>
        <w:tblStyle w:val="TableGrid"/>
        <w:tblW w:w="0" w:type="auto"/>
        <w:tblLook w:val="04A0" w:firstRow="1" w:lastRow="0" w:firstColumn="1" w:lastColumn="0" w:noHBand="0" w:noVBand="1"/>
      </w:tblPr>
      <w:tblGrid>
        <w:gridCol w:w="4508"/>
        <w:gridCol w:w="4508"/>
      </w:tblGrid>
      <w:tr w:rsidR="0000375B" w14:paraId="551E84E1" w14:textId="77777777" w:rsidTr="0000375B">
        <w:tc>
          <w:tcPr>
            <w:tcW w:w="4508" w:type="dxa"/>
          </w:tcPr>
          <w:p w14:paraId="672FF086" w14:textId="6A0E023B" w:rsidR="0000375B" w:rsidRPr="0000375B" w:rsidRDefault="0000375B" w:rsidP="00DD5969">
            <w:pPr>
              <w:rPr>
                <w:b/>
                <w:bCs/>
              </w:rPr>
            </w:pPr>
            <w:r w:rsidRPr="0000375B">
              <w:rPr>
                <w:b/>
                <w:bCs/>
              </w:rPr>
              <w:t>Target</w:t>
            </w:r>
          </w:p>
        </w:tc>
        <w:tc>
          <w:tcPr>
            <w:tcW w:w="4508" w:type="dxa"/>
          </w:tcPr>
          <w:p w14:paraId="352B31B4" w14:textId="3C8264E3" w:rsidR="0000375B" w:rsidRPr="0000375B" w:rsidRDefault="0000375B" w:rsidP="00DD5969">
            <w:pPr>
              <w:rPr>
                <w:b/>
                <w:bCs/>
              </w:rPr>
            </w:pPr>
            <w:r w:rsidRPr="0000375B">
              <w:rPr>
                <w:b/>
                <w:bCs/>
              </w:rPr>
              <w:t>How I have addressed it in this work</w:t>
            </w:r>
          </w:p>
        </w:tc>
      </w:tr>
      <w:tr w:rsidR="0000375B" w14:paraId="0DC71ABF" w14:textId="77777777" w:rsidTr="0000375B">
        <w:tc>
          <w:tcPr>
            <w:tcW w:w="4508" w:type="dxa"/>
          </w:tcPr>
          <w:p w14:paraId="52EB84A3" w14:textId="77777777" w:rsidR="0000375B" w:rsidRDefault="0000375B" w:rsidP="00DD5969">
            <w:pPr>
              <w:rPr>
                <w:sz w:val="16"/>
                <w:szCs w:val="16"/>
              </w:rPr>
            </w:pPr>
          </w:p>
          <w:p w14:paraId="76BEE28D" w14:textId="60402F5D" w:rsidR="0000375B" w:rsidRDefault="00D00BDB" w:rsidP="00DD5969">
            <w:pPr>
              <w:rPr>
                <w:sz w:val="16"/>
                <w:szCs w:val="16"/>
              </w:rPr>
            </w:pPr>
            <w:r w:rsidRPr="00D00BDB">
              <w:rPr>
                <w:sz w:val="16"/>
                <w:szCs w:val="16"/>
              </w:rPr>
              <w:t>- Ensure that you focus on issues in a detailed way before moving onto your next argument. For example, the discussion around the recruitment of BAME teachers was fleeting and merited further exploration. </w:t>
            </w:r>
            <w:r w:rsidRPr="00D00BDB">
              <w:rPr>
                <w:sz w:val="16"/>
                <w:szCs w:val="16"/>
                <w:lang w:val="en-US"/>
              </w:rPr>
              <w:t> </w:t>
            </w:r>
            <w:r w:rsidRPr="00D00BDB">
              <w:rPr>
                <w:sz w:val="16"/>
                <w:szCs w:val="16"/>
              </w:rPr>
              <w:t> </w:t>
            </w:r>
          </w:p>
          <w:p w14:paraId="0EDC9850" w14:textId="77777777" w:rsidR="0000375B" w:rsidRDefault="0000375B" w:rsidP="00DD5969">
            <w:pPr>
              <w:rPr>
                <w:sz w:val="16"/>
                <w:szCs w:val="16"/>
              </w:rPr>
            </w:pPr>
          </w:p>
        </w:tc>
        <w:tc>
          <w:tcPr>
            <w:tcW w:w="4508" w:type="dxa"/>
          </w:tcPr>
          <w:p w14:paraId="603843C2" w14:textId="77777777" w:rsidR="0000375B" w:rsidRDefault="0000375B" w:rsidP="00DD5969">
            <w:pPr>
              <w:rPr>
                <w:sz w:val="16"/>
                <w:szCs w:val="16"/>
              </w:rPr>
            </w:pPr>
          </w:p>
          <w:p w14:paraId="3FCBF01B" w14:textId="2E6F40A9" w:rsidR="0078123B" w:rsidRDefault="0078123B" w:rsidP="00DD5969">
            <w:pPr>
              <w:rPr>
                <w:sz w:val="16"/>
                <w:szCs w:val="16"/>
              </w:rPr>
            </w:pPr>
            <w:r>
              <w:rPr>
                <w:sz w:val="16"/>
                <w:szCs w:val="16"/>
              </w:rPr>
              <w:t xml:space="preserve">I ensured that </w:t>
            </w:r>
            <w:r w:rsidR="00DD7A1A">
              <w:rPr>
                <w:sz w:val="16"/>
                <w:szCs w:val="16"/>
              </w:rPr>
              <w:t>I elaborated on points by researching different opinions and views from other researchers.</w:t>
            </w:r>
          </w:p>
        </w:tc>
      </w:tr>
      <w:tr w:rsidR="0000375B" w14:paraId="2411A5A2" w14:textId="77777777" w:rsidTr="0000375B">
        <w:tc>
          <w:tcPr>
            <w:tcW w:w="4508" w:type="dxa"/>
          </w:tcPr>
          <w:p w14:paraId="4A120529" w14:textId="77777777" w:rsidR="0000375B" w:rsidRDefault="0000375B" w:rsidP="00DD5969">
            <w:pPr>
              <w:rPr>
                <w:sz w:val="16"/>
                <w:szCs w:val="16"/>
              </w:rPr>
            </w:pPr>
          </w:p>
          <w:p w14:paraId="73ED8D37" w14:textId="2156C414" w:rsidR="0000375B" w:rsidRDefault="0078123B" w:rsidP="00DD5969">
            <w:pPr>
              <w:rPr>
                <w:sz w:val="16"/>
                <w:szCs w:val="16"/>
              </w:rPr>
            </w:pPr>
            <w:r w:rsidRPr="0078123B">
              <w:rPr>
                <w:sz w:val="16"/>
                <w:szCs w:val="16"/>
              </w:rPr>
              <w:t>- Ensure that you are clear on the differences between Welsh and English policy and use sources that are appropriate to the Welsh context.</w:t>
            </w:r>
          </w:p>
          <w:p w14:paraId="2A59CA2F" w14:textId="77777777" w:rsidR="0000375B" w:rsidRDefault="0000375B" w:rsidP="00DD5969">
            <w:pPr>
              <w:rPr>
                <w:sz w:val="16"/>
                <w:szCs w:val="16"/>
              </w:rPr>
            </w:pPr>
          </w:p>
        </w:tc>
        <w:tc>
          <w:tcPr>
            <w:tcW w:w="4508" w:type="dxa"/>
          </w:tcPr>
          <w:p w14:paraId="7D6DE5E7" w14:textId="77777777" w:rsidR="0000375B" w:rsidRDefault="0000375B" w:rsidP="00DD5969">
            <w:pPr>
              <w:rPr>
                <w:sz w:val="16"/>
                <w:szCs w:val="16"/>
              </w:rPr>
            </w:pPr>
          </w:p>
          <w:p w14:paraId="51AE3AC6" w14:textId="3CA17E11" w:rsidR="00C83508" w:rsidRDefault="00C83508" w:rsidP="00DD5969">
            <w:pPr>
              <w:rPr>
                <w:sz w:val="16"/>
                <w:szCs w:val="16"/>
              </w:rPr>
            </w:pPr>
            <w:r>
              <w:rPr>
                <w:sz w:val="16"/>
                <w:szCs w:val="16"/>
              </w:rPr>
              <w:t xml:space="preserve">I referenced the Curriculum for Wales throughout my assignment </w:t>
            </w:r>
            <w:r w:rsidR="00AF3ED6">
              <w:rPr>
                <w:sz w:val="16"/>
                <w:szCs w:val="16"/>
              </w:rPr>
              <w:t>and ensured I referred back to it when making a relevant point.</w:t>
            </w:r>
            <w:r>
              <w:rPr>
                <w:sz w:val="16"/>
                <w:szCs w:val="16"/>
              </w:rPr>
              <w:t xml:space="preserve"> </w:t>
            </w:r>
          </w:p>
        </w:tc>
      </w:tr>
    </w:tbl>
    <w:p w14:paraId="7F589502" w14:textId="77777777" w:rsidR="000C541C" w:rsidRDefault="000C541C" w:rsidP="00DD5969">
      <w:pPr>
        <w:rPr>
          <w:sz w:val="16"/>
          <w:szCs w:val="16"/>
        </w:rPr>
      </w:pPr>
    </w:p>
    <w:p w14:paraId="5144E418" w14:textId="77777777" w:rsidR="000C541C" w:rsidRDefault="000C541C" w:rsidP="00DD5969">
      <w:pPr>
        <w:rPr>
          <w:sz w:val="16"/>
          <w:szCs w:val="16"/>
        </w:rPr>
      </w:pPr>
    </w:p>
    <w:p w14:paraId="2AE1CF9A" w14:textId="7090E061" w:rsidR="0000375B" w:rsidRDefault="0000375B">
      <w:pPr>
        <w:rPr>
          <w:sz w:val="16"/>
          <w:szCs w:val="16"/>
        </w:rPr>
      </w:pPr>
      <w:r>
        <w:rPr>
          <w:sz w:val="16"/>
          <w:szCs w:val="16"/>
        </w:rPr>
        <w:br w:type="page"/>
      </w:r>
    </w:p>
    <w:p w14:paraId="23004B6E" w14:textId="08350889" w:rsidR="0000375B" w:rsidRDefault="16A79AB2" w:rsidP="3FB95244">
      <w:pPr>
        <w:jc w:val="center"/>
        <w:rPr>
          <w:rFonts w:ascii="Arial Nova" w:eastAsia="Arial Nova" w:hAnsi="Arial Nova" w:cs="Arial Nova"/>
          <w:color w:val="000000" w:themeColor="text1"/>
          <w:sz w:val="32"/>
          <w:szCs w:val="32"/>
          <w:u w:val="single"/>
        </w:rPr>
      </w:pPr>
      <w:r w:rsidRPr="6AD29625">
        <w:rPr>
          <w:rFonts w:ascii="Arial Nova" w:eastAsia="Arial Nova" w:hAnsi="Arial Nova" w:cs="Arial Nova"/>
          <w:b/>
          <w:color w:val="000000" w:themeColor="text1"/>
          <w:sz w:val="28"/>
          <w:szCs w:val="28"/>
          <w:u w:val="single"/>
        </w:rPr>
        <w:t>Demonstrate how cross-curricular teaching and learning can influence in-depth skills and understanding. Underpin this with reference to relevant research, a detailed lesson plan and an enhanced provision material.</w:t>
      </w:r>
    </w:p>
    <w:p w14:paraId="6C6F16C6" w14:textId="17A0649B" w:rsidR="0000375B" w:rsidRDefault="0000375B" w:rsidP="0000375B">
      <w:pPr>
        <w:rPr>
          <w:b/>
          <w:bCs/>
        </w:rPr>
      </w:pPr>
    </w:p>
    <w:p w14:paraId="3D9A046F" w14:textId="22C9FCED" w:rsidR="002326BE" w:rsidRDefault="002326BE" w:rsidP="002326BE">
      <w:pPr>
        <w:spacing w:line="360" w:lineRule="auto"/>
        <w:rPr>
          <w:rFonts w:ascii="Arial" w:hAnsi="Arial" w:cs="Arial"/>
          <w:sz w:val="22"/>
          <w:szCs w:val="22"/>
        </w:rPr>
      </w:pPr>
      <w:r w:rsidRPr="00FC09E2">
        <w:rPr>
          <w:rFonts w:ascii="Arial" w:eastAsia="Arial Nova" w:hAnsi="Arial" w:cs="Arial"/>
          <w:sz w:val="22"/>
          <w:szCs w:val="22"/>
        </w:rPr>
        <w:t xml:space="preserve">The Curriculum for Wales encourages cross-curricular learning in schools to prepare pupils with essential life skills that are transferable across various subject areas </w:t>
      </w:r>
      <w:r w:rsidRPr="00FC09E2">
        <w:rPr>
          <w:rFonts w:ascii="Arial" w:eastAsia="Arial" w:hAnsi="Arial" w:cs="Arial"/>
          <w:sz w:val="22"/>
          <w:szCs w:val="22"/>
        </w:rPr>
        <w:t>(Welsh Government, 2022</w:t>
      </w:r>
      <w:r>
        <w:rPr>
          <w:rFonts w:ascii="Arial" w:eastAsia="Arial" w:hAnsi="Arial" w:cs="Arial"/>
          <w:sz w:val="22"/>
          <w:szCs w:val="22"/>
        </w:rPr>
        <w:t>b</w:t>
      </w:r>
      <w:r w:rsidRPr="00FC09E2">
        <w:rPr>
          <w:rFonts w:ascii="Arial" w:eastAsia="Arial" w:hAnsi="Arial" w:cs="Arial"/>
          <w:sz w:val="22"/>
          <w:szCs w:val="22"/>
        </w:rPr>
        <w:t xml:space="preserve">). Cross-curricular learning directly supports the Four Purposes </w:t>
      </w:r>
      <w:r>
        <w:rPr>
          <w:rFonts w:ascii="Arial" w:eastAsia="Arial" w:hAnsi="Arial" w:cs="Arial"/>
          <w:sz w:val="22"/>
          <w:szCs w:val="22"/>
        </w:rPr>
        <w:t xml:space="preserve">of the Curriculum for Wales </w:t>
      </w:r>
      <w:r w:rsidRPr="00FC09E2">
        <w:rPr>
          <w:rFonts w:ascii="Arial" w:eastAsia="Arial" w:hAnsi="Arial" w:cs="Arial"/>
          <w:sz w:val="22"/>
          <w:szCs w:val="22"/>
        </w:rPr>
        <w:t>as it ensures learning is relevant, engaging and applicable across different contexts, allowing children the opportunity to thrive academically and in life (Welsh Government, 2022</w:t>
      </w:r>
      <w:r>
        <w:rPr>
          <w:rFonts w:ascii="Arial" w:eastAsia="Arial" w:hAnsi="Arial" w:cs="Arial"/>
          <w:sz w:val="22"/>
          <w:szCs w:val="22"/>
        </w:rPr>
        <w:t>b</w:t>
      </w:r>
      <w:r w:rsidRPr="00FC09E2">
        <w:rPr>
          <w:rFonts w:ascii="Arial" w:eastAsia="Arial" w:hAnsi="Arial" w:cs="Arial"/>
          <w:sz w:val="22"/>
          <w:szCs w:val="22"/>
        </w:rPr>
        <w:t>).</w:t>
      </w:r>
      <w:r w:rsidRPr="00FC09E2">
        <w:rPr>
          <w:rFonts w:ascii="Arial" w:eastAsia="Arial" w:hAnsi="Arial" w:cs="Arial"/>
          <w:sz w:val="20"/>
          <w:szCs w:val="20"/>
        </w:rPr>
        <w:t xml:space="preserve"> </w:t>
      </w:r>
      <w:r w:rsidRPr="00FC09E2">
        <w:rPr>
          <w:rFonts w:ascii="Arial" w:eastAsia="Arial" w:hAnsi="Arial" w:cs="Arial"/>
          <w:sz w:val="22"/>
          <w:szCs w:val="22"/>
        </w:rPr>
        <w:t>Barnes (2015) describes cross-curricular learning as an educational approach that involves multiple subject areas providing children</w:t>
      </w:r>
      <w:r w:rsidR="00DD51D6">
        <w:rPr>
          <w:rFonts w:ascii="Arial" w:eastAsia="Arial" w:hAnsi="Arial" w:cs="Arial"/>
          <w:sz w:val="22"/>
          <w:szCs w:val="22"/>
        </w:rPr>
        <w:t xml:space="preserve"> with</w:t>
      </w:r>
      <w:r w:rsidRPr="00FC09E2">
        <w:rPr>
          <w:rFonts w:ascii="Arial" w:eastAsia="Arial" w:hAnsi="Arial" w:cs="Arial"/>
          <w:sz w:val="22"/>
          <w:szCs w:val="22"/>
        </w:rPr>
        <w:t xml:space="preserve"> holistic understanding and development.</w:t>
      </w:r>
      <w:r>
        <w:rPr>
          <w:rFonts w:ascii="Arial" w:eastAsia="Arial" w:hAnsi="Arial" w:cs="Arial"/>
          <w:sz w:val="22"/>
          <w:szCs w:val="22"/>
        </w:rPr>
        <w:t xml:space="preserve"> </w:t>
      </w:r>
      <w:r w:rsidRPr="00473714">
        <w:rPr>
          <w:rFonts w:ascii="Arial" w:eastAsia="Arial" w:hAnsi="Arial" w:cs="Arial"/>
          <w:sz w:val="22"/>
          <w:szCs w:val="22"/>
        </w:rPr>
        <w:t>Beckmann</w:t>
      </w:r>
      <w:r>
        <w:rPr>
          <w:rFonts w:ascii="Arial" w:eastAsia="Arial" w:hAnsi="Arial" w:cs="Arial"/>
          <w:sz w:val="22"/>
          <w:szCs w:val="22"/>
        </w:rPr>
        <w:t xml:space="preserve"> (</w:t>
      </w:r>
      <w:r w:rsidRPr="00473714">
        <w:rPr>
          <w:rFonts w:ascii="Arial" w:eastAsia="Arial" w:hAnsi="Arial" w:cs="Arial"/>
          <w:sz w:val="22"/>
          <w:szCs w:val="22"/>
        </w:rPr>
        <w:t>2009)</w:t>
      </w:r>
      <w:r>
        <w:rPr>
          <w:rFonts w:ascii="Arial" w:eastAsia="Arial" w:hAnsi="Arial" w:cs="Arial"/>
          <w:sz w:val="22"/>
          <w:szCs w:val="22"/>
        </w:rPr>
        <w:t xml:space="preserve"> emphasises this by highlighting the role cross-curricular learning has in deepening pupils’ understanding by creating relevant connections to real-world contexts and encouraging holistic education, aligning with the Curriculum for Wales. The Curriculum for Wales highlight the development of Literacy, Numeracy and Digital Competence as mandatory skills to be incorporated into all areas of learning and experience (AoLEs), as they are seen as key foundations of education </w:t>
      </w:r>
      <w:r w:rsidRPr="007F63B2">
        <w:rPr>
          <w:rFonts w:ascii="Arial" w:eastAsia="Arial" w:hAnsi="Arial" w:cs="Arial"/>
          <w:sz w:val="22"/>
          <w:szCs w:val="22"/>
        </w:rPr>
        <w:t>(Welsh Government, 2022a)</w:t>
      </w:r>
      <w:r>
        <w:rPr>
          <w:rFonts w:ascii="Arial" w:eastAsia="Arial" w:hAnsi="Arial" w:cs="Arial"/>
          <w:sz w:val="22"/>
          <w:szCs w:val="22"/>
        </w:rPr>
        <w:t xml:space="preserve">. Embedding these skills in all planning and practice can ensure consistency in teaching and pupils’ development of the skills, aiding them to progress towards independence and proficiency </w:t>
      </w:r>
      <w:r w:rsidRPr="00EC1795">
        <w:rPr>
          <w:rFonts w:ascii="Arial" w:eastAsia="Arial" w:hAnsi="Arial" w:cs="Arial"/>
          <w:sz w:val="22"/>
          <w:szCs w:val="22"/>
        </w:rPr>
        <w:t>(Estyn, 2024</w:t>
      </w:r>
      <w:r>
        <w:rPr>
          <w:rFonts w:ascii="Arial" w:eastAsia="Arial" w:hAnsi="Arial" w:cs="Arial"/>
          <w:sz w:val="22"/>
          <w:szCs w:val="22"/>
        </w:rPr>
        <w:t>a</w:t>
      </w:r>
      <w:r w:rsidRPr="00EC1795">
        <w:rPr>
          <w:rFonts w:ascii="Arial" w:eastAsia="Arial" w:hAnsi="Arial" w:cs="Arial"/>
          <w:sz w:val="22"/>
          <w:szCs w:val="22"/>
        </w:rPr>
        <w:t>)</w:t>
      </w:r>
      <w:r>
        <w:rPr>
          <w:rFonts w:ascii="Arial" w:eastAsia="Arial" w:hAnsi="Arial" w:cs="Arial"/>
          <w:sz w:val="22"/>
          <w:szCs w:val="22"/>
        </w:rPr>
        <w:t xml:space="preserve">. In addition, implementing these skills strengthens interdisciplinary connections and prepares children with essential skills for future higher education </w:t>
      </w:r>
      <w:r w:rsidRPr="00995C5E">
        <w:rPr>
          <w:rFonts w:ascii="Arial" w:hAnsi="Arial" w:cs="Arial"/>
          <w:sz w:val="22"/>
          <w:szCs w:val="22"/>
        </w:rPr>
        <w:t>(Sánchez-Caballé, Gisbert-Cervera and Esteve-</w:t>
      </w:r>
      <w:proofErr w:type="spellStart"/>
      <w:r w:rsidRPr="00995C5E">
        <w:rPr>
          <w:rFonts w:ascii="Arial" w:hAnsi="Arial" w:cs="Arial"/>
          <w:sz w:val="22"/>
          <w:szCs w:val="22"/>
        </w:rPr>
        <w:t>Món</w:t>
      </w:r>
      <w:proofErr w:type="spellEnd"/>
      <w:r w:rsidRPr="00995C5E">
        <w:rPr>
          <w:rFonts w:ascii="Arial" w:hAnsi="Arial" w:cs="Arial"/>
          <w:sz w:val="22"/>
          <w:szCs w:val="22"/>
        </w:rPr>
        <w:t>, 2021</w:t>
      </w:r>
      <w:r>
        <w:rPr>
          <w:rFonts w:ascii="Arial" w:hAnsi="Arial" w:cs="Arial"/>
          <w:sz w:val="22"/>
          <w:szCs w:val="22"/>
        </w:rPr>
        <w:t xml:space="preserve">: </w:t>
      </w:r>
      <w:r w:rsidRPr="004F55CE">
        <w:rPr>
          <w:rFonts w:ascii="Arial" w:hAnsi="Arial" w:cs="Arial"/>
          <w:sz w:val="22"/>
          <w:szCs w:val="22"/>
        </w:rPr>
        <w:t>Goos and O’Sullivan, 2022)</w:t>
      </w:r>
      <w:r>
        <w:rPr>
          <w:rFonts w:ascii="Arial" w:hAnsi="Arial" w:cs="Arial"/>
          <w:sz w:val="22"/>
          <w:szCs w:val="22"/>
        </w:rPr>
        <w:t>.</w:t>
      </w:r>
    </w:p>
    <w:p w14:paraId="58A8F854" w14:textId="77777777" w:rsidR="002326BE" w:rsidRPr="005F72A7" w:rsidRDefault="002326BE" w:rsidP="002326BE">
      <w:pPr>
        <w:spacing w:line="360" w:lineRule="auto"/>
        <w:rPr>
          <w:rFonts w:ascii="Arial" w:hAnsi="Arial" w:cs="Arial"/>
          <w:sz w:val="22"/>
          <w:szCs w:val="22"/>
        </w:rPr>
      </w:pPr>
      <w:r>
        <w:rPr>
          <w:rFonts w:ascii="Arial" w:eastAsia="Arial" w:hAnsi="Arial" w:cs="Arial"/>
          <w:sz w:val="22"/>
          <w:szCs w:val="22"/>
        </w:rPr>
        <w:t xml:space="preserve">Digital skills have gradually become more essential in everyday professional and academic life. In education, they are used in various learning experiences, supporting children’s development and safety for the future </w:t>
      </w:r>
      <w:r w:rsidRPr="004660D9">
        <w:rPr>
          <w:rFonts w:ascii="Arial" w:eastAsia="Arial" w:hAnsi="Arial" w:cs="Arial"/>
          <w:sz w:val="22"/>
          <w:szCs w:val="22"/>
        </w:rPr>
        <w:t>(Iwanicka, 2021)</w:t>
      </w:r>
      <w:r>
        <w:rPr>
          <w:rFonts w:ascii="Arial" w:eastAsia="Arial" w:hAnsi="Arial" w:cs="Arial"/>
          <w:sz w:val="22"/>
          <w:szCs w:val="22"/>
        </w:rPr>
        <w:t xml:space="preserve">. However, the quality of teaching digital competence skills relies on practitioners themselves. Researchers discovered a lack of digital training for teachers, therefore possibly causing a negative impact on children’s development of these skills </w:t>
      </w:r>
      <w:r w:rsidRPr="00B41E2C">
        <w:rPr>
          <w:rFonts w:ascii="Arial" w:eastAsia="Arial" w:hAnsi="Arial" w:cs="Arial"/>
          <w:sz w:val="22"/>
          <w:szCs w:val="22"/>
        </w:rPr>
        <w:t>(</w:t>
      </w:r>
      <w:proofErr w:type="spellStart"/>
      <w:r w:rsidRPr="00B41E2C">
        <w:rPr>
          <w:rFonts w:ascii="Arial" w:eastAsia="Arial" w:hAnsi="Arial" w:cs="Arial"/>
          <w:sz w:val="22"/>
          <w:szCs w:val="22"/>
        </w:rPr>
        <w:t>Ottestad</w:t>
      </w:r>
      <w:proofErr w:type="spellEnd"/>
      <w:r w:rsidRPr="00B41E2C">
        <w:rPr>
          <w:rFonts w:ascii="Arial" w:eastAsia="Arial" w:hAnsi="Arial" w:cs="Arial"/>
          <w:sz w:val="22"/>
          <w:szCs w:val="22"/>
        </w:rPr>
        <w:t xml:space="preserve">, </w:t>
      </w:r>
      <w:proofErr w:type="spellStart"/>
      <w:r w:rsidRPr="00B41E2C">
        <w:rPr>
          <w:rFonts w:ascii="Arial" w:eastAsia="Arial" w:hAnsi="Arial" w:cs="Arial"/>
          <w:sz w:val="22"/>
          <w:szCs w:val="22"/>
        </w:rPr>
        <w:t>Kelentrić</w:t>
      </w:r>
      <w:proofErr w:type="spellEnd"/>
      <w:r w:rsidRPr="00B41E2C">
        <w:rPr>
          <w:rFonts w:ascii="Arial" w:eastAsia="Arial" w:hAnsi="Arial" w:cs="Arial"/>
          <w:sz w:val="22"/>
          <w:szCs w:val="22"/>
        </w:rPr>
        <w:t xml:space="preserve"> and Guðmundsdóttir, 2014)</w:t>
      </w:r>
      <w:r>
        <w:rPr>
          <w:rFonts w:ascii="Arial" w:eastAsia="Arial" w:hAnsi="Arial" w:cs="Arial"/>
          <w:sz w:val="22"/>
          <w:szCs w:val="22"/>
        </w:rPr>
        <w:t xml:space="preserve">. The Curriculum for Wales states that schools should design their own curriculum, allowing the opportunity to integrate learning of local communities, reflect school values and to be aspirational for all pupils </w:t>
      </w:r>
      <w:r w:rsidRPr="006A5F14">
        <w:rPr>
          <w:rFonts w:ascii="Arial" w:eastAsia="Arial" w:hAnsi="Arial" w:cs="Arial"/>
          <w:sz w:val="22"/>
          <w:szCs w:val="22"/>
        </w:rPr>
        <w:t>(Welsh Government, 2022b)</w:t>
      </w:r>
      <w:r>
        <w:rPr>
          <w:rFonts w:ascii="Arial" w:eastAsia="Arial" w:hAnsi="Arial" w:cs="Arial"/>
          <w:sz w:val="22"/>
          <w:szCs w:val="22"/>
        </w:rPr>
        <w:t xml:space="preserve">. Therefore, practitioners have complete control over learning experiences, possibly risking a lack of coverage of some essential learning areas depending on the quality of teaching. As a result, this could significantly impact pupils’ development and overall education </w:t>
      </w:r>
      <w:r w:rsidRPr="008209A0">
        <w:rPr>
          <w:rFonts w:ascii="Arial" w:eastAsia="Arial" w:hAnsi="Arial" w:cs="Arial"/>
          <w:sz w:val="22"/>
          <w:szCs w:val="22"/>
        </w:rPr>
        <w:t xml:space="preserve">(Sinnema, </w:t>
      </w:r>
      <w:proofErr w:type="spellStart"/>
      <w:r w:rsidRPr="008209A0">
        <w:rPr>
          <w:rFonts w:ascii="Arial" w:eastAsia="Arial" w:hAnsi="Arial" w:cs="Arial"/>
          <w:sz w:val="22"/>
          <w:szCs w:val="22"/>
        </w:rPr>
        <w:t>Nieveen</w:t>
      </w:r>
      <w:proofErr w:type="spellEnd"/>
      <w:r w:rsidRPr="008209A0">
        <w:rPr>
          <w:rFonts w:ascii="Arial" w:eastAsia="Arial" w:hAnsi="Arial" w:cs="Arial"/>
          <w:sz w:val="22"/>
          <w:szCs w:val="22"/>
        </w:rPr>
        <w:t xml:space="preserve"> and Priestley, 2020)</w:t>
      </w:r>
      <w:r>
        <w:rPr>
          <w:rFonts w:ascii="Arial" w:eastAsia="Arial" w:hAnsi="Arial" w:cs="Arial"/>
          <w:sz w:val="22"/>
          <w:szCs w:val="22"/>
        </w:rPr>
        <w:t xml:space="preserve">. </w:t>
      </w:r>
      <w:r w:rsidRPr="00DE6881">
        <w:rPr>
          <w:rFonts w:ascii="Arial" w:hAnsi="Arial" w:cs="Arial"/>
          <w:sz w:val="22"/>
          <w:szCs w:val="22"/>
        </w:rPr>
        <w:t xml:space="preserve">Estyn’s latest annual report </w:t>
      </w:r>
      <w:r>
        <w:rPr>
          <w:rFonts w:ascii="Arial" w:hAnsi="Arial" w:cs="Arial"/>
          <w:sz w:val="22"/>
          <w:szCs w:val="22"/>
        </w:rPr>
        <w:t>r</w:t>
      </w:r>
      <w:r w:rsidRPr="0064054F">
        <w:rPr>
          <w:rFonts w:ascii="Arial" w:hAnsi="Arial" w:cs="Arial"/>
          <w:sz w:val="22"/>
          <w:szCs w:val="22"/>
        </w:rPr>
        <w:t>einforces</w:t>
      </w:r>
      <w:r>
        <w:rPr>
          <w:rFonts w:ascii="Arial" w:hAnsi="Arial" w:cs="Arial"/>
          <w:sz w:val="22"/>
          <w:szCs w:val="22"/>
        </w:rPr>
        <w:t xml:space="preserve"> </w:t>
      </w:r>
      <w:r w:rsidRPr="00DE6881">
        <w:rPr>
          <w:rFonts w:ascii="Arial" w:hAnsi="Arial" w:cs="Arial"/>
          <w:sz w:val="22"/>
          <w:szCs w:val="22"/>
        </w:rPr>
        <w:t>that cross-curricul</w:t>
      </w:r>
      <w:r>
        <w:rPr>
          <w:rFonts w:ascii="Arial" w:hAnsi="Arial" w:cs="Arial"/>
          <w:sz w:val="22"/>
          <w:szCs w:val="22"/>
        </w:rPr>
        <w:t>ar</w:t>
      </w:r>
      <w:r w:rsidRPr="00DE6881">
        <w:rPr>
          <w:rFonts w:ascii="Arial" w:hAnsi="Arial" w:cs="Arial"/>
          <w:sz w:val="22"/>
          <w:szCs w:val="22"/>
        </w:rPr>
        <w:t xml:space="preserve"> learning allows students to connect links across various subject areas, positively influencing their development. However, a lack of opportunities to apply specific skills may restrict progression</w:t>
      </w:r>
      <w:r>
        <w:rPr>
          <w:rFonts w:ascii="Arial" w:hAnsi="Arial" w:cs="Arial"/>
          <w:sz w:val="22"/>
          <w:szCs w:val="22"/>
        </w:rPr>
        <w:t xml:space="preserve"> </w:t>
      </w:r>
      <w:r w:rsidRPr="00221E03">
        <w:rPr>
          <w:rFonts w:ascii="Arial" w:hAnsi="Arial" w:cs="Arial"/>
          <w:sz w:val="22"/>
          <w:szCs w:val="22"/>
        </w:rPr>
        <w:t>(Estyn, 2025)</w:t>
      </w:r>
      <w:r>
        <w:rPr>
          <w:rFonts w:ascii="Arial" w:hAnsi="Arial" w:cs="Arial"/>
          <w:sz w:val="22"/>
          <w:szCs w:val="22"/>
        </w:rPr>
        <w:t xml:space="preserve">. This is advocated by additional researchers as they state that cross-curricular learning could lead to fragmented learning experiences due to a lack of structure, resulting in significant knowledge gaps </w:t>
      </w:r>
      <w:r w:rsidRPr="00343F69">
        <w:rPr>
          <w:rFonts w:ascii="Arial" w:hAnsi="Arial" w:cs="Arial"/>
          <w:sz w:val="22"/>
          <w:szCs w:val="22"/>
        </w:rPr>
        <w:t>(Harish, Kumar and Dharma Raja, 2012)</w:t>
      </w:r>
      <w:r>
        <w:rPr>
          <w:rFonts w:ascii="Arial" w:hAnsi="Arial" w:cs="Arial"/>
          <w:sz w:val="22"/>
          <w:szCs w:val="22"/>
        </w:rPr>
        <w:t xml:space="preserve">. </w:t>
      </w:r>
    </w:p>
    <w:p w14:paraId="654B9ED5" w14:textId="77777777" w:rsidR="002326BE" w:rsidRDefault="002326BE" w:rsidP="002326BE">
      <w:pPr>
        <w:spacing w:line="360" w:lineRule="auto"/>
        <w:rPr>
          <w:rFonts w:ascii="Arial" w:hAnsi="Arial" w:cs="Arial"/>
          <w:sz w:val="22"/>
          <w:szCs w:val="22"/>
        </w:rPr>
      </w:pPr>
    </w:p>
    <w:p w14:paraId="211935EF" w14:textId="77777777" w:rsidR="002326BE" w:rsidRDefault="002326BE" w:rsidP="002326BE">
      <w:pPr>
        <w:spacing w:line="360" w:lineRule="auto"/>
        <w:rPr>
          <w:rFonts w:ascii="Arial" w:hAnsi="Arial" w:cs="Arial"/>
          <w:sz w:val="22"/>
          <w:szCs w:val="22"/>
        </w:rPr>
      </w:pPr>
      <w:r>
        <w:rPr>
          <w:rFonts w:ascii="Arial" w:hAnsi="Arial" w:cs="Arial"/>
          <w:sz w:val="22"/>
          <w:szCs w:val="22"/>
        </w:rPr>
        <w:t xml:space="preserve">The Curriculum for Wales have designed cross-curricular frameworks for the mandatory subjects of Literacy, Numeracy and Digital Competence. These frameworks are created to guide educators in delivering learning experiences by highlighting specific skills children should have the opportunity to practice and develop in a range of engaging activities </w:t>
      </w:r>
      <w:r w:rsidRPr="005C415F">
        <w:rPr>
          <w:rFonts w:ascii="Arial" w:hAnsi="Arial" w:cs="Arial"/>
          <w:sz w:val="22"/>
          <w:szCs w:val="22"/>
        </w:rPr>
        <w:t>(Welsh Government, 2022a)</w:t>
      </w:r>
      <w:r>
        <w:rPr>
          <w:rFonts w:ascii="Arial" w:hAnsi="Arial" w:cs="Arial"/>
          <w:sz w:val="22"/>
          <w:szCs w:val="22"/>
        </w:rPr>
        <w:t xml:space="preserve">. </w:t>
      </w:r>
      <w:r w:rsidRPr="00D85639">
        <w:rPr>
          <w:rFonts w:ascii="Arial" w:hAnsi="Arial" w:cs="Arial"/>
          <w:sz w:val="22"/>
          <w:szCs w:val="22"/>
        </w:rPr>
        <w:t>Estyn</w:t>
      </w:r>
      <w:r>
        <w:rPr>
          <w:rFonts w:ascii="Arial" w:hAnsi="Arial" w:cs="Arial"/>
          <w:sz w:val="22"/>
          <w:szCs w:val="22"/>
        </w:rPr>
        <w:t xml:space="preserve"> (</w:t>
      </w:r>
      <w:r w:rsidRPr="00D85639">
        <w:rPr>
          <w:rFonts w:ascii="Arial" w:hAnsi="Arial" w:cs="Arial"/>
          <w:sz w:val="22"/>
          <w:szCs w:val="22"/>
        </w:rPr>
        <w:t>2021)</w:t>
      </w:r>
      <w:r>
        <w:rPr>
          <w:rFonts w:ascii="Arial" w:hAnsi="Arial" w:cs="Arial"/>
          <w:sz w:val="22"/>
          <w:szCs w:val="22"/>
        </w:rPr>
        <w:t xml:space="preserve"> states that the implementation of the cross-curricular frameworks enables practitioners to monitor and plan the development of specific skills, and supports flexible learning tailored to individual needs. Reinforcing this, these frameworks allow for differentiated teaching to ensure inclusivity and support children of all abilities by adapting tasks and experiences to meet individual needs </w:t>
      </w:r>
      <w:r w:rsidRPr="0072064F">
        <w:rPr>
          <w:rFonts w:ascii="Arial" w:hAnsi="Arial" w:cs="Arial"/>
          <w:sz w:val="22"/>
          <w:szCs w:val="22"/>
        </w:rPr>
        <w:t>(</w:t>
      </w:r>
      <w:proofErr w:type="spellStart"/>
      <w:r w:rsidRPr="0072064F">
        <w:rPr>
          <w:rFonts w:ascii="Arial" w:hAnsi="Arial" w:cs="Arial"/>
          <w:sz w:val="22"/>
          <w:szCs w:val="22"/>
        </w:rPr>
        <w:t>Marishane</w:t>
      </w:r>
      <w:proofErr w:type="spellEnd"/>
      <w:r w:rsidRPr="0072064F">
        <w:rPr>
          <w:rFonts w:ascii="Arial" w:hAnsi="Arial" w:cs="Arial"/>
          <w:sz w:val="22"/>
          <w:szCs w:val="22"/>
        </w:rPr>
        <w:t xml:space="preserve">, </w:t>
      </w:r>
      <w:proofErr w:type="spellStart"/>
      <w:r w:rsidRPr="0072064F">
        <w:rPr>
          <w:rFonts w:ascii="Arial" w:hAnsi="Arial" w:cs="Arial"/>
          <w:sz w:val="22"/>
          <w:szCs w:val="22"/>
        </w:rPr>
        <w:t>Marishane</w:t>
      </w:r>
      <w:proofErr w:type="spellEnd"/>
      <w:r w:rsidRPr="0072064F">
        <w:rPr>
          <w:rFonts w:ascii="Arial" w:hAnsi="Arial" w:cs="Arial"/>
          <w:sz w:val="22"/>
          <w:szCs w:val="22"/>
        </w:rPr>
        <w:t xml:space="preserve"> and Mahlo, 2015)</w:t>
      </w:r>
      <w:r>
        <w:rPr>
          <w:rFonts w:ascii="Arial" w:hAnsi="Arial" w:cs="Arial"/>
          <w:sz w:val="22"/>
          <w:szCs w:val="22"/>
        </w:rPr>
        <w:t xml:space="preserve">. The cross-curricular frameworks provide practitioners with guidance on how to integrate essential skills into various AoLEs </w:t>
      </w:r>
      <w:r w:rsidRPr="005C415F">
        <w:rPr>
          <w:rFonts w:ascii="Arial" w:hAnsi="Arial" w:cs="Arial"/>
          <w:sz w:val="22"/>
          <w:szCs w:val="22"/>
        </w:rPr>
        <w:t>(Welsh Government, 2022a)</w:t>
      </w:r>
      <w:r>
        <w:rPr>
          <w:rFonts w:ascii="Arial" w:hAnsi="Arial" w:cs="Arial"/>
          <w:sz w:val="22"/>
          <w:szCs w:val="22"/>
        </w:rPr>
        <w:t xml:space="preserve">. </w:t>
      </w:r>
      <w:r w:rsidRPr="00080A8A">
        <w:rPr>
          <w:rFonts w:ascii="Arial" w:hAnsi="Arial" w:cs="Arial"/>
          <w:sz w:val="22"/>
          <w:szCs w:val="22"/>
        </w:rPr>
        <w:t>Coffey and Sharpe</w:t>
      </w:r>
      <w:r>
        <w:rPr>
          <w:rFonts w:ascii="Arial" w:hAnsi="Arial" w:cs="Arial"/>
          <w:sz w:val="22"/>
          <w:szCs w:val="22"/>
        </w:rPr>
        <w:t xml:space="preserve"> (</w:t>
      </w:r>
      <w:r w:rsidRPr="00080A8A">
        <w:rPr>
          <w:rFonts w:ascii="Arial" w:hAnsi="Arial" w:cs="Arial"/>
          <w:sz w:val="22"/>
          <w:szCs w:val="22"/>
        </w:rPr>
        <w:t>2021)</w:t>
      </w:r>
      <w:r>
        <w:rPr>
          <w:rFonts w:ascii="Arial" w:hAnsi="Arial" w:cs="Arial"/>
          <w:sz w:val="22"/>
          <w:szCs w:val="22"/>
        </w:rPr>
        <w:t xml:space="preserve"> discuss the impact of embedding numeracy skills using a cross-curricular approach, rather than the subject being taught in isolation, through teacher collaboration. As a result, a positive influence on numeracy skills was discovered using this approach as it encourages problem solving and critical thinking in real-life contexts. This aligns with the Curriculum for Wales as teachers are motivated to integrate numeracy, literacy and digital competence across various engaging activities to reinforce the development of these skills throughout education </w:t>
      </w:r>
      <w:r w:rsidRPr="005C415F">
        <w:rPr>
          <w:rFonts w:ascii="Arial" w:hAnsi="Arial" w:cs="Arial"/>
          <w:sz w:val="22"/>
          <w:szCs w:val="22"/>
        </w:rPr>
        <w:t>(Welsh Government, 2022a)</w:t>
      </w:r>
      <w:r>
        <w:rPr>
          <w:rFonts w:ascii="Arial" w:hAnsi="Arial" w:cs="Arial"/>
          <w:sz w:val="22"/>
          <w:szCs w:val="22"/>
        </w:rPr>
        <w:t xml:space="preserve">. </w:t>
      </w:r>
    </w:p>
    <w:p w14:paraId="5F36E285" w14:textId="01ED6542" w:rsidR="002326BE" w:rsidRPr="003527AA" w:rsidRDefault="002326BE" w:rsidP="002326BE">
      <w:pPr>
        <w:spacing w:line="360" w:lineRule="auto"/>
        <w:rPr>
          <w:rFonts w:ascii="Arial" w:hAnsi="Arial" w:cs="Arial"/>
          <w:sz w:val="22"/>
          <w:szCs w:val="22"/>
        </w:rPr>
      </w:pPr>
      <w:r>
        <w:rPr>
          <w:rFonts w:ascii="Arial" w:hAnsi="Arial" w:cs="Arial"/>
          <w:sz w:val="22"/>
          <w:szCs w:val="22"/>
        </w:rPr>
        <w:t xml:space="preserve">Cross-curricular learning and delivery is accompanied by many opportunities and challenges faced by students and educators. Research has discovered that using a cross-curricular, hands-on approach during subjects like mathematics and science can result in an increase of pupils’ academic performance </w:t>
      </w:r>
      <w:r w:rsidRPr="00212766">
        <w:rPr>
          <w:rFonts w:ascii="Arial" w:hAnsi="Arial" w:cs="Arial"/>
          <w:sz w:val="22"/>
          <w:szCs w:val="22"/>
        </w:rPr>
        <w:t>(</w:t>
      </w:r>
      <w:proofErr w:type="spellStart"/>
      <w:r w:rsidRPr="00212766">
        <w:rPr>
          <w:rFonts w:ascii="Arial" w:hAnsi="Arial" w:cs="Arial"/>
          <w:sz w:val="22"/>
          <w:szCs w:val="22"/>
        </w:rPr>
        <w:t>Cotič</w:t>
      </w:r>
      <w:proofErr w:type="spellEnd"/>
      <w:r w:rsidRPr="00212766">
        <w:rPr>
          <w:rFonts w:ascii="Arial" w:hAnsi="Arial" w:cs="Arial"/>
          <w:sz w:val="22"/>
          <w:szCs w:val="22"/>
        </w:rPr>
        <w:t xml:space="preserve"> </w:t>
      </w:r>
      <w:r w:rsidRPr="00631FAE">
        <w:rPr>
          <w:rFonts w:ascii="Arial" w:hAnsi="Arial" w:cs="Arial"/>
          <w:i/>
          <w:iCs/>
          <w:sz w:val="22"/>
          <w:szCs w:val="22"/>
        </w:rPr>
        <w:t>et al.,</w:t>
      </w:r>
      <w:r w:rsidRPr="00212766">
        <w:rPr>
          <w:rFonts w:ascii="Arial" w:hAnsi="Arial" w:cs="Arial"/>
          <w:sz w:val="22"/>
          <w:szCs w:val="22"/>
        </w:rPr>
        <w:t xml:space="preserve"> 2021)</w:t>
      </w:r>
      <w:r>
        <w:rPr>
          <w:rFonts w:ascii="Arial" w:hAnsi="Arial" w:cs="Arial"/>
          <w:sz w:val="22"/>
          <w:szCs w:val="22"/>
        </w:rPr>
        <w:t xml:space="preserve">. Additionally, </w:t>
      </w:r>
      <w:r w:rsidRPr="00DA7F45">
        <w:rPr>
          <w:rFonts w:ascii="Arial" w:hAnsi="Arial" w:cs="Arial"/>
          <w:sz w:val="22"/>
          <w:szCs w:val="22"/>
        </w:rPr>
        <w:t xml:space="preserve">Abiodun, Kehinde and Saddiq </w:t>
      </w:r>
      <w:r>
        <w:rPr>
          <w:rFonts w:ascii="Arial" w:hAnsi="Arial" w:cs="Arial"/>
          <w:sz w:val="22"/>
          <w:szCs w:val="22"/>
        </w:rPr>
        <w:t>(</w:t>
      </w:r>
      <w:r w:rsidRPr="00DA7F45">
        <w:rPr>
          <w:rFonts w:ascii="Arial" w:hAnsi="Arial" w:cs="Arial"/>
          <w:sz w:val="22"/>
          <w:szCs w:val="22"/>
        </w:rPr>
        <w:t>2021)</w:t>
      </w:r>
      <w:r>
        <w:rPr>
          <w:rFonts w:ascii="Arial" w:hAnsi="Arial" w:cs="Arial"/>
          <w:sz w:val="22"/>
          <w:szCs w:val="22"/>
        </w:rPr>
        <w:t xml:space="preserve"> support this by finding pupils’ academic achievement and retention of mathematics increased significantly through hands-on activities. This is further supported by Jean Piaget’s constructivist theory as he believed that actively learning through experience enables students to deepen their understanding and retention using their prior knowledge </w:t>
      </w:r>
      <w:r w:rsidRPr="005E5F7B">
        <w:rPr>
          <w:rFonts w:ascii="Arial" w:hAnsi="Arial" w:cs="Arial"/>
          <w:sz w:val="22"/>
          <w:szCs w:val="22"/>
        </w:rPr>
        <w:t>(Lefa, 2014)</w:t>
      </w:r>
      <w:r>
        <w:rPr>
          <w:rFonts w:ascii="Arial" w:hAnsi="Arial" w:cs="Arial"/>
          <w:sz w:val="22"/>
          <w:szCs w:val="22"/>
        </w:rPr>
        <w:t xml:space="preserve">. </w:t>
      </w:r>
      <w:r w:rsidRPr="005425A4">
        <w:rPr>
          <w:rFonts w:ascii="Arial" w:hAnsi="Arial" w:cs="Arial"/>
          <w:sz w:val="22"/>
          <w:szCs w:val="22"/>
        </w:rPr>
        <w:t xml:space="preserve">Bada and Olusegun </w:t>
      </w:r>
      <w:r>
        <w:rPr>
          <w:rFonts w:ascii="Arial" w:hAnsi="Arial" w:cs="Arial"/>
          <w:sz w:val="22"/>
          <w:szCs w:val="22"/>
        </w:rPr>
        <w:t>(</w:t>
      </w:r>
      <w:r w:rsidRPr="005425A4">
        <w:rPr>
          <w:rFonts w:ascii="Arial" w:hAnsi="Arial" w:cs="Arial"/>
          <w:sz w:val="22"/>
          <w:szCs w:val="22"/>
        </w:rPr>
        <w:t>2015)</w:t>
      </w:r>
      <w:r>
        <w:rPr>
          <w:rFonts w:ascii="Arial" w:hAnsi="Arial" w:cs="Arial"/>
          <w:sz w:val="22"/>
          <w:szCs w:val="22"/>
        </w:rPr>
        <w:t xml:space="preserve"> advocate this by discovering that constructivist learning is more effective for gaining pupils’ understanding of a task when compared to traditional classroom practices. Contrastingly, hands-on experimental learning could also be a barrier that inhibits learning as it may lead to overstimulation and distraction </w:t>
      </w:r>
      <w:r w:rsidRPr="005A6B8B">
        <w:rPr>
          <w:rFonts w:ascii="Arial" w:hAnsi="Arial" w:cs="Arial"/>
          <w:sz w:val="22"/>
          <w:szCs w:val="22"/>
        </w:rPr>
        <w:t>(Stiller, Stockey and Wilde, 2017)</w:t>
      </w:r>
      <w:r>
        <w:rPr>
          <w:rFonts w:ascii="Arial" w:hAnsi="Arial" w:cs="Arial"/>
          <w:sz w:val="22"/>
          <w:szCs w:val="22"/>
        </w:rPr>
        <w:t>. Additionally, a lack of resources has been highlighted as an issue in schools</w:t>
      </w:r>
      <w:r w:rsidR="00F332A7">
        <w:rPr>
          <w:rFonts w:ascii="Arial" w:hAnsi="Arial" w:cs="Arial"/>
          <w:sz w:val="22"/>
          <w:szCs w:val="22"/>
        </w:rPr>
        <w:t xml:space="preserve"> that could </w:t>
      </w:r>
      <w:r w:rsidR="00081FD9">
        <w:rPr>
          <w:rFonts w:ascii="Arial" w:hAnsi="Arial" w:cs="Arial"/>
          <w:sz w:val="22"/>
          <w:szCs w:val="22"/>
        </w:rPr>
        <w:t>affect cross-curricular learning</w:t>
      </w:r>
      <w:r>
        <w:rPr>
          <w:rFonts w:ascii="Arial" w:hAnsi="Arial" w:cs="Arial"/>
          <w:sz w:val="22"/>
          <w:szCs w:val="22"/>
        </w:rPr>
        <w:t xml:space="preserve">, therefore, possibly constricting students’ abilities to learning constructively </w:t>
      </w:r>
      <w:r w:rsidRPr="00C63711">
        <w:rPr>
          <w:rFonts w:ascii="Arial" w:hAnsi="Arial" w:cs="Arial"/>
          <w:sz w:val="22"/>
          <w:szCs w:val="22"/>
        </w:rPr>
        <w:t>(Maffea, 2020)</w:t>
      </w:r>
      <w:r>
        <w:rPr>
          <w:rFonts w:ascii="Arial" w:hAnsi="Arial" w:cs="Arial"/>
          <w:sz w:val="22"/>
          <w:szCs w:val="22"/>
        </w:rPr>
        <w:t xml:space="preserve">. </w:t>
      </w:r>
      <w:r w:rsidRPr="003E6D69">
        <w:rPr>
          <w:rFonts w:ascii="Arial" w:hAnsi="Arial" w:cs="Arial"/>
          <w:sz w:val="22"/>
          <w:szCs w:val="22"/>
        </w:rPr>
        <w:t>Ward-Penny</w:t>
      </w:r>
      <w:r>
        <w:rPr>
          <w:rFonts w:ascii="Arial" w:hAnsi="Arial" w:cs="Arial"/>
          <w:sz w:val="22"/>
          <w:szCs w:val="22"/>
        </w:rPr>
        <w:t xml:space="preserve"> (</w:t>
      </w:r>
      <w:r w:rsidRPr="003E6D69">
        <w:rPr>
          <w:rFonts w:ascii="Arial" w:hAnsi="Arial" w:cs="Arial"/>
          <w:sz w:val="22"/>
          <w:szCs w:val="22"/>
        </w:rPr>
        <w:t>2010)</w:t>
      </w:r>
      <w:r>
        <w:rPr>
          <w:rFonts w:ascii="Arial" w:hAnsi="Arial" w:cs="Arial"/>
          <w:sz w:val="22"/>
          <w:szCs w:val="22"/>
        </w:rPr>
        <w:t xml:space="preserve"> emphasises this by stating that additional resources may be required for effective cross-curricular teaching, which some institutions are unable to provide due to a lack of funding. Cross-curricular learning enables students to create links between subjects through various activities, developing essential skills for the future </w:t>
      </w:r>
      <w:r w:rsidRPr="00707E57">
        <w:rPr>
          <w:rFonts w:ascii="Arial" w:hAnsi="Arial" w:cs="Arial"/>
          <w:sz w:val="22"/>
          <w:szCs w:val="22"/>
        </w:rPr>
        <w:t>(Earley, 2019)</w:t>
      </w:r>
      <w:r>
        <w:rPr>
          <w:rFonts w:ascii="Arial" w:hAnsi="Arial" w:cs="Arial"/>
          <w:sz w:val="22"/>
          <w:szCs w:val="22"/>
        </w:rPr>
        <w:t xml:space="preserve">. A research study found that linking the dynamics of a children’s story to science can positively influence both literacy and scientific thinking, strengthening their reading and writing skills while deepening their scientific understanding of the world simultaneously </w:t>
      </w:r>
      <w:r w:rsidRPr="00DB3482">
        <w:rPr>
          <w:rFonts w:ascii="Arial" w:hAnsi="Arial" w:cs="Arial"/>
          <w:sz w:val="22"/>
          <w:szCs w:val="22"/>
        </w:rPr>
        <w:t>(Liston and Hennessy, 2018)</w:t>
      </w:r>
      <w:r>
        <w:rPr>
          <w:rFonts w:ascii="Arial" w:hAnsi="Arial" w:cs="Arial"/>
          <w:sz w:val="22"/>
          <w:szCs w:val="22"/>
        </w:rPr>
        <w:t xml:space="preserve">. Furthermore, research has discovered that linking art with various subjects such as mathematics increases engagement and development, enriching children’s education </w:t>
      </w:r>
      <w:r w:rsidRPr="00461639">
        <w:rPr>
          <w:rFonts w:ascii="Arial" w:hAnsi="Arial" w:cs="Arial"/>
          <w:sz w:val="22"/>
          <w:szCs w:val="22"/>
        </w:rPr>
        <w:t xml:space="preserve">(Burnard </w:t>
      </w:r>
      <w:r w:rsidRPr="00461639">
        <w:rPr>
          <w:rFonts w:ascii="Arial" w:hAnsi="Arial" w:cs="Arial"/>
          <w:i/>
          <w:iCs/>
          <w:sz w:val="22"/>
          <w:szCs w:val="22"/>
        </w:rPr>
        <w:t>et al.,</w:t>
      </w:r>
      <w:r w:rsidRPr="00461639">
        <w:rPr>
          <w:rFonts w:ascii="Arial" w:hAnsi="Arial" w:cs="Arial"/>
          <w:sz w:val="22"/>
          <w:szCs w:val="22"/>
        </w:rPr>
        <w:t xml:space="preserve"> 2018)</w:t>
      </w:r>
      <w:r>
        <w:rPr>
          <w:rFonts w:ascii="Arial" w:hAnsi="Arial" w:cs="Arial"/>
          <w:sz w:val="22"/>
          <w:szCs w:val="22"/>
        </w:rPr>
        <w:t xml:space="preserve">. </w:t>
      </w:r>
    </w:p>
    <w:p w14:paraId="579CFA35" w14:textId="77777777" w:rsidR="002326BE" w:rsidRDefault="002326BE" w:rsidP="002326BE">
      <w:pPr>
        <w:spacing w:line="360" w:lineRule="auto"/>
        <w:rPr>
          <w:rFonts w:ascii="Arial" w:hAnsi="Arial" w:cs="Arial"/>
          <w:sz w:val="22"/>
          <w:szCs w:val="22"/>
        </w:rPr>
      </w:pPr>
      <w:r>
        <w:rPr>
          <w:rFonts w:ascii="Arial" w:hAnsi="Arial" w:cs="Arial"/>
          <w:sz w:val="22"/>
          <w:szCs w:val="22"/>
        </w:rPr>
        <w:t xml:space="preserve">Appendix 1 presents a lesson plan for an enhanced provision task created by the writer which supports cross-curricular learning. This task involves learning to recognise and create different 3D shapes using Play-Doh and identifying practical objects that share the same shapes. Children will be presented with a sheet with four QR codes which will lead them to different video tutorials to make specific 3D shapes using Play-Doh, shown in Appendix 2. Through hands-on moulding, imitating video tutorials and discussions, children could strengthen their mathematical, expressive arts and digital competence skills. This task is a multisensory activity as it acquires new knowledge through utilising two or more senses </w:t>
      </w:r>
      <w:r w:rsidRPr="002D514F">
        <w:rPr>
          <w:rFonts w:ascii="Arial" w:hAnsi="Arial" w:cs="Arial"/>
          <w:sz w:val="22"/>
          <w:szCs w:val="22"/>
        </w:rPr>
        <w:t>(</w:t>
      </w:r>
      <w:proofErr w:type="spellStart"/>
      <w:r w:rsidRPr="002D514F">
        <w:rPr>
          <w:rFonts w:ascii="Arial" w:hAnsi="Arial" w:cs="Arial"/>
          <w:sz w:val="22"/>
          <w:szCs w:val="22"/>
        </w:rPr>
        <w:t>Esplendori</w:t>
      </w:r>
      <w:proofErr w:type="spellEnd"/>
      <w:r w:rsidRPr="002D514F">
        <w:rPr>
          <w:rFonts w:ascii="Arial" w:hAnsi="Arial" w:cs="Arial"/>
          <w:sz w:val="22"/>
          <w:szCs w:val="22"/>
        </w:rPr>
        <w:t xml:space="preserve">, Kobayashi and </w:t>
      </w:r>
      <w:proofErr w:type="spellStart"/>
      <w:r w:rsidRPr="002D514F">
        <w:rPr>
          <w:rFonts w:ascii="Arial" w:hAnsi="Arial" w:cs="Arial"/>
          <w:sz w:val="22"/>
          <w:szCs w:val="22"/>
        </w:rPr>
        <w:t>Püschel</w:t>
      </w:r>
      <w:proofErr w:type="spellEnd"/>
      <w:r w:rsidRPr="002D514F">
        <w:rPr>
          <w:rFonts w:ascii="Arial" w:hAnsi="Arial" w:cs="Arial"/>
          <w:sz w:val="22"/>
          <w:szCs w:val="22"/>
        </w:rPr>
        <w:t>, 2022)</w:t>
      </w:r>
      <w:r>
        <w:rPr>
          <w:rFonts w:ascii="Arial" w:hAnsi="Arial" w:cs="Arial"/>
          <w:sz w:val="22"/>
          <w:szCs w:val="22"/>
        </w:rPr>
        <w:t xml:space="preserve">. Researchers have discovered that multisensory perception and experiences could improve children’s processing of information such as properties of shapes, and support development of new skills </w:t>
      </w:r>
      <w:r w:rsidRPr="00AE14CA">
        <w:rPr>
          <w:rFonts w:ascii="Arial" w:hAnsi="Arial" w:cs="Arial"/>
          <w:sz w:val="22"/>
          <w:szCs w:val="22"/>
        </w:rPr>
        <w:t>(</w:t>
      </w:r>
      <w:proofErr w:type="spellStart"/>
      <w:r w:rsidRPr="00AE14CA">
        <w:rPr>
          <w:rFonts w:ascii="Arial" w:hAnsi="Arial" w:cs="Arial"/>
          <w:sz w:val="22"/>
          <w:szCs w:val="22"/>
        </w:rPr>
        <w:t>Cuturi</w:t>
      </w:r>
      <w:proofErr w:type="spellEnd"/>
      <w:r w:rsidRPr="00AE14CA">
        <w:rPr>
          <w:rFonts w:ascii="Arial" w:hAnsi="Arial" w:cs="Arial"/>
          <w:sz w:val="22"/>
          <w:szCs w:val="22"/>
        </w:rPr>
        <w:t xml:space="preserve"> </w:t>
      </w:r>
      <w:r w:rsidRPr="00AE14CA">
        <w:rPr>
          <w:rFonts w:ascii="Arial" w:hAnsi="Arial" w:cs="Arial"/>
          <w:i/>
          <w:iCs/>
          <w:sz w:val="22"/>
          <w:szCs w:val="22"/>
        </w:rPr>
        <w:t>et al.,</w:t>
      </w:r>
      <w:r w:rsidRPr="00AE14CA">
        <w:rPr>
          <w:rFonts w:ascii="Arial" w:hAnsi="Arial" w:cs="Arial"/>
          <w:sz w:val="22"/>
          <w:szCs w:val="22"/>
        </w:rPr>
        <w:t xml:space="preserve"> 2021)</w:t>
      </w:r>
      <w:r>
        <w:rPr>
          <w:rFonts w:ascii="Arial" w:hAnsi="Arial" w:cs="Arial"/>
          <w:sz w:val="22"/>
          <w:szCs w:val="22"/>
        </w:rPr>
        <w:t xml:space="preserve">. </w:t>
      </w:r>
      <w:r w:rsidRPr="00B61C7B">
        <w:rPr>
          <w:rFonts w:ascii="Arial" w:hAnsi="Arial" w:cs="Arial"/>
          <w:sz w:val="22"/>
          <w:szCs w:val="22"/>
        </w:rPr>
        <w:t xml:space="preserve">Morgan </w:t>
      </w:r>
      <w:r>
        <w:rPr>
          <w:rFonts w:ascii="Arial" w:hAnsi="Arial" w:cs="Arial"/>
          <w:sz w:val="22"/>
          <w:szCs w:val="22"/>
        </w:rPr>
        <w:t>(</w:t>
      </w:r>
      <w:r w:rsidRPr="00B61C7B">
        <w:rPr>
          <w:rFonts w:ascii="Arial" w:hAnsi="Arial" w:cs="Arial"/>
          <w:sz w:val="22"/>
          <w:szCs w:val="22"/>
        </w:rPr>
        <w:t>2019)</w:t>
      </w:r>
      <w:r>
        <w:rPr>
          <w:rFonts w:ascii="Arial" w:hAnsi="Arial" w:cs="Arial"/>
          <w:sz w:val="22"/>
          <w:szCs w:val="22"/>
        </w:rPr>
        <w:t xml:space="preserve"> reinforces this by stating multisensory teaching can offer multiple pathways for children to receive information and can be helpful for children with additional learning needs (ALN) such as speech and language disorders.</w:t>
      </w:r>
    </w:p>
    <w:p w14:paraId="3C37A0B1" w14:textId="77777777" w:rsidR="002326BE" w:rsidRDefault="002326BE" w:rsidP="002326BE">
      <w:pPr>
        <w:spacing w:line="360" w:lineRule="auto"/>
        <w:rPr>
          <w:rFonts w:ascii="Arial" w:hAnsi="Arial" w:cs="Arial"/>
          <w:sz w:val="22"/>
          <w:szCs w:val="22"/>
        </w:rPr>
      </w:pPr>
      <w:r>
        <w:rPr>
          <w:rFonts w:ascii="Arial" w:hAnsi="Arial" w:cs="Arial"/>
          <w:sz w:val="22"/>
          <w:szCs w:val="22"/>
        </w:rPr>
        <w:t xml:space="preserve">The primary </w:t>
      </w:r>
      <w:proofErr w:type="spellStart"/>
      <w:r>
        <w:rPr>
          <w:rFonts w:ascii="Arial" w:hAnsi="Arial" w:cs="Arial"/>
          <w:sz w:val="22"/>
          <w:szCs w:val="22"/>
        </w:rPr>
        <w:t>AoLE</w:t>
      </w:r>
      <w:proofErr w:type="spellEnd"/>
      <w:r>
        <w:rPr>
          <w:rFonts w:ascii="Arial" w:hAnsi="Arial" w:cs="Arial"/>
          <w:sz w:val="22"/>
          <w:szCs w:val="22"/>
        </w:rPr>
        <w:t xml:space="preserve"> in this task is mathematics and numeracy as it focuses on shapes and their relationship with the physical world </w:t>
      </w:r>
      <w:r w:rsidRPr="002B338A">
        <w:rPr>
          <w:rFonts w:ascii="Arial" w:hAnsi="Arial" w:cs="Arial"/>
          <w:sz w:val="22"/>
          <w:szCs w:val="22"/>
        </w:rPr>
        <w:t>(Welsh Government, 2019</w:t>
      </w:r>
      <w:r>
        <w:rPr>
          <w:rFonts w:ascii="Arial" w:hAnsi="Arial" w:cs="Arial"/>
          <w:sz w:val="22"/>
          <w:szCs w:val="22"/>
        </w:rPr>
        <w:t>a</w:t>
      </w:r>
      <w:r w:rsidRPr="002B338A">
        <w:rPr>
          <w:rFonts w:ascii="Arial" w:hAnsi="Arial" w:cs="Arial"/>
          <w:sz w:val="22"/>
          <w:szCs w:val="22"/>
        </w:rPr>
        <w:t>)</w:t>
      </w:r>
      <w:r>
        <w:rPr>
          <w:rFonts w:ascii="Arial" w:hAnsi="Arial" w:cs="Arial"/>
          <w:sz w:val="22"/>
          <w:szCs w:val="22"/>
        </w:rPr>
        <w:t xml:space="preserve">. This is directly linked to the expressive arts </w:t>
      </w:r>
      <w:proofErr w:type="spellStart"/>
      <w:r>
        <w:rPr>
          <w:rFonts w:ascii="Arial" w:hAnsi="Arial" w:cs="Arial"/>
          <w:sz w:val="22"/>
          <w:szCs w:val="22"/>
        </w:rPr>
        <w:t>AoLE</w:t>
      </w:r>
      <w:proofErr w:type="spellEnd"/>
      <w:r>
        <w:rPr>
          <w:rFonts w:ascii="Arial" w:hAnsi="Arial" w:cs="Arial"/>
          <w:sz w:val="22"/>
          <w:szCs w:val="22"/>
        </w:rPr>
        <w:t xml:space="preserve"> through the creation of shapes using Play-Doh </w:t>
      </w:r>
      <w:r w:rsidRPr="00A07C1F">
        <w:rPr>
          <w:rFonts w:ascii="Arial" w:hAnsi="Arial" w:cs="Arial"/>
          <w:sz w:val="22"/>
          <w:szCs w:val="22"/>
        </w:rPr>
        <w:t>(Welsh Government, 2020a)</w:t>
      </w:r>
      <w:r>
        <w:rPr>
          <w:rFonts w:ascii="Arial" w:hAnsi="Arial" w:cs="Arial"/>
          <w:sz w:val="22"/>
          <w:szCs w:val="22"/>
        </w:rPr>
        <w:t xml:space="preserve">. </w:t>
      </w:r>
      <w:r w:rsidRPr="000411F1">
        <w:rPr>
          <w:rFonts w:ascii="Arial" w:hAnsi="Arial" w:cs="Arial"/>
          <w:sz w:val="22"/>
          <w:szCs w:val="22"/>
        </w:rPr>
        <w:t>Annet</w:t>
      </w:r>
      <w:r>
        <w:rPr>
          <w:rFonts w:ascii="Arial" w:hAnsi="Arial" w:cs="Arial"/>
          <w:sz w:val="22"/>
          <w:szCs w:val="22"/>
        </w:rPr>
        <w:t xml:space="preserve"> (</w:t>
      </w:r>
      <w:r w:rsidRPr="000411F1">
        <w:rPr>
          <w:rFonts w:ascii="Arial" w:hAnsi="Arial" w:cs="Arial"/>
          <w:sz w:val="22"/>
          <w:szCs w:val="22"/>
        </w:rPr>
        <w:t>2024)</w:t>
      </w:r>
      <w:r>
        <w:rPr>
          <w:rFonts w:ascii="Arial" w:hAnsi="Arial" w:cs="Arial"/>
          <w:sz w:val="22"/>
          <w:szCs w:val="22"/>
        </w:rPr>
        <w:t xml:space="preserve"> highlights the importance of expressive arts in the primary school curriculum as it can enhance engagement, academic achievement and overall student wellbeing, through holistic learning. In addition, research has stated that integrating expressive arts into mathematics in the foundation phase of primary school can encourage learners to enjoy and thrive in mathematics in the future </w:t>
      </w:r>
      <w:r w:rsidRPr="00986DBC">
        <w:rPr>
          <w:rFonts w:ascii="Arial" w:hAnsi="Arial" w:cs="Arial"/>
          <w:sz w:val="22"/>
          <w:szCs w:val="22"/>
        </w:rPr>
        <w:t>(Phiri, 2019)</w:t>
      </w:r>
      <w:r>
        <w:rPr>
          <w:rFonts w:ascii="Arial" w:hAnsi="Arial" w:cs="Arial"/>
          <w:sz w:val="22"/>
          <w:szCs w:val="22"/>
        </w:rPr>
        <w:t xml:space="preserve">. </w:t>
      </w:r>
      <w:r w:rsidRPr="00533B26">
        <w:rPr>
          <w:rFonts w:ascii="Arial" w:hAnsi="Arial" w:cs="Arial"/>
          <w:sz w:val="22"/>
          <w:szCs w:val="22"/>
        </w:rPr>
        <w:t xml:space="preserve">During a visit to School X, the writer </w:t>
      </w:r>
      <w:r>
        <w:rPr>
          <w:rFonts w:ascii="Arial" w:hAnsi="Arial" w:cs="Arial"/>
          <w:sz w:val="22"/>
          <w:szCs w:val="22"/>
        </w:rPr>
        <w:t>observed</w:t>
      </w:r>
      <w:r w:rsidRPr="00533B26">
        <w:rPr>
          <w:rFonts w:ascii="Arial" w:hAnsi="Arial" w:cs="Arial"/>
          <w:sz w:val="22"/>
          <w:szCs w:val="22"/>
        </w:rPr>
        <w:t xml:space="preserve"> children actively participating in a Play-Doh activity, appearing highly engaged.</w:t>
      </w:r>
      <w:r>
        <w:rPr>
          <w:rFonts w:ascii="Arial" w:hAnsi="Arial" w:cs="Arial"/>
          <w:sz w:val="22"/>
          <w:szCs w:val="22"/>
        </w:rPr>
        <w:t xml:space="preserve"> Research has shown that using concrete materials such as Play-Doh as a resource in schools can provide sensory motor experiences and develops deeper understanding in AoLEs such as mathematics and numeracy </w:t>
      </w:r>
      <w:r w:rsidRPr="004A2552">
        <w:rPr>
          <w:rFonts w:ascii="Arial" w:hAnsi="Arial" w:cs="Arial"/>
          <w:sz w:val="22"/>
          <w:szCs w:val="22"/>
        </w:rPr>
        <w:t>(Roche, 2008)</w:t>
      </w:r>
      <w:r w:rsidRPr="00D6220B">
        <w:rPr>
          <w:rFonts w:ascii="Arial" w:hAnsi="Arial" w:cs="Arial"/>
          <w:sz w:val="22"/>
          <w:szCs w:val="22"/>
        </w:rPr>
        <w:t>.</w:t>
      </w:r>
      <w:r>
        <w:rPr>
          <w:rFonts w:ascii="Arial" w:hAnsi="Arial" w:cs="Arial"/>
          <w:sz w:val="22"/>
          <w:szCs w:val="22"/>
        </w:rPr>
        <w:t xml:space="preserve"> As aforementioned, students’ academic performance and participation in subjects can benefit significantly through hands-on activities (</w:t>
      </w:r>
      <w:r w:rsidRPr="00DA7F45">
        <w:rPr>
          <w:rFonts w:ascii="Arial" w:hAnsi="Arial" w:cs="Arial"/>
          <w:sz w:val="22"/>
          <w:szCs w:val="22"/>
        </w:rPr>
        <w:t>Abiodun, Kehinde and Saddiq</w:t>
      </w:r>
      <w:r>
        <w:rPr>
          <w:rFonts w:ascii="Arial" w:hAnsi="Arial" w:cs="Arial"/>
          <w:sz w:val="22"/>
          <w:szCs w:val="22"/>
        </w:rPr>
        <w:t xml:space="preserve">, </w:t>
      </w:r>
      <w:r w:rsidRPr="00DA7F45">
        <w:rPr>
          <w:rFonts w:ascii="Arial" w:hAnsi="Arial" w:cs="Arial"/>
          <w:sz w:val="22"/>
          <w:szCs w:val="22"/>
        </w:rPr>
        <w:t>2021)</w:t>
      </w:r>
      <w:r>
        <w:rPr>
          <w:rFonts w:ascii="Arial" w:hAnsi="Arial" w:cs="Arial"/>
          <w:sz w:val="22"/>
          <w:szCs w:val="22"/>
        </w:rPr>
        <w:t xml:space="preserve">. In particular, </w:t>
      </w:r>
      <w:r w:rsidRPr="00EB4187">
        <w:rPr>
          <w:rFonts w:ascii="Arial" w:hAnsi="Arial" w:cs="Arial"/>
          <w:sz w:val="22"/>
          <w:szCs w:val="22"/>
        </w:rPr>
        <w:t>Ekwueme, Ekon and Ezenwa-</w:t>
      </w:r>
      <w:proofErr w:type="spellStart"/>
      <w:r w:rsidRPr="00EB4187">
        <w:rPr>
          <w:rFonts w:ascii="Arial" w:hAnsi="Arial" w:cs="Arial"/>
          <w:sz w:val="22"/>
          <w:szCs w:val="22"/>
        </w:rPr>
        <w:t>Nebife</w:t>
      </w:r>
      <w:proofErr w:type="spellEnd"/>
      <w:r w:rsidRPr="00EB4187">
        <w:rPr>
          <w:rFonts w:ascii="Arial" w:hAnsi="Arial" w:cs="Arial"/>
          <w:sz w:val="22"/>
          <w:szCs w:val="22"/>
        </w:rPr>
        <w:t xml:space="preserve"> </w:t>
      </w:r>
      <w:r>
        <w:rPr>
          <w:rFonts w:ascii="Arial" w:hAnsi="Arial" w:cs="Arial"/>
          <w:sz w:val="22"/>
          <w:szCs w:val="22"/>
        </w:rPr>
        <w:t>(</w:t>
      </w:r>
      <w:r w:rsidRPr="00EB4187">
        <w:rPr>
          <w:rFonts w:ascii="Arial" w:hAnsi="Arial" w:cs="Arial"/>
          <w:sz w:val="22"/>
          <w:szCs w:val="22"/>
        </w:rPr>
        <w:t>2015)</w:t>
      </w:r>
      <w:r>
        <w:rPr>
          <w:rFonts w:ascii="Arial" w:hAnsi="Arial" w:cs="Arial"/>
          <w:sz w:val="22"/>
          <w:szCs w:val="22"/>
        </w:rPr>
        <w:t xml:space="preserve"> found a positive impact on pupils’ mathematics skills and engagement once implementing relevant hands-on activities. Additionally, practical activities such as using Play-Doh can be substantially beneficial for the development of children’s fine motor skills. </w:t>
      </w:r>
      <w:r w:rsidRPr="00A615EE">
        <w:rPr>
          <w:rFonts w:ascii="Arial" w:hAnsi="Arial" w:cs="Arial"/>
          <w:sz w:val="22"/>
          <w:szCs w:val="22"/>
        </w:rPr>
        <w:t xml:space="preserve">Rukmini, </w:t>
      </w:r>
      <w:proofErr w:type="spellStart"/>
      <w:r w:rsidRPr="00A615EE">
        <w:rPr>
          <w:rFonts w:ascii="Arial" w:hAnsi="Arial" w:cs="Arial"/>
          <w:sz w:val="22"/>
          <w:szCs w:val="22"/>
        </w:rPr>
        <w:t>Mustaji</w:t>
      </w:r>
      <w:proofErr w:type="spellEnd"/>
      <w:r w:rsidRPr="00A615EE">
        <w:rPr>
          <w:rFonts w:ascii="Arial" w:hAnsi="Arial" w:cs="Arial"/>
          <w:sz w:val="22"/>
          <w:szCs w:val="22"/>
        </w:rPr>
        <w:t xml:space="preserve"> and </w:t>
      </w:r>
      <w:proofErr w:type="spellStart"/>
      <w:r w:rsidRPr="00A615EE">
        <w:rPr>
          <w:rFonts w:ascii="Arial" w:hAnsi="Arial" w:cs="Arial"/>
          <w:sz w:val="22"/>
          <w:szCs w:val="22"/>
        </w:rPr>
        <w:t>Mariono</w:t>
      </w:r>
      <w:proofErr w:type="spellEnd"/>
      <w:r>
        <w:rPr>
          <w:rFonts w:ascii="Arial" w:hAnsi="Arial" w:cs="Arial"/>
          <w:sz w:val="22"/>
          <w:szCs w:val="22"/>
        </w:rPr>
        <w:t xml:space="preserve"> (</w:t>
      </w:r>
      <w:r w:rsidRPr="00A615EE">
        <w:rPr>
          <w:rFonts w:ascii="Arial" w:hAnsi="Arial" w:cs="Arial"/>
          <w:sz w:val="22"/>
          <w:szCs w:val="22"/>
        </w:rPr>
        <w:t>2022)</w:t>
      </w:r>
      <w:r>
        <w:rPr>
          <w:rFonts w:ascii="Arial" w:hAnsi="Arial" w:cs="Arial"/>
          <w:sz w:val="22"/>
          <w:szCs w:val="22"/>
        </w:rPr>
        <w:t xml:space="preserve"> discovered that implementing Play-Doh games in early education can increase development of both fine motor and cognitive skills. An additional research study supports this as they found a positive influence on children’s fine motor skills when using Play-Doh compared to the use of puzzles </w:t>
      </w:r>
      <w:r w:rsidRPr="004F7C0F">
        <w:rPr>
          <w:rFonts w:ascii="Arial" w:hAnsi="Arial" w:cs="Arial"/>
          <w:sz w:val="22"/>
          <w:szCs w:val="22"/>
        </w:rPr>
        <w:t>(Sutapa et al., 2018)</w:t>
      </w:r>
      <w:r>
        <w:rPr>
          <w:rFonts w:ascii="Arial" w:hAnsi="Arial" w:cs="Arial"/>
          <w:sz w:val="22"/>
          <w:szCs w:val="22"/>
        </w:rPr>
        <w:t xml:space="preserve">. The development of fine motor skills is essential in early childhood as it can ensure holistic development for children </w:t>
      </w:r>
      <w:r w:rsidRPr="00F36C1B">
        <w:rPr>
          <w:rFonts w:ascii="Arial" w:hAnsi="Arial" w:cs="Arial"/>
          <w:sz w:val="22"/>
          <w:szCs w:val="22"/>
        </w:rPr>
        <w:t>(Gidion, 2020)</w:t>
      </w:r>
      <w:r>
        <w:rPr>
          <w:rFonts w:ascii="Arial" w:hAnsi="Arial" w:cs="Arial"/>
          <w:sz w:val="22"/>
          <w:szCs w:val="22"/>
        </w:rPr>
        <w:t xml:space="preserve">. The writer considered this when planning the enhanced provision task, following the Curriculum for Wales’s health and wellbeing descriptions of learning and supporting cross-curricular learning </w:t>
      </w:r>
      <w:r w:rsidRPr="00487D4B">
        <w:rPr>
          <w:rFonts w:ascii="Arial" w:hAnsi="Arial" w:cs="Arial"/>
          <w:sz w:val="22"/>
          <w:szCs w:val="22"/>
        </w:rPr>
        <w:t>(Welsh Government, 2020</w:t>
      </w:r>
      <w:r>
        <w:rPr>
          <w:rFonts w:ascii="Arial" w:hAnsi="Arial" w:cs="Arial"/>
          <w:sz w:val="22"/>
          <w:szCs w:val="22"/>
        </w:rPr>
        <w:t>b</w:t>
      </w:r>
      <w:r w:rsidRPr="00487D4B">
        <w:rPr>
          <w:rFonts w:ascii="Arial" w:hAnsi="Arial" w:cs="Arial"/>
          <w:sz w:val="22"/>
          <w:szCs w:val="22"/>
        </w:rPr>
        <w:t>)</w:t>
      </w:r>
      <w:r>
        <w:rPr>
          <w:rFonts w:ascii="Arial" w:hAnsi="Arial" w:cs="Arial"/>
          <w:sz w:val="22"/>
          <w:szCs w:val="22"/>
        </w:rPr>
        <w:t xml:space="preserve">. The final </w:t>
      </w:r>
      <w:proofErr w:type="spellStart"/>
      <w:r>
        <w:rPr>
          <w:rFonts w:ascii="Arial" w:hAnsi="Arial" w:cs="Arial"/>
          <w:sz w:val="22"/>
          <w:szCs w:val="22"/>
        </w:rPr>
        <w:t>AoLE</w:t>
      </w:r>
      <w:proofErr w:type="spellEnd"/>
      <w:r>
        <w:rPr>
          <w:rFonts w:ascii="Arial" w:hAnsi="Arial" w:cs="Arial"/>
          <w:sz w:val="22"/>
          <w:szCs w:val="22"/>
        </w:rPr>
        <w:t xml:space="preserve"> linked in this enhanced provision task is digital competence through the use of scanning QR codes to retrieve video tutorials </w:t>
      </w:r>
      <w:r w:rsidRPr="00727596">
        <w:rPr>
          <w:rFonts w:ascii="Arial" w:hAnsi="Arial" w:cs="Arial"/>
          <w:sz w:val="22"/>
          <w:szCs w:val="22"/>
        </w:rPr>
        <w:t>(Welsh Government, 2019b)</w:t>
      </w:r>
      <w:r>
        <w:rPr>
          <w:rFonts w:ascii="Arial" w:hAnsi="Arial" w:cs="Arial"/>
          <w:sz w:val="22"/>
          <w:szCs w:val="22"/>
        </w:rPr>
        <w:t>. Developing</w:t>
      </w:r>
      <w:r w:rsidRPr="00084C2B">
        <w:rPr>
          <w:rFonts w:ascii="Arial" w:hAnsi="Arial" w:cs="Arial"/>
          <w:sz w:val="22"/>
          <w:szCs w:val="22"/>
        </w:rPr>
        <w:t xml:space="preserve"> digital competence in early education is essential to equip children with the skills needed to </w:t>
      </w:r>
      <w:r>
        <w:rPr>
          <w:rFonts w:ascii="Arial" w:hAnsi="Arial" w:cs="Arial"/>
          <w:sz w:val="22"/>
          <w:szCs w:val="22"/>
        </w:rPr>
        <w:t xml:space="preserve">successfully </w:t>
      </w:r>
      <w:r w:rsidRPr="00084C2B">
        <w:rPr>
          <w:rFonts w:ascii="Arial" w:hAnsi="Arial" w:cs="Arial"/>
          <w:sz w:val="22"/>
          <w:szCs w:val="22"/>
        </w:rPr>
        <w:t>use technology in their future studies and careers</w:t>
      </w:r>
      <w:r>
        <w:rPr>
          <w:rFonts w:ascii="Arial" w:hAnsi="Arial" w:cs="Arial"/>
          <w:sz w:val="22"/>
          <w:szCs w:val="22"/>
        </w:rPr>
        <w:t xml:space="preserve"> </w:t>
      </w:r>
      <w:r w:rsidRPr="009A32E0">
        <w:rPr>
          <w:rFonts w:ascii="Arial" w:hAnsi="Arial" w:cs="Arial"/>
          <w:sz w:val="22"/>
          <w:szCs w:val="22"/>
        </w:rPr>
        <w:t>(Ma and Ismail, 2025)</w:t>
      </w:r>
      <w:r>
        <w:rPr>
          <w:rFonts w:ascii="Arial" w:hAnsi="Arial" w:cs="Arial"/>
          <w:sz w:val="22"/>
          <w:szCs w:val="22"/>
        </w:rPr>
        <w:t xml:space="preserve">. Additionally, building digital skills could enhance critical and reflective thinking, ultimately supporting children’s academic performance </w:t>
      </w:r>
      <w:r w:rsidRPr="00C21574">
        <w:rPr>
          <w:rFonts w:ascii="Arial" w:hAnsi="Arial" w:cs="Arial"/>
          <w:sz w:val="22"/>
          <w:szCs w:val="22"/>
        </w:rPr>
        <w:t xml:space="preserve">(Díaz-Burgos </w:t>
      </w:r>
      <w:r w:rsidRPr="00C21574">
        <w:rPr>
          <w:rFonts w:ascii="Arial" w:hAnsi="Arial" w:cs="Arial"/>
          <w:i/>
          <w:iCs/>
          <w:sz w:val="22"/>
          <w:szCs w:val="22"/>
        </w:rPr>
        <w:t>et al.,</w:t>
      </w:r>
      <w:r w:rsidRPr="00C21574">
        <w:rPr>
          <w:rFonts w:ascii="Arial" w:hAnsi="Arial" w:cs="Arial"/>
          <w:sz w:val="22"/>
          <w:szCs w:val="22"/>
        </w:rPr>
        <w:t xml:space="preserve"> 2024)</w:t>
      </w:r>
      <w:r>
        <w:rPr>
          <w:rFonts w:ascii="Arial" w:hAnsi="Arial" w:cs="Arial"/>
          <w:sz w:val="22"/>
          <w:szCs w:val="22"/>
        </w:rPr>
        <w:t xml:space="preserve">. The use of QR codes in education can increase accessibility and engagement of learning, creating interactive learning experiences </w:t>
      </w:r>
      <w:r w:rsidRPr="00756632">
        <w:rPr>
          <w:rFonts w:ascii="Arial" w:hAnsi="Arial" w:cs="Arial"/>
          <w:sz w:val="22"/>
          <w:szCs w:val="22"/>
        </w:rPr>
        <w:t>(Krajnik and Demeter, 2024)</w:t>
      </w:r>
      <w:r>
        <w:rPr>
          <w:rFonts w:ascii="Arial" w:hAnsi="Arial" w:cs="Arial"/>
          <w:sz w:val="22"/>
          <w:szCs w:val="22"/>
        </w:rPr>
        <w:t>. Reinforcing this, a</w:t>
      </w:r>
      <w:r w:rsidRPr="00070D7D">
        <w:rPr>
          <w:rFonts w:ascii="Arial" w:hAnsi="Arial" w:cs="Arial"/>
          <w:sz w:val="22"/>
          <w:szCs w:val="22"/>
        </w:rPr>
        <w:t xml:space="preserve"> case study from Estyn highlights that authentically integrating digital skills within AoLEs can foster improved development of digital competencies</w:t>
      </w:r>
      <w:r>
        <w:rPr>
          <w:rFonts w:ascii="Arial" w:hAnsi="Arial" w:cs="Arial"/>
          <w:sz w:val="22"/>
          <w:szCs w:val="22"/>
        </w:rPr>
        <w:t xml:space="preserve"> for students and educators </w:t>
      </w:r>
      <w:r w:rsidRPr="00646907">
        <w:rPr>
          <w:rFonts w:ascii="Arial" w:hAnsi="Arial" w:cs="Arial"/>
          <w:sz w:val="22"/>
          <w:szCs w:val="22"/>
        </w:rPr>
        <w:t>(Estyn, 2024b)</w:t>
      </w:r>
      <w:r>
        <w:rPr>
          <w:rFonts w:ascii="Arial" w:hAnsi="Arial" w:cs="Arial"/>
          <w:sz w:val="22"/>
          <w:szCs w:val="22"/>
        </w:rPr>
        <w:t xml:space="preserve">. </w:t>
      </w:r>
    </w:p>
    <w:p w14:paraId="3D1C6D2F" w14:textId="77777777" w:rsidR="002326BE" w:rsidRDefault="002326BE" w:rsidP="002326BE">
      <w:pPr>
        <w:spacing w:line="360" w:lineRule="auto"/>
        <w:rPr>
          <w:rFonts w:ascii="Arial" w:hAnsi="Arial" w:cs="Arial"/>
          <w:sz w:val="22"/>
          <w:szCs w:val="22"/>
        </w:rPr>
      </w:pPr>
    </w:p>
    <w:p w14:paraId="06957779" w14:textId="77777777" w:rsidR="002326BE" w:rsidRDefault="002326BE" w:rsidP="002326BE">
      <w:pPr>
        <w:spacing w:line="360" w:lineRule="auto"/>
        <w:rPr>
          <w:rFonts w:ascii="Arial" w:hAnsi="Arial" w:cs="Arial"/>
          <w:sz w:val="22"/>
          <w:szCs w:val="22"/>
        </w:rPr>
      </w:pPr>
      <w:r>
        <w:rPr>
          <w:rFonts w:ascii="Arial" w:hAnsi="Arial" w:cs="Arial"/>
          <w:sz w:val="22"/>
          <w:szCs w:val="22"/>
        </w:rPr>
        <w:t xml:space="preserve">In conclusion, this essay has discussed the influence of cross-curricular learning on students’ and educators’ learning and teaching, following the Curriculum for Wales. The concept of cross-curricular learning enabling students to gain essential skills through the connection of meaningful and relevant real-life experiences has been reinforced throughout the assignment </w:t>
      </w:r>
      <w:r w:rsidRPr="00A20305">
        <w:rPr>
          <w:rFonts w:ascii="Arial" w:hAnsi="Arial" w:cs="Arial"/>
          <w:sz w:val="22"/>
          <w:szCs w:val="22"/>
        </w:rPr>
        <w:t>(You, 2017)</w:t>
      </w:r>
      <w:r>
        <w:rPr>
          <w:rFonts w:ascii="Arial" w:hAnsi="Arial" w:cs="Arial"/>
          <w:sz w:val="22"/>
          <w:szCs w:val="22"/>
        </w:rPr>
        <w:t xml:space="preserve">. The writer has discovered the importance of cross-curricular learning for increasing student engagement and participation in class. Advocating this, </w:t>
      </w:r>
      <w:r w:rsidRPr="004E4DA0">
        <w:rPr>
          <w:rFonts w:ascii="Arial" w:hAnsi="Arial" w:cs="Arial"/>
          <w:sz w:val="22"/>
          <w:szCs w:val="22"/>
        </w:rPr>
        <w:t xml:space="preserve">Hubert </w:t>
      </w:r>
      <w:r>
        <w:rPr>
          <w:rFonts w:ascii="Arial" w:hAnsi="Arial" w:cs="Arial"/>
          <w:sz w:val="22"/>
          <w:szCs w:val="22"/>
        </w:rPr>
        <w:t>(</w:t>
      </w:r>
      <w:r w:rsidRPr="004E4DA0">
        <w:rPr>
          <w:rFonts w:ascii="Arial" w:hAnsi="Arial" w:cs="Arial"/>
          <w:sz w:val="22"/>
          <w:szCs w:val="22"/>
        </w:rPr>
        <w:t>2021)</w:t>
      </w:r>
      <w:r>
        <w:rPr>
          <w:rFonts w:ascii="Arial" w:hAnsi="Arial" w:cs="Arial"/>
          <w:sz w:val="22"/>
          <w:szCs w:val="22"/>
        </w:rPr>
        <w:t xml:space="preserve"> states that students are more likely to show interest when an activity is engaging and collaborative. Additionally, using a cross-curricular approach has been found to enhance student problem-solving and critical thinking skills. Through the integration of subjects such as mathematics and numeracy into various AoLEs, students are able to solve problems in different contexts, preparing them for future education </w:t>
      </w:r>
      <w:r w:rsidRPr="003D3C58">
        <w:rPr>
          <w:rFonts w:ascii="Arial" w:hAnsi="Arial" w:cs="Arial"/>
          <w:sz w:val="22"/>
          <w:szCs w:val="22"/>
        </w:rPr>
        <w:t>(Coffey and Sharpe, 2021)</w:t>
      </w:r>
      <w:r>
        <w:rPr>
          <w:rFonts w:ascii="Arial" w:hAnsi="Arial" w:cs="Arial"/>
          <w:sz w:val="22"/>
          <w:szCs w:val="22"/>
        </w:rPr>
        <w:t xml:space="preserve">. The enhanced provision task designed by the writer demonstrates how cross-curricular learning can be utilised in lessons by connecting various AoLEs to support holistic development. The significance of the mandatory frameworks of literacy, numeracy and digital competence in all learning experiences have been highlighted to support effective teaching and learning. The Curriculum for Wales states these skills as essential to be developed throughout education to aid students’ academic achievement in the future. Through reviewing research and relevant documents, the writer has discovered the benefits of utilising these frameworks for both students and practitioners, ensuring inclusivity and flexible learning (Estyn, 2021). </w:t>
      </w:r>
      <w:r w:rsidRPr="00223748">
        <w:rPr>
          <w:rFonts w:ascii="Arial" w:hAnsi="Arial" w:cs="Arial"/>
          <w:sz w:val="22"/>
          <w:szCs w:val="22"/>
        </w:rPr>
        <w:t xml:space="preserve">While </w:t>
      </w:r>
      <w:r>
        <w:rPr>
          <w:rFonts w:ascii="Arial" w:hAnsi="Arial" w:cs="Arial"/>
          <w:sz w:val="22"/>
          <w:szCs w:val="22"/>
        </w:rPr>
        <w:t>the writer has discussed</w:t>
      </w:r>
      <w:r w:rsidRPr="00223748">
        <w:rPr>
          <w:rFonts w:ascii="Arial" w:hAnsi="Arial" w:cs="Arial"/>
          <w:sz w:val="22"/>
          <w:szCs w:val="22"/>
        </w:rPr>
        <w:t xml:space="preserve"> numerous benefits</w:t>
      </w:r>
      <w:r>
        <w:rPr>
          <w:rFonts w:ascii="Arial" w:hAnsi="Arial" w:cs="Arial"/>
          <w:sz w:val="22"/>
          <w:szCs w:val="22"/>
        </w:rPr>
        <w:t xml:space="preserve"> of cross-curricular learning</w:t>
      </w:r>
      <w:r w:rsidRPr="00223748">
        <w:rPr>
          <w:rFonts w:ascii="Arial" w:hAnsi="Arial" w:cs="Arial"/>
          <w:sz w:val="22"/>
          <w:szCs w:val="22"/>
        </w:rPr>
        <w:t xml:space="preserve"> including authentic, hands-on experiences and interdisciplinary connections</w:t>
      </w:r>
      <w:r>
        <w:rPr>
          <w:rFonts w:ascii="Arial" w:hAnsi="Arial" w:cs="Arial"/>
          <w:sz w:val="22"/>
          <w:szCs w:val="22"/>
        </w:rPr>
        <w:t xml:space="preserve"> guiding the development of essential skills</w:t>
      </w:r>
      <w:r w:rsidRPr="00223748">
        <w:rPr>
          <w:rFonts w:ascii="Arial" w:hAnsi="Arial" w:cs="Arial"/>
          <w:sz w:val="22"/>
          <w:szCs w:val="22"/>
        </w:rPr>
        <w:t>, it also introduces challenges such as ensuring</w:t>
      </w:r>
      <w:r>
        <w:rPr>
          <w:rFonts w:ascii="Arial" w:hAnsi="Arial" w:cs="Arial"/>
          <w:sz w:val="22"/>
          <w:szCs w:val="22"/>
        </w:rPr>
        <w:t xml:space="preserve"> connectivity of </w:t>
      </w:r>
      <w:r w:rsidRPr="00223748">
        <w:rPr>
          <w:rFonts w:ascii="Arial" w:hAnsi="Arial" w:cs="Arial"/>
          <w:sz w:val="22"/>
          <w:szCs w:val="22"/>
        </w:rPr>
        <w:t>subjects, m</w:t>
      </w:r>
      <w:r>
        <w:rPr>
          <w:rFonts w:ascii="Arial" w:hAnsi="Arial" w:cs="Arial"/>
          <w:sz w:val="22"/>
          <w:szCs w:val="22"/>
        </w:rPr>
        <w:t>inimising knowledge gaps</w:t>
      </w:r>
      <w:r w:rsidRPr="00223748">
        <w:rPr>
          <w:rFonts w:ascii="Arial" w:hAnsi="Arial" w:cs="Arial"/>
          <w:sz w:val="22"/>
          <w:szCs w:val="22"/>
        </w:rPr>
        <w:t xml:space="preserve"> and resource limitations.</w:t>
      </w:r>
    </w:p>
    <w:p w14:paraId="2F1516CE" w14:textId="77777777" w:rsidR="002326BE" w:rsidRDefault="002326BE" w:rsidP="002326BE">
      <w:pPr>
        <w:spacing w:line="360" w:lineRule="auto"/>
        <w:rPr>
          <w:rFonts w:ascii="Arial" w:hAnsi="Arial" w:cs="Arial"/>
          <w:sz w:val="22"/>
          <w:szCs w:val="22"/>
        </w:rPr>
      </w:pPr>
      <w:r>
        <w:rPr>
          <w:rFonts w:ascii="Arial" w:hAnsi="Arial" w:cs="Arial"/>
          <w:sz w:val="22"/>
          <w:szCs w:val="22"/>
        </w:rPr>
        <w:t xml:space="preserve">When considering the Professional Standards for Teaching and Leadership (PSL) for the future, the writer will ensure they are familiarised and up to date with skills and knowledge required to create and deliver engaging and meaningful learning experiences for students. Secondly, the writer will strive to build strong relationships and collaborations between practitioners to enhance professional efficiency and create impactful cross-curricular lessons </w:t>
      </w:r>
      <w:r w:rsidRPr="003C0461">
        <w:rPr>
          <w:rFonts w:ascii="Arial" w:hAnsi="Arial" w:cs="Arial"/>
          <w:sz w:val="22"/>
          <w:szCs w:val="22"/>
        </w:rPr>
        <w:t>(Welsh Government, 2019c)</w:t>
      </w:r>
      <w:r>
        <w:rPr>
          <w:rFonts w:ascii="Arial" w:hAnsi="Arial" w:cs="Arial"/>
          <w:sz w:val="22"/>
          <w:szCs w:val="22"/>
        </w:rPr>
        <w:t xml:space="preserve">. </w:t>
      </w:r>
    </w:p>
    <w:p w14:paraId="57189901" w14:textId="77777777" w:rsidR="002326BE" w:rsidRPr="00223748" w:rsidRDefault="002326BE" w:rsidP="002326BE">
      <w:pPr>
        <w:spacing w:line="360" w:lineRule="auto"/>
        <w:rPr>
          <w:rFonts w:ascii="Arial" w:hAnsi="Arial" w:cs="Arial"/>
          <w:sz w:val="22"/>
          <w:szCs w:val="22"/>
        </w:rPr>
      </w:pPr>
    </w:p>
    <w:p w14:paraId="65B28FBB" w14:textId="77777777" w:rsidR="002326BE" w:rsidRDefault="002326BE" w:rsidP="002326BE">
      <w:pPr>
        <w:spacing w:line="360" w:lineRule="auto"/>
        <w:rPr>
          <w:rFonts w:ascii="Arial" w:hAnsi="Arial" w:cs="Arial"/>
          <w:sz w:val="22"/>
          <w:szCs w:val="22"/>
        </w:rPr>
      </w:pPr>
    </w:p>
    <w:p w14:paraId="0E40E702" w14:textId="77777777" w:rsidR="002326BE" w:rsidRPr="00084C2B" w:rsidRDefault="002326BE" w:rsidP="002326BE">
      <w:pPr>
        <w:spacing w:line="360" w:lineRule="auto"/>
        <w:rPr>
          <w:rFonts w:ascii="Arial" w:hAnsi="Arial" w:cs="Arial"/>
          <w:sz w:val="22"/>
          <w:szCs w:val="22"/>
        </w:rPr>
      </w:pPr>
    </w:p>
    <w:p w14:paraId="6AEAE4AE" w14:textId="77777777" w:rsidR="002326BE" w:rsidRPr="00A615EE" w:rsidRDefault="002326BE" w:rsidP="002326BE">
      <w:pPr>
        <w:spacing w:line="360" w:lineRule="auto"/>
        <w:rPr>
          <w:rFonts w:ascii="Arial" w:hAnsi="Arial" w:cs="Arial"/>
          <w:sz w:val="22"/>
          <w:szCs w:val="22"/>
        </w:rPr>
      </w:pPr>
    </w:p>
    <w:p w14:paraId="5053E6D0" w14:textId="77777777" w:rsidR="002326BE" w:rsidRDefault="002326BE" w:rsidP="002326BE">
      <w:pPr>
        <w:spacing w:line="360" w:lineRule="auto"/>
        <w:rPr>
          <w:rFonts w:ascii="Arial" w:hAnsi="Arial" w:cs="Arial"/>
          <w:sz w:val="22"/>
          <w:szCs w:val="22"/>
        </w:rPr>
      </w:pPr>
    </w:p>
    <w:p w14:paraId="3DCAA04A" w14:textId="77777777" w:rsidR="002326BE" w:rsidRPr="00DA7F45" w:rsidRDefault="002326BE" w:rsidP="002326BE">
      <w:pPr>
        <w:spacing w:line="360" w:lineRule="auto"/>
        <w:rPr>
          <w:rFonts w:ascii="Arial" w:hAnsi="Arial" w:cs="Arial"/>
          <w:sz w:val="22"/>
          <w:szCs w:val="22"/>
        </w:rPr>
      </w:pPr>
    </w:p>
    <w:p w14:paraId="217411D9" w14:textId="77777777" w:rsidR="002326BE" w:rsidRDefault="002326BE" w:rsidP="002326BE">
      <w:pPr>
        <w:spacing w:line="360" w:lineRule="auto"/>
        <w:rPr>
          <w:rFonts w:ascii="Arial" w:hAnsi="Arial" w:cs="Arial"/>
          <w:sz w:val="22"/>
          <w:szCs w:val="22"/>
        </w:rPr>
      </w:pPr>
    </w:p>
    <w:p w14:paraId="135BA917" w14:textId="77777777" w:rsidR="004F4ADF" w:rsidRDefault="004F4ADF" w:rsidP="002326BE">
      <w:pPr>
        <w:spacing w:line="360" w:lineRule="auto"/>
        <w:rPr>
          <w:rFonts w:ascii="Arial" w:hAnsi="Arial" w:cs="Arial"/>
          <w:sz w:val="22"/>
          <w:szCs w:val="22"/>
        </w:rPr>
      </w:pPr>
    </w:p>
    <w:p w14:paraId="26D337DF" w14:textId="2E9E8B88" w:rsidR="002326BE" w:rsidRDefault="002326BE" w:rsidP="002326BE">
      <w:pPr>
        <w:spacing w:line="360" w:lineRule="auto"/>
        <w:rPr>
          <w:rFonts w:ascii="Arial" w:hAnsi="Arial" w:cs="Arial"/>
          <w:b/>
          <w:bCs/>
          <w:sz w:val="22"/>
          <w:szCs w:val="22"/>
          <w:u w:val="single"/>
        </w:rPr>
      </w:pPr>
      <w:r>
        <w:rPr>
          <w:rFonts w:ascii="Arial" w:hAnsi="Arial" w:cs="Arial"/>
          <w:b/>
          <w:bCs/>
          <w:sz w:val="22"/>
          <w:szCs w:val="22"/>
          <w:u w:val="single"/>
        </w:rPr>
        <w:t>Reference List</w:t>
      </w:r>
    </w:p>
    <w:p w14:paraId="10133CA2"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Abiodun, S.K., Kehinde, M.A. and Saddiq, K. (2021). The Effect of Hands-On Activities on Primary School Pupils’ Achievement and Retention in Fraction. Abacus (Mathematics Education Series), [online] 46(1). Available at: https://www.researchgate.net/publication/376799722_THE_EFFECT_OF_HANDS-ON_ACTIVITIES_ON_PRIMARY_SCHOOL_PUPILS%27_ACHIEVEMENT_AND_RETENTION_IN_FRACTION [Accessed 25 Feb. 2025].</w:t>
      </w:r>
    </w:p>
    <w:p w14:paraId="4D09C56D"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 xml:space="preserve">Annet, K.A. (2024). The Effects of Arts Education on Academic Achievement. NEWPORT INTERNATIONAL JOURNAL OF CURRENT ISSUES IN ARTS AND MANAGEMENT, [online] 5(3), pp.14–17. </w:t>
      </w:r>
      <w:proofErr w:type="spellStart"/>
      <w:r w:rsidRPr="002A4E9A">
        <w:rPr>
          <w:rFonts w:ascii="Arial" w:hAnsi="Arial" w:cs="Arial"/>
          <w:i/>
          <w:iCs/>
          <w:sz w:val="22"/>
          <w:szCs w:val="22"/>
        </w:rPr>
        <w:t>doi:https</w:t>
      </w:r>
      <w:proofErr w:type="spellEnd"/>
      <w:r w:rsidRPr="002A4E9A">
        <w:rPr>
          <w:rFonts w:ascii="Arial" w:hAnsi="Arial" w:cs="Arial"/>
          <w:i/>
          <w:iCs/>
          <w:sz w:val="22"/>
          <w:szCs w:val="22"/>
        </w:rPr>
        <w:t>://doi.org/10.59298/</w:t>
      </w:r>
      <w:proofErr w:type="spellStart"/>
      <w:r w:rsidRPr="002A4E9A">
        <w:rPr>
          <w:rFonts w:ascii="Arial" w:hAnsi="Arial" w:cs="Arial"/>
          <w:i/>
          <w:iCs/>
          <w:sz w:val="22"/>
          <w:szCs w:val="22"/>
        </w:rPr>
        <w:t>nijciam</w:t>
      </w:r>
      <w:proofErr w:type="spellEnd"/>
      <w:r w:rsidRPr="002A4E9A">
        <w:rPr>
          <w:rFonts w:ascii="Arial" w:hAnsi="Arial" w:cs="Arial"/>
          <w:i/>
          <w:iCs/>
          <w:sz w:val="22"/>
          <w:szCs w:val="22"/>
        </w:rPr>
        <w:t>/2024/5.3.14170.</w:t>
      </w:r>
    </w:p>
    <w:p w14:paraId="0AE7D7BE"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Bada, S.O. and Olusegun, S. (2015). Constructivism Learning Theory: A Paradigm for Teaching and Learning. Journal of Research &amp; Method in Education, [online] 5(6). Available at: https://vulms.vu.edu.pk/courses/edu201/downloads/edu%20201%20(assignment%202).pdf [Accessed 27 Feb. 2025].</w:t>
      </w:r>
    </w:p>
    <w:p w14:paraId="7B4C5223"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Barnes, J. (2015). Cross-Curricular Learning 3-14. 3rd ed. [online] SAGE. Available at: https://www.researchgate.net/profile/Jonathan-Barnes-3/publication/274313611_An_Introduction_to_Cross-Curricular_Learning/links/551b2ab60cf251c35b5080db/An-Introduction-to-Cross-Curricular-Learning.pdf [Accessed 18 Feb. 2025].</w:t>
      </w:r>
    </w:p>
    <w:p w14:paraId="39F7F8CF"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Beckmann, A. (2009). A Conceptual Framework for Cross-Curricular Teaching. The Mathematics Enthusiast, [online] 6. Available at: https://www.researchgate.net/publication/339460873_A_Conceptual_Framework_for_Cross-Curricular_Teaching [Accessed 21 Feb. 2025].</w:t>
      </w:r>
    </w:p>
    <w:p w14:paraId="7910ECD8"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 xml:space="preserve">Burnard, P., Dragovic, T., </w:t>
      </w:r>
      <w:proofErr w:type="spellStart"/>
      <w:r w:rsidRPr="002A4E9A">
        <w:rPr>
          <w:rFonts w:ascii="Arial" w:hAnsi="Arial" w:cs="Arial"/>
          <w:i/>
          <w:iCs/>
          <w:sz w:val="22"/>
          <w:szCs w:val="22"/>
        </w:rPr>
        <w:t>Jasilek</w:t>
      </w:r>
      <w:proofErr w:type="spellEnd"/>
      <w:r w:rsidRPr="002A4E9A">
        <w:rPr>
          <w:rFonts w:ascii="Arial" w:hAnsi="Arial" w:cs="Arial"/>
          <w:i/>
          <w:iCs/>
          <w:sz w:val="22"/>
          <w:szCs w:val="22"/>
        </w:rPr>
        <w:t>, S., Biddulph, J., Rolls, L., Durning, A. and Fenyvesi, K. (2018). ‘The Art of Co-Creating Arts-Based Possibility Spaces for Fostering STE(A)M Practices in Primary Education’ in Arts-Based Methods in Education Around the World. 1st ed. [online] River Publishers. Available at: https://www.taylorfrancis.com/chapters/oa-edit/10.1201/9781003337263-11/art-co-creating-arts-based-possibility-spaces-fostering-ste-practices-primary-education-pamela-burnard-tatjana-dragovic-susanne-jasilek-james-biddulph-luke-rolls-aimee-durning-krist%C3%B3f-fenyvesi [Accessed 27 Feb. 2025].</w:t>
      </w:r>
    </w:p>
    <w:p w14:paraId="195B1DE5"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 xml:space="preserve">Coffey, P. and Sharpe, R. (2021). An Investigation into the Teaching of Numeracy in Subjects Other than Mathematics across the Curriculum. International Journal of Mathematical Education in Science and Technology, [online] 54(5). </w:t>
      </w:r>
      <w:proofErr w:type="spellStart"/>
      <w:r w:rsidRPr="002A4E9A">
        <w:rPr>
          <w:rFonts w:ascii="Arial" w:hAnsi="Arial" w:cs="Arial"/>
          <w:i/>
          <w:iCs/>
          <w:sz w:val="22"/>
          <w:szCs w:val="22"/>
        </w:rPr>
        <w:t>doi:https</w:t>
      </w:r>
      <w:proofErr w:type="spellEnd"/>
      <w:r w:rsidRPr="002A4E9A">
        <w:rPr>
          <w:rFonts w:ascii="Arial" w:hAnsi="Arial" w:cs="Arial"/>
          <w:i/>
          <w:iCs/>
          <w:sz w:val="22"/>
          <w:szCs w:val="22"/>
        </w:rPr>
        <w:t>://doi.org/10.1080/0020739X.2021.1978570.</w:t>
      </w:r>
    </w:p>
    <w:p w14:paraId="5796A4BE" w14:textId="77777777" w:rsidR="002326BE" w:rsidRPr="002A4E9A" w:rsidRDefault="002326BE" w:rsidP="002326BE">
      <w:pPr>
        <w:spacing w:line="360" w:lineRule="auto"/>
        <w:rPr>
          <w:rFonts w:ascii="Arial" w:hAnsi="Arial" w:cs="Arial"/>
          <w:i/>
          <w:iCs/>
          <w:sz w:val="22"/>
          <w:szCs w:val="22"/>
        </w:rPr>
      </w:pPr>
      <w:proofErr w:type="spellStart"/>
      <w:r w:rsidRPr="002A4E9A">
        <w:rPr>
          <w:rFonts w:ascii="Arial" w:hAnsi="Arial" w:cs="Arial"/>
          <w:i/>
          <w:iCs/>
          <w:sz w:val="22"/>
          <w:szCs w:val="22"/>
        </w:rPr>
        <w:t>Cotič</w:t>
      </w:r>
      <w:proofErr w:type="spellEnd"/>
      <w:r w:rsidRPr="002A4E9A">
        <w:rPr>
          <w:rFonts w:ascii="Arial" w:hAnsi="Arial" w:cs="Arial"/>
          <w:i/>
          <w:iCs/>
          <w:sz w:val="22"/>
          <w:szCs w:val="22"/>
        </w:rPr>
        <w:t xml:space="preserve">, N., </w:t>
      </w:r>
      <w:proofErr w:type="spellStart"/>
      <w:r w:rsidRPr="002A4E9A">
        <w:rPr>
          <w:rFonts w:ascii="Arial" w:hAnsi="Arial" w:cs="Arial"/>
          <w:i/>
          <w:iCs/>
          <w:sz w:val="22"/>
          <w:szCs w:val="22"/>
        </w:rPr>
        <w:t>Cotič</w:t>
      </w:r>
      <w:proofErr w:type="spellEnd"/>
      <w:r w:rsidRPr="002A4E9A">
        <w:rPr>
          <w:rFonts w:ascii="Arial" w:hAnsi="Arial" w:cs="Arial"/>
          <w:i/>
          <w:iCs/>
          <w:sz w:val="22"/>
          <w:szCs w:val="22"/>
        </w:rPr>
        <w:t xml:space="preserve">, M., Felda, D. and </w:t>
      </w:r>
      <w:proofErr w:type="spellStart"/>
      <w:r w:rsidRPr="002A4E9A">
        <w:rPr>
          <w:rFonts w:ascii="Arial" w:hAnsi="Arial" w:cs="Arial"/>
          <w:i/>
          <w:iCs/>
          <w:sz w:val="22"/>
          <w:szCs w:val="22"/>
        </w:rPr>
        <w:t>Krmac</w:t>
      </w:r>
      <w:proofErr w:type="spellEnd"/>
      <w:r w:rsidRPr="002A4E9A">
        <w:rPr>
          <w:rFonts w:ascii="Arial" w:hAnsi="Arial" w:cs="Arial"/>
          <w:i/>
          <w:iCs/>
          <w:sz w:val="22"/>
          <w:szCs w:val="22"/>
        </w:rPr>
        <w:t xml:space="preserve">, N. (2021). The Effect of Cross-Curricular Integration on Pupils’ Knowledge Gained through Experiential Learning. Cypriot Journal of Educational Sciences, [online] 16(6). </w:t>
      </w:r>
      <w:proofErr w:type="spellStart"/>
      <w:r w:rsidRPr="002A4E9A">
        <w:rPr>
          <w:rFonts w:ascii="Arial" w:hAnsi="Arial" w:cs="Arial"/>
          <w:i/>
          <w:iCs/>
          <w:sz w:val="22"/>
          <w:szCs w:val="22"/>
        </w:rPr>
        <w:t>doi:https</w:t>
      </w:r>
      <w:proofErr w:type="spellEnd"/>
      <w:r w:rsidRPr="002A4E9A">
        <w:rPr>
          <w:rFonts w:ascii="Arial" w:hAnsi="Arial" w:cs="Arial"/>
          <w:i/>
          <w:iCs/>
          <w:sz w:val="22"/>
          <w:szCs w:val="22"/>
        </w:rPr>
        <w:t>://doi.org/10.18844/cjes.v16i6.6512.</w:t>
      </w:r>
    </w:p>
    <w:p w14:paraId="493B02F6" w14:textId="77777777" w:rsidR="002326BE" w:rsidRPr="002A4E9A" w:rsidRDefault="002326BE" w:rsidP="002326BE">
      <w:pPr>
        <w:spacing w:line="360" w:lineRule="auto"/>
        <w:rPr>
          <w:rFonts w:ascii="Arial" w:hAnsi="Arial" w:cs="Arial"/>
          <w:i/>
          <w:iCs/>
          <w:sz w:val="22"/>
          <w:szCs w:val="22"/>
        </w:rPr>
      </w:pPr>
      <w:proofErr w:type="spellStart"/>
      <w:r w:rsidRPr="002A4E9A">
        <w:rPr>
          <w:rFonts w:ascii="Arial" w:hAnsi="Arial" w:cs="Arial"/>
          <w:i/>
          <w:iCs/>
          <w:sz w:val="22"/>
          <w:szCs w:val="22"/>
        </w:rPr>
        <w:t>Cuturi</w:t>
      </w:r>
      <w:proofErr w:type="spellEnd"/>
      <w:r w:rsidRPr="002A4E9A">
        <w:rPr>
          <w:rFonts w:ascii="Arial" w:hAnsi="Arial" w:cs="Arial"/>
          <w:i/>
          <w:iCs/>
          <w:sz w:val="22"/>
          <w:szCs w:val="22"/>
        </w:rPr>
        <w:t xml:space="preserve">, L.F., </w:t>
      </w:r>
      <w:proofErr w:type="spellStart"/>
      <w:r w:rsidRPr="002A4E9A">
        <w:rPr>
          <w:rFonts w:ascii="Arial" w:hAnsi="Arial" w:cs="Arial"/>
          <w:i/>
          <w:iCs/>
          <w:sz w:val="22"/>
          <w:szCs w:val="22"/>
        </w:rPr>
        <w:t>Cappagli</w:t>
      </w:r>
      <w:proofErr w:type="spellEnd"/>
      <w:r w:rsidRPr="002A4E9A">
        <w:rPr>
          <w:rFonts w:ascii="Arial" w:hAnsi="Arial" w:cs="Arial"/>
          <w:i/>
          <w:iCs/>
          <w:sz w:val="22"/>
          <w:szCs w:val="22"/>
        </w:rPr>
        <w:t xml:space="preserve">, G., </w:t>
      </w:r>
      <w:proofErr w:type="spellStart"/>
      <w:r w:rsidRPr="002A4E9A">
        <w:rPr>
          <w:rFonts w:ascii="Arial" w:hAnsi="Arial" w:cs="Arial"/>
          <w:i/>
          <w:iCs/>
          <w:sz w:val="22"/>
          <w:szCs w:val="22"/>
        </w:rPr>
        <w:t>Yiannoutsou</w:t>
      </w:r>
      <w:proofErr w:type="spellEnd"/>
      <w:r w:rsidRPr="002A4E9A">
        <w:rPr>
          <w:rFonts w:ascii="Arial" w:hAnsi="Arial" w:cs="Arial"/>
          <w:i/>
          <w:iCs/>
          <w:sz w:val="22"/>
          <w:szCs w:val="22"/>
        </w:rPr>
        <w:t xml:space="preserve">, N., Price, S. and Gori, M. (2021). Informing the design of a multisensory learning environment for elementary mathematics learning. Journal on Multimodal User Interfaces, [online] 16. </w:t>
      </w:r>
      <w:proofErr w:type="spellStart"/>
      <w:r w:rsidRPr="002A4E9A">
        <w:rPr>
          <w:rFonts w:ascii="Arial" w:hAnsi="Arial" w:cs="Arial"/>
          <w:i/>
          <w:iCs/>
          <w:sz w:val="22"/>
          <w:szCs w:val="22"/>
        </w:rPr>
        <w:t>doi:https</w:t>
      </w:r>
      <w:proofErr w:type="spellEnd"/>
      <w:r w:rsidRPr="002A4E9A">
        <w:rPr>
          <w:rFonts w:ascii="Arial" w:hAnsi="Arial" w:cs="Arial"/>
          <w:i/>
          <w:iCs/>
          <w:sz w:val="22"/>
          <w:szCs w:val="22"/>
        </w:rPr>
        <w:t>://doi.org/10.1007/s12193-021-00382-y.</w:t>
      </w:r>
    </w:p>
    <w:p w14:paraId="77ED6D75"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 xml:space="preserve">Díaz-Burgos, A., García-Sánchez, J.-N., Álvarez-Fernández, M.L. and de Brito-Costa, S.M. (2024). Psychological and Educational Factors of Digital Competence Optimization Interventions Pre- and Post-COVID-19 Lockdown: A Systematic Review. Sustainability, [online] 16(1), p.51. </w:t>
      </w:r>
      <w:proofErr w:type="spellStart"/>
      <w:r w:rsidRPr="002A4E9A">
        <w:rPr>
          <w:rFonts w:ascii="Arial" w:hAnsi="Arial" w:cs="Arial"/>
          <w:i/>
          <w:iCs/>
          <w:sz w:val="22"/>
          <w:szCs w:val="22"/>
        </w:rPr>
        <w:t>doi:https</w:t>
      </w:r>
      <w:proofErr w:type="spellEnd"/>
      <w:r w:rsidRPr="002A4E9A">
        <w:rPr>
          <w:rFonts w:ascii="Arial" w:hAnsi="Arial" w:cs="Arial"/>
          <w:i/>
          <w:iCs/>
          <w:sz w:val="22"/>
          <w:szCs w:val="22"/>
        </w:rPr>
        <w:t>://doi.org/10.3390/su16010051.</w:t>
      </w:r>
    </w:p>
    <w:p w14:paraId="6A8D1664"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 xml:space="preserve">Earley, S. (2019). An Investigation into the Implementation of a Cross-Curricular Approach in an Irish Primary School Classroom. International Journal for Cross-Disciplinary Subjects in Education, [online] 10(2), pp.4031–4040. </w:t>
      </w:r>
      <w:proofErr w:type="spellStart"/>
      <w:r w:rsidRPr="002A4E9A">
        <w:rPr>
          <w:rFonts w:ascii="Arial" w:hAnsi="Arial" w:cs="Arial"/>
          <w:i/>
          <w:iCs/>
          <w:sz w:val="22"/>
          <w:szCs w:val="22"/>
        </w:rPr>
        <w:t>doi:https</w:t>
      </w:r>
      <w:proofErr w:type="spellEnd"/>
      <w:r w:rsidRPr="002A4E9A">
        <w:rPr>
          <w:rFonts w:ascii="Arial" w:hAnsi="Arial" w:cs="Arial"/>
          <w:i/>
          <w:iCs/>
          <w:sz w:val="22"/>
          <w:szCs w:val="22"/>
        </w:rPr>
        <w:t>://doi.org/10.20533/ijcdse.2042.6364.2019.0492.</w:t>
      </w:r>
    </w:p>
    <w:p w14:paraId="41A0E1F4"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Ekwueme, C., Ekon, E. and Ezenwa-</w:t>
      </w:r>
      <w:proofErr w:type="spellStart"/>
      <w:r w:rsidRPr="002A4E9A">
        <w:rPr>
          <w:rFonts w:ascii="Arial" w:hAnsi="Arial" w:cs="Arial"/>
          <w:i/>
          <w:iCs/>
          <w:sz w:val="22"/>
          <w:szCs w:val="22"/>
        </w:rPr>
        <w:t>Nebife</w:t>
      </w:r>
      <w:proofErr w:type="spellEnd"/>
      <w:r w:rsidRPr="002A4E9A">
        <w:rPr>
          <w:rFonts w:ascii="Arial" w:hAnsi="Arial" w:cs="Arial"/>
          <w:i/>
          <w:iCs/>
          <w:sz w:val="22"/>
          <w:szCs w:val="22"/>
        </w:rPr>
        <w:t xml:space="preserve">, D. (2015). The impact of hands-on-approach on student academic performance in basic science and mathematics. Higher Education Studies, [online] 5(6). </w:t>
      </w:r>
      <w:proofErr w:type="spellStart"/>
      <w:r w:rsidRPr="002A4E9A">
        <w:rPr>
          <w:rFonts w:ascii="Arial" w:hAnsi="Arial" w:cs="Arial"/>
          <w:i/>
          <w:iCs/>
          <w:sz w:val="22"/>
          <w:szCs w:val="22"/>
        </w:rPr>
        <w:t>doi:https</w:t>
      </w:r>
      <w:proofErr w:type="spellEnd"/>
      <w:r w:rsidRPr="002A4E9A">
        <w:rPr>
          <w:rFonts w:ascii="Arial" w:hAnsi="Arial" w:cs="Arial"/>
          <w:i/>
          <w:iCs/>
          <w:sz w:val="22"/>
          <w:szCs w:val="22"/>
        </w:rPr>
        <w:t>://doi.org/10.5539/hes.v5n6p47.</w:t>
      </w:r>
    </w:p>
    <w:p w14:paraId="54092F7F" w14:textId="77777777" w:rsidR="002326BE" w:rsidRPr="002A4E9A" w:rsidRDefault="002326BE" w:rsidP="002326BE">
      <w:pPr>
        <w:spacing w:line="360" w:lineRule="auto"/>
        <w:rPr>
          <w:rFonts w:ascii="Arial" w:hAnsi="Arial" w:cs="Arial"/>
          <w:i/>
          <w:iCs/>
          <w:sz w:val="22"/>
          <w:szCs w:val="22"/>
        </w:rPr>
      </w:pPr>
      <w:proofErr w:type="spellStart"/>
      <w:r w:rsidRPr="002A4E9A">
        <w:rPr>
          <w:rFonts w:ascii="Arial" w:hAnsi="Arial" w:cs="Arial"/>
          <w:i/>
          <w:iCs/>
          <w:sz w:val="22"/>
          <w:szCs w:val="22"/>
        </w:rPr>
        <w:t>Esplendori</w:t>
      </w:r>
      <w:proofErr w:type="spellEnd"/>
      <w:r w:rsidRPr="002A4E9A">
        <w:rPr>
          <w:rFonts w:ascii="Arial" w:hAnsi="Arial" w:cs="Arial"/>
          <w:i/>
          <w:iCs/>
          <w:sz w:val="22"/>
          <w:szCs w:val="22"/>
        </w:rPr>
        <w:t xml:space="preserve">, G.F., Kobayashi, R.M. and </w:t>
      </w:r>
      <w:proofErr w:type="spellStart"/>
      <w:r w:rsidRPr="002A4E9A">
        <w:rPr>
          <w:rFonts w:ascii="Arial" w:hAnsi="Arial" w:cs="Arial"/>
          <w:i/>
          <w:iCs/>
          <w:sz w:val="22"/>
          <w:szCs w:val="22"/>
        </w:rPr>
        <w:t>Püschel</w:t>
      </w:r>
      <w:proofErr w:type="spellEnd"/>
      <w:r w:rsidRPr="002A4E9A">
        <w:rPr>
          <w:rFonts w:ascii="Arial" w:hAnsi="Arial" w:cs="Arial"/>
          <w:i/>
          <w:iCs/>
          <w:sz w:val="22"/>
          <w:szCs w:val="22"/>
        </w:rPr>
        <w:t xml:space="preserve">, V.A. de A. (2022). Multisensory integration approach, cognitive domains, meaningful learning: reflections for undergraduate nursing education. </w:t>
      </w:r>
      <w:proofErr w:type="spellStart"/>
      <w:r w:rsidRPr="002A4E9A">
        <w:rPr>
          <w:rFonts w:ascii="Arial" w:hAnsi="Arial" w:cs="Arial"/>
          <w:i/>
          <w:iCs/>
          <w:sz w:val="22"/>
          <w:szCs w:val="22"/>
        </w:rPr>
        <w:t>Revista</w:t>
      </w:r>
      <w:proofErr w:type="spellEnd"/>
      <w:r w:rsidRPr="002A4E9A">
        <w:rPr>
          <w:rFonts w:ascii="Arial" w:hAnsi="Arial" w:cs="Arial"/>
          <w:i/>
          <w:iCs/>
          <w:sz w:val="22"/>
          <w:szCs w:val="22"/>
        </w:rPr>
        <w:t xml:space="preserve"> da Escola de Enfermagem da USP, [online] 56. </w:t>
      </w:r>
      <w:proofErr w:type="spellStart"/>
      <w:r w:rsidRPr="002A4E9A">
        <w:rPr>
          <w:rFonts w:ascii="Arial" w:hAnsi="Arial" w:cs="Arial"/>
          <w:i/>
          <w:iCs/>
          <w:sz w:val="22"/>
          <w:szCs w:val="22"/>
        </w:rPr>
        <w:t>doi:https</w:t>
      </w:r>
      <w:proofErr w:type="spellEnd"/>
      <w:r w:rsidRPr="002A4E9A">
        <w:rPr>
          <w:rFonts w:ascii="Arial" w:hAnsi="Arial" w:cs="Arial"/>
          <w:i/>
          <w:iCs/>
          <w:sz w:val="22"/>
          <w:szCs w:val="22"/>
        </w:rPr>
        <w:t>://doi.org/10.1590/1980-220X-REEUSP-2021-0381.</w:t>
      </w:r>
    </w:p>
    <w:p w14:paraId="7F6FFD84"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 xml:space="preserve">Estyn (2021). Cross-curricular skills frameworks. [online] </w:t>
      </w:r>
      <w:proofErr w:type="spellStart"/>
      <w:r w:rsidRPr="002A4E9A">
        <w:rPr>
          <w:rFonts w:ascii="Arial" w:hAnsi="Arial" w:cs="Arial"/>
          <w:i/>
          <w:iCs/>
          <w:sz w:val="22"/>
          <w:szCs w:val="22"/>
        </w:rPr>
        <w:t>estyn.gov.wales</w:t>
      </w:r>
      <w:proofErr w:type="spellEnd"/>
      <w:r w:rsidRPr="002A4E9A">
        <w:rPr>
          <w:rFonts w:ascii="Arial" w:hAnsi="Arial" w:cs="Arial"/>
          <w:i/>
          <w:iCs/>
          <w:sz w:val="22"/>
          <w:szCs w:val="22"/>
        </w:rPr>
        <w:t>. Wales: Estyn. Available at: https://estyn.gov.wales/system/files/2021-11/16.07.21%20response%20re%20Cross-curricular%20skills%20frameworks.pdf [Accessed 24 Feb. 2025].</w:t>
      </w:r>
    </w:p>
    <w:p w14:paraId="065D9DC1"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Estyn (2024a). Co-ordinated planning to develop pupils’ literacy, numeracy and digital competence skills - Estyn. [online] Estyn. Available at: https://estyn.gov.wales/improvement-resources/co-ordinated-planning-to-develop-pupils-literacy-numeracy-and-digital-competence-skills/ [Accessed 20 Feb. 2025].</w:t>
      </w:r>
    </w:p>
    <w:p w14:paraId="50799EB3"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Estyn (2024b). Developing and improving learners’ digital competence skills at Blackwood Comprehensive School - Estyn. [online] Estyn. Available at: https://estyn.gov.wales/improvement-resources/developing-and-improving-learners-digital-competence-skills-at-blackwood-comprehensive-school/ [Accessed 1 Mar. 2025].</w:t>
      </w:r>
    </w:p>
    <w:p w14:paraId="64CA0B99"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 xml:space="preserve">Estyn (2025). Teaching and the Curriculum. [online] </w:t>
      </w:r>
      <w:proofErr w:type="spellStart"/>
      <w:r w:rsidRPr="002A4E9A">
        <w:rPr>
          <w:rFonts w:ascii="Arial" w:hAnsi="Arial" w:cs="Arial"/>
          <w:i/>
          <w:iCs/>
          <w:sz w:val="22"/>
          <w:szCs w:val="22"/>
        </w:rPr>
        <w:t>Gov.wales</w:t>
      </w:r>
      <w:proofErr w:type="spellEnd"/>
      <w:r w:rsidRPr="002A4E9A">
        <w:rPr>
          <w:rFonts w:ascii="Arial" w:hAnsi="Arial" w:cs="Arial"/>
          <w:i/>
          <w:iCs/>
          <w:sz w:val="22"/>
          <w:szCs w:val="22"/>
        </w:rPr>
        <w:t>. Available at: https://annual-report.estyn.gov.wales/app/uploads/2025/02/teaching-and-the-curriculum-2025-02-11.pdf [Accessed 20 Feb. 2025].</w:t>
      </w:r>
    </w:p>
    <w:p w14:paraId="362BCCDE"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 xml:space="preserve">Gidion, H. (2020). The Importance of Measuring Fine Motor Skill in Early Children’s Education. Advances in Social Science, Education and Humanities Research, [online] 426. </w:t>
      </w:r>
      <w:proofErr w:type="spellStart"/>
      <w:r w:rsidRPr="002A4E9A">
        <w:rPr>
          <w:rFonts w:ascii="Arial" w:hAnsi="Arial" w:cs="Arial"/>
          <w:i/>
          <w:iCs/>
          <w:sz w:val="22"/>
          <w:szCs w:val="22"/>
        </w:rPr>
        <w:t>doi:https</w:t>
      </w:r>
      <w:proofErr w:type="spellEnd"/>
      <w:r w:rsidRPr="002A4E9A">
        <w:rPr>
          <w:rFonts w:ascii="Arial" w:hAnsi="Arial" w:cs="Arial"/>
          <w:i/>
          <w:iCs/>
          <w:sz w:val="22"/>
          <w:szCs w:val="22"/>
        </w:rPr>
        <w:t>://doi.org/10.2991/assehr.k.200331.160.</w:t>
      </w:r>
    </w:p>
    <w:p w14:paraId="495F23C9"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 xml:space="preserve">Goos, M. and O’Sullivan, K. (2022). Numeracy Across the Curriculum. Oxford Research </w:t>
      </w:r>
      <w:proofErr w:type="spellStart"/>
      <w:r w:rsidRPr="002A4E9A">
        <w:rPr>
          <w:rFonts w:ascii="Arial" w:hAnsi="Arial" w:cs="Arial"/>
          <w:i/>
          <w:iCs/>
          <w:sz w:val="22"/>
          <w:szCs w:val="22"/>
        </w:rPr>
        <w:t>Encyclopedia</w:t>
      </w:r>
      <w:proofErr w:type="spellEnd"/>
      <w:r w:rsidRPr="002A4E9A">
        <w:rPr>
          <w:rFonts w:ascii="Arial" w:hAnsi="Arial" w:cs="Arial"/>
          <w:i/>
          <w:iCs/>
          <w:sz w:val="22"/>
          <w:szCs w:val="22"/>
        </w:rPr>
        <w:t xml:space="preserve"> of Education. [online] </w:t>
      </w:r>
      <w:proofErr w:type="spellStart"/>
      <w:r w:rsidRPr="002A4E9A">
        <w:rPr>
          <w:rFonts w:ascii="Arial" w:hAnsi="Arial" w:cs="Arial"/>
          <w:i/>
          <w:iCs/>
          <w:sz w:val="22"/>
          <w:szCs w:val="22"/>
        </w:rPr>
        <w:t>doi:https</w:t>
      </w:r>
      <w:proofErr w:type="spellEnd"/>
      <w:r w:rsidRPr="002A4E9A">
        <w:rPr>
          <w:rFonts w:ascii="Arial" w:hAnsi="Arial" w:cs="Arial"/>
          <w:i/>
          <w:iCs/>
          <w:sz w:val="22"/>
          <w:szCs w:val="22"/>
        </w:rPr>
        <w:t>://doi.org/10.1093/</w:t>
      </w:r>
      <w:proofErr w:type="spellStart"/>
      <w:r w:rsidRPr="002A4E9A">
        <w:rPr>
          <w:rFonts w:ascii="Arial" w:hAnsi="Arial" w:cs="Arial"/>
          <w:i/>
          <w:iCs/>
          <w:sz w:val="22"/>
          <w:szCs w:val="22"/>
        </w:rPr>
        <w:t>acrefore</w:t>
      </w:r>
      <w:proofErr w:type="spellEnd"/>
      <w:r w:rsidRPr="002A4E9A">
        <w:rPr>
          <w:rFonts w:ascii="Arial" w:hAnsi="Arial" w:cs="Arial"/>
          <w:i/>
          <w:iCs/>
          <w:sz w:val="22"/>
          <w:szCs w:val="22"/>
        </w:rPr>
        <w:t>/9780190264093.013.1530.</w:t>
      </w:r>
    </w:p>
    <w:p w14:paraId="61ECA644"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 xml:space="preserve">Harish, H.G.J., Kumar, </w:t>
      </w:r>
      <w:proofErr w:type="spellStart"/>
      <w:r w:rsidRPr="002A4E9A">
        <w:rPr>
          <w:rFonts w:ascii="Arial" w:hAnsi="Arial" w:cs="Arial"/>
          <w:i/>
          <w:iCs/>
          <w:sz w:val="22"/>
          <w:szCs w:val="22"/>
        </w:rPr>
        <w:t>R.Krishna</w:t>
      </w:r>
      <w:proofErr w:type="spellEnd"/>
      <w:r w:rsidRPr="002A4E9A">
        <w:rPr>
          <w:rFonts w:ascii="Arial" w:hAnsi="Arial" w:cs="Arial"/>
          <w:i/>
          <w:iCs/>
          <w:sz w:val="22"/>
          <w:szCs w:val="22"/>
        </w:rPr>
        <w:t xml:space="preserve">. and Dharma Raja, B.W. (2012). Cross Curricular Connections: An Innovative Model for Curriculum Transaction. </w:t>
      </w:r>
      <w:proofErr w:type="spellStart"/>
      <w:r w:rsidRPr="002A4E9A">
        <w:rPr>
          <w:rFonts w:ascii="Arial" w:hAnsi="Arial" w:cs="Arial"/>
          <w:i/>
          <w:iCs/>
          <w:sz w:val="22"/>
          <w:szCs w:val="22"/>
        </w:rPr>
        <w:t>i</w:t>
      </w:r>
      <w:proofErr w:type="spellEnd"/>
      <w:r w:rsidRPr="002A4E9A">
        <w:rPr>
          <w:rFonts w:ascii="Arial" w:hAnsi="Arial" w:cs="Arial"/>
          <w:i/>
          <w:iCs/>
          <w:sz w:val="22"/>
          <w:szCs w:val="22"/>
        </w:rPr>
        <w:t xml:space="preserve">-manager’s Journal on School Educational Technology, [online] 7(3), pp.1–9. </w:t>
      </w:r>
      <w:proofErr w:type="spellStart"/>
      <w:r w:rsidRPr="002A4E9A">
        <w:rPr>
          <w:rFonts w:ascii="Arial" w:hAnsi="Arial" w:cs="Arial"/>
          <w:i/>
          <w:iCs/>
          <w:sz w:val="22"/>
          <w:szCs w:val="22"/>
        </w:rPr>
        <w:t>doi:https</w:t>
      </w:r>
      <w:proofErr w:type="spellEnd"/>
      <w:r w:rsidRPr="002A4E9A">
        <w:rPr>
          <w:rFonts w:ascii="Arial" w:hAnsi="Arial" w:cs="Arial"/>
          <w:i/>
          <w:iCs/>
          <w:sz w:val="22"/>
          <w:szCs w:val="22"/>
        </w:rPr>
        <w:t>://doi.org/10.26634/jsch.7.3.1668.</w:t>
      </w:r>
    </w:p>
    <w:p w14:paraId="4EB36D26"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Hubert, C. (2021). Interdisciplinary Learning and the Effects on Students . [Article] Available at: https://nwcommons.nwciowa.edu/education_masters/284/ [Accessed 2 Mar. 2025].</w:t>
      </w:r>
    </w:p>
    <w:p w14:paraId="546F1A9A"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Iwanicka, A. (2021). Digital Skills of Pupils Aged 6–9 – Children’s and Adults’ Perspective. Issues in Early Education, [online] 53(2). Available at: https://www.researchgate.net/publication/364547420_Digital_skills_of_pupils_aged_6-9_-_children's_and_adults'_perspective [Accessed 21 Feb. 2025].</w:t>
      </w:r>
    </w:p>
    <w:p w14:paraId="455C70F1"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Krajnik, I. and Demeter, R. (2024). QR Code Applications Digital Literacy Skills in Today’s Technology-Driven World in the Field of Education. 2024 IEEE 18th International Symposium on Applied Computational Intelligence and Informatics (SACI). [online] Available at: https://ieeexplore.ieee.org/abstract/document/10619878?casa_token=3f_oQWS86csAAAAA:vXcgZH8p2OEoIcaQstgxdFVt0lrZi5J3hPlYqTlkyNNnjqklpTlgY3ulGjxvLTPPc7oiUkMsvLfgQw [Accessed 1 Mar. 2025].</w:t>
      </w:r>
    </w:p>
    <w:p w14:paraId="0665B614"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Lefa, B. (2014). The Piaget Theory of Cognitive Development: An Educational Implications . Educational Psychology, [online] 1(1). Available at: https://www.researchgate.net/publication/265916960_THE_PIAGET_THEORY_OF_COGNITIVE_DEVELOPMENT_AN_EDUCATIONAL_IMPLICATIONS [Accessed 26 Feb. 2025].</w:t>
      </w:r>
    </w:p>
    <w:p w14:paraId="0706DFA8"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Liston, M. and Hennessy, N. (2018). An integrated approach in promoting the development of literacy and scientific skills in the primary science classroom. Teaching Science, [online] 64(4). Available at: https://search.informit.org/doi/abs/10.3316/informit.153522755012896 [Accessed 27 Feb. 2025].</w:t>
      </w:r>
    </w:p>
    <w:p w14:paraId="2DBEE0F6"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 xml:space="preserve">Ma, H. and Ismail, L. (2025). Bibliometric analysis and systematic review of digital competence in education. Humanities and Social Sciences Communications, [online] 12(1). </w:t>
      </w:r>
      <w:proofErr w:type="spellStart"/>
      <w:r w:rsidRPr="002A4E9A">
        <w:rPr>
          <w:rFonts w:ascii="Arial" w:hAnsi="Arial" w:cs="Arial"/>
          <w:i/>
          <w:iCs/>
          <w:sz w:val="22"/>
          <w:szCs w:val="22"/>
        </w:rPr>
        <w:t>doi:https</w:t>
      </w:r>
      <w:proofErr w:type="spellEnd"/>
      <w:r w:rsidRPr="002A4E9A">
        <w:rPr>
          <w:rFonts w:ascii="Arial" w:hAnsi="Arial" w:cs="Arial"/>
          <w:i/>
          <w:iCs/>
          <w:sz w:val="22"/>
          <w:szCs w:val="22"/>
        </w:rPr>
        <w:t>://doi.org/10.1057/s41599-025-04401-1.</w:t>
      </w:r>
    </w:p>
    <w:p w14:paraId="0EC9084C"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Maffea, J. (2020). Lack of Resources in Classrooms. English Department: Research for Change - Wicked Problems in Our World, [online] 5(1). Available at: https://research.library.kutztown.edu/wickedproblems/38/?utm_sour%20ce=research.library.kutztown.edu/wickedproblems/38 [Accessed 27 Feb. 2025].</w:t>
      </w:r>
    </w:p>
    <w:p w14:paraId="515017A9" w14:textId="77777777" w:rsidR="002326BE" w:rsidRPr="002A4E9A" w:rsidRDefault="002326BE" w:rsidP="002326BE">
      <w:pPr>
        <w:spacing w:line="360" w:lineRule="auto"/>
        <w:rPr>
          <w:rFonts w:ascii="Arial" w:hAnsi="Arial" w:cs="Arial"/>
          <w:i/>
          <w:iCs/>
          <w:sz w:val="22"/>
          <w:szCs w:val="22"/>
        </w:rPr>
      </w:pPr>
      <w:proofErr w:type="spellStart"/>
      <w:r w:rsidRPr="002A4E9A">
        <w:rPr>
          <w:rFonts w:ascii="Arial" w:hAnsi="Arial" w:cs="Arial"/>
          <w:i/>
          <w:iCs/>
          <w:sz w:val="22"/>
          <w:szCs w:val="22"/>
        </w:rPr>
        <w:t>Marishane</w:t>
      </w:r>
      <w:proofErr w:type="spellEnd"/>
      <w:r w:rsidRPr="002A4E9A">
        <w:rPr>
          <w:rFonts w:ascii="Arial" w:hAnsi="Arial" w:cs="Arial"/>
          <w:i/>
          <w:iCs/>
          <w:sz w:val="22"/>
          <w:szCs w:val="22"/>
        </w:rPr>
        <w:t xml:space="preserve">, M.A., </w:t>
      </w:r>
      <w:proofErr w:type="spellStart"/>
      <w:r w:rsidRPr="002A4E9A">
        <w:rPr>
          <w:rFonts w:ascii="Arial" w:hAnsi="Arial" w:cs="Arial"/>
          <w:i/>
          <w:iCs/>
          <w:sz w:val="22"/>
          <w:szCs w:val="22"/>
        </w:rPr>
        <w:t>Marishane</w:t>
      </w:r>
      <w:proofErr w:type="spellEnd"/>
      <w:r w:rsidRPr="002A4E9A">
        <w:rPr>
          <w:rFonts w:ascii="Arial" w:hAnsi="Arial" w:cs="Arial"/>
          <w:i/>
          <w:iCs/>
          <w:sz w:val="22"/>
          <w:szCs w:val="22"/>
        </w:rPr>
        <w:t xml:space="preserve">, R.N. and Mahlo, F.D. (2015). Teacher Capacity for Curriculum Differentiation in Teaching Foundation Phase Mathematics. International Journal of Educational Sciences, [online] 11(3), pp.253–262. </w:t>
      </w:r>
      <w:proofErr w:type="spellStart"/>
      <w:r w:rsidRPr="002A4E9A">
        <w:rPr>
          <w:rFonts w:ascii="Arial" w:hAnsi="Arial" w:cs="Arial"/>
          <w:i/>
          <w:iCs/>
          <w:sz w:val="22"/>
          <w:szCs w:val="22"/>
        </w:rPr>
        <w:t>doi:https</w:t>
      </w:r>
      <w:proofErr w:type="spellEnd"/>
      <w:r w:rsidRPr="002A4E9A">
        <w:rPr>
          <w:rFonts w:ascii="Arial" w:hAnsi="Arial" w:cs="Arial"/>
          <w:i/>
          <w:iCs/>
          <w:sz w:val="22"/>
          <w:szCs w:val="22"/>
        </w:rPr>
        <w:t>://doi.org/10.1080/09751122.2015.11890396.</w:t>
      </w:r>
    </w:p>
    <w:p w14:paraId="08A89640"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Morgan, K. (2019). Multisensory Teaching: Crossing Into a New Discipline. PALAESTRA, [online] 33(1). Available at: https://www.researchgate.net/publication/339883329_Multisensory_Teaching_Crossing_Into_a_New_Discipline [Accessed 28 Feb. 2025].</w:t>
      </w:r>
    </w:p>
    <w:p w14:paraId="4698BF49" w14:textId="77777777" w:rsidR="002326BE" w:rsidRPr="002A4E9A" w:rsidRDefault="002326BE" w:rsidP="002326BE">
      <w:pPr>
        <w:spacing w:line="360" w:lineRule="auto"/>
        <w:rPr>
          <w:rFonts w:ascii="Arial" w:hAnsi="Arial" w:cs="Arial"/>
          <w:i/>
          <w:iCs/>
          <w:sz w:val="22"/>
          <w:szCs w:val="22"/>
        </w:rPr>
      </w:pPr>
      <w:proofErr w:type="spellStart"/>
      <w:r w:rsidRPr="002A4E9A">
        <w:rPr>
          <w:rFonts w:ascii="Arial" w:hAnsi="Arial" w:cs="Arial"/>
          <w:i/>
          <w:iCs/>
          <w:sz w:val="22"/>
          <w:szCs w:val="22"/>
        </w:rPr>
        <w:t>Ottestad</w:t>
      </w:r>
      <w:proofErr w:type="spellEnd"/>
      <w:r w:rsidRPr="002A4E9A">
        <w:rPr>
          <w:rFonts w:ascii="Arial" w:hAnsi="Arial" w:cs="Arial"/>
          <w:i/>
          <w:iCs/>
          <w:sz w:val="22"/>
          <w:szCs w:val="22"/>
        </w:rPr>
        <w:t xml:space="preserve">, G., </w:t>
      </w:r>
      <w:proofErr w:type="spellStart"/>
      <w:r w:rsidRPr="002A4E9A">
        <w:rPr>
          <w:rFonts w:ascii="Arial" w:hAnsi="Arial" w:cs="Arial"/>
          <w:i/>
          <w:iCs/>
          <w:sz w:val="22"/>
          <w:szCs w:val="22"/>
        </w:rPr>
        <w:t>Kelentrić</w:t>
      </w:r>
      <w:proofErr w:type="spellEnd"/>
      <w:r w:rsidRPr="002A4E9A">
        <w:rPr>
          <w:rFonts w:ascii="Arial" w:hAnsi="Arial" w:cs="Arial"/>
          <w:i/>
          <w:iCs/>
          <w:sz w:val="22"/>
          <w:szCs w:val="22"/>
        </w:rPr>
        <w:t xml:space="preserve">, M. and Guðmundsdóttir, G.B. (2014). Professional Digital Competence in Teacher Education. Nordic Journal of Digital Literacy, [online] 9(04), pp.243–249. </w:t>
      </w:r>
      <w:proofErr w:type="spellStart"/>
      <w:r w:rsidRPr="002A4E9A">
        <w:rPr>
          <w:rFonts w:ascii="Arial" w:hAnsi="Arial" w:cs="Arial"/>
          <w:i/>
          <w:iCs/>
          <w:sz w:val="22"/>
          <w:szCs w:val="22"/>
        </w:rPr>
        <w:t>doi:https</w:t>
      </w:r>
      <w:proofErr w:type="spellEnd"/>
      <w:r w:rsidRPr="002A4E9A">
        <w:rPr>
          <w:rFonts w:ascii="Arial" w:hAnsi="Arial" w:cs="Arial"/>
          <w:i/>
          <w:iCs/>
          <w:sz w:val="22"/>
          <w:szCs w:val="22"/>
        </w:rPr>
        <w:t>://doi.org/10.18261/issn1891-943x-2014-04-02.</w:t>
      </w:r>
    </w:p>
    <w:p w14:paraId="6CEF2989"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Phiri, H. (2019). Perceptions of teachers on integrating of art and design in the teaching and learning of mathematics at lower primary school level in Chipata district. [PDF] Available at: https://dspace.unza.zm/items/ec51d88d-f852-48c9-8a39-78737c866968 [Accessed 28 Feb. 2025].</w:t>
      </w:r>
    </w:p>
    <w:p w14:paraId="2E195AB1"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Roche, A. (2008). Using Playdough to Make Fractions More Fun. Australian Primary Mathematics Classroom, [online] 13(1). Available at: https://files.eric.ed.gov/fulltext/EJ793976.pdf [Accessed 28 Feb. 2025].</w:t>
      </w:r>
    </w:p>
    <w:p w14:paraId="1DB8FDC3"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 xml:space="preserve">Rukmini, R., </w:t>
      </w:r>
      <w:proofErr w:type="spellStart"/>
      <w:r w:rsidRPr="002A4E9A">
        <w:rPr>
          <w:rFonts w:ascii="Arial" w:hAnsi="Arial" w:cs="Arial"/>
          <w:i/>
          <w:iCs/>
          <w:sz w:val="22"/>
          <w:szCs w:val="22"/>
        </w:rPr>
        <w:t>Mustaji</w:t>
      </w:r>
      <w:proofErr w:type="spellEnd"/>
      <w:r w:rsidRPr="002A4E9A">
        <w:rPr>
          <w:rFonts w:ascii="Arial" w:hAnsi="Arial" w:cs="Arial"/>
          <w:i/>
          <w:iCs/>
          <w:sz w:val="22"/>
          <w:szCs w:val="22"/>
        </w:rPr>
        <w:t xml:space="preserve">, M. and </w:t>
      </w:r>
      <w:proofErr w:type="spellStart"/>
      <w:r w:rsidRPr="002A4E9A">
        <w:rPr>
          <w:rFonts w:ascii="Arial" w:hAnsi="Arial" w:cs="Arial"/>
          <w:i/>
          <w:iCs/>
          <w:sz w:val="22"/>
          <w:szCs w:val="22"/>
        </w:rPr>
        <w:t>Mariono</w:t>
      </w:r>
      <w:proofErr w:type="spellEnd"/>
      <w:r w:rsidRPr="002A4E9A">
        <w:rPr>
          <w:rFonts w:ascii="Arial" w:hAnsi="Arial" w:cs="Arial"/>
          <w:i/>
          <w:iCs/>
          <w:sz w:val="22"/>
          <w:szCs w:val="22"/>
        </w:rPr>
        <w:t xml:space="preserve">, A. (2022). Effectiveness of a Playdough Game in Stimulating Fine Motor Skills and Cognitive Skill: Early Childhood Education. The International Journal of Early Childhood Learning, [online] 29(1), pp.1–12. </w:t>
      </w:r>
      <w:proofErr w:type="spellStart"/>
      <w:r w:rsidRPr="002A4E9A">
        <w:rPr>
          <w:rFonts w:ascii="Arial" w:hAnsi="Arial" w:cs="Arial"/>
          <w:i/>
          <w:iCs/>
          <w:sz w:val="22"/>
          <w:szCs w:val="22"/>
        </w:rPr>
        <w:t>doi:https</w:t>
      </w:r>
      <w:proofErr w:type="spellEnd"/>
      <w:r w:rsidRPr="002A4E9A">
        <w:rPr>
          <w:rFonts w:ascii="Arial" w:hAnsi="Arial" w:cs="Arial"/>
          <w:i/>
          <w:iCs/>
          <w:sz w:val="22"/>
          <w:szCs w:val="22"/>
        </w:rPr>
        <w:t>://doi.org/10.18848/2327-7939/</w:t>
      </w:r>
      <w:proofErr w:type="spellStart"/>
      <w:r w:rsidRPr="002A4E9A">
        <w:rPr>
          <w:rFonts w:ascii="Arial" w:hAnsi="Arial" w:cs="Arial"/>
          <w:i/>
          <w:iCs/>
          <w:sz w:val="22"/>
          <w:szCs w:val="22"/>
        </w:rPr>
        <w:t>cgp</w:t>
      </w:r>
      <w:proofErr w:type="spellEnd"/>
      <w:r w:rsidRPr="002A4E9A">
        <w:rPr>
          <w:rFonts w:ascii="Arial" w:hAnsi="Arial" w:cs="Arial"/>
          <w:i/>
          <w:iCs/>
          <w:sz w:val="22"/>
          <w:szCs w:val="22"/>
        </w:rPr>
        <w:t>/v29i01/1-12.</w:t>
      </w:r>
    </w:p>
    <w:p w14:paraId="5CEBE3ED"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Sánchez-Caballé, A., Gisbert-Cervera, M. and Esteve-</w:t>
      </w:r>
      <w:proofErr w:type="spellStart"/>
      <w:r w:rsidRPr="002A4E9A">
        <w:rPr>
          <w:rFonts w:ascii="Arial" w:hAnsi="Arial" w:cs="Arial"/>
          <w:i/>
          <w:iCs/>
          <w:sz w:val="22"/>
          <w:szCs w:val="22"/>
        </w:rPr>
        <w:t>Món</w:t>
      </w:r>
      <w:proofErr w:type="spellEnd"/>
      <w:r w:rsidRPr="002A4E9A">
        <w:rPr>
          <w:rFonts w:ascii="Arial" w:hAnsi="Arial" w:cs="Arial"/>
          <w:i/>
          <w:iCs/>
          <w:sz w:val="22"/>
          <w:szCs w:val="22"/>
        </w:rPr>
        <w:t xml:space="preserve">, F. (2021). Integrating Digital Competence in Higher Education Curricula: An Institutional Analysis. </w:t>
      </w:r>
      <w:proofErr w:type="spellStart"/>
      <w:r w:rsidRPr="002A4E9A">
        <w:rPr>
          <w:rFonts w:ascii="Arial" w:hAnsi="Arial" w:cs="Arial"/>
          <w:i/>
          <w:iCs/>
          <w:sz w:val="22"/>
          <w:szCs w:val="22"/>
        </w:rPr>
        <w:t>Educar</w:t>
      </w:r>
      <w:proofErr w:type="spellEnd"/>
      <w:r w:rsidRPr="002A4E9A">
        <w:rPr>
          <w:rFonts w:ascii="Arial" w:hAnsi="Arial" w:cs="Arial"/>
          <w:i/>
          <w:iCs/>
          <w:sz w:val="22"/>
          <w:szCs w:val="22"/>
        </w:rPr>
        <w:t xml:space="preserve">, [online] 57(1), pp.241–258. </w:t>
      </w:r>
      <w:proofErr w:type="spellStart"/>
      <w:r w:rsidRPr="002A4E9A">
        <w:rPr>
          <w:rFonts w:ascii="Arial" w:hAnsi="Arial" w:cs="Arial"/>
          <w:i/>
          <w:iCs/>
          <w:sz w:val="22"/>
          <w:szCs w:val="22"/>
        </w:rPr>
        <w:t>doi:https</w:t>
      </w:r>
      <w:proofErr w:type="spellEnd"/>
      <w:r w:rsidRPr="002A4E9A">
        <w:rPr>
          <w:rFonts w:ascii="Arial" w:hAnsi="Arial" w:cs="Arial"/>
          <w:i/>
          <w:iCs/>
          <w:sz w:val="22"/>
          <w:szCs w:val="22"/>
        </w:rPr>
        <w:t>://doi.org/10.5565/rev/educar.1174.</w:t>
      </w:r>
    </w:p>
    <w:p w14:paraId="6093DCE1"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 xml:space="preserve">Sinnema, C., </w:t>
      </w:r>
      <w:proofErr w:type="spellStart"/>
      <w:r w:rsidRPr="002A4E9A">
        <w:rPr>
          <w:rFonts w:ascii="Arial" w:hAnsi="Arial" w:cs="Arial"/>
          <w:i/>
          <w:iCs/>
          <w:sz w:val="22"/>
          <w:szCs w:val="22"/>
        </w:rPr>
        <w:t>Nieveen</w:t>
      </w:r>
      <w:proofErr w:type="spellEnd"/>
      <w:r w:rsidRPr="002A4E9A">
        <w:rPr>
          <w:rFonts w:ascii="Arial" w:hAnsi="Arial" w:cs="Arial"/>
          <w:i/>
          <w:iCs/>
          <w:sz w:val="22"/>
          <w:szCs w:val="22"/>
        </w:rPr>
        <w:t xml:space="preserve">, N. and Priestley, M. (2020). Successful futures, Successful curriculum: What Can Wales Learn from International Curriculum reforms? The Curriculum Journal, [online] 31(2). </w:t>
      </w:r>
      <w:proofErr w:type="spellStart"/>
      <w:r w:rsidRPr="002A4E9A">
        <w:rPr>
          <w:rFonts w:ascii="Arial" w:hAnsi="Arial" w:cs="Arial"/>
          <w:i/>
          <w:iCs/>
          <w:sz w:val="22"/>
          <w:szCs w:val="22"/>
        </w:rPr>
        <w:t>doi:https</w:t>
      </w:r>
      <w:proofErr w:type="spellEnd"/>
      <w:r w:rsidRPr="002A4E9A">
        <w:rPr>
          <w:rFonts w:ascii="Arial" w:hAnsi="Arial" w:cs="Arial"/>
          <w:i/>
          <w:iCs/>
          <w:sz w:val="22"/>
          <w:szCs w:val="22"/>
        </w:rPr>
        <w:t>://doi.org/10.1002/curj.17.</w:t>
      </w:r>
    </w:p>
    <w:p w14:paraId="238D7F27"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Stiller, C., Stockey, A. and Wilde, M. (2017). HANDS OFF, MINDS ON? – THE PROS AND CONS OF PRACTICAL EXPERIMENTATION. Electronic Proceedings of the ESERA 2017 Conference. [online] Available at: https://www.researchgate.net/profile/Cornelia-Stiller/publication/320235407_Hands_off_minds_on_-_The_pros_and_cons_of_practical_experimentation/links/5faa497f299bf10f733512a0/Hands-off-minds-on-The-pros-and-cons-of-practical-experimentation.pdf [Accessed 27 Feb. 2025].</w:t>
      </w:r>
    </w:p>
    <w:p w14:paraId="0653C5BA"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 xml:space="preserve">Sutapa, P., </w:t>
      </w:r>
      <w:proofErr w:type="spellStart"/>
      <w:r w:rsidRPr="002A4E9A">
        <w:rPr>
          <w:rFonts w:ascii="Arial" w:hAnsi="Arial" w:cs="Arial"/>
          <w:i/>
          <w:iCs/>
          <w:sz w:val="22"/>
          <w:szCs w:val="22"/>
        </w:rPr>
        <w:t>Prasetyo</w:t>
      </w:r>
      <w:proofErr w:type="spellEnd"/>
      <w:r w:rsidRPr="002A4E9A">
        <w:rPr>
          <w:rFonts w:ascii="Arial" w:hAnsi="Arial" w:cs="Arial"/>
          <w:i/>
          <w:iCs/>
          <w:sz w:val="22"/>
          <w:szCs w:val="22"/>
        </w:rPr>
        <w:t xml:space="preserve">, Y., Arjuna, F. and </w:t>
      </w:r>
      <w:proofErr w:type="spellStart"/>
      <w:r w:rsidRPr="002A4E9A">
        <w:rPr>
          <w:rFonts w:ascii="Arial" w:hAnsi="Arial" w:cs="Arial"/>
          <w:i/>
          <w:iCs/>
          <w:sz w:val="22"/>
          <w:szCs w:val="22"/>
        </w:rPr>
        <w:t>Prihatanta</w:t>
      </w:r>
      <w:proofErr w:type="spellEnd"/>
      <w:r w:rsidRPr="002A4E9A">
        <w:rPr>
          <w:rFonts w:ascii="Arial" w:hAnsi="Arial" w:cs="Arial"/>
          <w:i/>
          <w:iCs/>
          <w:sz w:val="22"/>
          <w:szCs w:val="22"/>
        </w:rPr>
        <w:t>, H. (2018). Differences of Influence of Playing Playdough and Puzzles on Fine Motor Skills and Logical-Mathematical Intelligence in Early Childhood. Advances in Social Science, Education and Humanities Research, [online] 278. Available at: https://www.researchgate.net/publication/334796716_Differences_of_Influence_of_Playing_Playdough_and_Puzzles_on_Fine_Motor_Skills_and_Logical-Mathematical_Intelligence_in_Early_Childhood [Accessed 1 Mar. 2025].</w:t>
      </w:r>
    </w:p>
    <w:p w14:paraId="56D519C8"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Ward-Penny, R. (2010). Cross-Curricular Teaching and Learning in the Secondary School... Mathematics. 1st ed. [online] London: Routledge. Available at: https://www.taylorfrancis.com/books/mono/10.4324/9780203835630/cross-curricular-teaching-learning-secondary-school-mathematics-robert-ward-penny-jonathan-savage [Accessed 2 Mar. 2025].</w:t>
      </w:r>
    </w:p>
    <w:p w14:paraId="484AE3C0"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 xml:space="preserve">Welsh Government (2019a). Descriptions of learning - Mathematics and Numeracy. [online] </w:t>
      </w:r>
      <w:proofErr w:type="spellStart"/>
      <w:r w:rsidRPr="002A4E9A">
        <w:rPr>
          <w:rFonts w:ascii="Arial" w:hAnsi="Arial" w:cs="Arial"/>
          <w:i/>
          <w:iCs/>
          <w:sz w:val="22"/>
          <w:szCs w:val="22"/>
        </w:rPr>
        <w:t>hwb.gov.wales</w:t>
      </w:r>
      <w:proofErr w:type="spellEnd"/>
      <w:r w:rsidRPr="002A4E9A">
        <w:rPr>
          <w:rFonts w:ascii="Arial" w:hAnsi="Arial" w:cs="Arial"/>
          <w:i/>
          <w:iCs/>
          <w:sz w:val="22"/>
          <w:szCs w:val="22"/>
        </w:rPr>
        <w:t>. Available at: https://hwb.gov.wales/curriculum-for-wales/mathematics-and-numeracy/descriptions-of-learning/ [Accessed 28 Feb. 2025].</w:t>
      </w:r>
    </w:p>
    <w:p w14:paraId="7C100B46"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 xml:space="preserve">Welsh Government (2019b). Digital Competence Framework - Hwb. [online] </w:t>
      </w:r>
      <w:proofErr w:type="spellStart"/>
      <w:r w:rsidRPr="002A4E9A">
        <w:rPr>
          <w:rFonts w:ascii="Arial" w:hAnsi="Arial" w:cs="Arial"/>
          <w:i/>
          <w:iCs/>
          <w:sz w:val="22"/>
          <w:szCs w:val="22"/>
        </w:rPr>
        <w:t>hwb.gov.wales</w:t>
      </w:r>
      <w:proofErr w:type="spellEnd"/>
      <w:r w:rsidRPr="002A4E9A">
        <w:rPr>
          <w:rFonts w:ascii="Arial" w:hAnsi="Arial" w:cs="Arial"/>
          <w:i/>
          <w:iCs/>
          <w:sz w:val="22"/>
          <w:szCs w:val="22"/>
        </w:rPr>
        <w:t>. Available at: https://hwb.gov.wales/curriculum-for-wales/cross-curricular-skills-frameworks/digital-competence-framework [Accessed 1 Mar. 2025].</w:t>
      </w:r>
    </w:p>
    <w:p w14:paraId="0E8D640F"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Welsh Government (2019c). Professional Standards for Teaching and Leadership. [online] Hwb. Welsh Government. Available at: https://hwb.gov.wales/api/storage/19bc948b-8a3f-41e0-944a-7bf2cadf7d18/professional-standards-for-teaching-and-leadership-interactive-pdf-for-pc.pdf [Accessed 2 Mar. 2025].</w:t>
      </w:r>
    </w:p>
    <w:p w14:paraId="61444F04"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 xml:space="preserve">Welsh Government (2020a). Descriptions of learning - Expressive Arts. [online] </w:t>
      </w:r>
      <w:proofErr w:type="spellStart"/>
      <w:r w:rsidRPr="002A4E9A">
        <w:rPr>
          <w:rFonts w:ascii="Arial" w:hAnsi="Arial" w:cs="Arial"/>
          <w:i/>
          <w:iCs/>
          <w:sz w:val="22"/>
          <w:szCs w:val="22"/>
        </w:rPr>
        <w:t>hwb.gov.wales</w:t>
      </w:r>
      <w:proofErr w:type="spellEnd"/>
      <w:r w:rsidRPr="002A4E9A">
        <w:rPr>
          <w:rFonts w:ascii="Arial" w:hAnsi="Arial" w:cs="Arial"/>
          <w:i/>
          <w:iCs/>
          <w:sz w:val="22"/>
          <w:szCs w:val="22"/>
        </w:rPr>
        <w:t>. Available at: https://hwb.gov.wales/curriculum-for-wales/expressive-arts/descriptions-of-learning/ [Accessed 1 Mar. 2025].</w:t>
      </w:r>
    </w:p>
    <w:p w14:paraId="149835CE"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 xml:space="preserve">Welsh Government (2020b). Descriptions of learning - Health and Well-being. [online] </w:t>
      </w:r>
      <w:proofErr w:type="spellStart"/>
      <w:r w:rsidRPr="002A4E9A">
        <w:rPr>
          <w:rFonts w:ascii="Arial" w:hAnsi="Arial" w:cs="Arial"/>
          <w:i/>
          <w:iCs/>
          <w:sz w:val="22"/>
          <w:szCs w:val="22"/>
        </w:rPr>
        <w:t>hwb.gov.wales</w:t>
      </w:r>
      <w:proofErr w:type="spellEnd"/>
      <w:r w:rsidRPr="002A4E9A">
        <w:rPr>
          <w:rFonts w:ascii="Arial" w:hAnsi="Arial" w:cs="Arial"/>
          <w:i/>
          <w:iCs/>
          <w:sz w:val="22"/>
          <w:szCs w:val="22"/>
        </w:rPr>
        <w:t>. Available at: https://hwb.gov.wales/curriculum-for-wales/health-and-well-being/descriptions-of-learning/ [Accessed 1 Mar. 2025].</w:t>
      </w:r>
    </w:p>
    <w:p w14:paraId="2E54E226"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 xml:space="preserve">Welsh Government (2022a). Cross-curricular skills frameworks - Hwb. [online] </w:t>
      </w:r>
      <w:proofErr w:type="spellStart"/>
      <w:r w:rsidRPr="002A4E9A">
        <w:rPr>
          <w:rFonts w:ascii="Arial" w:hAnsi="Arial" w:cs="Arial"/>
          <w:i/>
          <w:iCs/>
          <w:sz w:val="22"/>
          <w:szCs w:val="22"/>
        </w:rPr>
        <w:t>hwb.gov.wales</w:t>
      </w:r>
      <w:proofErr w:type="spellEnd"/>
      <w:r w:rsidRPr="002A4E9A">
        <w:rPr>
          <w:rFonts w:ascii="Arial" w:hAnsi="Arial" w:cs="Arial"/>
          <w:i/>
          <w:iCs/>
          <w:sz w:val="22"/>
          <w:szCs w:val="22"/>
        </w:rPr>
        <w:t>. Available at: https://hwb.gov.wales/curriculum-for-wales/cross-curricular-skills-frameworks.</w:t>
      </w:r>
    </w:p>
    <w:p w14:paraId="09749C22" w14:textId="77777777" w:rsidR="002326BE" w:rsidRPr="002A4E9A" w:rsidRDefault="002326BE" w:rsidP="002326BE">
      <w:pPr>
        <w:spacing w:line="360" w:lineRule="auto"/>
        <w:rPr>
          <w:rFonts w:ascii="Arial" w:hAnsi="Arial" w:cs="Arial"/>
          <w:i/>
          <w:iCs/>
          <w:sz w:val="22"/>
          <w:szCs w:val="22"/>
        </w:rPr>
      </w:pPr>
      <w:r w:rsidRPr="002A4E9A">
        <w:rPr>
          <w:rFonts w:ascii="Arial" w:hAnsi="Arial" w:cs="Arial"/>
          <w:i/>
          <w:iCs/>
          <w:sz w:val="22"/>
          <w:szCs w:val="22"/>
        </w:rPr>
        <w:t xml:space="preserve">Welsh Government (2022b). Developing a vision for curriculum design - Hwb. [online] </w:t>
      </w:r>
      <w:proofErr w:type="spellStart"/>
      <w:r w:rsidRPr="002A4E9A">
        <w:rPr>
          <w:rFonts w:ascii="Arial" w:hAnsi="Arial" w:cs="Arial"/>
          <w:i/>
          <w:iCs/>
          <w:sz w:val="22"/>
          <w:szCs w:val="22"/>
        </w:rPr>
        <w:t>hwb.gov.wales</w:t>
      </w:r>
      <w:proofErr w:type="spellEnd"/>
      <w:r w:rsidRPr="002A4E9A">
        <w:rPr>
          <w:rFonts w:ascii="Arial" w:hAnsi="Arial" w:cs="Arial"/>
          <w:i/>
          <w:iCs/>
          <w:sz w:val="22"/>
          <w:szCs w:val="22"/>
        </w:rPr>
        <w:t>. Available at: https://hwb.gov.wales/curriculum-for-wales/designing-your-curriculum/developing-a-vision-for-curriculum-design/#cross-curricular-skills [Accessed 18 Feb. 2025].</w:t>
      </w:r>
    </w:p>
    <w:p w14:paraId="3136799B" w14:textId="6F23DB3E" w:rsidR="002326BE" w:rsidRDefault="002326BE" w:rsidP="631C50E4">
      <w:pPr>
        <w:spacing w:line="360" w:lineRule="auto"/>
        <w:rPr>
          <w:rFonts w:ascii="Arial" w:hAnsi="Arial" w:cs="Arial"/>
          <w:i/>
          <w:iCs/>
          <w:sz w:val="22"/>
          <w:szCs w:val="22"/>
        </w:rPr>
      </w:pPr>
      <w:r w:rsidRPr="002A4E9A">
        <w:rPr>
          <w:rFonts w:ascii="Arial" w:hAnsi="Arial" w:cs="Arial"/>
          <w:i/>
          <w:iCs/>
          <w:sz w:val="22"/>
          <w:szCs w:val="22"/>
        </w:rPr>
        <w:t xml:space="preserve">You, H.S. (2017). Why Teach Science with an Interdisciplinary Approach: History, Trends, and Conceptual Frameworks. Journal of Education and Learning, [online] 6(4), p.66. </w:t>
      </w:r>
      <w:proofErr w:type="spellStart"/>
      <w:r w:rsidRPr="002A4E9A">
        <w:rPr>
          <w:rFonts w:ascii="Arial" w:hAnsi="Arial" w:cs="Arial"/>
          <w:i/>
          <w:iCs/>
          <w:sz w:val="22"/>
          <w:szCs w:val="22"/>
        </w:rPr>
        <w:t>doi:https</w:t>
      </w:r>
      <w:proofErr w:type="spellEnd"/>
      <w:r w:rsidRPr="002A4E9A">
        <w:rPr>
          <w:rFonts w:ascii="Arial" w:hAnsi="Arial" w:cs="Arial"/>
          <w:i/>
          <w:iCs/>
          <w:sz w:val="22"/>
          <w:szCs w:val="22"/>
        </w:rPr>
        <w:t>://doi.org/10.5539/jel.v6n4p66.</w:t>
      </w:r>
    </w:p>
    <w:p w14:paraId="5905EAC6" w14:textId="77777777" w:rsidR="00815702" w:rsidRDefault="00815702" w:rsidP="631C50E4">
      <w:pPr>
        <w:spacing w:line="360" w:lineRule="auto"/>
        <w:rPr>
          <w:rFonts w:ascii="Arial" w:hAnsi="Arial" w:cs="Arial"/>
          <w:i/>
          <w:iCs/>
          <w:sz w:val="22"/>
          <w:szCs w:val="22"/>
        </w:rPr>
      </w:pPr>
    </w:p>
    <w:p w14:paraId="25DABE8C" w14:textId="77777777" w:rsidR="00815702" w:rsidRDefault="00815702" w:rsidP="631C50E4">
      <w:pPr>
        <w:spacing w:line="360" w:lineRule="auto"/>
        <w:rPr>
          <w:rFonts w:ascii="Arial" w:hAnsi="Arial" w:cs="Arial"/>
          <w:i/>
          <w:iCs/>
          <w:sz w:val="22"/>
          <w:szCs w:val="22"/>
        </w:rPr>
      </w:pPr>
    </w:p>
    <w:p w14:paraId="71234269" w14:textId="77777777" w:rsidR="00815702" w:rsidRDefault="00815702" w:rsidP="631C50E4">
      <w:pPr>
        <w:spacing w:line="360" w:lineRule="auto"/>
        <w:rPr>
          <w:rFonts w:ascii="Arial" w:hAnsi="Arial" w:cs="Arial"/>
          <w:b/>
          <w:bCs/>
          <w:sz w:val="22"/>
          <w:szCs w:val="22"/>
          <w:u w:val="single"/>
        </w:rPr>
      </w:pPr>
    </w:p>
    <w:p w14:paraId="47009612" w14:textId="3BD7A471" w:rsidR="002326BE" w:rsidRDefault="002326BE" w:rsidP="002326BE">
      <w:pPr>
        <w:spacing w:line="360" w:lineRule="auto"/>
        <w:rPr>
          <w:rFonts w:ascii="Arial" w:hAnsi="Arial" w:cs="Arial"/>
          <w:b/>
          <w:bCs/>
          <w:sz w:val="22"/>
          <w:szCs w:val="22"/>
          <w:u w:val="single"/>
        </w:rPr>
      </w:pPr>
      <w:r w:rsidRPr="008A520F">
        <w:rPr>
          <w:rFonts w:ascii="Arial" w:hAnsi="Arial" w:cs="Arial"/>
          <w:b/>
          <w:bCs/>
          <w:sz w:val="22"/>
          <w:szCs w:val="22"/>
          <w:u w:val="single"/>
        </w:rPr>
        <w:drawing>
          <wp:anchor distT="0" distB="0" distL="114300" distR="114300" simplePos="0" relativeHeight="251658244" behindDoc="1" locked="0" layoutInCell="1" allowOverlap="1" wp14:anchorId="77690C9B" wp14:editId="14159218">
            <wp:simplePos x="0" y="0"/>
            <wp:positionH relativeFrom="margin">
              <wp:posOffset>-132080</wp:posOffset>
            </wp:positionH>
            <wp:positionV relativeFrom="paragraph">
              <wp:posOffset>248920</wp:posOffset>
            </wp:positionV>
            <wp:extent cx="6144260" cy="4194175"/>
            <wp:effectExtent l="0" t="0" r="8890" b="0"/>
            <wp:wrapTight wrapText="bothSides">
              <wp:wrapPolygon edited="0">
                <wp:start x="0" y="0"/>
                <wp:lineTo x="0" y="21486"/>
                <wp:lineTo x="21564" y="21486"/>
                <wp:lineTo x="21564" y="0"/>
                <wp:lineTo x="0" y="0"/>
              </wp:wrapPolygon>
            </wp:wrapTight>
            <wp:docPr id="1439549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54987" name="Picture 1" descr="A screenshot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144260" cy="4194175"/>
                    </a:xfrm>
                    <a:prstGeom prst="rect">
                      <a:avLst/>
                    </a:prstGeom>
                  </pic:spPr>
                </pic:pic>
              </a:graphicData>
            </a:graphic>
            <wp14:sizeRelH relativeFrom="page">
              <wp14:pctWidth>0</wp14:pctWidth>
            </wp14:sizeRelH>
            <wp14:sizeRelV relativeFrom="page">
              <wp14:pctHeight>0</wp14:pctHeight>
            </wp14:sizeRelV>
          </wp:anchor>
        </w:drawing>
      </w:r>
      <w:r w:rsidRPr="00DA2278">
        <w:rPr>
          <w:rFonts w:ascii="Arial" w:hAnsi="Arial" w:cs="Arial"/>
          <w:b/>
          <w:bCs/>
          <w:sz w:val="22"/>
          <w:szCs w:val="22"/>
          <w:u w:val="single"/>
        </w:rPr>
        <w:drawing>
          <wp:anchor distT="0" distB="0" distL="114300" distR="114300" simplePos="0" relativeHeight="251658240" behindDoc="1" locked="0" layoutInCell="1" allowOverlap="1" wp14:anchorId="1A9258E5" wp14:editId="7B69092D">
            <wp:simplePos x="0" y="0"/>
            <wp:positionH relativeFrom="column">
              <wp:posOffset>-208164</wp:posOffset>
            </wp:positionH>
            <wp:positionV relativeFrom="paragraph">
              <wp:posOffset>4613275</wp:posOffset>
            </wp:positionV>
            <wp:extent cx="6289675" cy="2878455"/>
            <wp:effectExtent l="0" t="0" r="0" b="0"/>
            <wp:wrapTight wrapText="bothSides">
              <wp:wrapPolygon edited="0">
                <wp:start x="0" y="0"/>
                <wp:lineTo x="0" y="21443"/>
                <wp:lineTo x="21524" y="21443"/>
                <wp:lineTo x="21524" y="0"/>
                <wp:lineTo x="0" y="0"/>
              </wp:wrapPolygon>
            </wp:wrapTight>
            <wp:docPr id="16728243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824375" name="Picture 1" descr="A screen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289675" cy="2878455"/>
                    </a:xfrm>
                    <a:prstGeom prst="rect">
                      <a:avLst/>
                    </a:prstGeom>
                  </pic:spPr>
                </pic:pic>
              </a:graphicData>
            </a:graphic>
            <wp14:sizeRelH relativeFrom="page">
              <wp14:pctWidth>0</wp14:pctWidth>
            </wp14:sizeRelH>
            <wp14:sizeRelV relativeFrom="page">
              <wp14:pctHeight>0</wp14:pctHeight>
            </wp14:sizeRelV>
          </wp:anchor>
        </w:drawing>
      </w:r>
      <w:r w:rsidRPr="003565EF">
        <w:rPr>
          <w:rFonts w:ascii="Arial" w:hAnsi="Arial" w:cs="Arial"/>
          <w:b/>
          <w:bCs/>
          <w:sz w:val="22"/>
          <w:szCs w:val="22"/>
          <w:u w:val="single"/>
        </w:rPr>
        <w:t xml:space="preserve">Appendix </w:t>
      </w:r>
      <w:r>
        <w:rPr>
          <w:rFonts w:ascii="Arial" w:hAnsi="Arial" w:cs="Arial"/>
          <w:b/>
          <w:bCs/>
          <w:sz w:val="22"/>
          <w:szCs w:val="22"/>
          <w:u w:val="single"/>
        </w:rPr>
        <w:t>1</w:t>
      </w:r>
    </w:p>
    <w:p w14:paraId="7C8A159D" w14:textId="77777777" w:rsidR="002326BE" w:rsidRDefault="002326BE" w:rsidP="002326BE">
      <w:pPr>
        <w:spacing w:line="360" w:lineRule="auto"/>
        <w:rPr>
          <w:rFonts w:ascii="Arial" w:hAnsi="Arial" w:cs="Arial"/>
          <w:b/>
          <w:bCs/>
          <w:sz w:val="22"/>
          <w:szCs w:val="22"/>
          <w:u w:val="single"/>
        </w:rPr>
      </w:pPr>
    </w:p>
    <w:p w14:paraId="586C2983" w14:textId="77777777" w:rsidR="002326BE" w:rsidRDefault="002326BE" w:rsidP="002326BE">
      <w:pPr>
        <w:spacing w:line="360" w:lineRule="auto"/>
        <w:rPr>
          <w:rFonts w:ascii="Arial" w:hAnsi="Arial" w:cs="Arial"/>
          <w:b/>
          <w:bCs/>
          <w:sz w:val="22"/>
          <w:szCs w:val="22"/>
          <w:u w:val="single"/>
        </w:rPr>
      </w:pPr>
    </w:p>
    <w:p w14:paraId="48815BA2" w14:textId="77777777" w:rsidR="002326BE" w:rsidRDefault="002326BE" w:rsidP="002326BE">
      <w:pPr>
        <w:spacing w:line="360" w:lineRule="auto"/>
        <w:rPr>
          <w:rFonts w:ascii="Arial" w:hAnsi="Arial" w:cs="Arial"/>
          <w:b/>
          <w:bCs/>
          <w:sz w:val="22"/>
          <w:szCs w:val="22"/>
          <w:u w:val="single"/>
        </w:rPr>
      </w:pPr>
    </w:p>
    <w:p w14:paraId="25A535E9" w14:textId="77777777" w:rsidR="002326BE" w:rsidRDefault="002326BE" w:rsidP="002326BE">
      <w:pPr>
        <w:spacing w:line="360" w:lineRule="auto"/>
        <w:rPr>
          <w:rFonts w:ascii="Arial" w:hAnsi="Arial" w:cs="Arial"/>
          <w:b/>
          <w:bCs/>
          <w:sz w:val="22"/>
          <w:szCs w:val="22"/>
          <w:u w:val="single"/>
        </w:rPr>
      </w:pPr>
    </w:p>
    <w:p w14:paraId="4E12003D" w14:textId="77777777" w:rsidR="002326BE" w:rsidRDefault="002326BE" w:rsidP="002326BE">
      <w:pPr>
        <w:spacing w:line="360" w:lineRule="auto"/>
        <w:rPr>
          <w:rFonts w:ascii="Arial" w:hAnsi="Arial" w:cs="Arial"/>
          <w:b/>
          <w:bCs/>
          <w:sz w:val="22"/>
          <w:szCs w:val="22"/>
          <w:u w:val="single"/>
        </w:rPr>
      </w:pPr>
    </w:p>
    <w:p w14:paraId="23A000C6" w14:textId="77777777" w:rsidR="002326BE" w:rsidRDefault="002326BE" w:rsidP="002326BE">
      <w:pPr>
        <w:spacing w:line="360" w:lineRule="auto"/>
        <w:rPr>
          <w:rFonts w:ascii="Arial" w:hAnsi="Arial" w:cs="Arial"/>
          <w:b/>
          <w:bCs/>
          <w:sz w:val="22"/>
          <w:szCs w:val="22"/>
          <w:u w:val="single"/>
        </w:rPr>
      </w:pPr>
      <w:r w:rsidRPr="006A0ACD">
        <w:rPr>
          <w:rFonts w:ascii="Arial" w:hAnsi="Arial" w:cs="Arial"/>
          <w:b/>
          <w:bCs/>
          <w:sz w:val="22"/>
          <w:szCs w:val="22"/>
          <w:u w:val="single"/>
        </w:rPr>
        <w:drawing>
          <wp:anchor distT="0" distB="0" distL="114300" distR="114300" simplePos="0" relativeHeight="251658242" behindDoc="1" locked="0" layoutInCell="1" allowOverlap="1" wp14:anchorId="07920833" wp14:editId="085141F4">
            <wp:simplePos x="0" y="0"/>
            <wp:positionH relativeFrom="margin">
              <wp:align>center</wp:align>
            </wp:positionH>
            <wp:positionV relativeFrom="paragraph">
              <wp:posOffset>3355340</wp:posOffset>
            </wp:positionV>
            <wp:extent cx="6256655" cy="2898775"/>
            <wp:effectExtent l="0" t="0" r="0" b="0"/>
            <wp:wrapTight wrapText="bothSides">
              <wp:wrapPolygon edited="0">
                <wp:start x="0" y="0"/>
                <wp:lineTo x="0" y="21434"/>
                <wp:lineTo x="21506" y="21434"/>
                <wp:lineTo x="21506" y="0"/>
                <wp:lineTo x="0" y="0"/>
              </wp:wrapPolygon>
            </wp:wrapTight>
            <wp:docPr id="506688432"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688432" name="Picture 1" descr="A white sheet with black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256655" cy="2898775"/>
                    </a:xfrm>
                    <a:prstGeom prst="rect">
                      <a:avLst/>
                    </a:prstGeom>
                  </pic:spPr>
                </pic:pic>
              </a:graphicData>
            </a:graphic>
            <wp14:sizeRelH relativeFrom="page">
              <wp14:pctWidth>0</wp14:pctWidth>
            </wp14:sizeRelH>
            <wp14:sizeRelV relativeFrom="page">
              <wp14:pctHeight>0</wp14:pctHeight>
            </wp14:sizeRelV>
          </wp:anchor>
        </w:drawing>
      </w:r>
      <w:r w:rsidRPr="00B64EE3">
        <w:rPr>
          <w:rFonts w:ascii="Arial" w:hAnsi="Arial" w:cs="Arial"/>
          <w:b/>
          <w:bCs/>
          <w:sz w:val="22"/>
          <w:szCs w:val="22"/>
          <w:u w:val="single"/>
        </w:rPr>
        <w:drawing>
          <wp:anchor distT="0" distB="0" distL="114300" distR="114300" simplePos="0" relativeHeight="251658241" behindDoc="1" locked="0" layoutInCell="1" allowOverlap="1" wp14:anchorId="305BF4AD" wp14:editId="52C64BD1">
            <wp:simplePos x="0" y="0"/>
            <wp:positionH relativeFrom="column">
              <wp:posOffset>-187440</wp:posOffset>
            </wp:positionH>
            <wp:positionV relativeFrom="paragraph">
              <wp:posOffset>288</wp:posOffset>
            </wp:positionV>
            <wp:extent cx="6055995" cy="3355975"/>
            <wp:effectExtent l="0" t="0" r="1905" b="0"/>
            <wp:wrapTight wrapText="bothSides">
              <wp:wrapPolygon edited="0">
                <wp:start x="0" y="0"/>
                <wp:lineTo x="0" y="21457"/>
                <wp:lineTo x="21539" y="21457"/>
                <wp:lineTo x="21539" y="0"/>
                <wp:lineTo x="0" y="0"/>
              </wp:wrapPolygon>
            </wp:wrapTight>
            <wp:docPr id="1225395456" name="Picture 1" descr="A white and blue pag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395456" name="Picture 1" descr="A white and blue page with black tex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6055995" cy="3355975"/>
                    </a:xfrm>
                    <a:prstGeom prst="rect">
                      <a:avLst/>
                    </a:prstGeom>
                  </pic:spPr>
                </pic:pic>
              </a:graphicData>
            </a:graphic>
            <wp14:sizeRelH relativeFrom="page">
              <wp14:pctWidth>0</wp14:pctWidth>
            </wp14:sizeRelH>
            <wp14:sizeRelV relativeFrom="page">
              <wp14:pctHeight>0</wp14:pctHeight>
            </wp14:sizeRelV>
          </wp:anchor>
        </w:drawing>
      </w:r>
    </w:p>
    <w:p w14:paraId="4C4A72E3" w14:textId="77777777" w:rsidR="002326BE" w:rsidRDefault="002326BE" w:rsidP="002326BE">
      <w:pPr>
        <w:spacing w:line="360" w:lineRule="auto"/>
        <w:rPr>
          <w:rFonts w:ascii="Arial" w:hAnsi="Arial" w:cs="Arial"/>
          <w:b/>
          <w:bCs/>
          <w:sz w:val="22"/>
          <w:szCs w:val="22"/>
          <w:u w:val="single"/>
        </w:rPr>
      </w:pPr>
    </w:p>
    <w:p w14:paraId="5F2648D4" w14:textId="77777777" w:rsidR="002326BE" w:rsidRDefault="002326BE" w:rsidP="002326BE">
      <w:pPr>
        <w:spacing w:line="360" w:lineRule="auto"/>
        <w:rPr>
          <w:rFonts w:ascii="Arial" w:hAnsi="Arial" w:cs="Arial"/>
          <w:b/>
          <w:bCs/>
          <w:sz w:val="22"/>
          <w:szCs w:val="22"/>
          <w:u w:val="single"/>
        </w:rPr>
      </w:pPr>
    </w:p>
    <w:p w14:paraId="5AC4C91A" w14:textId="77777777" w:rsidR="002326BE" w:rsidRDefault="002326BE" w:rsidP="002326BE">
      <w:pPr>
        <w:spacing w:line="360" w:lineRule="auto"/>
        <w:rPr>
          <w:rFonts w:ascii="Arial" w:hAnsi="Arial" w:cs="Arial"/>
          <w:b/>
          <w:bCs/>
          <w:sz w:val="22"/>
          <w:szCs w:val="22"/>
          <w:u w:val="single"/>
        </w:rPr>
      </w:pPr>
    </w:p>
    <w:p w14:paraId="4A63CD5A" w14:textId="77777777" w:rsidR="002326BE" w:rsidRDefault="002326BE" w:rsidP="002326BE">
      <w:pPr>
        <w:spacing w:line="360" w:lineRule="auto"/>
        <w:rPr>
          <w:rFonts w:ascii="Arial" w:hAnsi="Arial" w:cs="Arial"/>
          <w:b/>
          <w:bCs/>
          <w:sz w:val="22"/>
          <w:szCs w:val="22"/>
          <w:u w:val="single"/>
        </w:rPr>
      </w:pPr>
    </w:p>
    <w:p w14:paraId="71C9C68A" w14:textId="77777777" w:rsidR="002326BE" w:rsidRDefault="002326BE" w:rsidP="002326BE">
      <w:pPr>
        <w:spacing w:line="360" w:lineRule="auto"/>
        <w:rPr>
          <w:rFonts w:ascii="Arial" w:hAnsi="Arial" w:cs="Arial"/>
          <w:b/>
          <w:bCs/>
          <w:sz w:val="22"/>
          <w:szCs w:val="22"/>
          <w:u w:val="single"/>
        </w:rPr>
      </w:pPr>
    </w:p>
    <w:p w14:paraId="64D29BF5" w14:textId="77777777" w:rsidR="002326BE" w:rsidRDefault="002326BE" w:rsidP="002326BE">
      <w:pPr>
        <w:spacing w:line="360" w:lineRule="auto"/>
        <w:rPr>
          <w:rFonts w:ascii="Arial" w:hAnsi="Arial" w:cs="Arial"/>
          <w:b/>
          <w:bCs/>
          <w:sz w:val="22"/>
          <w:szCs w:val="22"/>
          <w:u w:val="single"/>
        </w:rPr>
      </w:pPr>
    </w:p>
    <w:p w14:paraId="7EB601B5" w14:textId="77777777" w:rsidR="002326BE" w:rsidRDefault="002326BE" w:rsidP="002326BE">
      <w:pPr>
        <w:spacing w:line="360" w:lineRule="auto"/>
        <w:rPr>
          <w:rFonts w:ascii="Arial" w:hAnsi="Arial" w:cs="Arial"/>
          <w:b/>
          <w:bCs/>
          <w:sz w:val="22"/>
          <w:szCs w:val="22"/>
          <w:u w:val="single"/>
        </w:rPr>
      </w:pPr>
      <w:r>
        <w:rPr>
          <w:rFonts w:ascii="Arial" w:hAnsi="Arial" w:cs="Arial"/>
          <w:b/>
          <w:bCs/>
          <w:sz w:val="22"/>
          <w:szCs w:val="22"/>
          <w:u w:val="single"/>
        </w:rPr>
        <w:t>Appendix 2</w:t>
      </w:r>
    </w:p>
    <w:p w14:paraId="276C78B0" w14:textId="77777777" w:rsidR="002326BE" w:rsidRDefault="002326BE" w:rsidP="002326BE">
      <w:pPr>
        <w:spacing w:line="360" w:lineRule="auto"/>
        <w:rPr>
          <w:rFonts w:ascii="Arial" w:hAnsi="Arial" w:cs="Arial"/>
          <w:b/>
          <w:bCs/>
          <w:sz w:val="22"/>
          <w:szCs w:val="22"/>
          <w:u w:val="single"/>
        </w:rPr>
      </w:pPr>
      <w:r w:rsidRPr="00A430F2">
        <w:rPr>
          <w:rFonts w:ascii="Arial" w:hAnsi="Arial" w:cs="Arial"/>
          <w:b/>
          <w:bCs/>
          <w:sz w:val="22"/>
          <w:szCs w:val="22"/>
          <w:u w:val="single"/>
        </w:rPr>
        <w:drawing>
          <wp:anchor distT="0" distB="0" distL="114300" distR="114300" simplePos="0" relativeHeight="251658243" behindDoc="1" locked="0" layoutInCell="1" allowOverlap="1" wp14:anchorId="1C5768E5" wp14:editId="605FD61B">
            <wp:simplePos x="0" y="0"/>
            <wp:positionH relativeFrom="column">
              <wp:posOffset>0</wp:posOffset>
            </wp:positionH>
            <wp:positionV relativeFrom="paragraph">
              <wp:posOffset>-2829</wp:posOffset>
            </wp:positionV>
            <wp:extent cx="5639587" cy="7297168"/>
            <wp:effectExtent l="0" t="0" r="0" b="0"/>
            <wp:wrapTight wrapText="bothSides">
              <wp:wrapPolygon edited="0">
                <wp:start x="0" y="0"/>
                <wp:lineTo x="0" y="21542"/>
                <wp:lineTo x="21525" y="21542"/>
                <wp:lineTo x="21525" y="0"/>
                <wp:lineTo x="0" y="0"/>
              </wp:wrapPolygon>
            </wp:wrapTight>
            <wp:docPr id="2069270521" name="Picture 1" descr="A diagram of a q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270521" name="Picture 1" descr="A diagram of a qr cod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639587" cy="7297168"/>
                    </a:xfrm>
                    <a:prstGeom prst="rect">
                      <a:avLst/>
                    </a:prstGeom>
                  </pic:spPr>
                </pic:pic>
              </a:graphicData>
            </a:graphic>
            <wp14:sizeRelH relativeFrom="page">
              <wp14:pctWidth>0</wp14:pctWidth>
            </wp14:sizeRelH>
            <wp14:sizeRelV relativeFrom="page">
              <wp14:pctHeight>0</wp14:pctHeight>
            </wp14:sizeRelV>
          </wp:anchor>
        </w:drawing>
      </w:r>
    </w:p>
    <w:p w14:paraId="5D1288CF" w14:textId="77777777" w:rsidR="0000375B" w:rsidRPr="002326BE" w:rsidRDefault="0000375B" w:rsidP="0000375B">
      <w:pPr>
        <w:rPr>
          <w:rFonts w:ascii="Arial" w:hAnsi="Arial" w:cs="Arial"/>
          <w:sz w:val="22"/>
          <w:szCs w:val="22"/>
        </w:rPr>
      </w:pPr>
    </w:p>
    <w:p w14:paraId="3729DB03" w14:textId="77777777" w:rsidR="0000375B" w:rsidRPr="0000375B" w:rsidRDefault="0000375B" w:rsidP="0000375B"/>
    <w:p w14:paraId="00FCD18B" w14:textId="77777777" w:rsidR="000C541C" w:rsidRDefault="000C541C" w:rsidP="00DD5969">
      <w:pPr>
        <w:rPr>
          <w:sz w:val="16"/>
          <w:szCs w:val="16"/>
        </w:rPr>
      </w:pPr>
    </w:p>
    <w:p w14:paraId="6EA9A853" w14:textId="77777777" w:rsidR="0000375B" w:rsidRDefault="0000375B" w:rsidP="00DD5969">
      <w:pPr>
        <w:rPr>
          <w:sz w:val="16"/>
          <w:szCs w:val="16"/>
        </w:rPr>
      </w:pPr>
    </w:p>
    <w:p w14:paraId="32F37250" w14:textId="77777777" w:rsidR="0000375B" w:rsidRPr="00B103B9" w:rsidRDefault="0000375B" w:rsidP="00DD5969">
      <w:pPr>
        <w:rPr>
          <w:sz w:val="16"/>
          <w:szCs w:val="16"/>
        </w:rPr>
      </w:pPr>
    </w:p>
    <w:sectPr w:rsidR="0000375B"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15644"/>
    <w:rsid w:val="0004317F"/>
    <w:rsid w:val="00050F1C"/>
    <w:rsid w:val="00061BBC"/>
    <w:rsid w:val="00063ADC"/>
    <w:rsid w:val="00081FD9"/>
    <w:rsid w:val="000A2E17"/>
    <w:rsid w:val="000A470F"/>
    <w:rsid w:val="000A5027"/>
    <w:rsid w:val="000B7F61"/>
    <w:rsid w:val="000C144A"/>
    <w:rsid w:val="000C541C"/>
    <w:rsid w:val="000C6437"/>
    <w:rsid w:val="000C68CB"/>
    <w:rsid w:val="000D129C"/>
    <w:rsid w:val="000D36AD"/>
    <w:rsid w:val="000D5B34"/>
    <w:rsid w:val="000F448E"/>
    <w:rsid w:val="000F45A6"/>
    <w:rsid w:val="00103819"/>
    <w:rsid w:val="0010406A"/>
    <w:rsid w:val="0010652A"/>
    <w:rsid w:val="001118FB"/>
    <w:rsid w:val="00115538"/>
    <w:rsid w:val="00135DD1"/>
    <w:rsid w:val="00171414"/>
    <w:rsid w:val="001819DF"/>
    <w:rsid w:val="001A3BCB"/>
    <w:rsid w:val="001A5CD0"/>
    <w:rsid w:val="001B086C"/>
    <w:rsid w:val="001B147A"/>
    <w:rsid w:val="001C6E70"/>
    <w:rsid w:val="001F4301"/>
    <w:rsid w:val="001F46B5"/>
    <w:rsid w:val="00220B18"/>
    <w:rsid w:val="002326BE"/>
    <w:rsid w:val="00242AE7"/>
    <w:rsid w:val="00262DC1"/>
    <w:rsid w:val="0029C63E"/>
    <w:rsid w:val="002C05B1"/>
    <w:rsid w:val="002F243A"/>
    <w:rsid w:val="00301906"/>
    <w:rsid w:val="00302BB1"/>
    <w:rsid w:val="00314AD9"/>
    <w:rsid w:val="003341DF"/>
    <w:rsid w:val="00346AFA"/>
    <w:rsid w:val="00347EA1"/>
    <w:rsid w:val="00382546"/>
    <w:rsid w:val="003826D3"/>
    <w:rsid w:val="003A709B"/>
    <w:rsid w:val="003A7B50"/>
    <w:rsid w:val="003D223A"/>
    <w:rsid w:val="00402B72"/>
    <w:rsid w:val="00417AB6"/>
    <w:rsid w:val="00494289"/>
    <w:rsid w:val="004B3841"/>
    <w:rsid w:val="004D474C"/>
    <w:rsid w:val="004D4DCA"/>
    <w:rsid w:val="004F4ADF"/>
    <w:rsid w:val="00533EF6"/>
    <w:rsid w:val="00535A9D"/>
    <w:rsid w:val="00536CFB"/>
    <w:rsid w:val="00542258"/>
    <w:rsid w:val="00543F5E"/>
    <w:rsid w:val="0054782D"/>
    <w:rsid w:val="00567B6D"/>
    <w:rsid w:val="00584970"/>
    <w:rsid w:val="005A1368"/>
    <w:rsid w:val="005A7544"/>
    <w:rsid w:val="005B783A"/>
    <w:rsid w:val="005E5D1A"/>
    <w:rsid w:val="005F42D0"/>
    <w:rsid w:val="005F7C42"/>
    <w:rsid w:val="0062310A"/>
    <w:rsid w:val="00635CA9"/>
    <w:rsid w:val="00647445"/>
    <w:rsid w:val="00664B16"/>
    <w:rsid w:val="0067015A"/>
    <w:rsid w:val="006B52C3"/>
    <w:rsid w:val="006C3953"/>
    <w:rsid w:val="006C742C"/>
    <w:rsid w:val="006F331B"/>
    <w:rsid w:val="006F424A"/>
    <w:rsid w:val="007203C3"/>
    <w:rsid w:val="007352C0"/>
    <w:rsid w:val="00743752"/>
    <w:rsid w:val="0078123B"/>
    <w:rsid w:val="007A0585"/>
    <w:rsid w:val="007BAF3C"/>
    <w:rsid w:val="007D3AE1"/>
    <w:rsid w:val="007E01E0"/>
    <w:rsid w:val="007E0249"/>
    <w:rsid w:val="00803155"/>
    <w:rsid w:val="00815702"/>
    <w:rsid w:val="00816B7A"/>
    <w:rsid w:val="00840BEE"/>
    <w:rsid w:val="008513D3"/>
    <w:rsid w:val="00851EDB"/>
    <w:rsid w:val="008709B4"/>
    <w:rsid w:val="008749B9"/>
    <w:rsid w:val="008E7CBB"/>
    <w:rsid w:val="008F1086"/>
    <w:rsid w:val="009060A0"/>
    <w:rsid w:val="0091355A"/>
    <w:rsid w:val="0091626D"/>
    <w:rsid w:val="00917008"/>
    <w:rsid w:val="00935B8D"/>
    <w:rsid w:val="00970EDF"/>
    <w:rsid w:val="009746B9"/>
    <w:rsid w:val="009B164A"/>
    <w:rsid w:val="009D70DF"/>
    <w:rsid w:val="00A23D6E"/>
    <w:rsid w:val="00A2718E"/>
    <w:rsid w:val="00A91CEB"/>
    <w:rsid w:val="00AD7313"/>
    <w:rsid w:val="00AE2AA9"/>
    <w:rsid w:val="00AE3307"/>
    <w:rsid w:val="00AF3ED6"/>
    <w:rsid w:val="00B028A8"/>
    <w:rsid w:val="00B103B9"/>
    <w:rsid w:val="00B214FA"/>
    <w:rsid w:val="00B22AC6"/>
    <w:rsid w:val="00B23EAD"/>
    <w:rsid w:val="00B44F74"/>
    <w:rsid w:val="00B51B61"/>
    <w:rsid w:val="00B724BB"/>
    <w:rsid w:val="00B74E61"/>
    <w:rsid w:val="00BB0D8C"/>
    <w:rsid w:val="00BE2A35"/>
    <w:rsid w:val="00BE3554"/>
    <w:rsid w:val="00C129B8"/>
    <w:rsid w:val="00C1306D"/>
    <w:rsid w:val="00C24461"/>
    <w:rsid w:val="00C2550A"/>
    <w:rsid w:val="00C30004"/>
    <w:rsid w:val="00C4699D"/>
    <w:rsid w:val="00C83508"/>
    <w:rsid w:val="00C86756"/>
    <w:rsid w:val="00CB5BA1"/>
    <w:rsid w:val="00CF32AC"/>
    <w:rsid w:val="00D00BDB"/>
    <w:rsid w:val="00D24ADF"/>
    <w:rsid w:val="00D26517"/>
    <w:rsid w:val="00DC55F3"/>
    <w:rsid w:val="00DD51D6"/>
    <w:rsid w:val="00DD5969"/>
    <w:rsid w:val="00DD7A1A"/>
    <w:rsid w:val="00DD7D2B"/>
    <w:rsid w:val="00DD7E32"/>
    <w:rsid w:val="00DE6A73"/>
    <w:rsid w:val="00E10797"/>
    <w:rsid w:val="00E243A8"/>
    <w:rsid w:val="00E6747C"/>
    <w:rsid w:val="00E81886"/>
    <w:rsid w:val="00E8649A"/>
    <w:rsid w:val="00E96E99"/>
    <w:rsid w:val="00EA0B9A"/>
    <w:rsid w:val="00EA15D1"/>
    <w:rsid w:val="00EA3BDC"/>
    <w:rsid w:val="00EA6220"/>
    <w:rsid w:val="00EC1771"/>
    <w:rsid w:val="00ED5042"/>
    <w:rsid w:val="00EE53D0"/>
    <w:rsid w:val="00F07261"/>
    <w:rsid w:val="00F10D31"/>
    <w:rsid w:val="00F332A7"/>
    <w:rsid w:val="00F8089C"/>
    <w:rsid w:val="00F87060"/>
    <w:rsid w:val="00FB6166"/>
    <w:rsid w:val="0B2E4680"/>
    <w:rsid w:val="0F6D2BE8"/>
    <w:rsid w:val="16A79AB2"/>
    <w:rsid w:val="21370683"/>
    <w:rsid w:val="26C720BD"/>
    <w:rsid w:val="3C09DF85"/>
    <w:rsid w:val="3C752A85"/>
    <w:rsid w:val="3FB95244"/>
    <w:rsid w:val="4484C486"/>
    <w:rsid w:val="5887D9A5"/>
    <w:rsid w:val="631C50E4"/>
    <w:rsid w:val="6A18BD86"/>
    <w:rsid w:val="6AD29625"/>
    <w:rsid w:val="76E37BB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8BC50708-234A-4142-8D02-F42FD29CF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6" ma:contentTypeDescription="Create a new document." ma:contentTypeScope="" ma:versionID="3bcc923a7216b91bd816b37ae2865924">
  <xsd:schema xmlns:xsd="http://www.w3.org/2001/XMLSchema" xmlns:xs="http://www.w3.org/2001/XMLSchema" xmlns:p="http://schemas.microsoft.com/office/2006/metadata/properties" xmlns:ns3="170d7878-6d73-463a-a069-a6c57769e00c" targetNamespace="http://schemas.microsoft.com/office/2006/metadata/properties" ma:root="true" ma:fieldsID="21f587443f7796d6876c27fb2c9bd225"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67D82A1C-D5E7-4ACD-BD1F-3FCA85F3E7A4}">
  <ds:schemaRefs>
    <ds:schemaRef ds:uri="http://schemas.microsoft.com/sharepoint/v3/contenttype/forms"/>
  </ds:schemaRefs>
</ds:datastoreItem>
</file>

<file path=customXml/itemProps2.xml><?xml version="1.0" encoding="utf-8"?>
<ds:datastoreItem xmlns:ds="http://schemas.openxmlformats.org/officeDocument/2006/customXml" ds:itemID="{F42B6D47-E7AC-47FF-BE5D-E61EDF4083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638CFDB-50FC-4C60-8B52-570E73DC2037}">
  <ds:schemaRefs>
    <ds:schemaRef ds:uri="http://schemas.microsoft.com/office/2006/metadata/properties"/>
    <ds:schemaRef ds:uri="http://schemas.microsoft.com/office/infopath/2007/PartnerControls"/>
    <ds:schemaRef ds:uri="170d7878-6d73-463a-a069-a6c57769e00c"/>
  </ds:schemaRefs>
</ds:datastoreItem>
</file>

<file path=docProps/app.xml><?xml version="1.0" encoding="utf-8"?>
<Properties xmlns="http://schemas.openxmlformats.org/officeDocument/2006/extended-properties" xmlns:vt="http://schemas.openxmlformats.org/officeDocument/2006/docPropsVTypes">
  <Template>Normal.dotm</Template>
  <TotalTime>415</TotalTime>
  <Pages>1</Pages>
  <Words>4206</Words>
  <Characters>23976</Characters>
  <Application>Microsoft Office Word</Application>
  <DocSecurity>4</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Emily Hopkins</cp:lastModifiedBy>
  <cp:revision>59</cp:revision>
  <dcterms:created xsi:type="dcterms:W3CDTF">2025-02-20T21:12:00Z</dcterms:created>
  <dcterms:modified xsi:type="dcterms:W3CDTF">2025-03-03T18:24:00Z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