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26CB12EC" w:rsidP="35AE30FB" w:rsidRDefault="26CB12EC" w14:paraId="2042764B" w14:textId="0EDCD6F1">
      <w:pPr>
        <w:jc w:val="center"/>
      </w:pPr>
      <w:r w:rsidRPr="35AE30FB" w:rsidR="26CB12EC">
        <w:rPr>
          <w:u w:val="single"/>
        </w:rPr>
        <w:t>The Impact of Partnership Working and Information Sharing on Policing Practice</w:t>
      </w:r>
      <w:r w:rsidRPr="35AE30FB" w:rsidR="26CB12EC">
        <w:rPr>
          <w:u w:val="single"/>
        </w:rPr>
        <w:t xml:space="preserve"> </w:t>
      </w:r>
    </w:p>
    <w:p w:rsidR="35AE30FB" w:rsidP="35AE30FB" w:rsidRDefault="35AE30FB" w14:paraId="3F303BCE" w14:textId="656B1381">
      <w:pPr>
        <w:pStyle w:val="Normal"/>
        <w:jc w:val="center"/>
        <w:rPr>
          <w:u w:val="single"/>
        </w:rPr>
      </w:pPr>
    </w:p>
    <w:p w:rsidR="7268ED4E" w:rsidP="35AE30FB" w:rsidRDefault="7268ED4E" w14:paraId="500784B6" w14:textId="25D778FE">
      <w:pPr>
        <w:pStyle w:val="Normal"/>
      </w:pPr>
      <w:r w:rsidR="7268ED4E">
        <w:rPr/>
        <w:t xml:space="preserve">In modern law enforcement, the dynamics of crime and security challenges </w:t>
      </w:r>
      <w:r w:rsidR="7268ED4E">
        <w:rPr/>
        <w:t>necessitate</w:t>
      </w:r>
      <w:r w:rsidR="7268ED4E">
        <w:rPr/>
        <w:t xml:space="preserve"> collaborative approaches that extend beyond traditional policing boundaries. This essay explores the profound implications of partnership working and information sharing in shaping policing practice, emphasizing the pivotal role of effective communication within these frameworks. By examining both successful collaborations and notorious failures, such as the tragic case of Baby P and the Yorkshire Ripper investigation, along with examples of </w:t>
      </w:r>
      <w:r w:rsidR="7268ED4E">
        <w:rPr/>
        <w:t>good communication</w:t>
      </w:r>
      <w:r w:rsidR="7268ED4E">
        <w:rPr/>
        <w:t xml:space="preserve"> exemplified by collaborative efforts in resolving armed robberies and community policing initiatives, this paper </w:t>
      </w:r>
      <w:r w:rsidR="7268ED4E">
        <w:rPr/>
        <w:t>seeks</w:t>
      </w:r>
      <w:r w:rsidR="7268ED4E">
        <w:rPr/>
        <w:t xml:space="preserve"> to underscore the importance of communication in </w:t>
      </w:r>
      <w:r w:rsidR="7268ED4E">
        <w:rPr/>
        <w:t>optimizing</w:t>
      </w:r>
      <w:r w:rsidR="7268ED4E">
        <w:rPr/>
        <w:t xml:space="preserve"> law enforcement outcomes. </w:t>
      </w:r>
      <w:r w:rsidR="7268ED4E">
        <w:rPr/>
        <w:t xml:space="preserve"> </w:t>
      </w:r>
    </w:p>
    <w:p w:rsidR="7268ED4E" w:rsidP="35AE30FB" w:rsidRDefault="7268ED4E" w14:paraId="5FC8B5F5" w14:textId="0456B998">
      <w:pPr>
        <w:pStyle w:val="Normal"/>
      </w:pPr>
      <w:r w:rsidR="7268ED4E">
        <w:rPr/>
        <w:t xml:space="preserve"> </w:t>
      </w:r>
      <w:r w:rsidR="2C61AF9F">
        <w:rPr/>
        <w:t xml:space="preserve">Partnership working in policing is like orchestrating a symphony of collaboration among law enforcement agencies, government bodies, community organizations, and various stakeholders. </w:t>
      </w:r>
      <w:r w:rsidR="2C61AF9F">
        <w:rPr/>
        <w:t>It's</w:t>
      </w:r>
      <w:r w:rsidR="2C61AF9F">
        <w:rPr/>
        <w:t xml:space="preserve"> about breaking down the barriers that separate us and coming together to face complex challenges such as organized crime, terrorism, and community safety. Imagine a web of interconnectedness where each strand </w:t>
      </w:r>
      <w:r w:rsidR="2C61AF9F">
        <w:rPr/>
        <w:t>represents</w:t>
      </w:r>
      <w:r w:rsidR="2C61AF9F">
        <w:rPr/>
        <w:t xml:space="preserve"> a different entity, all weaving together to create a stronger, more resilient fabric of security and protection. </w:t>
      </w:r>
      <w:r w:rsidR="2C61AF9F">
        <w:rPr/>
        <w:t>It's</w:t>
      </w:r>
      <w:r w:rsidR="2C61AF9F">
        <w:rPr/>
        <w:t xml:space="preserve"> about </w:t>
      </w:r>
      <w:r w:rsidR="2C61AF9F">
        <w:rPr/>
        <w:t>leveraging</w:t>
      </w:r>
      <w:r w:rsidR="2C61AF9F">
        <w:rPr/>
        <w:t xml:space="preserve"> the unique strengths and resources of each participant to achieve shared goals and make our communities safer and more secure.</w:t>
      </w:r>
    </w:p>
    <w:p w:rsidR="7268ED4E" w:rsidP="35AE30FB" w:rsidRDefault="7268ED4E" w14:paraId="3BF9D588" w14:textId="7C06F43D">
      <w:pPr>
        <w:pStyle w:val="Normal"/>
      </w:pPr>
      <w:r w:rsidR="7268ED4E">
        <w:rPr/>
        <w:t>For instance, the establishment of Joint Terrorism Task Forces (JTTFs) in the United States exemplifies the efficacy of partnership working in countering terrorism. These task forces bring together federal, state, and local law enforcement agencies, along with intelligence organizations, to share intelligence, conduct investigations, and disrupt terrorist activities. Through seamless collaboration and information sharing, JTTFs have played a pivotal role in preventing terrorist attacks and safeguarding national security.</w:t>
      </w:r>
    </w:p>
    <w:p w:rsidR="7268ED4E" w:rsidP="35AE30FB" w:rsidRDefault="7268ED4E" w14:paraId="4B701E83" w14:textId="5680DF4A">
      <w:pPr>
        <w:pStyle w:val="Normal"/>
      </w:pPr>
      <w:r w:rsidR="7268ED4E">
        <w:rPr/>
        <w:t xml:space="preserve"> </w:t>
      </w:r>
      <w:r w:rsidR="7268ED4E">
        <w:rPr/>
        <w:t xml:space="preserve"> </w:t>
      </w:r>
    </w:p>
    <w:p w:rsidR="535FF047" w:rsidP="35AE30FB" w:rsidRDefault="535FF047" w14:paraId="74645E0E" w14:textId="3F347515">
      <w:pPr>
        <w:pStyle w:val="Normal"/>
      </w:pPr>
      <w:r w:rsidR="535FF047">
        <w:rPr/>
        <w:t xml:space="preserve">Information sharing in policing is like the bloodstream that keeps law enforcement operations running smoothly. </w:t>
      </w:r>
      <w:r w:rsidR="535FF047">
        <w:rPr/>
        <w:t>It's</w:t>
      </w:r>
      <w:r w:rsidR="535FF047">
        <w:rPr/>
        <w:t xml:space="preserve"> all about making sure that valuable intelligence, situational awareness, and strategic insights flow seamlessly across different areas and departments.  In today's digital age, technology has revolutionized how information is shared, giving law enforcement agencies access to real-time databases, advanced analytical tools, and instant communication platforms. This means that crucial data can be accessed and acted upon more quickly than ever before. But for information sharing to work effectively, </w:t>
      </w:r>
      <w:r w:rsidR="535FF047">
        <w:rPr/>
        <w:t>it's</w:t>
      </w:r>
      <w:r w:rsidR="535FF047">
        <w:rPr/>
        <w:t xml:space="preserve"> essential to have strong protocols and secure networks in place. This ensures that sensitive information is protected and that everyone's privacy and civil liberties are respected. Beyond technology, effective information sharing is also about building trust and collaboration among agencies. </w:t>
      </w:r>
      <w:r w:rsidR="535FF047">
        <w:rPr/>
        <w:t>It's</w:t>
      </w:r>
      <w:r w:rsidR="535FF047">
        <w:rPr/>
        <w:t xml:space="preserve"> about being open and transparent, sharing not just the facts but also the reasoning behind decisions. By working together and pooling resources, law enforcement can better tackle complex challenges and keep our communities safe.</w:t>
      </w:r>
      <w:r w:rsidR="7268ED4E">
        <w:rPr/>
        <w:t xml:space="preserve"> </w:t>
      </w:r>
    </w:p>
    <w:p w:rsidR="35AE30FB" w:rsidP="35AE30FB" w:rsidRDefault="35AE30FB" w14:paraId="1B43CD95" w14:textId="242B56D9">
      <w:pPr>
        <w:pStyle w:val="Normal"/>
      </w:pPr>
    </w:p>
    <w:p w:rsidR="7268ED4E" w:rsidP="35AE30FB" w:rsidRDefault="7268ED4E" w14:paraId="7256DA84" w14:textId="0BBFDA0A">
      <w:pPr>
        <w:pStyle w:val="Normal"/>
      </w:pPr>
      <w:r w:rsidR="7268ED4E">
        <w:rPr/>
        <w:t xml:space="preserve"> </w:t>
      </w:r>
      <w:r w:rsidR="314DACB8">
        <w:rPr/>
        <w:t xml:space="preserve">Effective communication is the heartbeat of partnership working and information sharing in policing, acting as the linchpin that holds together the intricate network of collaboration. It serves as the foundation upon which trust, transparency, and collaboration among stakeholders are built. Picture a finely tuned orchestra, where each instrument </w:t>
      </w:r>
      <w:r w:rsidR="314DACB8">
        <w:rPr/>
        <w:t>represents</w:t>
      </w:r>
      <w:r w:rsidR="314DACB8">
        <w:rPr/>
        <w:t xml:space="preserve"> a different entity within the policing ecosystem. Just as a conductor ensures harmony among the musicians, effective communication ensures cohesion among stakeholders. Clear and </w:t>
      </w:r>
      <w:r w:rsidR="314DACB8">
        <w:rPr/>
        <w:t>timely</w:t>
      </w:r>
      <w:r w:rsidR="314DACB8">
        <w:rPr/>
        <w:t xml:space="preserve"> communication is like the conductor's baton, guiding the flow of information and </w:t>
      </w:r>
      <w:r w:rsidR="314DACB8">
        <w:rPr/>
        <w:t>facilitating</w:t>
      </w:r>
      <w:r w:rsidR="314DACB8">
        <w:rPr/>
        <w:t xml:space="preserve"> a shared understanding of goals, priorities, and responsibilities. </w:t>
      </w:r>
      <w:r w:rsidR="314DACB8">
        <w:rPr/>
        <w:t>It's</w:t>
      </w:r>
      <w:r w:rsidR="314DACB8">
        <w:rPr/>
        <w:t xml:space="preserve"> about more than just exchanging messages; </w:t>
      </w:r>
      <w:r w:rsidR="314DACB8">
        <w:rPr/>
        <w:t>it's</w:t>
      </w:r>
      <w:r w:rsidR="314DACB8">
        <w:rPr/>
        <w:t xml:space="preserve"> about ensuring that everyone is on the same page, working towards a common purpose. This shared understanding allows partners to align their strategies, </w:t>
      </w:r>
      <w:r w:rsidR="314DACB8">
        <w:rPr/>
        <w:t>allocate</w:t>
      </w:r>
      <w:r w:rsidR="314DACB8">
        <w:rPr/>
        <w:t xml:space="preserve"> resources judiciously, and coordinate actions seamlessly. Think of effective communication as the glue that binds partnerships together, fostering a sense of unity and collective purpose. When stakeholders communicate openly and transparently, they build trust and confidence in one another's abilities. This trust forms the bedrock upon which successful collaborations are built, enabling partners to navigate challenges with agility and resilience.</w:t>
      </w:r>
      <w:r w:rsidR="7268ED4E">
        <w:rPr/>
        <w:t xml:space="preserve"> </w:t>
      </w:r>
    </w:p>
    <w:p w:rsidR="7268ED4E" w:rsidP="35AE30FB" w:rsidRDefault="7268ED4E" w14:paraId="30A4B3C5" w14:textId="482B3F49">
      <w:pPr>
        <w:pStyle w:val="Normal"/>
      </w:pPr>
      <w:r w:rsidR="7268ED4E">
        <w:rPr/>
        <w:t xml:space="preserve"> </w:t>
      </w:r>
    </w:p>
    <w:p w:rsidR="7268ED4E" w:rsidP="35AE30FB" w:rsidRDefault="7268ED4E" w14:paraId="5549F4AB" w14:textId="65D8885E">
      <w:pPr>
        <w:pStyle w:val="Normal"/>
      </w:pPr>
      <w:r w:rsidR="7268ED4E">
        <w:rPr/>
        <w:t>A</w:t>
      </w:r>
      <w:r w:rsidR="47C78A53">
        <w:rPr/>
        <w:t>n</w:t>
      </w:r>
      <w:r w:rsidR="7268ED4E">
        <w:rPr/>
        <w:t xml:space="preserve"> example of effective communication in policing can be found in the successful resolution of a complex criminal investigation through seamless collaboration and information sharing among multiple agencies. For instance, the apprehension of a transnational drug trafficking syndicate involved close coordination between law enforcement agencies, intelligence services, and international partners. Through regular briefings, joint operations, and information exchanges, the collaborative efforts led to the dismantling of the criminal network and the seizure of illicit drugs worth millions of dollars. This exemplifies how effective communication can yield tangible results in combating organized crime and enhancing public safety.</w:t>
      </w:r>
      <w:r w:rsidR="7268ED4E">
        <w:rPr/>
        <w:t xml:space="preserve"> </w:t>
      </w:r>
    </w:p>
    <w:p w:rsidR="7268ED4E" w:rsidP="35AE30FB" w:rsidRDefault="7268ED4E" w14:paraId="4F0EBA8E" w14:textId="71590BF7">
      <w:pPr>
        <w:pStyle w:val="Normal"/>
      </w:pPr>
      <w:r w:rsidR="7268ED4E">
        <w:rPr/>
        <w:t xml:space="preserve">In addition to the successful resolution of criminal investigations, effective communication also plays a pivotal role in community policing initiatives aimed at fostering trust and cooperation between law enforcement agencies and the communities they serve. For example, the implementation of community policing programs, such as </w:t>
      </w:r>
      <w:r w:rsidR="173E1A4A">
        <w:rPr/>
        <w:t>neighbourhood</w:t>
      </w:r>
      <w:r w:rsidR="7268ED4E">
        <w:rPr/>
        <w:t xml:space="preserve"> watch initiatives and community forums, relies on open communication channels between police officers and residents. By engaging in dialogue, sharing information, and collaborating on problem-solving, law enforcement agencies can build stronger relationships with communities, enhance public safety, and prevent crime.</w:t>
      </w:r>
    </w:p>
    <w:p w:rsidR="35AE30FB" w:rsidP="35AE30FB" w:rsidRDefault="35AE30FB" w14:paraId="20EECA96" w14:textId="2D0132EB">
      <w:pPr>
        <w:pStyle w:val="Normal"/>
      </w:pPr>
    </w:p>
    <w:p w:rsidR="340055B9" w:rsidP="35AE30FB" w:rsidRDefault="340055B9" w14:paraId="7E968388" w14:textId="0D11650B">
      <w:pPr>
        <w:pStyle w:val="Normal"/>
      </w:pPr>
      <w:r w:rsidR="340055B9">
        <w:rPr/>
        <w:t xml:space="preserve">In stark contrast, the tragic case of Baby P in the United Kingdom serves as a poignant and harrowing reminder of the devastating impact of communication failures within the child protection system. Baby P, whose real name was Peter Connelly, endured unimaginable suffering because of prolonged abuse and neglect, despite being known to multiple agencies tasked with safeguarding his well-being. A detailed examination of Baby P's case unveils a disturbing narrative of systemic breakdowns and missed opportunities at every level of the child protection system. Despite </w:t>
      </w:r>
      <w:r w:rsidR="340055B9">
        <w:rPr/>
        <w:t>numerous</w:t>
      </w:r>
      <w:r w:rsidR="340055B9">
        <w:rPr/>
        <w:t xml:space="preserve"> red flags and warning signs </w:t>
      </w:r>
      <w:r w:rsidR="340055B9">
        <w:rPr/>
        <w:t>indicating</w:t>
      </w:r>
      <w:r w:rsidR="340055B9">
        <w:rPr/>
        <w:t xml:space="preserve"> the dire circumstances in which Baby P was living, communication failures among social services, healthcare professionals, and law enforcement agencies thwarted efforts to intervene and protect the vulnerable child.</w:t>
      </w:r>
    </w:p>
    <w:p w:rsidR="340055B9" w:rsidP="35AE30FB" w:rsidRDefault="340055B9" w14:paraId="6EA5E23B" w14:textId="68BFEB74">
      <w:pPr>
        <w:pStyle w:val="Normal"/>
      </w:pPr>
      <w:r w:rsidR="340055B9">
        <w:rPr/>
        <w:t xml:space="preserve">Critical reviews and investigations following Baby P's tragic death unveiled a web of communication breakdowns, bureaucratic inefficiencies, and institutional complacency that contributed to the systemic failure to safeguard the child. Information that could have potentially saved Baby P's life was not effectively shared or acted upon, leading to tragic consequences that reverberated throughout the community and shocked the nation. </w:t>
      </w:r>
      <w:r w:rsidR="2E1DF177">
        <w:rPr/>
        <w:t>T</w:t>
      </w:r>
      <w:r w:rsidR="340055B9">
        <w:rPr/>
        <w:t>he case exposed deep-rooted cultural and systemic issues within the child protection system, including a lack of accountability, inadequate training, and a failure to prioritize the welfare of vulnerable children. These shortcomings underscored the urgent need for comprehensive reforms and systemic changes to prevent similar tragedies from occurring in the future.</w:t>
      </w:r>
    </w:p>
    <w:p w:rsidR="340055B9" w:rsidP="35AE30FB" w:rsidRDefault="340055B9" w14:paraId="168F56FB" w14:textId="61F3E338">
      <w:pPr>
        <w:pStyle w:val="Normal"/>
      </w:pPr>
      <w:r w:rsidR="340055B9">
        <w:rPr/>
        <w:t xml:space="preserve">In the aftermath of Baby P's death, the case prompted soul-searching and soul-wrenching questions about the efficacy and integrity of the child protection system. It served as a catalyst for renewed efforts to overhaul policies, strengthen safeguards, and improve communication protocols to ensure that vulnerable children are </w:t>
      </w:r>
      <w:r w:rsidR="340055B9">
        <w:rPr/>
        <w:t>identified</w:t>
      </w:r>
      <w:r w:rsidR="340055B9">
        <w:rPr/>
        <w:t>, supported, and protected from harm. Baby P's story serves as a stark reminder of the profound responsibility borne by society to protect its most vulnerable members. It underscores the imperative for unwavering vigilance, relentless advocacy, and steadfast commitment to safeguarding the welfare and rights of all children, ensuring that tragedies like Baby P's are never allowed to happen again.</w:t>
      </w:r>
    </w:p>
    <w:p w:rsidR="35AE30FB" w:rsidP="35AE30FB" w:rsidRDefault="35AE30FB" w14:paraId="3BACF600" w14:textId="75A2E921">
      <w:pPr>
        <w:pStyle w:val="Normal"/>
      </w:pPr>
    </w:p>
    <w:p w:rsidR="4F277857" w:rsidP="35AE30FB" w:rsidRDefault="4F277857" w14:paraId="0715AA95" w14:textId="2989F554">
      <w:pPr>
        <w:pStyle w:val="Normal"/>
      </w:pPr>
      <w:r w:rsidR="4F277857">
        <w:rPr/>
        <w:t>Similarly, the Yorkshire Ripper investigation in the United Kingdom during the 1970s serves as a stark reminder of the dire consequences of communication failures within law enforcement agencies. The hunt for the serial killer responsible for the murders of at least 13 women was marked by extensive efforts, yet marred by systemic breakdowns in communication, tunnel vision, and entrenched biases that hindered progress at every turn. Despite the wealth of critical information gleaned from witness testimonies, forensic evidence, and behavioural analysis, the lack of effective sharing and integration of this data proved to be a fatal flaw in the investigation. Compartmentalization within law enforcement agencies prevented the holistic analysis of evidence and the recognition of patterns that could have led to the apprehension of the perpetrator sooner. Moreover, tunnel vision and biases among investigators narrowed the focus of the investigation, leading to the dismissal of potentially relevant information and the exclusion of alternative hypotheses. This myopic approach not only impeded the pursuit of justice but also prolonged the agony and uncertainty for the victims' families and the wider community.</w:t>
      </w:r>
    </w:p>
    <w:p w:rsidR="4F277857" w:rsidP="35AE30FB" w:rsidRDefault="4F277857" w14:paraId="027710EA" w14:textId="0754D235">
      <w:pPr>
        <w:pStyle w:val="Normal"/>
      </w:pPr>
      <w:r w:rsidR="4F277857">
        <w:rPr/>
        <w:t>As a result, critical opportunities to intervene and prevent further tragedy were missed, allowing the Yorkshire Ripper to continue his reign of terror unchecked for years. The failure to effectively communicate and collaborate across agencies not only compromised the integrity of the investigation but also eroded public trust in law enforcement's ability to protect and serve. The Yorkshire Ripper case stands as a sobering reminder of the paramount importance of communication, cooperation, and information sharing in law enforcement. It underscores the need for agencies to break down silos, foster a culture of openness and collaboration, and prioritize the collective pursuit of justice above individual interests. Only by learning from past mistakes and embracing a collaborative approach can law enforcement agencies hope to prevent similar tragedies in the future and restore public confidence in their ability to keep communities safe.</w:t>
      </w:r>
    </w:p>
    <w:p w:rsidR="35AE30FB" w:rsidP="35AE30FB" w:rsidRDefault="35AE30FB" w14:paraId="4B891DF5" w14:textId="1FBB8930">
      <w:pPr>
        <w:pStyle w:val="Normal"/>
      </w:pPr>
    </w:p>
    <w:p w:rsidR="7268ED4E" w:rsidP="35AE30FB" w:rsidRDefault="7268ED4E" w14:paraId="0E264812" w14:textId="72AB8217">
      <w:pPr>
        <w:pStyle w:val="Normal"/>
      </w:pPr>
      <w:r w:rsidR="7268ED4E">
        <w:rPr/>
        <w:t xml:space="preserve">In conclusion, partnership </w:t>
      </w:r>
      <w:r w:rsidR="18DC8B79">
        <w:rPr/>
        <w:t>working,</w:t>
      </w:r>
      <w:r w:rsidR="7268ED4E">
        <w:rPr/>
        <w:t xml:space="preserve"> and information sharing are indispensable components of modern policing, offering significant benefits in crime prevention, investigation, and community engagement. However, the effectiveness of these approaches hinges on the presence of effective communication mechanisms that foster trust, transparency, and collaboration among stakeholders. While successful collaborations </w:t>
      </w:r>
      <w:r w:rsidR="7268ED4E">
        <w:rPr/>
        <w:t>demonstrate</w:t>
      </w:r>
      <w:r w:rsidR="7268ED4E">
        <w:rPr/>
        <w:t xml:space="preserve"> the positive outcomes that can be achieved through coordinated efforts and shared intelligence, tragic incidents such as the case of Baby P and the Yorkshire Ripper investigation underscore the devastating consequences of communication failures within the criminal justice system. Moving forward, it is imperative for law enforcement agencies and partner organizations to prioritize communication skills, implement robust information-sharing protocols, and learn from past mistakes to build more resilient and responsive policing practices.</w:t>
      </w:r>
    </w:p>
    <w:p w:rsidR="35AE30FB" w:rsidP="35AE30FB" w:rsidRDefault="35AE30FB" w14:paraId="4B1F2B29" w14:textId="486D42C8">
      <w:pPr>
        <w:pStyle w:val="Normal"/>
      </w:pPr>
    </w:p>
    <w:p w:rsidR="35AE30FB" w:rsidP="35AE30FB" w:rsidRDefault="35AE30FB" w14:paraId="1C0384D5" w14:textId="51EE366F">
      <w:pPr>
        <w:pStyle w:val="Normal"/>
      </w:pPr>
    </w:p>
    <w:p w:rsidR="35AE30FB" w:rsidP="35AE30FB" w:rsidRDefault="35AE30FB" w14:paraId="7DD70B74" w14:textId="573A8EEA">
      <w:pPr>
        <w:pStyle w:val="Normal"/>
      </w:pPr>
    </w:p>
    <w:p w:rsidR="35AE30FB" w:rsidP="35AE30FB" w:rsidRDefault="35AE30FB" w14:paraId="0B0FBAC2" w14:textId="2B9753B7">
      <w:pPr>
        <w:pStyle w:val="Normal"/>
      </w:pPr>
    </w:p>
    <w:p w:rsidR="35AE30FB" w:rsidP="35AE30FB" w:rsidRDefault="35AE30FB" w14:paraId="497FF3A8" w14:textId="0D32DA3D">
      <w:pPr>
        <w:pStyle w:val="Normal"/>
      </w:pPr>
    </w:p>
    <w:p w:rsidR="35AE30FB" w:rsidP="35AE30FB" w:rsidRDefault="35AE30FB" w14:paraId="456F3435" w14:textId="7AB84BAF">
      <w:pPr>
        <w:pStyle w:val="Normal"/>
      </w:pPr>
    </w:p>
    <w:p w:rsidR="35AE30FB" w:rsidP="35AE30FB" w:rsidRDefault="35AE30FB" w14:paraId="326DC9E9" w14:textId="1578D001">
      <w:pPr>
        <w:pStyle w:val="Normal"/>
      </w:pPr>
    </w:p>
    <w:p w:rsidR="35AE30FB" w:rsidP="35AE30FB" w:rsidRDefault="35AE30FB" w14:paraId="6E506EDF" w14:textId="5355F3E9">
      <w:pPr>
        <w:pStyle w:val="Normal"/>
      </w:pPr>
    </w:p>
    <w:p w:rsidR="35AE30FB" w:rsidP="35AE30FB" w:rsidRDefault="35AE30FB" w14:paraId="1E3EF836" w14:textId="0A46A42F">
      <w:pPr>
        <w:pStyle w:val="Normal"/>
      </w:pPr>
    </w:p>
    <w:p w:rsidR="79D619ED" w:rsidP="35AE30FB" w:rsidRDefault="79D619ED" w14:paraId="37B804C8" w14:textId="3D296559">
      <w:pPr>
        <w:pStyle w:val="Normal"/>
      </w:pPr>
      <w:r w:rsidR="79D619ED">
        <w:rPr/>
        <w:t>Reference:</w:t>
      </w:r>
    </w:p>
    <w:p w:rsidR="68386218" w:rsidP="35AE30FB" w:rsidRDefault="68386218" w14:paraId="62CDC173" w14:textId="401F7A90">
      <w:pPr>
        <w:pStyle w:val="Normal"/>
      </w:pPr>
      <w:r w:rsidR="68386218">
        <w:rPr/>
        <w:t xml:space="preserve"> </w:t>
      </w:r>
    </w:p>
    <w:p w:rsidR="68386218" w:rsidP="35AE30FB" w:rsidRDefault="68386218" w14:paraId="31CBA26B" w14:textId="152089FD">
      <w:pPr>
        <w:pStyle w:val="Normal"/>
      </w:pPr>
      <w:r w:rsidR="68386218">
        <w:rPr/>
        <w:t>1. Bayley, D. H. (2008). What Works in Policing. Oxford University Press.</w:t>
      </w:r>
    </w:p>
    <w:p w:rsidR="68386218" w:rsidP="35AE30FB" w:rsidRDefault="68386218" w14:paraId="1B625947" w14:textId="2BD46C1E">
      <w:pPr>
        <w:pStyle w:val="Normal"/>
      </w:pPr>
      <w:r w:rsidR="68386218">
        <w:rPr/>
        <w:t>2. College of Policing. (2015). Available at</w:t>
      </w:r>
      <w:r w:rsidR="7FC9237E">
        <w:rPr/>
        <w:t xml:space="preserve">: </w:t>
      </w:r>
      <w:hyperlink r:id="R874e6b92db5e4680">
        <w:r w:rsidRPr="35AE30FB" w:rsidR="68386218">
          <w:rPr>
            <w:rStyle w:val="Hyperlink"/>
          </w:rPr>
          <w:t>https://www.college.police.uk/app/major-investigation-and-public-protection/domestic-abuse/partnership-working-and-multi-agency-responsesmechanism</w:t>
        </w:r>
        <w:r w:rsidRPr="35AE30FB" w:rsidR="5B36161D">
          <w:rPr>
            <w:rStyle w:val="Hyperlink"/>
          </w:rPr>
          <w:t>s</w:t>
        </w:r>
      </w:hyperlink>
      <w:r w:rsidR="5B36161D">
        <w:rPr/>
        <w:t xml:space="preserve"> </w:t>
      </w:r>
      <w:r w:rsidR="68386218">
        <w:rPr/>
        <w:t>(accessed date 1 May 2024)</w:t>
      </w:r>
    </w:p>
    <w:p w:rsidR="68386218" w:rsidP="35AE30FB" w:rsidRDefault="68386218" w14:paraId="4DB34964" w14:textId="7797E836">
      <w:pPr>
        <w:pStyle w:val="Normal"/>
      </w:pPr>
      <w:r w:rsidR="68386218">
        <w:rPr/>
        <w:t xml:space="preserve">3. Community Care. Baby P social work's story. By Andy McNicoll. 3 August 2017. Available at: </w:t>
      </w:r>
      <w:hyperlink r:id="R7210b25de4c540b6">
        <w:r w:rsidRPr="35AE30FB" w:rsidR="68386218">
          <w:rPr>
            <w:rStyle w:val="Hyperlink"/>
          </w:rPr>
          <w:t>https://www.communitycare.co.uk/2017/08/03/ten-years-baby-p-social-works-story</w:t>
        </w:r>
        <w:r w:rsidRPr="35AE30FB" w:rsidR="2D43DDAE">
          <w:rPr>
            <w:rStyle w:val="Hyperlink"/>
          </w:rPr>
          <w:t>/</w:t>
        </w:r>
      </w:hyperlink>
      <w:r w:rsidR="2D43DDAE">
        <w:rPr/>
        <w:t xml:space="preserve"> </w:t>
      </w:r>
      <w:r w:rsidR="68386218">
        <w:rPr/>
        <w:t>(accessed date 1 May 2024)</w:t>
      </w:r>
    </w:p>
    <w:p w:rsidR="68386218" w:rsidP="35AE30FB" w:rsidRDefault="68386218" w14:paraId="368D1910" w14:textId="03F62C33">
      <w:pPr>
        <w:pStyle w:val="Normal"/>
      </w:pPr>
      <w:r w:rsidR="68386218">
        <w:rPr/>
        <w:t xml:space="preserve">4. Euronews. (2024). Available at: </w:t>
      </w:r>
      <w:hyperlink r:id="R6601428851464376">
        <w:r w:rsidRPr="35AE30FB" w:rsidR="68386218">
          <w:rPr>
            <w:rStyle w:val="Hyperlink"/>
          </w:rPr>
          <w:t>https://www.euronews.com/2020/11/13/yorkshire-ripper-1970s-uk-serial-killer-peter-sutcliffe-die</w:t>
        </w:r>
        <w:r w:rsidRPr="35AE30FB" w:rsidR="65822C7B">
          <w:rPr>
            <w:rStyle w:val="Hyperlink"/>
          </w:rPr>
          <w:t>s</w:t>
        </w:r>
      </w:hyperlink>
      <w:r w:rsidR="65822C7B">
        <w:rPr/>
        <w:t xml:space="preserve"> </w:t>
      </w:r>
      <w:r w:rsidR="68386218">
        <w:rPr/>
        <w:t>(accessed date 1 May 2024)</w:t>
      </w:r>
    </w:p>
    <w:p w:rsidR="68386218" w:rsidP="35AE30FB" w:rsidRDefault="68386218" w14:paraId="0B550FB2" w14:textId="082A18A9">
      <w:pPr>
        <w:pStyle w:val="Normal"/>
      </w:pPr>
      <w:r w:rsidR="68386218">
        <w:rPr/>
        <w:t xml:space="preserve">5. Homeland Security. Available at: </w:t>
      </w:r>
      <w:hyperlink r:id="R663d86bbc78a4055">
        <w:r w:rsidRPr="35AE30FB" w:rsidR="68386218">
          <w:rPr>
            <w:rStyle w:val="Hyperlink"/>
          </w:rPr>
          <w:t>https://www.dhs.gov/fusion-centers-and-joint-terrorism-task-force</w:t>
        </w:r>
        <w:r w:rsidRPr="35AE30FB" w:rsidR="48B4D417">
          <w:rPr>
            <w:rStyle w:val="Hyperlink"/>
          </w:rPr>
          <w:t>s</w:t>
        </w:r>
      </w:hyperlink>
      <w:r w:rsidR="48B4D417">
        <w:rPr/>
        <w:t xml:space="preserve"> (</w:t>
      </w:r>
      <w:r w:rsidR="68386218">
        <w:rPr/>
        <w:t>accessed date 1 May 2024)</w:t>
      </w:r>
    </w:p>
    <w:p w:rsidR="68386218" w:rsidP="35AE30FB" w:rsidRDefault="68386218" w14:paraId="251E205C" w14:textId="4BC2BDC7">
      <w:pPr>
        <w:pStyle w:val="Normal"/>
      </w:pPr>
      <w:r w:rsidR="68386218">
        <w:rPr/>
        <w:t xml:space="preserve"> </w:t>
      </w:r>
    </w:p>
    <w:p w:rsidR="68386218" w:rsidP="35AE30FB" w:rsidRDefault="68386218" w14:paraId="3ECDA44F" w14:textId="4F01AD04">
      <w:pPr>
        <w:pStyle w:val="Normal"/>
      </w:pPr>
      <w:r w:rsidR="68386218">
        <w:rPr/>
        <w:t>6. Maguire, E. R., &amp; Uchida, C. D. (Eds.). (2000). Measurement and Analysis of Crime and Justice: Criminal Justice 2000. National Institute of Justice.</w:t>
      </w:r>
    </w:p>
    <w:p w:rsidR="68386218" w:rsidP="35AE30FB" w:rsidRDefault="68386218" w14:paraId="782884F1" w14:textId="0024F0FA">
      <w:pPr>
        <w:pStyle w:val="Normal"/>
      </w:pPr>
      <w:r w:rsidR="68386218">
        <w:rPr/>
        <w:t>7. Reiner, R., &amp; Newburn, T. (Eds.). (2008). Crime and Social Order in Middle England: Questions of Order in an English Town. Oxford University Press.</w:t>
      </w:r>
    </w:p>
    <w:p w:rsidR="68386218" w:rsidP="35AE30FB" w:rsidRDefault="68386218" w14:paraId="6DAA70A7" w14:textId="0BFF73D0">
      <w:pPr>
        <w:pStyle w:val="Normal"/>
      </w:pPr>
      <w:r w:rsidR="68386218">
        <w:rPr/>
        <w:t xml:space="preserve">8. </w:t>
      </w:r>
      <w:r w:rsidR="68386218">
        <w:rPr/>
        <w:t>Skogan</w:t>
      </w:r>
      <w:r w:rsidR="68386218">
        <w:rPr/>
        <w:t xml:space="preserve">, W. G., &amp; </w:t>
      </w:r>
      <w:r w:rsidR="68386218">
        <w:rPr/>
        <w:t>Frydl</w:t>
      </w:r>
      <w:r w:rsidR="68386218">
        <w:rPr/>
        <w:t>, K. (Eds.). (2004). Fairness and Effectiveness in Policing: The Evidence. National Academies Press.</w:t>
      </w:r>
    </w:p>
    <w:p w:rsidR="68386218" w:rsidP="35AE30FB" w:rsidRDefault="68386218" w14:paraId="03177B5D" w14:textId="79F9CCE2">
      <w:pPr>
        <w:pStyle w:val="Normal"/>
      </w:pPr>
      <w:r w:rsidR="68386218">
        <w:rPr/>
        <w:t xml:space="preserve">9. The Guardian. (2024). Available at: </w:t>
      </w:r>
      <w:hyperlink r:id="R0476cd2da79d48c9">
        <w:r w:rsidRPr="35AE30FB" w:rsidR="68386218">
          <w:rPr>
            <w:rStyle w:val="Hyperlink"/>
          </w:rPr>
          <w:t>https://www.theguardian.com/society/2009/aug/16/baby-p-famil</w:t>
        </w:r>
        <w:r w:rsidRPr="35AE30FB" w:rsidR="1DC07B49">
          <w:rPr>
            <w:rStyle w:val="Hyperlink"/>
          </w:rPr>
          <w:t>y</w:t>
        </w:r>
      </w:hyperlink>
      <w:r w:rsidR="1DC07B49">
        <w:rPr/>
        <w:t xml:space="preserve"> </w:t>
      </w:r>
      <w:r w:rsidR="68386218">
        <w:rPr/>
        <w:t>(accessed date 1 May 2024)</w:t>
      </w:r>
    </w:p>
    <w:p w:rsidR="68386218" w:rsidP="35AE30FB" w:rsidRDefault="68386218" w14:paraId="51F7DBB3" w14:textId="4EBCE950">
      <w:pPr>
        <w:pStyle w:val="Normal"/>
      </w:pPr>
      <w:r w:rsidR="68386218">
        <w:rPr/>
        <w:t xml:space="preserve">10. The Standard. Vicky Jessop. 9 October 2023. Available at: </w:t>
      </w:r>
      <w:hyperlink r:id="Rcd6e54770fe44589">
        <w:r w:rsidRPr="35AE30FB" w:rsidR="68386218">
          <w:rPr>
            <w:rStyle w:val="Hyperlink"/>
          </w:rPr>
          <w:t>https://www.standard.co.uk/culture/tvfilm/the-yorkshire-ripper-timeline-murders-b1111127.htm</w:t>
        </w:r>
        <w:r w:rsidRPr="35AE30FB" w:rsidR="22BEB904">
          <w:rPr>
            <w:rStyle w:val="Hyperlink"/>
          </w:rPr>
          <w:t>l</w:t>
        </w:r>
      </w:hyperlink>
      <w:r w:rsidR="22BEB904">
        <w:rPr/>
        <w:t xml:space="preserve"> </w:t>
      </w:r>
      <w:r w:rsidR="68386218">
        <w:rPr/>
        <w:t>(accessed date 1 May 2024)</w:t>
      </w:r>
    </w:p>
    <w:p w:rsidR="68386218" w:rsidP="35AE30FB" w:rsidRDefault="68386218" w14:paraId="6BD70CC3" w14:textId="0DC34DF4">
      <w:pPr>
        <w:pStyle w:val="Normal"/>
      </w:pPr>
      <w:r w:rsidR="68386218">
        <w:rPr/>
        <w:t>11. Tyler, T. R. (2006). Why People Obey the Law. Princeton University Press.</w:t>
      </w:r>
    </w:p>
    <w:p w:rsidR="68386218" w:rsidP="35AE30FB" w:rsidRDefault="68386218" w14:paraId="08F08FFD" w14:textId="722BC5B7">
      <w:pPr>
        <w:pStyle w:val="Normal"/>
      </w:pPr>
      <w:r w:rsidR="68386218">
        <w:rPr/>
        <w:t>12. United Nations Office on Drugs and Crime. (2010). The Globalization of Crime: A Transnational Organized Crime Threat Assessment. United Nations Publications.</w:t>
      </w:r>
    </w:p>
    <w:p w:rsidR="68386218" w:rsidP="35AE30FB" w:rsidRDefault="68386218" w14:paraId="2AA446B7" w14:textId="33FF2204">
      <w:pPr>
        <w:pStyle w:val="Normal"/>
      </w:pPr>
      <w:r w:rsidR="68386218">
        <w:rPr/>
        <w:t xml:space="preserve">13. Van Dijk, J., van </w:t>
      </w:r>
      <w:r w:rsidR="68386218">
        <w:rPr/>
        <w:t>Kesteren</w:t>
      </w:r>
      <w:r w:rsidR="68386218">
        <w:rPr/>
        <w:t xml:space="preserve">, J., &amp; Smit, P. (2007). Criminal Victimisation in International Perspective: Key Findings from the 2004–2005 ICVS and EU ICS. Boom </w:t>
      </w:r>
      <w:r w:rsidR="68386218">
        <w:rPr/>
        <w:t>Juridische</w:t>
      </w:r>
      <w:r w:rsidR="68386218">
        <w:rPr/>
        <w:t xml:space="preserve"> </w:t>
      </w:r>
      <w:r w:rsidR="68386218">
        <w:rPr/>
        <w:t>Uitgevers</w:t>
      </w:r>
      <w:r w:rsidR="68386218">
        <w:rPr/>
        <w:t>.</w:t>
      </w:r>
    </w:p>
    <w:p w:rsidR="68386218" w:rsidP="35AE30FB" w:rsidRDefault="68386218" w14:paraId="1F0C2925" w14:textId="759999E6">
      <w:pPr>
        <w:pStyle w:val="Normal"/>
      </w:pPr>
      <w:r w:rsidR="68386218">
        <w:rPr/>
        <w:t xml:space="preserve">14. The effectiveness of partnership working in a crime and disorder context. A rapid evidence assessment by Geoff Berry, Peter Briggs, Rosie Erol and Lauren van Staden. Available at: </w:t>
      </w:r>
      <w:hyperlink r:id="Rb03b1710808b44df">
        <w:r w:rsidRPr="35AE30FB" w:rsidR="68386218">
          <w:rPr>
            <w:rStyle w:val="Hyperlink"/>
          </w:rPr>
          <w:t>https://assets.publishing.service.gov.uk/media/5a756a3c40f0b6397f35e41b/horr52-report.pdf</w:t>
        </w:r>
      </w:hyperlink>
      <w:r w:rsidR="68386218">
        <w:rPr/>
        <w:t xml:space="preserve"> (accessed date 1 May 2024)</w:t>
      </w:r>
    </w:p>
    <w:sectPr w:rsidR="00E957D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webkit-standar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F2AAA2"/>
    <w:rsid w:val="000E033D"/>
    <w:rsid w:val="0021227D"/>
    <w:rsid w:val="004E15E6"/>
    <w:rsid w:val="005A424D"/>
    <w:rsid w:val="0083258B"/>
    <w:rsid w:val="008F209E"/>
    <w:rsid w:val="00B81197"/>
    <w:rsid w:val="00C5404E"/>
    <w:rsid w:val="00D0027D"/>
    <w:rsid w:val="00E45D68"/>
    <w:rsid w:val="00E778A9"/>
    <w:rsid w:val="00E957D0"/>
    <w:rsid w:val="0385B6A8"/>
    <w:rsid w:val="03974B8E"/>
    <w:rsid w:val="06250DE2"/>
    <w:rsid w:val="0B5552BB"/>
    <w:rsid w:val="0CF1231C"/>
    <w:rsid w:val="0D38DB97"/>
    <w:rsid w:val="10EFB08D"/>
    <w:rsid w:val="130561EA"/>
    <w:rsid w:val="13A81D1B"/>
    <w:rsid w:val="1543ED7C"/>
    <w:rsid w:val="173E1A4A"/>
    <w:rsid w:val="188932A8"/>
    <w:rsid w:val="18DC8B79"/>
    <w:rsid w:val="194F112A"/>
    <w:rsid w:val="1A250309"/>
    <w:rsid w:val="1D5CA3CB"/>
    <w:rsid w:val="1DC07B49"/>
    <w:rsid w:val="1E2577A5"/>
    <w:rsid w:val="1E6F826D"/>
    <w:rsid w:val="208E8DA9"/>
    <w:rsid w:val="223014EE"/>
    <w:rsid w:val="22BEB904"/>
    <w:rsid w:val="24C90BBE"/>
    <w:rsid w:val="2561FECC"/>
    <w:rsid w:val="2664DC1F"/>
    <w:rsid w:val="26CB12EC"/>
    <w:rsid w:val="26FDCF2D"/>
    <w:rsid w:val="29249423"/>
    <w:rsid w:val="2B03C7DC"/>
    <w:rsid w:val="2C61AF9F"/>
    <w:rsid w:val="2D43DDAE"/>
    <w:rsid w:val="2E1DF177"/>
    <w:rsid w:val="2FA3BA50"/>
    <w:rsid w:val="30DABFD8"/>
    <w:rsid w:val="314DACB8"/>
    <w:rsid w:val="31C5347F"/>
    <w:rsid w:val="330ED9C1"/>
    <w:rsid w:val="340055B9"/>
    <w:rsid w:val="34B97C81"/>
    <w:rsid w:val="35AE30FB"/>
    <w:rsid w:val="36554CE2"/>
    <w:rsid w:val="38BD184B"/>
    <w:rsid w:val="395D6543"/>
    <w:rsid w:val="398CEDA4"/>
    <w:rsid w:val="3C1F437F"/>
    <w:rsid w:val="40849407"/>
    <w:rsid w:val="428E8503"/>
    <w:rsid w:val="44477037"/>
    <w:rsid w:val="47C78A53"/>
    <w:rsid w:val="48B4D417"/>
    <w:rsid w:val="49908069"/>
    <w:rsid w:val="4A4696E8"/>
    <w:rsid w:val="4D7E37AA"/>
    <w:rsid w:val="4DA67A67"/>
    <w:rsid w:val="4E819745"/>
    <w:rsid w:val="4F277857"/>
    <w:rsid w:val="4FE91416"/>
    <w:rsid w:val="501A4078"/>
    <w:rsid w:val="51171DEB"/>
    <w:rsid w:val="5184E477"/>
    <w:rsid w:val="52B2EE4C"/>
    <w:rsid w:val="5320B4D8"/>
    <w:rsid w:val="535FF047"/>
    <w:rsid w:val="53644A06"/>
    <w:rsid w:val="544EBEAD"/>
    <w:rsid w:val="569BEAC8"/>
    <w:rsid w:val="57554A33"/>
    <w:rsid w:val="582E1E61"/>
    <w:rsid w:val="58F2AAA2"/>
    <w:rsid w:val="5A8CEAF5"/>
    <w:rsid w:val="5B36161D"/>
    <w:rsid w:val="5DC48BB7"/>
    <w:rsid w:val="5DD68544"/>
    <w:rsid w:val="610AFED8"/>
    <w:rsid w:val="618FF488"/>
    <w:rsid w:val="62D0FF9C"/>
    <w:rsid w:val="6428210F"/>
    <w:rsid w:val="646CCFFD"/>
    <w:rsid w:val="65822C7B"/>
    <w:rsid w:val="65DE6FFB"/>
    <w:rsid w:val="679D378E"/>
    <w:rsid w:val="68386218"/>
    <w:rsid w:val="6DD380B1"/>
    <w:rsid w:val="6E9EF87C"/>
    <w:rsid w:val="6F077536"/>
    <w:rsid w:val="704C5F5C"/>
    <w:rsid w:val="710B2173"/>
    <w:rsid w:val="71A15D8D"/>
    <w:rsid w:val="7268ED4E"/>
    <w:rsid w:val="74C7FFE6"/>
    <w:rsid w:val="75D8DBB2"/>
    <w:rsid w:val="77477BC0"/>
    <w:rsid w:val="795535FA"/>
    <w:rsid w:val="79CFBA01"/>
    <w:rsid w:val="79D619ED"/>
    <w:rsid w:val="7FB5CC5D"/>
    <w:rsid w:val="7FC923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2AAA2"/>
  <w15:chartTrackingRefBased/>
  <w15:docId w15:val="{8E74BD56-374F-4636-A1D1-740BEB5CF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35AE30FB"/>
    <w:rPr>
      <w:noProof w:val="0"/>
      <w:lang w:val="en-GB"/>
    </w:rPr>
  </w:style>
  <w:style w:type="paragraph" w:styleId="Heading1">
    <w:uiPriority w:val="9"/>
    <w:name w:val="heading 1"/>
    <w:basedOn w:val="Normal"/>
    <w:next w:val="Normal"/>
    <w:link w:val="Heading1Char"/>
    <w:qFormat/>
    <w:rsid w:val="35AE30F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5AE30F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35AE30FB"/>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35AE30FB"/>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35AE30FB"/>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35AE30FB"/>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35AE30FB"/>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35AE30FB"/>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35AE30FB"/>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5AE30FB"/>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character" w:styleId="Heading2Char" w:customStyle="true">
    <w:uiPriority w:val="9"/>
    <w:name w:val="Heading 2 Char"/>
    <w:basedOn w:val="DefaultParagraphFont"/>
    <w:link w:val="Heading2"/>
    <w:rsid w:val="35AE30FB"/>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character" w:styleId="Heading3Char" w:customStyle="true">
    <w:uiPriority w:val="9"/>
    <w:name w:val="Heading 3 Char"/>
    <w:basedOn w:val="DefaultParagraphFont"/>
    <w:link w:val="Heading3"/>
    <w:rsid w:val="35AE30FB"/>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character" w:styleId="Heading4Char" w:customStyle="true">
    <w:uiPriority w:val="9"/>
    <w:name w:val="Heading 4 Char"/>
    <w:basedOn w:val="DefaultParagraphFont"/>
    <w:link w:val="Heading4"/>
    <w:rsid w:val="35AE30FB"/>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character" w:styleId="Heading5Char" w:customStyle="true">
    <w:uiPriority w:val="9"/>
    <w:name w:val="Heading 5 Char"/>
    <w:basedOn w:val="DefaultParagraphFont"/>
    <w:link w:val="Heading5"/>
    <w:rsid w:val="35AE30FB"/>
    <w:rPr>
      <w:rFonts w:ascii="Aptos" w:hAnsi="Aptos" w:eastAsia="" w:cs="" w:asciiTheme="minorAscii" w:hAnsiTheme="minorAscii" w:eastAsiaTheme="majorEastAsia" w:cstheme="majorBidi"/>
      <w:noProof w:val="0"/>
      <w:color w:val="0F4761" w:themeColor="accent1" w:themeTint="FF" w:themeShade="BF"/>
      <w:lang w:val="en-GB"/>
    </w:rPr>
  </w:style>
  <w:style w:type="character" w:styleId="Heading6Char" w:customStyle="true">
    <w:uiPriority w:val="9"/>
    <w:name w:val="Heading 6 Char"/>
    <w:basedOn w:val="DefaultParagraphFont"/>
    <w:link w:val="Heading6"/>
    <w:rsid w:val="35AE30FB"/>
    <w:rPr>
      <w:rFonts w:ascii="Aptos" w:hAnsi="Aptos" w:eastAsia="" w:cs="" w:asciiTheme="minorAscii" w:hAnsiTheme="minorAscii" w:eastAsiaTheme="majorEastAsia" w:cstheme="majorBidi"/>
      <w:i w:val="1"/>
      <w:iCs w:val="1"/>
      <w:noProof w:val="0"/>
      <w:color w:val="595959" w:themeColor="text1" w:themeTint="A6" w:themeShade="FF"/>
      <w:lang w:val="en-GB"/>
    </w:rPr>
  </w:style>
  <w:style w:type="character" w:styleId="Heading7Char" w:customStyle="true">
    <w:uiPriority w:val="9"/>
    <w:name w:val="Heading 7 Char"/>
    <w:basedOn w:val="DefaultParagraphFont"/>
    <w:link w:val="Heading7"/>
    <w:rsid w:val="35AE30FB"/>
    <w:rPr>
      <w:rFonts w:ascii="Aptos" w:hAnsi="Aptos" w:eastAsia="" w:cs="" w:asciiTheme="minorAscii" w:hAnsiTheme="minorAscii" w:eastAsiaTheme="majorEastAsia" w:cstheme="majorBidi"/>
      <w:noProof w:val="0"/>
      <w:color w:val="595959" w:themeColor="text1" w:themeTint="A6" w:themeShade="FF"/>
      <w:lang w:val="en-GB"/>
    </w:rPr>
  </w:style>
  <w:style w:type="character" w:styleId="Heading8Char" w:customStyle="true">
    <w:uiPriority w:val="9"/>
    <w:name w:val="Heading 8 Char"/>
    <w:basedOn w:val="DefaultParagraphFont"/>
    <w:link w:val="Heading8"/>
    <w:rsid w:val="35AE30FB"/>
    <w:rPr>
      <w:rFonts w:ascii="Aptos" w:hAnsi="Aptos" w:eastAsia="" w:cs="" w:asciiTheme="minorAscii" w:hAnsiTheme="minorAscii" w:eastAsiaTheme="majorEastAsia" w:cstheme="majorBidi"/>
      <w:i w:val="1"/>
      <w:iCs w:val="1"/>
      <w:noProof w:val="0"/>
      <w:color w:val="272727"/>
      <w:lang w:val="en-GB"/>
    </w:rPr>
  </w:style>
  <w:style w:type="character" w:styleId="Heading9Char" w:customStyle="true">
    <w:uiPriority w:val="9"/>
    <w:name w:val="Heading 9 Char"/>
    <w:basedOn w:val="DefaultParagraphFont"/>
    <w:link w:val="Heading9"/>
    <w:rsid w:val="35AE30FB"/>
    <w:rPr>
      <w:rFonts w:ascii="Aptos" w:hAnsi="Aptos" w:eastAsia="" w:cs="" w:asciiTheme="minorAscii" w:hAnsiTheme="minorAscii" w:eastAsiaTheme="majorEastAsia" w:cstheme="majorBidi"/>
      <w:noProof w:val="0"/>
      <w:color w:val="272727"/>
      <w:lang w:val="en-GB"/>
    </w:rPr>
  </w:style>
  <w:style w:type="character" w:styleId="TitleChar" w:customStyle="true">
    <w:uiPriority w:val="10"/>
    <w:name w:val="Title Char"/>
    <w:basedOn w:val="DefaultParagraphFont"/>
    <w:link w:val="Title"/>
    <w:rsid w:val="35AE30FB"/>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35AE30FB"/>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35AE30FB"/>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35AE30FB"/>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35AE30FB"/>
    <w:rPr>
      <w:i w:val="1"/>
      <w:iCs w:val="1"/>
      <w:noProof w:val="0"/>
      <w:color w:val="404040" w:themeColor="text1" w:themeTint="BF" w:themeShade="FF"/>
      <w:lang w:val="en-GB"/>
    </w:rPr>
  </w:style>
  <w:style w:type="paragraph" w:styleId="Quote">
    <w:uiPriority w:val="29"/>
    <w:name w:val="Quote"/>
    <w:basedOn w:val="Normal"/>
    <w:next w:val="Normal"/>
    <w:link w:val="QuoteChar"/>
    <w:qFormat/>
    <w:rsid w:val="35AE30FB"/>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35AE30FB"/>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35AE30FB"/>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s27" w:customStyle="true">
    <w:uiPriority w:val="1"/>
    <w:name w:val="s27"/>
    <w:basedOn w:val="Normal"/>
    <w:rsid w:val="35AE30FB"/>
    <w:rPr>
      <w:rFonts w:ascii="Times New Roman" w:hAnsi="Times New Roman" w:eastAsia="" w:cs="Times New Roman" w:eastAsiaTheme="minorEastAsia"/>
      <w:lang w:val="en-US" w:eastAsia="en-GB"/>
    </w:rPr>
    <w:pPr>
      <w:spacing w:beforeAutospacing="on" w:afterAutospacing="on"/>
    </w:pPr>
  </w:style>
  <w:style w:type="character" w:styleId="bumpedfont15" w:customStyle="1">
    <w:name w:val="bumpedfont15"/>
    <w:basedOn w:val="DefaultParagraphFont"/>
    <w:rsid w:val="00C5404E"/>
  </w:style>
  <w:style w:type="character" w:styleId="apple-converted-space" w:customStyle="1">
    <w:name w:val="apple-converted-space"/>
    <w:basedOn w:val="DefaultParagraphFont"/>
    <w:rsid w:val="00C5404E"/>
  </w:style>
  <w:style w:type="paragraph" w:styleId="s17" w:customStyle="true">
    <w:uiPriority w:val="1"/>
    <w:name w:val="s17"/>
    <w:basedOn w:val="Normal"/>
    <w:rsid w:val="35AE30FB"/>
    <w:rPr>
      <w:rFonts w:ascii="Times New Roman" w:hAnsi="Times New Roman" w:eastAsia="" w:cs="Times New Roman" w:eastAsiaTheme="minorEastAsia"/>
      <w:lang w:val="en-US" w:eastAsia="en-GB"/>
    </w:rPr>
    <w:pPr>
      <w:spacing w:beforeAutospacing="on" w:afterAutospacing="on"/>
    </w:pPr>
  </w:style>
  <w:style w:type="paragraph" w:styleId="ListParagraph">
    <w:uiPriority w:val="34"/>
    <w:name w:val="List Paragraph"/>
    <w:basedOn w:val="Normal"/>
    <w:qFormat/>
    <w:rsid w:val="35AE30FB"/>
    <w:pPr>
      <w:spacing/>
      <w:ind w:left="720"/>
      <w:contextualSpacing/>
    </w:pPr>
  </w:style>
  <w:style w:type="paragraph" w:styleId="TOC1">
    <w:uiPriority w:val="39"/>
    <w:name w:val="toc 1"/>
    <w:basedOn w:val="Normal"/>
    <w:next w:val="Normal"/>
    <w:unhideWhenUsed/>
    <w:rsid w:val="35AE30FB"/>
    <w:pPr>
      <w:spacing w:after="100"/>
    </w:pPr>
  </w:style>
  <w:style w:type="paragraph" w:styleId="TOC2">
    <w:uiPriority w:val="39"/>
    <w:name w:val="toc 2"/>
    <w:basedOn w:val="Normal"/>
    <w:next w:val="Normal"/>
    <w:unhideWhenUsed/>
    <w:rsid w:val="35AE30FB"/>
    <w:pPr>
      <w:spacing w:after="100"/>
      <w:ind w:left="220"/>
    </w:pPr>
  </w:style>
  <w:style w:type="paragraph" w:styleId="TOC3">
    <w:uiPriority w:val="39"/>
    <w:name w:val="toc 3"/>
    <w:basedOn w:val="Normal"/>
    <w:next w:val="Normal"/>
    <w:unhideWhenUsed/>
    <w:rsid w:val="35AE30FB"/>
    <w:pPr>
      <w:spacing w:after="100"/>
      <w:ind w:left="440"/>
    </w:pPr>
  </w:style>
  <w:style w:type="paragraph" w:styleId="TOC4">
    <w:uiPriority w:val="39"/>
    <w:name w:val="toc 4"/>
    <w:basedOn w:val="Normal"/>
    <w:next w:val="Normal"/>
    <w:unhideWhenUsed/>
    <w:rsid w:val="35AE30FB"/>
    <w:pPr>
      <w:spacing w:after="100"/>
      <w:ind w:left="660"/>
    </w:pPr>
  </w:style>
  <w:style w:type="paragraph" w:styleId="TOC5">
    <w:uiPriority w:val="39"/>
    <w:name w:val="toc 5"/>
    <w:basedOn w:val="Normal"/>
    <w:next w:val="Normal"/>
    <w:unhideWhenUsed/>
    <w:rsid w:val="35AE30FB"/>
    <w:pPr>
      <w:spacing w:after="100"/>
      <w:ind w:left="880"/>
    </w:pPr>
  </w:style>
  <w:style w:type="paragraph" w:styleId="TOC6">
    <w:uiPriority w:val="39"/>
    <w:name w:val="toc 6"/>
    <w:basedOn w:val="Normal"/>
    <w:next w:val="Normal"/>
    <w:unhideWhenUsed/>
    <w:rsid w:val="35AE30FB"/>
    <w:pPr>
      <w:spacing w:after="100"/>
      <w:ind w:left="1100"/>
    </w:pPr>
  </w:style>
  <w:style w:type="paragraph" w:styleId="TOC7">
    <w:uiPriority w:val="39"/>
    <w:name w:val="toc 7"/>
    <w:basedOn w:val="Normal"/>
    <w:next w:val="Normal"/>
    <w:unhideWhenUsed/>
    <w:rsid w:val="35AE30FB"/>
    <w:pPr>
      <w:spacing w:after="100"/>
      <w:ind w:left="1320"/>
    </w:pPr>
  </w:style>
  <w:style w:type="paragraph" w:styleId="TOC8">
    <w:uiPriority w:val="39"/>
    <w:name w:val="toc 8"/>
    <w:basedOn w:val="Normal"/>
    <w:next w:val="Normal"/>
    <w:unhideWhenUsed/>
    <w:rsid w:val="35AE30FB"/>
    <w:pPr>
      <w:spacing w:after="100"/>
      <w:ind w:left="1540"/>
    </w:pPr>
  </w:style>
  <w:style w:type="paragraph" w:styleId="TOC9">
    <w:uiPriority w:val="39"/>
    <w:name w:val="toc 9"/>
    <w:basedOn w:val="Normal"/>
    <w:next w:val="Normal"/>
    <w:unhideWhenUsed/>
    <w:rsid w:val="35AE30FB"/>
    <w:pPr>
      <w:spacing w:after="100"/>
      <w:ind w:left="1760"/>
    </w:pPr>
  </w:style>
  <w:style w:type="paragraph" w:styleId="EndnoteText">
    <w:uiPriority w:val="99"/>
    <w:name w:val="endnote text"/>
    <w:basedOn w:val="Normal"/>
    <w:semiHidden/>
    <w:unhideWhenUsed/>
    <w:link w:val="EndnoteTextChar"/>
    <w:rsid w:val="35AE30FB"/>
    <w:rPr>
      <w:sz w:val="20"/>
      <w:szCs w:val="20"/>
    </w:rPr>
    <w:pPr>
      <w:spacing w:after="0"/>
    </w:pPr>
  </w:style>
  <w:style w:type="character" w:styleId="EndnoteTextChar" w:customStyle="true">
    <w:uiPriority w:val="99"/>
    <w:name w:val="Endnote Text Char"/>
    <w:basedOn w:val="DefaultParagraphFont"/>
    <w:semiHidden/>
    <w:link w:val="EndnoteText"/>
    <w:rsid w:val="35AE30FB"/>
    <w:rPr>
      <w:noProof w:val="0"/>
      <w:sz w:val="20"/>
      <w:szCs w:val="20"/>
      <w:lang w:val="en-GB"/>
    </w:rPr>
  </w:style>
  <w:style w:type="paragraph" w:styleId="Footer">
    <w:uiPriority w:val="99"/>
    <w:name w:val="footer"/>
    <w:basedOn w:val="Normal"/>
    <w:unhideWhenUsed/>
    <w:link w:val="FooterChar"/>
    <w:rsid w:val="35AE30F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5AE30FB"/>
    <w:rPr>
      <w:noProof w:val="0"/>
      <w:lang w:val="en-GB"/>
    </w:rPr>
  </w:style>
  <w:style w:type="paragraph" w:styleId="FootnoteText">
    <w:uiPriority w:val="99"/>
    <w:name w:val="footnote text"/>
    <w:basedOn w:val="Normal"/>
    <w:semiHidden/>
    <w:unhideWhenUsed/>
    <w:link w:val="FootnoteTextChar"/>
    <w:rsid w:val="35AE30FB"/>
    <w:rPr>
      <w:sz w:val="20"/>
      <w:szCs w:val="20"/>
    </w:rPr>
    <w:pPr>
      <w:spacing w:after="0"/>
    </w:pPr>
  </w:style>
  <w:style w:type="character" w:styleId="FootnoteTextChar" w:customStyle="true">
    <w:uiPriority w:val="99"/>
    <w:name w:val="Footnote Text Char"/>
    <w:basedOn w:val="DefaultParagraphFont"/>
    <w:semiHidden/>
    <w:link w:val="FootnoteText"/>
    <w:rsid w:val="35AE30FB"/>
    <w:rPr>
      <w:noProof w:val="0"/>
      <w:sz w:val="20"/>
      <w:szCs w:val="20"/>
      <w:lang w:val="en-GB"/>
    </w:rPr>
  </w:style>
  <w:style w:type="paragraph" w:styleId="Header">
    <w:uiPriority w:val="99"/>
    <w:name w:val="header"/>
    <w:basedOn w:val="Normal"/>
    <w:unhideWhenUsed/>
    <w:link w:val="HeaderChar"/>
    <w:rsid w:val="35AE30F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5AE30FB"/>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ollege.police.uk/app/major-investigation-and-public-protection/domestic-abuse/partnership-working-and-multi-agency-responsesmechanisms" TargetMode="External" Id="R874e6b92db5e4680" /><Relationship Type="http://schemas.openxmlformats.org/officeDocument/2006/relationships/hyperlink" Target="https://www.communitycare.co.uk/2017/08/03/ten-years-baby-p-social-works-story/" TargetMode="External" Id="R7210b25de4c540b6" /><Relationship Type="http://schemas.openxmlformats.org/officeDocument/2006/relationships/hyperlink" Target="https://www.euronews.com/2020/11/13/yorkshire-ripper-1970s-uk-serial-killer-peter-sutcliffe-dies" TargetMode="External" Id="R6601428851464376" /><Relationship Type="http://schemas.openxmlformats.org/officeDocument/2006/relationships/hyperlink" Target="https://www.dhs.gov/fusion-centers-and-joint-terrorism-task-forces" TargetMode="External" Id="R663d86bbc78a4055" /><Relationship Type="http://schemas.openxmlformats.org/officeDocument/2006/relationships/hyperlink" Target="https://www.theguardian.com/society/2009/aug/16/baby-p-family" TargetMode="External" Id="R0476cd2da79d48c9" /><Relationship Type="http://schemas.openxmlformats.org/officeDocument/2006/relationships/hyperlink" Target="https://www.standard.co.uk/culture/tvfilm/the-yorkshire-ripper-timeline-murders-b1111127.html" TargetMode="External" Id="Rcd6e54770fe44589" /><Relationship Type="http://schemas.openxmlformats.org/officeDocument/2006/relationships/hyperlink" Target="https://assets.publishing.service.gov.uk/media/5a756a3c40f0b6397f35e41b/horr52-report.pdf" TargetMode="External" Id="Rb03b1710808b44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Emilia Modora (2308137)</dc:creator>
  <keywords/>
  <dc:description/>
  <lastModifiedBy>Emilia Modora (2308137)</lastModifiedBy>
  <revision>8</revision>
  <dcterms:created xsi:type="dcterms:W3CDTF">2024-05-03T18:30:00.0000000Z</dcterms:created>
  <dcterms:modified xsi:type="dcterms:W3CDTF">2024-05-03T17:09:36.4023999Z</dcterms:modified>
</coreProperties>
</file>