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54521" w14:textId="5AC6CB56" w:rsidR="00527E23" w:rsidRDefault="007437F1">
      <w:r>
        <w:t>Exercises in dating records</w:t>
      </w:r>
    </w:p>
    <w:p w14:paraId="3714CFA3" w14:textId="77777777" w:rsidR="007437F1" w:rsidRDefault="007437F1" w:rsidP="007437F1">
      <w:r>
        <w:t xml:space="preserve">a) </w:t>
      </w:r>
    </w:p>
    <w:p w14:paraId="1773793D" w14:textId="346E7855" w:rsidR="007437F1" w:rsidRDefault="007437F1" w:rsidP="007437F1">
      <w:r>
        <w:t>Memorandum that the Thursday after the Assumption of the Blessed Virgin Mary in the 8</w:t>
      </w:r>
      <w:r w:rsidRPr="007437F1">
        <w:rPr>
          <w:vertAlign w:val="superscript"/>
        </w:rPr>
        <w:t>th</w:t>
      </w:r>
      <w:r>
        <w:t xml:space="preserve"> year of King Richard II the abbot of Byland was accused in the wapentake court held at Pickering.</w:t>
      </w:r>
    </w:p>
    <w:p w14:paraId="0D0B1FBC" w14:textId="7134169D" w:rsidR="007437F1" w:rsidRDefault="007437F1" w:rsidP="007437F1">
      <w:r>
        <w:t>To find the date, it appears that working in reverse is the best option.  First finding out the dates of the 8</w:t>
      </w:r>
      <w:r w:rsidRPr="007437F1">
        <w:rPr>
          <w:vertAlign w:val="superscript"/>
        </w:rPr>
        <w:t>th</w:t>
      </w:r>
      <w:r>
        <w:t xml:space="preserve"> year of Richard II, then the date of the Assumption of the Blessed Virgin Mary, and then </w:t>
      </w:r>
      <w:r w:rsidR="00263ED9">
        <w:t xml:space="preserve">what day of the week that </w:t>
      </w:r>
      <w:r w:rsidR="00A44BB6">
        <w:t xml:space="preserve">was </w:t>
      </w:r>
      <w:r w:rsidR="00263ED9">
        <w:t xml:space="preserve">to work out </w:t>
      </w:r>
      <w:r>
        <w:t>the date of the Thursday.</w:t>
      </w:r>
    </w:p>
    <w:p w14:paraId="3E72C816" w14:textId="66D4CF5C" w:rsidR="007437F1" w:rsidRDefault="007437F1" w:rsidP="007437F1">
      <w:r>
        <w:t>The 8</w:t>
      </w:r>
      <w:r w:rsidRPr="007437F1">
        <w:rPr>
          <w:vertAlign w:val="superscript"/>
        </w:rPr>
        <w:t>th</w:t>
      </w:r>
      <w:r>
        <w:t xml:space="preserve"> year of King Richard II is 22 June 1384 – 21 June 1385</w:t>
      </w:r>
      <w:r>
        <w:rPr>
          <w:rStyle w:val="FootnoteReference"/>
        </w:rPr>
        <w:footnoteReference w:id="1"/>
      </w:r>
      <w:r w:rsidR="00263ED9">
        <w:t xml:space="preserve"> and the Assumption (</w:t>
      </w:r>
      <w:r w:rsidR="00263ED9" w:rsidRPr="00263ED9">
        <w:rPr>
          <w:i/>
        </w:rPr>
        <w:t>ascensio</w:t>
      </w:r>
      <w:r w:rsidR="00263ED9">
        <w:t xml:space="preserve"> or </w:t>
      </w:r>
      <w:r w:rsidR="00263ED9" w:rsidRPr="00263ED9">
        <w:rPr>
          <w:i/>
        </w:rPr>
        <w:t>assumptio</w:t>
      </w:r>
      <w:r w:rsidR="00263ED9">
        <w:t>) of the Blessed Virgin Mary is 15 August.</w:t>
      </w:r>
      <w:r w:rsidR="00263ED9">
        <w:rPr>
          <w:rStyle w:val="FootnoteReference"/>
        </w:rPr>
        <w:footnoteReference w:id="2"/>
      </w:r>
      <w:r w:rsidR="00263ED9">
        <w:t xml:space="preserve">  Which must mean the year we are looking for is 1384.</w:t>
      </w:r>
    </w:p>
    <w:p w14:paraId="6D324B36" w14:textId="5FD6D766" w:rsidR="00263ED9" w:rsidRDefault="00263ED9" w:rsidP="007437F1">
      <w:r>
        <w:t xml:space="preserve">To work out what day of the week, then we need to find the </w:t>
      </w:r>
      <w:r w:rsidR="003A0A2E">
        <w:t xml:space="preserve">date for Easter, which in </w:t>
      </w:r>
      <w:r>
        <w:t>1384 fell on 10 April.</w:t>
      </w:r>
      <w:r w:rsidR="003A0A2E">
        <w:rPr>
          <w:rStyle w:val="FootnoteReference"/>
        </w:rPr>
        <w:footnoteReference w:id="3"/>
      </w:r>
      <w:r w:rsidR="003A0A2E">
        <w:t xml:space="preserve">  The Easter table</w:t>
      </w:r>
      <w:r w:rsidR="00A44BB6">
        <w:t xml:space="preserve"> for 10 April</w:t>
      </w:r>
      <w:r w:rsidR="003A0A2E">
        <w:t xml:space="preserve"> then has 15 August being on a Monday, and the Thursday after the Assumption is the 18</w:t>
      </w:r>
      <w:r w:rsidR="003A0A2E" w:rsidRPr="003A0A2E">
        <w:rPr>
          <w:vertAlign w:val="superscript"/>
        </w:rPr>
        <w:t>th</w:t>
      </w:r>
      <w:r w:rsidR="003A0A2E">
        <w:t xml:space="preserve"> August.</w:t>
      </w:r>
    </w:p>
    <w:p w14:paraId="32BFAB59" w14:textId="57729CD4" w:rsidR="003A0A2E" w:rsidRDefault="003A0A2E" w:rsidP="007437F1">
      <w:r>
        <w:t>The date of the memorandum is 18 August 1384, and the abbot who is accused must be Robert de Helmsley.</w:t>
      </w:r>
      <w:r w:rsidR="00192FCD">
        <w:rPr>
          <w:rStyle w:val="FootnoteReference"/>
        </w:rPr>
        <w:footnoteReference w:id="4"/>
      </w:r>
    </w:p>
    <w:p w14:paraId="5B8A1160" w14:textId="3098E2DE" w:rsidR="00263ED9" w:rsidRDefault="00263ED9" w:rsidP="00263ED9"/>
    <w:p w14:paraId="74442B39" w14:textId="763B1BF8" w:rsidR="00263ED9" w:rsidRDefault="00263ED9" w:rsidP="00263ED9"/>
    <w:p w14:paraId="54ACF972" w14:textId="764F9BC2" w:rsidR="00263ED9" w:rsidRDefault="004D4752" w:rsidP="00263ED9">
      <w:r>
        <w:t>b)</w:t>
      </w:r>
    </w:p>
    <w:p w14:paraId="67175311" w14:textId="1CAC7E15" w:rsidR="004D4752" w:rsidRDefault="000858FE" w:rsidP="00263ED9">
      <w:r>
        <w:t>Confirmation by Bishop Anian of St Asaph of the charters for Shrewsbury Abbey issues by his predecessors Bishops Reiner, Abraham, and Hugh.  Given at Shrewsbury the day after St Mary Magdalene in the first year of his pontificate.</w:t>
      </w:r>
    </w:p>
    <w:p w14:paraId="206D9C7C" w14:textId="322A58B1" w:rsidR="000858FE" w:rsidRDefault="008C695B" w:rsidP="00263ED9">
      <w:r>
        <w:t>Working out when Bishop Anian was Bishop of St Asaph is complicated by the fact that there were two Bishop</w:t>
      </w:r>
      <w:r w:rsidR="002420A6">
        <w:t>s</w:t>
      </w:r>
      <w:r>
        <w:t xml:space="preserve"> of St Asaph by that name</w:t>
      </w:r>
      <w:r w:rsidR="002420A6">
        <w:t>;</w:t>
      </w:r>
      <w:r>
        <w:t xml:space="preserve"> Anian I</w:t>
      </w:r>
      <w:r w:rsidR="002420A6">
        <w:t>, Bishop from 1249 to 1266 and Anian II, Bishop from 1268 to 1293.</w:t>
      </w:r>
      <w:r w:rsidR="002420A6">
        <w:rPr>
          <w:rStyle w:val="FootnoteReference"/>
        </w:rPr>
        <w:footnoteReference w:id="5"/>
      </w:r>
      <w:r w:rsidR="009961DF">
        <w:t xml:space="preserve">  However although the immediate predecessor to Bishop Anian I was Hywel ab Ednyfed, bishop from about 1240 to 1247, the three bishops before </w:t>
      </w:r>
      <w:r w:rsidR="009C62B5">
        <w:t>him</w:t>
      </w:r>
      <w:r w:rsidR="009961DF">
        <w:t xml:space="preserve"> were Reiner, Abraham and Hugh as in the confirmation</w:t>
      </w:r>
      <w:r w:rsidR="00195019">
        <w:t xml:space="preserve">. As Bishop Anian II was further removed from the three bishops listed as his predecessors the </w:t>
      </w:r>
      <w:r w:rsidR="009961DF">
        <w:t>assumption is that it is Bishop Anian I who confirmed the charters given to Shrewsbury Abbey.</w:t>
      </w:r>
    </w:p>
    <w:p w14:paraId="737735A7" w14:textId="50551FB2" w:rsidR="009961DF" w:rsidRDefault="009C62B5" w:rsidP="00263ED9">
      <w:r>
        <w:t>The year of the pontificate of a bishop is reckoned from the date of consecration</w:t>
      </w:r>
      <w:r>
        <w:rPr>
          <w:rStyle w:val="FootnoteReference"/>
        </w:rPr>
        <w:footnoteReference w:id="6"/>
      </w:r>
      <w:r w:rsidR="007414BC">
        <w:t xml:space="preserve"> and Bishop Anian I was consecrated in November 1249,</w:t>
      </w:r>
      <w:r w:rsidR="007414BC">
        <w:rPr>
          <w:rStyle w:val="FootnoteReference"/>
        </w:rPr>
        <w:footnoteReference w:id="7"/>
      </w:r>
      <w:r w:rsidR="007414BC">
        <w:t xml:space="preserve"> which means his first year must be from November 1249 to October 1250.</w:t>
      </w:r>
    </w:p>
    <w:p w14:paraId="6CADCAD9" w14:textId="1C4E6385" w:rsidR="007414BC" w:rsidRDefault="007414BC" w:rsidP="00263ED9">
      <w:r>
        <w:lastRenderedPageBreak/>
        <w:t>The date designated St Mary Magdalene (Maria Magdalena) was 22 July</w:t>
      </w:r>
      <w:r>
        <w:rPr>
          <w:rStyle w:val="FootnoteReference"/>
        </w:rPr>
        <w:footnoteReference w:id="8"/>
      </w:r>
      <w:r w:rsidR="00B078F1">
        <w:t xml:space="preserve"> and from the above this must be 22 July 1250.  The day after that would be 23 July 1250.</w:t>
      </w:r>
    </w:p>
    <w:p w14:paraId="064CB6C4" w14:textId="1AB2082F" w:rsidR="00B078F1" w:rsidRDefault="00B078F1" w:rsidP="00263ED9">
      <w:r>
        <w:t>As pointed out above the Bishop Anian is most likely to be Anian I, but if it was Anian II then his consecration was on 21 October 1268</w:t>
      </w:r>
      <w:r>
        <w:rPr>
          <w:rStyle w:val="FootnoteReference"/>
        </w:rPr>
        <w:footnoteReference w:id="9"/>
      </w:r>
      <w:r>
        <w:t xml:space="preserve"> and the date of the confirmation of the charters would be 23 July 1269.</w:t>
      </w:r>
    </w:p>
    <w:p w14:paraId="5DF51932" w14:textId="1ED48462" w:rsidR="00263ED9" w:rsidRDefault="00263ED9" w:rsidP="00263ED9"/>
    <w:p w14:paraId="59E768AF" w14:textId="6CDCD83C" w:rsidR="00263ED9" w:rsidRDefault="00A8415D" w:rsidP="00263ED9">
      <w:r>
        <w:t>c)</w:t>
      </w:r>
    </w:p>
    <w:p w14:paraId="6F60575A" w14:textId="7BD68F51" w:rsidR="00A8415D" w:rsidRDefault="00A8415D" w:rsidP="00263ED9">
      <w:r>
        <w:t>Downham: court held on Thursday the day after Ash Wednesday in the fourth year of the reign of King Edward and the first year of the episcopate of John de Ketene [Ketton]</w:t>
      </w:r>
    </w:p>
    <w:p w14:paraId="7C623CC8" w14:textId="3BF39305" w:rsidR="00A8415D" w:rsidRDefault="00A8415D" w:rsidP="00263ED9">
      <w:r>
        <w:t xml:space="preserve">As with question (a) it seems best to work in reverse and find firstly where </w:t>
      </w:r>
      <w:r w:rsidR="0076791C">
        <w:t xml:space="preserve">and when </w:t>
      </w:r>
      <w:r>
        <w:t xml:space="preserve">John de Ketene was a Bishop.  The best way to find that information seemed to be to search the website British History Online (BHO) </w:t>
      </w:r>
      <w:hyperlink r:id="rId8" w:history="1">
        <w:r w:rsidRPr="00826693">
          <w:rPr>
            <w:rStyle w:val="Hyperlink"/>
          </w:rPr>
          <w:t>https://www.british-history.ac.uk/search</w:t>
        </w:r>
      </w:hyperlink>
      <w:r>
        <w:t xml:space="preserve"> for using the search phrase “John de Ketene”.</w:t>
      </w:r>
    </w:p>
    <w:p w14:paraId="5D85E975" w14:textId="6D4C1836" w:rsidR="00A8415D" w:rsidRDefault="00A8415D" w:rsidP="00263ED9">
      <w:r>
        <w:t xml:space="preserve">This </w:t>
      </w:r>
      <w:r w:rsidR="0076791C">
        <w:t xml:space="preserve">found the information from </w:t>
      </w:r>
      <w:r w:rsidR="0076791C" w:rsidRPr="0076791C">
        <w:rPr>
          <w:i/>
        </w:rPr>
        <w:t>Fasti Ecclesiae Anglicanae</w:t>
      </w:r>
      <w:r w:rsidR="0076791C">
        <w:t xml:space="preserve"> that John de Ketene was Bishop of Ely and consecrated on 6 September 1310 and died 14 May 1316.</w:t>
      </w:r>
      <w:r w:rsidR="0076791C">
        <w:rPr>
          <w:rStyle w:val="FootnoteReference"/>
        </w:rPr>
        <w:footnoteReference w:id="10"/>
      </w:r>
      <w:r w:rsidR="00CB10E6">
        <w:t xml:space="preserve">  This is confirmed by </w:t>
      </w:r>
      <w:r w:rsidR="00CB10E6" w:rsidRPr="00C14F2D">
        <w:rPr>
          <w:i/>
        </w:rPr>
        <w:t>The Handbook of British Chronology</w:t>
      </w:r>
      <w:r w:rsidR="00CB10E6">
        <w:t>, which refers to him as John Ketton</w:t>
      </w:r>
      <w:r w:rsidR="00CB10E6">
        <w:rPr>
          <w:rStyle w:val="FootnoteReference"/>
        </w:rPr>
        <w:footnoteReference w:id="11"/>
      </w:r>
      <w:r w:rsidR="00CB10E6">
        <w:t xml:space="preserve"> and we know from question (b) that the first year of his episcopate dates from his consecration</w:t>
      </w:r>
      <w:r w:rsidR="00C26F24">
        <w:t>.</w:t>
      </w:r>
    </w:p>
    <w:p w14:paraId="54540DCC" w14:textId="0D2FF116" w:rsidR="00CB10E6" w:rsidRDefault="00CB10E6" w:rsidP="00263ED9">
      <w:r>
        <w:t>The King Edward referred to, then must be Edward II, and the fourth year of his reign was from 8 July 1310 to 7 July 1311.</w:t>
      </w:r>
      <w:r>
        <w:rPr>
          <w:rStyle w:val="FootnoteReference"/>
        </w:rPr>
        <w:footnoteReference w:id="12"/>
      </w:r>
    </w:p>
    <w:p w14:paraId="034089C6" w14:textId="353B6596" w:rsidR="00CB10E6" w:rsidRDefault="00CB10E6" w:rsidP="00263ED9">
      <w:r>
        <w:t>As the religious festival Ash Wednesday is early in the year</w:t>
      </w:r>
      <w:r w:rsidR="00EC469C">
        <w:t xml:space="preserve"> </w:t>
      </w:r>
      <w:r w:rsidR="00557B6D">
        <w:t>the court must have been held in 1311.  Using the Easter tables again, Easter in 1311 was on the 11 April,</w:t>
      </w:r>
      <w:r w:rsidR="00557B6D">
        <w:rPr>
          <w:rStyle w:val="FootnoteReference"/>
        </w:rPr>
        <w:footnoteReference w:id="13"/>
      </w:r>
      <w:r w:rsidR="00557B6D">
        <w:t xml:space="preserve"> Ash Wednesday on 24 February.</w:t>
      </w:r>
      <w:r w:rsidR="00557B6D">
        <w:rPr>
          <w:rStyle w:val="FootnoteReference"/>
        </w:rPr>
        <w:footnoteReference w:id="14"/>
      </w:r>
      <w:r w:rsidR="00557B6D">
        <w:t xml:space="preserve"> </w:t>
      </w:r>
    </w:p>
    <w:p w14:paraId="42B4FA18" w14:textId="2F019FEE" w:rsidR="00557B6D" w:rsidRDefault="00557B6D" w:rsidP="00263ED9">
      <w:r>
        <w:t xml:space="preserve">The date the court was held </w:t>
      </w:r>
      <w:r w:rsidR="00074D6F">
        <w:t xml:space="preserve">was </w:t>
      </w:r>
      <w:r>
        <w:t>Thursday 25 February 1311.</w:t>
      </w:r>
    </w:p>
    <w:p w14:paraId="6C614BDE" w14:textId="6BA87EC1" w:rsidR="001F5153" w:rsidRDefault="001F5153" w:rsidP="00263ED9"/>
    <w:p w14:paraId="6458ADF1" w14:textId="77777777" w:rsidR="00254020" w:rsidRDefault="00254020" w:rsidP="00263ED9"/>
    <w:p w14:paraId="16722C49" w14:textId="77777777" w:rsidR="00254020" w:rsidRDefault="00254020" w:rsidP="00263ED9"/>
    <w:p w14:paraId="34AB5955" w14:textId="77777777" w:rsidR="00254020" w:rsidRDefault="00254020" w:rsidP="00263ED9"/>
    <w:p w14:paraId="02491FC5" w14:textId="77777777" w:rsidR="00254020" w:rsidRDefault="00254020" w:rsidP="00263ED9"/>
    <w:p w14:paraId="256CAC14" w14:textId="77777777" w:rsidR="00254020" w:rsidRDefault="00254020" w:rsidP="00263ED9"/>
    <w:p w14:paraId="38DF5AEF" w14:textId="77777777" w:rsidR="00254020" w:rsidRDefault="00254020" w:rsidP="00263ED9"/>
    <w:p w14:paraId="3A139CBD" w14:textId="5512449F" w:rsidR="001F5153" w:rsidRDefault="001F5153" w:rsidP="00263ED9">
      <w:r>
        <w:lastRenderedPageBreak/>
        <w:t>d)</w:t>
      </w:r>
    </w:p>
    <w:p w14:paraId="10217FC3" w14:textId="560F8D0B" w:rsidR="001F5153" w:rsidRDefault="001F5153" w:rsidP="00263ED9">
      <w:r>
        <w:t xml:space="preserve">Henry, king of the English, greets the bishop of Lincoln and Earl David and the earl of Leicester, and Earl Rannulf of Chester, and all the barons and lords of whom Geoffrey Ridel held lands… Know that I have given to Richard Basset the daughter of Geoffrey Ridel to wife … until Robert Ridel can be made a knight … made at the request and with the advice of Rannulf, earl of </w:t>
      </w:r>
      <w:r w:rsidR="00A07140">
        <w:t>Chester</w:t>
      </w:r>
      <w:r>
        <w:t>, and William his brother, and Nigel d’Aubigny and Robert Ridel’s other kin and Geva his mother and Geoffrey the earl’s chancellor and Simon, dean of Lincoln … At Woodstock.</w:t>
      </w:r>
    </w:p>
    <w:p w14:paraId="3DE90747" w14:textId="2FC8F5AD" w:rsidR="001F5153" w:rsidRDefault="001F5153" w:rsidP="00263ED9"/>
    <w:p w14:paraId="4B85C13E" w14:textId="31248FBE" w:rsidR="001F5153" w:rsidRDefault="001F5153" w:rsidP="00263ED9">
      <w:r>
        <w:t>At the outset this would seem to be difficult to date.  Henry, king of the English, could be Henry I who reigned from 5 August 1100 to 1 December 1135</w:t>
      </w:r>
      <w:r>
        <w:rPr>
          <w:rStyle w:val="FootnoteReference"/>
        </w:rPr>
        <w:footnoteReference w:id="15"/>
      </w:r>
      <w:r>
        <w:t xml:space="preserve"> or Henry II who reigned from 19 December 1154 to 6 July 1189</w:t>
      </w:r>
      <w:r>
        <w:rPr>
          <w:rStyle w:val="FootnoteReference"/>
        </w:rPr>
        <w:footnoteReference w:id="16"/>
      </w:r>
      <w:r w:rsidR="00460153">
        <w:t xml:space="preserve"> or even conceivably Henry III, 28 October 1216 to 16 November 1272.</w:t>
      </w:r>
      <w:r w:rsidR="00460153">
        <w:rPr>
          <w:rStyle w:val="FootnoteReference"/>
        </w:rPr>
        <w:footnoteReference w:id="17"/>
      </w:r>
    </w:p>
    <w:p w14:paraId="62AB34B4" w14:textId="740E500F" w:rsidR="00460153" w:rsidRDefault="00460153" w:rsidP="00263ED9">
      <w:r>
        <w:t xml:space="preserve">There were </w:t>
      </w:r>
      <w:r w:rsidR="0048281B">
        <w:t xml:space="preserve">also </w:t>
      </w:r>
      <w:r>
        <w:t>three Earls of Chester named Rannulf or Ranulph in this period; Ranulph de Meschin, who was Earl from 1120-1121 to circa 1129, his son Ranulph ‘le Gernon’ from circa 1129 to 16 December 1153, and his grandson Ranulph ‘de Blundeville</w:t>
      </w:r>
      <w:r w:rsidR="00AE6A16">
        <w:t>’</w:t>
      </w:r>
      <w:r>
        <w:t xml:space="preserve"> from 30 June 1181 to 26 October 1232.</w:t>
      </w:r>
      <w:r>
        <w:rPr>
          <w:rStyle w:val="FootnoteReference"/>
        </w:rPr>
        <w:footnoteReference w:id="18"/>
      </w:r>
    </w:p>
    <w:p w14:paraId="04F3B2AE" w14:textId="4F9E7645" w:rsidR="00460153" w:rsidRDefault="00460153" w:rsidP="00263ED9">
      <w:r>
        <w:t xml:space="preserve">Although there is no mention of the earldom of ‘Earl David’, prior knowledge is that the only David who was </w:t>
      </w:r>
      <w:r w:rsidR="00A8399F">
        <w:t xml:space="preserve">likely to be </w:t>
      </w:r>
      <w:r>
        <w:t>an earl at th</w:t>
      </w:r>
      <w:r w:rsidR="00AE6A16">
        <w:t>at</w:t>
      </w:r>
      <w:r>
        <w:t xml:space="preserve"> time </w:t>
      </w:r>
      <w:r w:rsidR="00AE6A16">
        <w:t>was</w:t>
      </w:r>
      <w:r>
        <w:t xml:space="preserve"> David of Scotland, who was Earl of </w:t>
      </w:r>
      <w:r w:rsidR="00AE6A16">
        <w:t xml:space="preserve">Huntingdon </w:t>
      </w:r>
      <w:r w:rsidR="0048281B">
        <w:t xml:space="preserve">and Northampton </w:t>
      </w:r>
      <w:r w:rsidR="00AE6A16">
        <w:t>from about 1113-1114 to February 1136.</w:t>
      </w:r>
      <w:r w:rsidR="0048281B">
        <w:rPr>
          <w:rStyle w:val="FootnoteReference"/>
        </w:rPr>
        <w:footnoteReference w:id="19"/>
      </w:r>
      <w:r w:rsidR="00AE6A16">
        <w:t xml:space="preserve">  </w:t>
      </w:r>
      <w:r w:rsidR="0048281B">
        <w:t xml:space="preserve">A browse through the section of the </w:t>
      </w:r>
      <w:r w:rsidR="0048281B" w:rsidRPr="00AE6A16">
        <w:rPr>
          <w:i/>
        </w:rPr>
        <w:t>Handbook of British Chronology</w:t>
      </w:r>
      <w:r w:rsidR="0048281B">
        <w:t xml:space="preserve"> concerning Dukes, Marquesses and Earls of England from 1066 to 1714</w:t>
      </w:r>
      <w:r w:rsidR="0048281B">
        <w:rPr>
          <w:rStyle w:val="FootnoteReference"/>
        </w:rPr>
        <w:footnoteReference w:id="20"/>
      </w:r>
      <w:r w:rsidR="0048281B">
        <w:t xml:space="preserve"> confirmed that there were no other earls with the first name David during this medieval period, apart from </w:t>
      </w:r>
      <w:r w:rsidR="00AE6A16">
        <w:t>his grandson David</w:t>
      </w:r>
      <w:r w:rsidR="0048281B">
        <w:t xml:space="preserve">, who </w:t>
      </w:r>
      <w:r w:rsidR="00AE6A16">
        <w:t>was Earl of Huntingdon from 1185 to about 1215 or 1216 and then again 13 March 1218 to 17 June 1219.</w:t>
      </w:r>
      <w:r w:rsidR="00AE6A16">
        <w:rPr>
          <w:rStyle w:val="FootnoteReference"/>
        </w:rPr>
        <w:footnoteReference w:id="21"/>
      </w:r>
      <w:r w:rsidR="00AE6A16">
        <w:t xml:space="preserve">  </w:t>
      </w:r>
    </w:p>
    <w:p w14:paraId="14E33DD8" w14:textId="2BD81904" w:rsidR="0048281B" w:rsidRDefault="00C22F68" w:rsidP="00263ED9">
      <w:r>
        <w:t xml:space="preserve">One of the witnesses, Simon, dean of Lincoln, does assist in narrowing down the date range.  A </w:t>
      </w:r>
      <w:r w:rsidR="0048281B">
        <w:t>list of the Deans of Lincoln</w:t>
      </w:r>
      <w:r w:rsidR="00AB21FB">
        <w:t xml:space="preserve"> demonstrates that Simon Bloet was the only dean with the first name Simon before </w:t>
      </w:r>
      <w:r w:rsidR="002401C4">
        <w:t>Simon de Bresley in 1349.</w:t>
      </w:r>
      <w:r w:rsidR="002401C4">
        <w:rPr>
          <w:rStyle w:val="FootnoteReference"/>
        </w:rPr>
        <w:footnoteReference w:id="22"/>
      </w:r>
      <w:r w:rsidR="0048281B">
        <w:t xml:space="preserve"> </w:t>
      </w:r>
      <w:r w:rsidR="00046F14">
        <w:t xml:space="preserve">A more detailed description of when Simon Bloet was dean indicates </w:t>
      </w:r>
      <w:r>
        <w:t xml:space="preserve">that the dates he was in that position are a bit vague, as </w:t>
      </w:r>
      <w:r w:rsidR="00046F14">
        <w:t xml:space="preserve">he was appointed </w:t>
      </w:r>
      <w:r w:rsidR="0048281B">
        <w:t xml:space="preserve">dean of Lincoln  </w:t>
      </w:r>
      <w:r>
        <w:t>after 1093 and he was pr</w:t>
      </w:r>
      <w:r w:rsidR="0068207D">
        <w:t>esumably</w:t>
      </w:r>
      <w:r>
        <w:t xml:space="preserve"> removed as dean, perhaps about 1129 or 1130 but definitely before 1134.</w:t>
      </w:r>
      <w:r w:rsidR="0068207D">
        <w:rPr>
          <w:rStyle w:val="FootnoteReference"/>
        </w:rPr>
        <w:footnoteReference w:id="23"/>
      </w:r>
    </w:p>
    <w:p w14:paraId="7C6125BD" w14:textId="36C40D8E" w:rsidR="00263ED9" w:rsidRDefault="0068207D" w:rsidP="00263ED9">
      <w:r>
        <w:t>This means it must be the reign of Henry I, and that the ‘Earl David’ is the grandfather, not the grandson.  As he succeeded as David I, King of Scotland about 25 April 1124</w:t>
      </w:r>
      <w:r>
        <w:rPr>
          <w:rStyle w:val="FootnoteReference"/>
        </w:rPr>
        <w:footnoteReference w:id="24"/>
      </w:r>
      <w:r>
        <w:t xml:space="preserve"> and is named in the </w:t>
      </w:r>
      <w:r>
        <w:lastRenderedPageBreak/>
        <w:t>charter as Earl not King</w:t>
      </w:r>
      <w:r w:rsidR="00D26132">
        <w:t xml:space="preserve">, an </w:t>
      </w:r>
      <w:r w:rsidR="00132896">
        <w:t xml:space="preserve">interim </w:t>
      </w:r>
      <w:r w:rsidR="00D26132">
        <w:t xml:space="preserve">end date </w:t>
      </w:r>
      <w:r w:rsidR="000C3D7F">
        <w:t xml:space="preserve">for </w:t>
      </w:r>
      <w:r w:rsidR="00D26132">
        <w:t>when the charter must have been issued is</w:t>
      </w:r>
      <w:r>
        <w:t xml:space="preserve"> before 25 April 1124.</w:t>
      </w:r>
    </w:p>
    <w:p w14:paraId="7FB2CEB3" w14:textId="4A853511" w:rsidR="00C22F68" w:rsidRDefault="00C22F68" w:rsidP="00C22F68">
      <w:r>
        <w:t xml:space="preserve">The key </w:t>
      </w:r>
      <w:r w:rsidR="0068207D">
        <w:t>to finding a beginning date</w:t>
      </w:r>
      <w:r>
        <w:t xml:space="preserve"> is th</w:t>
      </w:r>
      <w:r w:rsidR="00D26132">
        <w:t xml:space="preserve">at </w:t>
      </w:r>
      <w:r w:rsidR="004D6B41">
        <w:t xml:space="preserve">the </w:t>
      </w:r>
      <w:r>
        <w:t xml:space="preserve">Geoffrey Ridel </w:t>
      </w:r>
      <w:r w:rsidR="004D6B41">
        <w:t>(</w:t>
      </w:r>
      <w:r w:rsidR="004D6B41" w:rsidRPr="004D6B41">
        <w:rPr>
          <w:i/>
        </w:rPr>
        <w:t>Goisfredus Ridel</w:t>
      </w:r>
      <w:r w:rsidR="004D6B41">
        <w:t xml:space="preserve">) </w:t>
      </w:r>
      <w:r w:rsidR="00D26132">
        <w:t xml:space="preserve">referred to in the charter, </w:t>
      </w:r>
      <w:r>
        <w:t>died in the sinking of the White Ship (</w:t>
      </w:r>
      <w:r w:rsidRPr="00AB21FB">
        <w:rPr>
          <w:i/>
        </w:rPr>
        <w:t>Blanche Nef</w:t>
      </w:r>
      <w:r>
        <w:t>) on 25 November 1120, originally found in a secondary source</w:t>
      </w:r>
      <w:r w:rsidR="00D26132">
        <w:rPr>
          <w:rStyle w:val="FootnoteReference"/>
        </w:rPr>
        <w:footnoteReference w:id="25"/>
      </w:r>
      <w:r>
        <w:t xml:space="preserve"> and then confirmed in </w:t>
      </w:r>
      <w:r w:rsidR="004D6B41">
        <w:t>what appears to be the only primary source</w:t>
      </w:r>
      <w:r w:rsidR="00254020">
        <w:t xml:space="preserve"> to name him in relation to this disaster</w:t>
      </w:r>
      <w:r w:rsidR="004D6B41">
        <w:t xml:space="preserve">, </w:t>
      </w:r>
      <w:r>
        <w:t>Orderic Vitalis</w:t>
      </w:r>
      <w:r w:rsidR="004D6B41">
        <w:t xml:space="preserve">, </w:t>
      </w:r>
      <w:r w:rsidR="004D6B41" w:rsidRPr="004D6B41">
        <w:rPr>
          <w:i/>
        </w:rPr>
        <w:t>Historia</w:t>
      </w:r>
      <w:r w:rsidR="00A01273">
        <w:rPr>
          <w:i/>
        </w:rPr>
        <w:t>e</w:t>
      </w:r>
      <w:r w:rsidR="004D6B41" w:rsidRPr="004D6B41">
        <w:rPr>
          <w:i/>
        </w:rPr>
        <w:t xml:space="preserve"> Ec</w:t>
      </w:r>
      <w:r w:rsidR="006C11FA">
        <w:rPr>
          <w:i/>
        </w:rPr>
        <w:t>c</w:t>
      </w:r>
      <w:r w:rsidR="004D6B41" w:rsidRPr="004D6B41">
        <w:rPr>
          <w:i/>
        </w:rPr>
        <w:t>lesiastica</w:t>
      </w:r>
      <w:r w:rsidR="00A01273">
        <w:rPr>
          <w:i/>
        </w:rPr>
        <w:t>e</w:t>
      </w:r>
      <w:r w:rsidR="004D6B41">
        <w:t>.</w:t>
      </w:r>
      <w:r w:rsidR="004D6B41">
        <w:rPr>
          <w:rStyle w:val="FootnoteReference"/>
        </w:rPr>
        <w:footnoteReference w:id="26"/>
      </w:r>
      <w:r w:rsidR="009D0278">
        <w:t xml:space="preserve">  </w:t>
      </w:r>
    </w:p>
    <w:p w14:paraId="0C79AB12" w14:textId="7D1BFAF0" w:rsidR="009D0278" w:rsidRDefault="009D0278" w:rsidP="00C22F68">
      <w:r>
        <w:t xml:space="preserve">Another secondary source, </w:t>
      </w:r>
      <w:r w:rsidRPr="002A4116">
        <w:rPr>
          <w:i/>
        </w:rPr>
        <w:t>The Itinerary of Henry I</w:t>
      </w:r>
      <w:r>
        <w:t>, reveals that Henry is in Portsmouth from 3-10 June 1123</w:t>
      </w:r>
      <w:r w:rsidR="009C621F">
        <w:t xml:space="preserve"> waiting for good weather to sail to Normandy </w:t>
      </w:r>
      <w:r>
        <w:rPr>
          <w:rStyle w:val="FootnoteReference"/>
        </w:rPr>
        <w:footnoteReference w:id="27"/>
      </w:r>
      <w:r>
        <w:t xml:space="preserve"> </w:t>
      </w:r>
      <w:r w:rsidR="00C202EB">
        <w:t>which he does on 11 June 1123</w:t>
      </w:r>
      <w:r w:rsidR="00C202EB">
        <w:rPr>
          <w:rStyle w:val="FootnoteReference"/>
        </w:rPr>
        <w:footnoteReference w:id="28"/>
      </w:r>
      <w:r w:rsidR="00C202EB">
        <w:t xml:space="preserve"> </w:t>
      </w:r>
      <w:r>
        <w:t xml:space="preserve">and doesn’t </w:t>
      </w:r>
      <w:r w:rsidR="002A4116">
        <w:t xml:space="preserve">seem to </w:t>
      </w:r>
      <w:r>
        <w:t xml:space="preserve">return to England until </w:t>
      </w:r>
      <w:r w:rsidR="002A4116">
        <w:t>11 September 1126.</w:t>
      </w:r>
      <w:r w:rsidR="002A4116">
        <w:rPr>
          <w:rStyle w:val="FootnoteReference"/>
        </w:rPr>
        <w:footnoteReference w:id="29"/>
      </w:r>
      <w:r w:rsidR="002A4116">
        <w:t xml:space="preserve">  Though this work contains a complication, because it states the document </w:t>
      </w:r>
      <w:r w:rsidR="009C621F">
        <w:t xml:space="preserve">being discussed </w:t>
      </w:r>
      <w:r w:rsidR="002A4116">
        <w:t>was signed at Windsor.</w:t>
      </w:r>
      <w:r w:rsidR="002A4116">
        <w:rPr>
          <w:rStyle w:val="FootnoteReference"/>
        </w:rPr>
        <w:footnoteReference w:id="30"/>
      </w:r>
    </w:p>
    <w:p w14:paraId="3576D022" w14:textId="7E64FE5E" w:rsidR="00C202EB" w:rsidRDefault="00C202EB" w:rsidP="00C22F68">
      <w:r>
        <w:t xml:space="preserve">This would place the date of the charter from after 25 November 1120 </w:t>
      </w:r>
      <w:r w:rsidR="00E068AB">
        <w:t>to</w:t>
      </w:r>
      <w:r>
        <w:t xml:space="preserve"> before 3 June 1123.</w:t>
      </w:r>
    </w:p>
    <w:p w14:paraId="347C9EAD" w14:textId="482489EB" w:rsidR="002A4116" w:rsidRDefault="002A4116" w:rsidP="00C22F68">
      <w:r>
        <w:t xml:space="preserve">There is another copy of the document in </w:t>
      </w:r>
      <w:r w:rsidR="009C621F">
        <w:t xml:space="preserve">volume three of </w:t>
      </w:r>
      <w:r>
        <w:t xml:space="preserve">the </w:t>
      </w:r>
      <w:r w:rsidR="009C621F" w:rsidRPr="009C621F">
        <w:rPr>
          <w:i/>
        </w:rPr>
        <w:t>Regesta regum anglo-normannorum</w:t>
      </w:r>
      <w:r w:rsidR="009202EA">
        <w:rPr>
          <w:rStyle w:val="FootnoteReference"/>
          <w:i/>
        </w:rPr>
        <w:footnoteReference w:id="31"/>
      </w:r>
      <w:r w:rsidR="009C621F">
        <w:t xml:space="preserve"> wh</w:t>
      </w:r>
      <w:r w:rsidR="009202EA">
        <w:t xml:space="preserve">ere it is </w:t>
      </w:r>
      <w:r w:rsidR="009C621F">
        <w:t>suggest</w:t>
      </w:r>
      <w:r w:rsidR="009202EA">
        <w:t>ed</w:t>
      </w:r>
      <w:r w:rsidR="009C621F">
        <w:t xml:space="preserve"> that it could be dated to between January to April 1123, based on the Bishop of Lincoln not being given a name</w:t>
      </w:r>
      <w:r w:rsidR="00195019">
        <w:t xml:space="preserve"> and the assumption is </w:t>
      </w:r>
      <w:r w:rsidR="009C621F">
        <w:t xml:space="preserve">was signed after the death of Robert Bloet on 9 January 1123 and </w:t>
      </w:r>
      <w:r w:rsidR="009202EA">
        <w:t xml:space="preserve">before </w:t>
      </w:r>
      <w:r w:rsidR="009C621F">
        <w:t xml:space="preserve">the nomination of the next bishop Alexander on 15 April 1123.  </w:t>
      </w:r>
      <w:r w:rsidR="00CA4840">
        <w:t>However,</w:t>
      </w:r>
      <w:r w:rsidR="009C621F">
        <w:t xml:space="preserve"> this doesn’t explain why the Earl of Leicester is also not named</w:t>
      </w:r>
      <w:r w:rsidR="00CA4840">
        <w:t xml:space="preserve"> and </w:t>
      </w:r>
      <w:r w:rsidR="009202EA">
        <w:t>there are other examples of documents where prelates and members of the nobility are only named by their title.</w:t>
      </w:r>
    </w:p>
    <w:p w14:paraId="3CCBE832" w14:textId="05EEDA96" w:rsidR="00C202EB" w:rsidRDefault="00C202EB" w:rsidP="00C22F68">
      <w:r>
        <w:t xml:space="preserve">A further study of Geva Ridel, </w:t>
      </w:r>
      <w:r w:rsidR="00E068AB">
        <w:t xml:space="preserve">the wife of Geoffrey Ridel, </w:t>
      </w:r>
      <w:r>
        <w:t xml:space="preserve">states that Henry I was known to be at Woodstock in March 1121 and January 1123 and prefers </w:t>
      </w:r>
      <w:r w:rsidR="00E068AB">
        <w:t xml:space="preserve">the earlier date, </w:t>
      </w:r>
      <w:r>
        <w:t xml:space="preserve">March 1121 </w:t>
      </w:r>
      <w:r w:rsidR="00E068AB">
        <w:t xml:space="preserve">as the time </w:t>
      </w:r>
      <w:r>
        <w:t>when th</w:t>
      </w:r>
      <w:r w:rsidR="00E068AB">
        <w:t>e</w:t>
      </w:r>
      <w:r>
        <w:t xml:space="preserve"> document was issued</w:t>
      </w:r>
      <w:r w:rsidR="00E068AB">
        <w:t xml:space="preserve"> based on the fact that </w:t>
      </w:r>
      <w:r w:rsidR="00474203">
        <w:t xml:space="preserve">this is “when </w:t>
      </w:r>
      <w:r w:rsidR="00E068AB">
        <w:t>Henry took a series of crucial decisions about patronage in the aftermath of the wreck of the White Ship.”</w:t>
      </w:r>
      <w:r w:rsidR="00E068AB">
        <w:rPr>
          <w:rStyle w:val="FootnoteReference"/>
        </w:rPr>
        <w:footnoteReference w:id="32"/>
      </w:r>
    </w:p>
    <w:p w14:paraId="70CC9430" w14:textId="39659568" w:rsidR="00474203" w:rsidRDefault="00474203" w:rsidP="00C22F68">
      <w:r>
        <w:t xml:space="preserve">These two time periods when Henry was at Woodstock appear to originate with a revamped itinerary </w:t>
      </w:r>
      <w:r w:rsidR="00254020">
        <w:t xml:space="preserve">in an article </w:t>
      </w:r>
      <w:r w:rsidR="00DB6926">
        <w:t>written</w:t>
      </w:r>
      <w:r>
        <w:t xml:space="preserve"> by Stephanie Christelow</w:t>
      </w:r>
      <w:r w:rsidR="00E20A40">
        <w:t>.</w:t>
      </w:r>
      <w:r>
        <w:rPr>
          <w:rStyle w:val="FootnoteReference"/>
        </w:rPr>
        <w:footnoteReference w:id="33"/>
      </w:r>
      <w:r w:rsidR="00E20A40">
        <w:t xml:space="preserve">  However she also states that the low number of dated visits to the hunting lodge of Woodstock, which was both a favourite house and </w:t>
      </w:r>
      <w:r w:rsidR="009C38FC">
        <w:t>with 93 charters issued from there, a major site for the conducting of official business, might not be a clear indication of how many times it was actually visited.</w:t>
      </w:r>
      <w:r w:rsidR="009C38FC">
        <w:rPr>
          <w:rStyle w:val="FootnoteReference"/>
        </w:rPr>
        <w:footnoteReference w:id="34"/>
      </w:r>
    </w:p>
    <w:p w14:paraId="6188F563" w14:textId="2A11DB92" w:rsidR="009C38FC" w:rsidRDefault="009C38FC" w:rsidP="00C22F68">
      <w:r>
        <w:lastRenderedPageBreak/>
        <w:t>Although it does make sense that such an important decision would be taken soon after the disaster of the White Ship, and March 1121 is ideal, it still seems that this document can only be dated from 25 November 1120 to 3 June 1123 based on what is either inherent in the document or is</w:t>
      </w:r>
      <w:r w:rsidR="00DC7682">
        <w:t xml:space="preserve"> </w:t>
      </w:r>
      <w:r>
        <w:t>known from other evidence.</w:t>
      </w:r>
    </w:p>
    <w:p w14:paraId="65B21084" w14:textId="7B30918F" w:rsidR="00254020" w:rsidRDefault="00254020">
      <w:r>
        <w:br w:type="page"/>
      </w:r>
    </w:p>
    <w:p w14:paraId="71360FB5" w14:textId="1138EBDC" w:rsidR="00263ED9" w:rsidRPr="009C38FC" w:rsidRDefault="009C38FC" w:rsidP="00263ED9">
      <w:pPr>
        <w:rPr>
          <w:b/>
        </w:rPr>
      </w:pPr>
      <w:r w:rsidRPr="009C38FC">
        <w:rPr>
          <w:b/>
        </w:rPr>
        <w:lastRenderedPageBreak/>
        <w:t>B</w:t>
      </w:r>
      <w:r w:rsidR="00263ED9" w:rsidRPr="009C38FC">
        <w:rPr>
          <w:b/>
        </w:rPr>
        <w:t>ibliography</w:t>
      </w:r>
    </w:p>
    <w:p w14:paraId="5267ACCF" w14:textId="6ED92C50" w:rsidR="009D0278" w:rsidRPr="009C38FC" w:rsidRDefault="00A07140" w:rsidP="00263ED9">
      <w:pPr>
        <w:rPr>
          <w:b/>
        </w:rPr>
      </w:pPr>
      <w:r>
        <w:rPr>
          <w:b/>
        </w:rPr>
        <w:t xml:space="preserve">Printed </w:t>
      </w:r>
      <w:r w:rsidR="009D0278" w:rsidRPr="009C38FC">
        <w:rPr>
          <w:b/>
        </w:rPr>
        <w:t>Primary Sources</w:t>
      </w:r>
    </w:p>
    <w:p w14:paraId="251F23FF" w14:textId="00434D00" w:rsidR="009D0278" w:rsidRPr="009D0278" w:rsidRDefault="009D0278" w:rsidP="000E1534">
      <w:pPr>
        <w:ind w:left="720" w:hanging="720"/>
      </w:pPr>
      <w:r w:rsidRPr="009D0278">
        <w:t xml:space="preserve">Orderici Vitalis, </w:t>
      </w:r>
      <w:r w:rsidRPr="009D0278">
        <w:rPr>
          <w:i/>
        </w:rPr>
        <w:t>Historiae Ecclesiasticae</w:t>
      </w:r>
      <w:r w:rsidRPr="009D0278">
        <w:t xml:space="preserve">, Volume 4, ed. by A. Le Prevost (Paris: Societe de l’Historie de </w:t>
      </w:r>
      <w:r w:rsidR="009C38FC">
        <w:br/>
      </w:r>
      <w:r w:rsidRPr="009D0278">
        <w:t>France, 1852).</w:t>
      </w:r>
      <w:r>
        <w:t xml:space="preserve"> Available at Internet Archive </w:t>
      </w:r>
      <w:hyperlink r:id="rId9" w:history="1">
        <w:r w:rsidRPr="00250A38">
          <w:rPr>
            <w:rStyle w:val="Hyperlink"/>
          </w:rPr>
          <w:t>https://archive.org/details/ordericivitalis07deligoog</w:t>
        </w:r>
      </w:hyperlink>
      <w:r>
        <w:t xml:space="preserve"> </w:t>
      </w:r>
      <w:r w:rsidR="00DB6926">
        <w:t>[</w:t>
      </w:r>
      <w:r>
        <w:t>accessed</w:t>
      </w:r>
      <w:r w:rsidR="00DB6926">
        <w:t>:</w:t>
      </w:r>
      <w:r>
        <w:t xml:space="preserve"> 26 August 2018].</w:t>
      </w:r>
    </w:p>
    <w:p w14:paraId="6E55FB74" w14:textId="77777777" w:rsidR="00195019" w:rsidRPr="00E66763" w:rsidRDefault="00195019" w:rsidP="000E1534">
      <w:pPr>
        <w:ind w:left="720" w:hanging="720"/>
      </w:pPr>
      <w:r w:rsidRPr="00E66763">
        <w:rPr>
          <w:i/>
        </w:rPr>
        <w:t>Regesta Regum Anglo-Normannorum 1066-1154</w:t>
      </w:r>
      <w:r w:rsidRPr="00E66763">
        <w:t>, volume 3 – Regesta Henrici Primi 1100-1135,  ed. by C. Johnson and H.A. Cronne (London: Oxford University Press, 1956).</w:t>
      </w:r>
    </w:p>
    <w:p w14:paraId="175570B2" w14:textId="43D12C63" w:rsidR="009D0278" w:rsidRDefault="009D0278" w:rsidP="00263ED9"/>
    <w:p w14:paraId="4AA0B5FE" w14:textId="12B141AA" w:rsidR="009D0278" w:rsidRPr="009C38FC" w:rsidRDefault="009D0278" w:rsidP="00263ED9">
      <w:pPr>
        <w:rPr>
          <w:b/>
        </w:rPr>
      </w:pPr>
      <w:r w:rsidRPr="009C38FC">
        <w:rPr>
          <w:b/>
        </w:rPr>
        <w:t>Secondary Sources</w:t>
      </w:r>
    </w:p>
    <w:p w14:paraId="3530C48A" w14:textId="68D4BD79" w:rsidR="00E20A40" w:rsidRDefault="00E20A40" w:rsidP="000E1534">
      <w:pPr>
        <w:ind w:left="720" w:hanging="720"/>
      </w:pPr>
      <w:r w:rsidRPr="00E20A40">
        <w:t>Christlelow,</w:t>
      </w:r>
      <w:r>
        <w:t xml:space="preserve"> S.M.,</w:t>
      </w:r>
      <w:r w:rsidRPr="00E20A40">
        <w:t xml:space="preserve"> ‘A Moveable Feast? Itineration and the Centralization of Government under Henry I’. Albion: A Quarterly Journal Concerned on British Studies, 28, 2, (1996), pp. 187-228. Available at JSTOR </w:t>
      </w:r>
      <w:hyperlink r:id="rId10" w:history="1">
        <w:r w:rsidR="00DB6926" w:rsidRPr="001E229C">
          <w:rPr>
            <w:rStyle w:val="Hyperlink"/>
          </w:rPr>
          <w:t>https://www.jstor.org/stable/4052459</w:t>
        </w:r>
      </w:hyperlink>
      <w:r w:rsidRPr="00E20A40">
        <w:t xml:space="preserve"> </w:t>
      </w:r>
      <w:r w:rsidR="00DB6926">
        <w:t>[</w:t>
      </w:r>
      <w:r w:rsidRPr="00E20A40">
        <w:t>accessed</w:t>
      </w:r>
      <w:r w:rsidR="00DB6926">
        <w:t>:</w:t>
      </w:r>
      <w:r w:rsidRPr="00E20A40">
        <w:t xml:space="preserve"> 28 August 2018].</w:t>
      </w:r>
    </w:p>
    <w:p w14:paraId="00838F6E" w14:textId="343BD2E1" w:rsidR="002A4116" w:rsidRPr="002A4116" w:rsidRDefault="002A4116" w:rsidP="000E1534">
      <w:pPr>
        <w:ind w:left="720" w:hanging="720"/>
      </w:pPr>
      <w:r w:rsidRPr="002A4116">
        <w:t>Farrer,</w:t>
      </w:r>
      <w:r>
        <w:t xml:space="preserve"> F.,</w:t>
      </w:r>
      <w:r w:rsidRPr="002A4116">
        <w:t xml:space="preserve"> </w:t>
      </w:r>
      <w:r w:rsidRPr="002A4116">
        <w:rPr>
          <w:i/>
        </w:rPr>
        <w:t>An Outline Itinerary of King Henry the First</w:t>
      </w:r>
      <w:r w:rsidRPr="002A4116">
        <w:t xml:space="preserve"> (Oxford: Frederick Hall, [1920]). Available at Internet Archive https://archive.org/details/outlineitinerary00farruoft </w:t>
      </w:r>
      <w:r w:rsidR="00DB6926">
        <w:t>[</w:t>
      </w:r>
      <w:r w:rsidRPr="002A4116">
        <w:t>accessed</w:t>
      </w:r>
      <w:r w:rsidR="00DB6926">
        <w:t>:</w:t>
      </w:r>
      <w:r w:rsidRPr="002A4116">
        <w:t xml:space="preserve"> 26 August 2018].</w:t>
      </w:r>
    </w:p>
    <w:p w14:paraId="53D14CF4" w14:textId="6DEE6299" w:rsidR="002A4116" w:rsidRDefault="00474203" w:rsidP="000E1534">
      <w:pPr>
        <w:ind w:left="720" w:hanging="720"/>
      </w:pPr>
      <w:r w:rsidRPr="00474203">
        <w:t>Green,</w:t>
      </w:r>
      <w:r>
        <w:t xml:space="preserve"> J.A.,</w:t>
      </w:r>
      <w:r w:rsidRPr="00474203">
        <w:t xml:space="preserve"> ‘Women and Inheritance in Norman England: The Case of Geva Ridel’. </w:t>
      </w:r>
      <w:r w:rsidRPr="00474203">
        <w:rPr>
          <w:i/>
        </w:rPr>
        <w:t>Prosopon: Newsletter of the Unit of Prosopographical Research</w:t>
      </w:r>
      <w:r w:rsidRPr="00474203">
        <w:t xml:space="preserve">, 12 (2001), 1-9. Available at </w:t>
      </w:r>
      <w:hyperlink r:id="rId11" w:history="1">
        <w:r w:rsidR="00DB6926" w:rsidRPr="001E229C">
          <w:rPr>
            <w:rStyle w:val="Hyperlink"/>
          </w:rPr>
          <w:t>http://users.ox.ac.uk/~prosop/prosopon/issue12-1.pdf</w:t>
        </w:r>
      </w:hyperlink>
      <w:r w:rsidRPr="00474203">
        <w:t xml:space="preserve"> </w:t>
      </w:r>
      <w:r w:rsidR="00DB6926">
        <w:t>[</w:t>
      </w:r>
      <w:r w:rsidRPr="00474203">
        <w:t>accessed</w:t>
      </w:r>
      <w:r w:rsidR="00DB6926">
        <w:t>:</w:t>
      </w:r>
      <w:r w:rsidRPr="00474203">
        <w:t xml:space="preserve"> 27 August 2018].</w:t>
      </w:r>
    </w:p>
    <w:p w14:paraId="4480995B" w14:textId="41F5A3CE" w:rsidR="009961DF" w:rsidRPr="009961DF" w:rsidRDefault="009961DF" w:rsidP="000E1534">
      <w:pPr>
        <w:ind w:left="720" w:hanging="720"/>
      </w:pPr>
      <w:r w:rsidRPr="009961DF">
        <w:rPr>
          <w:i/>
        </w:rPr>
        <w:t>Handbook of British Chronology</w:t>
      </w:r>
      <w:r w:rsidRPr="009961DF">
        <w:t>, 3rd edn, ed. by E.B. Fryde and others (Cambridge: Cambridge University Press, 1986)</w:t>
      </w:r>
      <w:r>
        <w:t>.</w:t>
      </w:r>
    </w:p>
    <w:p w14:paraId="65D25473" w14:textId="0B05CF51" w:rsidR="00263ED9" w:rsidRDefault="00263ED9" w:rsidP="000E1534">
      <w:pPr>
        <w:ind w:left="720" w:hanging="720"/>
      </w:pPr>
      <w:r w:rsidRPr="006A0756">
        <w:rPr>
          <w:i/>
          <w:iCs/>
        </w:rPr>
        <w:t>A Handbook of Dates: For Students of British History</w:t>
      </w:r>
      <w:r w:rsidRPr="006A0756">
        <w:t xml:space="preserve">, </w:t>
      </w:r>
      <w:r>
        <w:t xml:space="preserve">ed. C.R. Cheney, </w:t>
      </w:r>
      <w:r w:rsidR="000858FE">
        <w:t>rev.</w:t>
      </w:r>
      <w:r w:rsidRPr="006A0756">
        <w:t xml:space="preserve"> edn</w:t>
      </w:r>
      <w:r>
        <w:t xml:space="preserve">, rev. </w:t>
      </w:r>
      <w:r w:rsidRPr="006A0756">
        <w:t>by M. Jones (Cambridge: Cambridge University Press, 2004)</w:t>
      </w:r>
      <w:r>
        <w:t>.</w:t>
      </w:r>
    </w:p>
    <w:p w14:paraId="2E154FF9" w14:textId="2563C705" w:rsidR="004D4752" w:rsidRDefault="004D4752" w:rsidP="000E1534">
      <w:pPr>
        <w:ind w:left="720" w:hanging="720"/>
      </w:pPr>
      <w:r w:rsidRPr="004D4752">
        <w:rPr>
          <w:i/>
          <w:iCs/>
        </w:rPr>
        <w:t>The Heads of Religious Houses: England and Wales</w:t>
      </w:r>
      <w:r w:rsidRPr="004D4752">
        <w:t>,</w:t>
      </w:r>
      <w:r w:rsidR="000858FE">
        <w:t xml:space="preserve"> III: </w:t>
      </w:r>
      <w:r w:rsidR="000858FE" w:rsidRPr="000858FE">
        <w:rPr>
          <w:i/>
        </w:rPr>
        <w:t>1377-1540</w:t>
      </w:r>
      <w:r w:rsidRPr="004D4752">
        <w:t xml:space="preserve"> ed. by D.M. Smith (Cambridge: Cambridge University Press, 2008).</w:t>
      </w:r>
    </w:p>
    <w:p w14:paraId="7FD6D48B" w14:textId="2D200F12" w:rsidR="004D6B41" w:rsidRDefault="004D6B41" w:rsidP="000E1534">
      <w:pPr>
        <w:ind w:left="720" w:hanging="720"/>
      </w:pPr>
      <w:r>
        <w:t xml:space="preserve">Keats-Rohan, K.S.B., </w:t>
      </w:r>
      <w:r w:rsidRPr="004D6B41">
        <w:rPr>
          <w:i/>
        </w:rPr>
        <w:t>Domesday Descendants: A prosopography of Persons Occurring in English Documents 1066-1166</w:t>
      </w:r>
      <w:r>
        <w:t xml:space="preserve">, vol. 2 Pipe Rolls to </w:t>
      </w:r>
      <w:r w:rsidRPr="004D6B41">
        <w:rPr>
          <w:i/>
        </w:rPr>
        <w:t>Cartae Baronum</w:t>
      </w:r>
      <w:r>
        <w:t xml:space="preserve"> (Woodbridge, Suffolk: Boydell Press, 2002).</w:t>
      </w:r>
    </w:p>
    <w:p w14:paraId="2A7EC723" w14:textId="0716D188" w:rsidR="00D26132" w:rsidRDefault="00D26132" w:rsidP="000E1534">
      <w:pPr>
        <w:ind w:left="720" w:hanging="720"/>
      </w:pPr>
      <w:r w:rsidRPr="00D26132">
        <w:t xml:space="preserve"> Le Neve,</w:t>
      </w:r>
      <w:r>
        <w:t xml:space="preserve"> J., </w:t>
      </w:r>
      <w:r w:rsidRPr="00D26132">
        <w:rPr>
          <w:i/>
        </w:rPr>
        <w:t>Fasti Ecclesiae Anglicanae 1066-1300: Volume 3, Lincoln</w:t>
      </w:r>
      <w:r w:rsidRPr="00D26132">
        <w:t xml:space="preserve">, ed. </w:t>
      </w:r>
      <w:r>
        <w:t>by D.</w:t>
      </w:r>
      <w:r w:rsidRPr="00D26132">
        <w:t xml:space="preserve"> E</w:t>
      </w:r>
      <w:r>
        <w:t>.</w:t>
      </w:r>
      <w:r w:rsidRPr="00D26132">
        <w:t xml:space="preserve"> Greenway (London</w:t>
      </w:r>
      <w:r w:rsidR="004D6B41">
        <w:t>: Institute of Historical Research</w:t>
      </w:r>
      <w:r w:rsidRPr="00D26132">
        <w:t>, 1977). Available at British History Online http://www.british-history.ac.uk/fasti-ecclesiae</w:t>
      </w:r>
      <w:bookmarkStart w:id="22" w:name="_GoBack"/>
      <w:bookmarkEnd w:id="22"/>
      <w:r w:rsidRPr="00D26132">
        <w:t>/1066-1300/vol3</w:t>
      </w:r>
      <w:r>
        <w:t xml:space="preserve"> </w:t>
      </w:r>
      <w:r w:rsidRPr="00D26132">
        <w:t xml:space="preserve"> </w:t>
      </w:r>
      <w:r w:rsidR="00DB6926">
        <w:t>[</w:t>
      </w:r>
      <w:r w:rsidRPr="00D26132">
        <w:t>accessed</w:t>
      </w:r>
      <w:r w:rsidR="00DB6926">
        <w:t>:</w:t>
      </w:r>
      <w:r w:rsidRPr="00D26132">
        <w:t xml:space="preserve"> 26 August 2018].</w:t>
      </w:r>
    </w:p>
    <w:p w14:paraId="5DCCB642" w14:textId="3855E2D8" w:rsidR="00CB10E6" w:rsidRDefault="00CB10E6" w:rsidP="000E1534">
      <w:pPr>
        <w:ind w:left="720" w:hanging="720"/>
      </w:pPr>
      <w:r w:rsidRPr="00CB10E6">
        <w:t>Le Neve</w:t>
      </w:r>
      <w:r>
        <w:t>, J.</w:t>
      </w:r>
      <w:r w:rsidRPr="00CB10E6">
        <w:t xml:space="preserve">, </w:t>
      </w:r>
      <w:r w:rsidRPr="00CB10E6">
        <w:rPr>
          <w:i/>
          <w:iCs/>
        </w:rPr>
        <w:t xml:space="preserve">Fasti Ecclesiae Anglicanae 1300-1541: Volume 4, Monastic Cathedrals (Southern Province) </w:t>
      </w:r>
      <w:r w:rsidRPr="00CB10E6">
        <w:rPr>
          <w:iCs/>
        </w:rPr>
        <w:t>e</w:t>
      </w:r>
      <w:r w:rsidRPr="00CB10E6">
        <w:t xml:space="preserve">d. by B Jones (London: Institute of Historical Research, 1963). Available at </w:t>
      </w:r>
      <w:r w:rsidRPr="00CB10E6">
        <w:rPr>
          <w:iCs/>
        </w:rPr>
        <w:t>British History Online</w:t>
      </w:r>
      <w:r w:rsidRPr="00CB10E6">
        <w:t xml:space="preserve"> </w:t>
      </w:r>
      <w:r w:rsidR="00D26132" w:rsidRPr="00254020">
        <w:rPr>
          <w:rStyle w:val="Hyperlink"/>
        </w:rPr>
        <w:t>http://www.british-history.ac.uk/fasti-ecclesiae/1300-1541/vol4</w:t>
      </w:r>
      <w:r w:rsidRPr="00CB10E6">
        <w:t xml:space="preserve"> </w:t>
      </w:r>
      <w:r w:rsidR="00DB6926">
        <w:t>[</w:t>
      </w:r>
      <w:r w:rsidRPr="00CB10E6">
        <w:t>accessed</w:t>
      </w:r>
      <w:r w:rsidR="00DB6926">
        <w:t>:</w:t>
      </w:r>
      <w:r w:rsidRPr="00CB10E6">
        <w:t xml:space="preserve"> 16 August 2018].</w:t>
      </w:r>
    </w:p>
    <w:p w14:paraId="3B1858C0" w14:textId="304CB95D" w:rsidR="00046F14" w:rsidRPr="00046F14" w:rsidRDefault="00046F14" w:rsidP="000E1534">
      <w:pPr>
        <w:ind w:left="720" w:hanging="720"/>
      </w:pPr>
      <w:r w:rsidRPr="00046F14">
        <w:t>Wragge,</w:t>
      </w:r>
      <w:r>
        <w:t xml:space="preserve"> P.,</w:t>
      </w:r>
      <w:r w:rsidRPr="00046F14">
        <w:t xml:space="preserve"> ‘Religious Houses: Lincoln Cathedral’ in </w:t>
      </w:r>
      <w:r w:rsidRPr="00046F14">
        <w:rPr>
          <w:i/>
        </w:rPr>
        <w:t>The Victoria History of the County of Lincoln</w:t>
      </w:r>
      <w:r w:rsidRPr="00046F14">
        <w:t xml:space="preserve">, Volume 2, ed. by W. Page (London: Archibald Constable, 1906), pp. 128-129. Available at Internet Archive https://archive.org/stream/victoriahistor02 </w:t>
      </w:r>
      <w:r w:rsidR="00A07140">
        <w:t>[</w:t>
      </w:r>
      <w:r w:rsidRPr="00046F14">
        <w:t>accessed</w:t>
      </w:r>
      <w:r w:rsidR="00A07140">
        <w:t>:</w:t>
      </w:r>
      <w:r w:rsidRPr="00046F14">
        <w:t xml:space="preserve"> 16 August 2018].</w:t>
      </w:r>
    </w:p>
    <w:p w14:paraId="1C9FBA75" w14:textId="77777777" w:rsidR="004D4752" w:rsidRDefault="004D4752" w:rsidP="00263ED9"/>
    <w:sectPr w:rsidR="004D475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E6323" w14:textId="77777777" w:rsidR="00320894" w:rsidRDefault="00320894" w:rsidP="007437F1">
      <w:pPr>
        <w:spacing w:after="0" w:line="240" w:lineRule="auto"/>
      </w:pPr>
      <w:r>
        <w:separator/>
      </w:r>
    </w:p>
  </w:endnote>
  <w:endnote w:type="continuationSeparator" w:id="0">
    <w:p w14:paraId="2B7DC23A" w14:textId="77777777" w:rsidR="00320894" w:rsidRDefault="00320894" w:rsidP="00743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987164"/>
      <w:docPartObj>
        <w:docPartGallery w:val="Page Numbers (Bottom of Page)"/>
        <w:docPartUnique/>
      </w:docPartObj>
    </w:sdtPr>
    <w:sdtEndPr>
      <w:rPr>
        <w:noProof/>
      </w:rPr>
    </w:sdtEndPr>
    <w:sdtContent>
      <w:p w14:paraId="5231D5C5" w14:textId="02582352" w:rsidR="00A07140" w:rsidRDefault="00A071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91AE79" w14:textId="77777777" w:rsidR="00A07140" w:rsidRDefault="00A07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C5F8F7" w14:textId="77777777" w:rsidR="00320894" w:rsidRDefault="00320894" w:rsidP="007437F1">
      <w:pPr>
        <w:spacing w:after="0" w:line="240" w:lineRule="auto"/>
      </w:pPr>
      <w:r>
        <w:separator/>
      </w:r>
    </w:p>
  </w:footnote>
  <w:footnote w:type="continuationSeparator" w:id="0">
    <w:p w14:paraId="6F59566D" w14:textId="77777777" w:rsidR="00320894" w:rsidRDefault="00320894" w:rsidP="007437F1">
      <w:pPr>
        <w:spacing w:after="0" w:line="240" w:lineRule="auto"/>
      </w:pPr>
      <w:r>
        <w:continuationSeparator/>
      </w:r>
    </w:p>
  </w:footnote>
  <w:footnote w:id="1">
    <w:p w14:paraId="54AF0D7D" w14:textId="076C8C4D" w:rsidR="00CA4840" w:rsidRDefault="00CA4840">
      <w:pPr>
        <w:pStyle w:val="FootnoteText"/>
      </w:pPr>
      <w:r>
        <w:rPr>
          <w:rStyle w:val="FootnoteReference"/>
        </w:rPr>
        <w:footnoteRef/>
      </w:r>
      <w:r>
        <w:t xml:space="preserve"> </w:t>
      </w:r>
      <w:r w:rsidRPr="006A0756">
        <w:rPr>
          <w:i/>
          <w:iCs/>
        </w:rPr>
        <w:t>A Handbook of Dates: For Students of British History</w:t>
      </w:r>
      <w:r w:rsidRPr="006A0756">
        <w:t>,</w:t>
      </w:r>
      <w:r>
        <w:t xml:space="preserve"> ed. by C.R. Cheney</w:t>
      </w:r>
      <w:r w:rsidRPr="006A0756">
        <w:t xml:space="preserve"> </w:t>
      </w:r>
      <w:r>
        <w:t>rev.</w:t>
      </w:r>
      <w:r w:rsidRPr="006A0756">
        <w:t xml:space="preserve"> edn</w:t>
      </w:r>
      <w:r>
        <w:t xml:space="preserve">, rev. </w:t>
      </w:r>
      <w:r w:rsidRPr="006A0756">
        <w:t>by M. Jones (Cambridge: Cambridge University Press, 2004), p. 35.</w:t>
      </w:r>
    </w:p>
  </w:footnote>
  <w:footnote w:id="2">
    <w:p w14:paraId="08C3DBAF" w14:textId="4B226BB5" w:rsidR="00CA4840" w:rsidRDefault="00CA4840">
      <w:pPr>
        <w:pStyle w:val="FootnoteText"/>
      </w:pPr>
      <w:r>
        <w:rPr>
          <w:rStyle w:val="FootnoteReference"/>
        </w:rPr>
        <w:footnoteRef/>
      </w:r>
      <w:r>
        <w:t xml:space="preserve"> </w:t>
      </w:r>
      <w:r>
        <w:rPr>
          <w:i/>
        </w:rPr>
        <w:t>i</w:t>
      </w:r>
      <w:r w:rsidRPr="00263ED9">
        <w:rPr>
          <w:i/>
        </w:rPr>
        <w:t>bid</w:t>
      </w:r>
      <w:r>
        <w:t>., p. 78.</w:t>
      </w:r>
    </w:p>
  </w:footnote>
  <w:footnote w:id="3">
    <w:p w14:paraId="65D794FE" w14:textId="1B32A02A" w:rsidR="00CA4840" w:rsidRDefault="00CA4840">
      <w:pPr>
        <w:pStyle w:val="FootnoteText"/>
      </w:pPr>
      <w:r>
        <w:rPr>
          <w:rStyle w:val="FootnoteReference"/>
        </w:rPr>
        <w:footnoteRef/>
      </w:r>
      <w:r>
        <w:t xml:space="preserve"> </w:t>
      </w:r>
      <w:r w:rsidRPr="003A0A2E">
        <w:rPr>
          <w:i/>
        </w:rPr>
        <w:t>ibid</w:t>
      </w:r>
      <w:r>
        <w:t>., p. 229.</w:t>
      </w:r>
    </w:p>
  </w:footnote>
  <w:footnote w:id="4">
    <w:p w14:paraId="62F75B7D" w14:textId="4B030C9F" w:rsidR="00CA4840" w:rsidRDefault="00CA4840">
      <w:pPr>
        <w:pStyle w:val="FootnoteText"/>
      </w:pPr>
      <w:r>
        <w:rPr>
          <w:rStyle w:val="FootnoteReference"/>
        </w:rPr>
        <w:footnoteRef/>
      </w:r>
      <w:r>
        <w:t xml:space="preserve"> </w:t>
      </w:r>
      <w:r w:rsidRPr="004D4752">
        <w:t> </w:t>
      </w:r>
      <w:r w:rsidRPr="004D4752">
        <w:rPr>
          <w:i/>
          <w:iCs/>
        </w:rPr>
        <w:t>The Heads of Religious Houses</w:t>
      </w:r>
      <w:r>
        <w:rPr>
          <w:i/>
          <w:iCs/>
        </w:rPr>
        <w:t>:</w:t>
      </w:r>
      <w:r w:rsidRPr="004D4752">
        <w:rPr>
          <w:i/>
          <w:iCs/>
        </w:rPr>
        <w:t xml:space="preserve"> England and Wales</w:t>
      </w:r>
      <w:r>
        <w:rPr>
          <w:i/>
          <w:iCs/>
        </w:rPr>
        <w:t xml:space="preserve">, </w:t>
      </w:r>
      <w:r w:rsidRPr="000858FE">
        <w:rPr>
          <w:iCs/>
        </w:rPr>
        <w:t>III</w:t>
      </w:r>
      <w:r>
        <w:rPr>
          <w:i/>
          <w:iCs/>
        </w:rPr>
        <w:t>: 1377-1540</w:t>
      </w:r>
      <w:r w:rsidRPr="004D4752">
        <w:t>,</w:t>
      </w:r>
      <w:r>
        <w:t xml:space="preserve"> ed. by D.M. Smith </w:t>
      </w:r>
      <w:r w:rsidRPr="004D4752">
        <w:t>(Cambridge: Cambridge University Press, 2008)</w:t>
      </w:r>
      <w:r>
        <w:t>, p. 277.</w:t>
      </w:r>
    </w:p>
  </w:footnote>
  <w:footnote w:id="5">
    <w:p w14:paraId="6AA64C77" w14:textId="316AC410" w:rsidR="00CA4840" w:rsidRDefault="00CA4840">
      <w:pPr>
        <w:pStyle w:val="FootnoteText"/>
      </w:pPr>
      <w:r>
        <w:rPr>
          <w:rStyle w:val="FootnoteReference"/>
        </w:rPr>
        <w:footnoteRef/>
      </w:r>
      <w:r>
        <w:t xml:space="preserve"> </w:t>
      </w:r>
      <w:bookmarkStart w:id="0" w:name="_Hlk522174862"/>
      <w:bookmarkStart w:id="1" w:name="_Hlk522174863"/>
      <w:bookmarkStart w:id="2" w:name="_Hlk522174864"/>
      <w:bookmarkStart w:id="3" w:name="_Hlk522174865"/>
      <w:bookmarkStart w:id="4" w:name="_Hlk522174866"/>
      <w:bookmarkStart w:id="5" w:name="_Hlk522174867"/>
      <w:bookmarkStart w:id="6" w:name="_Hlk522174868"/>
      <w:bookmarkStart w:id="7" w:name="_Hlk522174869"/>
      <w:bookmarkStart w:id="8" w:name="_Hlk522174870"/>
      <w:bookmarkStart w:id="9" w:name="_Hlk522174871"/>
      <w:bookmarkStart w:id="10" w:name="_Hlk522174872"/>
      <w:bookmarkStart w:id="11" w:name="_Hlk522174873"/>
      <w:bookmarkStart w:id="12" w:name="_Hlk522174874"/>
      <w:bookmarkStart w:id="13" w:name="_Hlk522174875"/>
      <w:r w:rsidRPr="009961DF">
        <w:rPr>
          <w:i/>
        </w:rPr>
        <w:t>Handbook of British Chronology</w:t>
      </w:r>
      <w:r>
        <w:t>, 3rd edn, ed. by E.B. Fryde and others (Cambridge: Cambridge University Press, 1986)</w:t>
      </w:r>
      <w:bookmarkEnd w:id="0"/>
      <w:bookmarkEnd w:id="1"/>
      <w:bookmarkEnd w:id="2"/>
      <w:bookmarkEnd w:id="3"/>
      <w:bookmarkEnd w:id="4"/>
      <w:bookmarkEnd w:id="5"/>
      <w:bookmarkEnd w:id="6"/>
      <w:bookmarkEnd w:id="7"/>
      <w:bookmarkEnd w:id="8"/>
      <w:bookmarkEnd w:id="9"/>
      <w:bookmarkEnd w:id="10"/>
      <w:bookmarkEnd w:id="11"/>
      <w:bookmarkEnd w:id="12"/>
      <w:bookmarkEnd w:id="13"/>
      <w:r>
        <w:t xml:space="preserve"> p. 295.</w:t>
      </w:r>
    </w:p>
  </w:footnote>
  <w:footnote w:id="6">
    <w:p w14:paraId="5249F173" w14:textId="6021BD50" w:rsidR="00CA4840" w:rsidRDefault="00CA4840">
      <w:pPr>
        <w:pStyle w:val="FootnoteText"/>
      </w:pPr>
      <w:r>
        <w:rPr>
          <w:rStyle w:val="FootnoteReference"/>
        </w:rPr>
        <w:footnoteRef/>
      </w:r>
      <w:r>
        <w:t xml:space="preserve"> </w:t>
      </w:r>
      <w:r w:rsidRPr="007414BC">
        <w:rPr>
          <w:i/>
        </w:rPr>
        <w:t>ibid</w:t>
      </w:r>
      <w:r>
        <w:t xml:space="preserve">, p. 226. ; </w:t>
      </w:r>
      <w:r w:rsidRPr="007414BC">
        <w:rPr>
          <w:i/>
        </w:rPr>
        <w:t>Handbook of Dates</w:t>
      </w:r>
      <w:r>
        <w:t>, p. 94.</w:t>
      </w:r>
    </w:p>
  </w:footnote>
  <w:footnote w:id="7">
    <w:p w14:paraId="3ABDC860" w14:textId="3AC27025" w:rsidR="00CA4840" w:rsidRDefault="00CA4840">
      <w:pPr>
        <w:pStyle w:val="FootnoteText"/>
      </w:pPr>
      <w:r>
        <w:rPr>
          <w:rStyle w:val="FootnoteReference"/>
        </w:rPr>
        <w:footnoteRef/>
      </w:r>
      <w:r>
        <w:t xml:space="preserve"> </w:t>
      </w:r>
      <w:r w:rsidRPr="007414BC">
        <w:rPr>
          <w:i/>
        </w:rPr>
        <w:t>Handbook of British Chronology</w:t>
      </w:r>
      <w:r>
        <w:t>, p. 295.</w:t>
      </w:r>
    </w:p>
  </w:footnote>
  <w:footnote w:id="8">
    <w:p w14:paraId="17CE030D" w14:textId="7C18D56D" w:rsidR="00CA4840" w:rsidRDefault="00CA4840">
      <w:pPr>
        <w:pStyle w:val="FootnoteText"/>
      </w:pPr>
      <w:r>
        <w:rPr>
          <w:rStyle w:val="FootnoteReference"/>
        </w:rPr>
        <w:footnoteRef/>
      </w:r>
      <w:r>
        <w:t xml:space="preserve"> </w:t>
      </w:r>
      <w:r w:rsidRPr="00B078F1">
        <w:rPr>
          <w:i/>
        </w:rPr>
        <w:t>Handbook of Dates</w:t>
      </w:r>
      <w:r>
        <w:t>, p. 78.</w:t>
      </w:r>
    </w:p>
  </w:footnote>
  <w:footnote w:id="9">
    <w:p w14:paraId="1983CB28" w14:textId="2F42CDDE" w:rsidR="00CA4840" w:rsidRDefault="00CA4840">
      <w:pPr>
        <w:pStyle w:val="FootnoteText"/>
      </w:pPr>
      <w:r>
        <w:rPr>
          <w:rStyle w:val="FootnoteReference"/>
        </w:rPr>
        <w:footnoteRef/>
      </w:r>
      <w:r>
        <w:t xml:space="preserve"> </w:t>
      </w:r>
      <w:r w:rsidRPr="00B078F1">
        <w:rPr>
          <w:i/>
        </w:rPr>
        <w:t>Handbook of British Chronology</w:t>
      </w:r>
      <w:r>
        <w:t>, p. 295.</w:t>
      </w:r>
    </w:p>
  </w:footnote>
  <w:footnote w:id="10">
    <w:p w14:paraId="3FD913CB" w14:textId="0EBE595A" w:rsidR="00CA4840" w:rsidRDefault="00CA4840">
      <w:pPr>
        <w:pStyle w:val="FootnoteText"/>
      </w:pPr>
      <w:r>
        <w:rPr>
          <w:rStyle w:val="FootnoteReference"/>
        </w:rPr>
        <w:footnoteRef/>
      </w:r>
      <w:r>
        <w:t xml:space="preserve"> J. Le Neve, </w:t>
      </w:r>
      <w:r w:rsidRPr="0076791C">
        <w:rPr>
          <w:i/>
          <w:iCs/>
        </w:rPr>
        <w:t>Fasti Ecclesiae Anglicanae 1300-1541: Volume 4, Monastic Cathedrals (Southern Province)</w:t>
      </w:r>
      <w:r>
        <w:rPr>
          <w:i/>
          <w:iCs/>
        </w:rPr>
        <w:t xml:space="preserve"> </w:t>
      </w:r>
      <w:r>
        <w:rPr>
          <w:iCs/>
        </w:rPr>
        <w:t>e</w:t>
      </w:r>
      <w:r w:rsidRPr="0076791C">
        <w:t xml:space="preserve">d. </w:t>
      </w:r>
      <w:r>
        <w:t xml:space="preserve">by </w:t>
      </w:r>
      <w:r w:rsidRPr="0076791C">
        <w:t xml:space="preserve">B Jones </w:t>
      </w:r>
      <w:r>
        <w:t>(</w:t>
      </w:r>
      <w:r w:rsidRPr="0076791C">
        <w:t>London: Institute of Historical Research, 1963.</w:t>
      </w:r>
      <w:r>
        <w:t>) pp.</w:t>
      </w:r>
      <w:r w:rsidRPr="0076791C">
        <w:t xml:space="preserve"> 13-16.</w:t>
      </w:r>
      <w:r>
        <w:t xml:space="preserve"> Available at </w:t>
      </w:r>
      <w:r w:rsidRPr="00CB10E6">
        <w:rPr>
          <w:iCs/>
        </w:rPr>
        <w:t>British History Online</w:t>
      </w:r>
      <w:r>
        <w:t xml:space="preserve"> </w:t>
      </w:r>
      <w:hyperlink r:id="rId1" w:history="1">
        <w:r w:rsidR="000E1534" w:rsidRPr="001E229C">
          <w:rPr>
            <w:rStyle w:val="Hyperlink"/>
          </w:rPr>
          <w:t>http://www.british-history.ac.uk/fasti-ecclesiae/1300-1541/vol4/pp13-16</w:t>
        </w:r>
      </w:hyperlink>
      <w:r w:rsidRPr="0076791C">
        <w:t>.</w:t>
      </w:r>
      <w:r>
        <w:t xml:space="preserve"> </w:t>
      </w:r>
      <w:r w:rsidR="000E1534">
        <w:t>[</w:t>
      </w:r>
      <w:r>
        <w:t>accessed</w:t>
      </w:r>
      <w:r w:rsidR="00DB6926">
        <w:t>:</w:t>
      </w:r>
      <w:r>
        <w:t xml:space="preserve"> 16 August 2018].</w:t>
      </w:r>
    </w:p>
  </w:footnote>
  <w:footnote w:id="11">
    <w:p w14:paraId="103E0761" w14:textId="12FC3FEA" w:rsidR="00CA4840" w:rsidRDefault="00CA4840">
      <w:pPr>
        <w:pStyle w:val="FootnoteText"/>
      </w:pPr>
      <w:r>
        <w:rPr>
          <w:rStyle w:val="FootnoteReference"/>
        </w:rPr>
        <w:footnoteRef/>
      </w:r>
      <w:r>
        <w:t xml:space="preserve"> </w:t>
      </w:r>
      <w:r w:rsidRPr="00CB10E6">
        <w:rPr>
          <w:i/>
        </w:rPr>
        <w:t>Handbook of British Chronology</w:t>
      </w:r>
      <w:r>
        <w:t>, p. 244.</w:t>
      </w:r>
    </w:p>
  </w:footnote>
  <w:footnote w:id="12">
    <w:p w14:paraId="5C8E9581" w14:textId="1519787C" w:rsidR="00CA4840" w:rsidRDefault="00CA4840">
      <w:pPr>
        <w:pStyle w:val="FootnoteText"/>
      </w:pPr>
      <w:r>
        <w:rPr>
          <w:rStyle w:val="FootnoteReference"/>
        </w:rPr>
        <w:footnoteRef/>
      </w:r>
      <w:r>
        <w:t xml:space="preserve"> </w:t>
      </w:r>
      <w:r w:rsidRPr="00CB10E6">
        <w:rPr>
          <w:i/>
        </w:rPr>
        <w:t>Handbook of Dates</w:t>
      </w:r>
      <w:r>
        <w:t>, p. 34.</w:t>
      </w:r>
    </w:p>
  </w:footnote>
  <w:footnote w:id="13">
    <w:p w14:paraId="504FE359" w14:textId="373912C5" w:rsidR="00CA4840" w:rsidRDefault="00CA4840">
      <w:pPr>
        <w:pStyle w:val="FootnoteText"/>
      </w:pPr>
      <w:r>
        <w:rPr>
          <w:rStyle w:val="FootnoteReference"/>
        </w:rPr>
        <w:footnoteRef/>
      </w:r>
      <w:r>
        <w:t xml:space="preserve"> </w:t>
      </w:r>
      <w:r w:rsidRPr="00557B6D">
        <w:rPr>
          <w:i/>
        </w:rPr>
        <w:t>ibid</w:t>
      </w:r>
      <w:r>
        <w:t>., p. 229.</w:t>
      </w:r>
    </w:p>
  </w:footnote>
  <w:footnote w:id="14">
    <w:p w14:paraId="17743C52" w14:textId="3CA832DC" w:rsidR="00CA4840" w:rsidRDefault="00CA4840">
      <w:pPr>
        <w:pStyle w:val="FootnoteText"/>
      </w:pPr>
      <w:r>
        <w:rPr>
          <w:rStyle w:val="FootnoteReference"/>
        </w:rPr>
        <w:footnoteRef/>
      </w:r>
      <w:r>
        <w:t xml:space="preserve"> </w:t>
      </w:r>
      <w:r w:rsidRPr="00557B6D">
        <w:rPr>
          <w:i/>
        </w:rPr>
        <w:t>ibid</w:t>
      </w:r>
      <w:r>
        <w:t>., p. 196.</w:t>
      </w:r>
    </w:p>
  </w:footnote>
  <w:footnote w:id="15">
    <w:p w14:paraId="110F366C" w14:textId="7FCD823D" w:rsidR="00CA4840" w:rsidRDefault="00CA4840">
      <w:pPr>
        <w:pStyle w:val="FootnoteText"/>
      </w:pPr>
      <w:r>
        <w:rPr>
          <w:rStyle w:val="FootnoteReference"/>
        </w:rPr>
        <w:footnoteRef/>
      </w:r>
      <w:r>
        <w:t xml:space="preserve"> </w:t>
      </w:r>
      <w:r w:rsidRPr="001F5153">
        <w:rPr>
          <w:i/>
        </w:rPr>
        <w:t>Handbook of British Chronology</w:t>
      </w:r>
      <w:r>
        <w:t>, p. 35.</w:t>
      </w:r>
    </w:p>
  </w:footnote>
  <w:footnote w:id="16">
    <w:p w14:paraId="311F1544" w14:textId="58F8A1C4" w:rsidR="00CA4840" w:rsidRDefault="00CA4840">
      <w:pPr>
        <w:pStyle w:val="FootnoteText"/>
      </w:pPr>
      <w:r>
        <w:rPr>
          <w:rStyle w:val="FootnoteReference"/>
        </w:rPr>
        <w:footnoteRef/>
      </w:r>
      <w:r>
        <w:t xml:space="preserve"> </w:t>
      </w:r>
      <w:r w:rsidRPr="00460153">
        <w:rPr>
          <w:i/>
        </w:rPr>
        <w:t>ibid</w:t>
      </w:r>
      <w:r>
        <w:t>., p. 36</w:t>
      </w:r>
    </w:p>
  </w:footnote>
  <w:footnote w:id="17">
    <w:p w14:paraId="341AFF27" w14:textId="6617910D" w:rsidR="00CA4840" w:rsidRDefault="00CA4840">
      <w:pPr>
        <w:pStyle w:val="FootnoteText"/>
      </w:pPr>
      <w:r>
        <w:rPr>
          <w:rStyle w:val="FootnoteReference"/>
        </w:rPr>
        <w:footnoteRef/>
      </w:r>
      <w:r>
        <w:t xml:space="preserve"> </w:t>
      </w:r>
      <w:r w:rsidRPr="00460153">
        <w:rPr>
          <w:i/>
        </w:rPr>
        <w:t>ibid</w:t>
      </w:r>
      <w:r>
        <w:t>., p. 37.</w:t>
      </w:r>
    </w:p>
  </w:footnote>
  <w:footnote w:id="18">
    <w:p w14:paraId="091F2F3A" w14:textId="33351878" w:rsidR="00CA4840" w:rsidRDefault="00CA4840">
      <w:pPr>
        <w:pStyle w:val="FootnoteText"/>
      </w:pPr>
      <w:r>
        <w:rPr>
          <w:rStyle w:val="FootnoteReference"/>
        </w:rPr>
        <w:footnoteRef/>
      </w:r>
      <w:r>
        <w:t xml:space="preserve"> </w:t>
      </w:r>
      <w:r w:rsidRPr="00460153">
        <w:rPr>
          <w:i/>
        </w:rPr>
        <w:t>ibid</w:t>
      </w:r>
      <w:r>
        <w:t>., p. 454.</w:t>
      </w:r>
    </w:p>
  </w:footnote>
  <w:footnote w:id="19">
    <w:p w14:paraId="7A1DF224" w14:textId="64CD4758" w:rsidR="00CA4840" w:rsidRDefault="00CA4840">
      <w:pPr>
        <w:pStyle w:val="FootnoteText"/>
      </w:pPr>
      <w:r>
        <w:rPr>
          <w:rStyle w:val="FootnoteReference"/>
        </w:rPr>
        <w:footnoteRef/>
      </w:r>
      <w:r>
        <w:t xml:space="preserve"> </w:t>
      </w:r>
      <w:r w:rsidRPr="0048281B">
        <w:rPr>
          <w:i/>
        </w:rPr>
        <w:t>ibid</w:t>
      </w:r>
      <w:r>
        <w:t>., p. 466</w:t>
      </w:r>
    </w:p>
  </w:footnote>
  <w:footnote w:id="20">
    <w:p w14:paraId="51F037AD" w14:textId="77777777" w:rsidR="00CA4840" w:rsidRDefault="00CA4840" w:rsidP="0048281B">
      <w:pPr>
        <w:pStyle w:val="FootnoteText"/>
      </w:pPr>
      <w:r>
        <w:rPr>
          <w:rStyle w:val="FootnoteReference"/>
        </w:rPr>
        <w:footnoteRef/>
      </w:r>
      <w:r>
        <w:t xml:space="preserve"> </w:t>
      </w:r>
      <w:r w:rsidRPr="00AE6A16">
        <w:rPr>
          <w:i/>
        </w:rPr>
        <w:t>ibid</w:t>
      </w:r>
      <w:r>
        <w:t>., pp. 448-489.</w:t>
      </w:r>
    </w:p>
  </w:footnote>
  <w:footnote w:id="21">
    <w:p w14:paraId="04F55B75" w14:textId="26A47DC7" w:rsidR="00CA4840" w:rsidRDefault="00CA4840">
      <w:pPr>
        <w:pStyle w:val="FootnoteText"/>
      </w:pPr>
      <w:r>
        <w:rPr>
          <w:rStyle w:val="FootnoteReference"/>
        </w:rPr>
        <w:footnoteRef/>
      </w:r>
      <w:r>
        <w:t xml:space="preserve"> </w:t>
      </w:r>
      <w:r w:rsidRPr="00AE6A16">
        <w:rPr>
          <w:i/>
        </w:rPr>
        <w:t>ibid</w:t>
      </w:r>
      <w:r>
        <w:rPr>
          <w:i/>
        </w:rPr>
        <w:t>.</w:t>
      </w:r>
      <w:r>
        <w:t>, p. 466</w:t>
      </w:r>
    </w:p>
  </w:footnote>
  <w:footnote w:id="22">
    <w:p w14:paraId="59380DCF" w14:textId="6C0CB6F6" w:rsidR="00CA4840" w:rsidRDefault="00CA4840">
      <w:pPr>
        <w:pStyle w:val="FootnoteText"/>
      </w:pPr>
      <w:r>
        <w:rPr>
          <w:rStyle w:val="FootnoteReference"/>
        </w:rPr>
        <w:footnoteRef/>
      </w:r>
      <w:r>
        <w:t xml:space="preserve"> P. Wragge, ‘Religious Houses: Lincoln Cathedral’ in </w:t>
      </w:r>
      <w:r w:rsidRPr="00046F14">
        <w:rPr>
          <w:i/>
        </w:rPr>
        <w:t>The Victoria History of the County of Lincoln</w:t>
      </w:r>
      <w:r>
        <w:t xml:space="preserve">, Volume 2, ed. by W. Page (London: Archibald Constable, 1906), pp. </w:t>
      </w:r>
      <w:r w:rsidR="00254020">
        <w:t>94-95</w:t>
      </w:r>
      <w:r>
        <w:t xml:space="preserve">. Available at Internet Archive </w:t>
      </w:r>
      <w:r w:rsidR="001D40AD" w:rsidRPr="001D40AD">
        <w:t xml:space="preserve">https://archive.org/stream/victoriahistor02pageuoft#page/94 </w:t>
      </w:r>
      <w:r w:rsidR="000E1534">
        <w:t>[</w:t>
      </w:r>
      <w:r>
        <w:t>accessed</w:t>
      </w:r>
      <w:r w:rsidR="00DB6926">
        <w:t>:</w:t>
      </w:r>
      <w:r>
        <w:t xml:space="preserve"> 16 August 2018].</w:t>
      </w:r>
    </w:p>
  </w:footnote>
  <w:footnote w:id="23">
    <w:p w14:paraId="159A7911" w14:textId="222CAB35" w:rsidR="00CA4840" w:rsidRDefault="00CA4840">
      <w:pPr>
        <w:pStyle w:val="FootnoteText"/>
      </w:pPr>
      <w:bookmarkStart w:id="14" w:name="_Hlk523117435"/>
      <w:r>
        <w:rPr>
          <w:rStyle w:val="FootnoteReference"/>
        </w:rPr>
        <w:footnoteRef/>
      </w:r>
      <w:r>
        <w:t xml:space="preserve"> J. Le Neve, </w:t>
      </w:r>
      <w:r w:rsidRPr="0068207D">
        <w:t>'Deans', in </w:t>
      </w:r>
      <w:r w:rsidRPr="0068207D">
        <w:rPr>
          <w:i/>
          <w:iCs/>
        </w:rPr>
        <w:t>Fasti Ecclesiae Anglicanae 1066-1300: Volume 3, Lincoln</w:t>
      </w:r>
      <w:r w:rsidRPr="0068207D">
        <w:t>, ed. Diana E Greenway (London, 1977), pp. 5-12. </w:t>
      </w:r>
      <w:r>
        <w:t xml:space="preserve">Available at </w:t>
      </w:r>
      <w:r w:rsidRPr="0068207D">
        <w:rPr>
          <w:iCs/>
        </w:rPr>
        <w:t>British History Online</w:t>
      </w:r>
      <w:r w:rsidRPr="0068207D">
        <w:t> http://www.british-history.ac.uk/fasti-ecclesiae/1066-1300/vol3/pp5-12</w:t>
      </w:r>
      <w:r>
        <w:t xml:space="preserve"> </w:t>
      </w:r>
      <w:r w:rsidR="000E1534">
        <w:t>[</w:t>
      </w:r>
      <w:r w:rsidRPr="0068207D">
        <w:t>accessed</w:t>
      </w:r>
      <w:r w:rsidR="00DB6926">
        <w:t>:</w:t>
      </w:r>
      <w:r w:rsidRPr="0068207D">
        <w:t xml:space="preserve"> 26 August 2018].</w:t>
      </w:r>
    </w:p>
    <w:bookmarkEnd w:id="14"/>
  </w:footnote>
  <w:footnote w:id="24">
    <w:p w14:paraId="578E2134" w14:textId="3921C29E" w:rsidR="00CA4840" w:rsidRDefault="00CA4840">
      <w:pPr>
        <w:pStyle w:val="FootnoteText"/>
      </w:pPr>
      <w:r>
        <w:rPr>
          <w:rStyle w:val="FootnoteReference"/>
        </w:rPr>
        <w:footnoteRef/>
      </w:r>
      <w:r>
        <w:t xml:space="preserve"> </w:t>
      </w:r>
      <w:r w:rsidRPr="0068207D">
        <w:rPr>
          <w:i/>
        </w:rPr>
        <w:t>Handbook of British Chronology</w:t>
      </w:r>
      <w:r>
        <w:t>, p. 57</w:t>
      </w:r>
    </w:p>
  </w:footnote>
  <w:footnote w:id="25">
    <w:p w14:paraId="1A08E19C" w14:textId="5B8D9089" w:rsidR="00CA4840" w:rsidRDefault="00CA4840">
      <w:pPr>
        <w:pStyle w:val="FootnoteText"/>
      </w:pPr>
      <w:r>
        <w:rPr>
          <w:rStyle w:val="FootnoteReference"/>
        </w:rPr>
        <w:footnoteRef/>
      </w:r>
      <w:r>
        <w:t xml:space="preserve"> </w:t>
      </w:r>
      <w:bookmarkStart w:id="15" w:name="_Hlk523118034"/>
      <w:r>
        <w:t xml:space="preserve">K.S.B. Keats-Rohan, </w:t>
      </w:r>
      <w:r w:rsidRPr="004D6B41">
        <w:rPr>
          <w:i/>
        </w:rPr>
        <w:t>Domesday Descendants: A prosopography of Persons Occurring in English Documents 1066-1166</w:t>
      </w:r>
      <w:r>
        <w:t xml:space="preserve">, vol. 2 Pipe Rolls to </w:t>
      </w:r>
      <w:r w:rsidRPr="004D6B41">
        <w:rPr>
          <w:i/>
        </w:rPr>
        <w:t>Cartae Baronum</w:t>
      </w:r>
      <w:r>
        <w:t xml:space="preserve"> (Woodbridge, Suffolk: Boydell Press, 2002) </w:t>
      </w:r>
      <w:bookmarkEnd w:id="15"/>
      <w:r>
        <w:t>p. 1108.</w:t>
      </w:r>
    </w:p>
  </w:footnote>
  <w:footnote w:id="26">
    <w:p w14:paraId="0530B6F7" w14:textId="17418B43" w:rsidR="00CA4840" w:rsidRDefault="00CA4840">
      <w:pPr>
        <w:pStyle w:val="FootnoteText"/>
      </w:pPr>
      <w:r>
        <w:rPr>
          <w:rStyle w:val="FootnoteReference"/>
        </w:rPr>
        <w:footnoteRef/>
      </w:r>
      <w:r>
        <w:t xml:space="preserve"> </w:t>
      </w:r>
      <w:bookmarkStart w:id="16" w:name="_Hlk523227705"/>
      <w:bookmarkStart w:id="17" w:name="_Hlk523227706"/>
      <w:r>
        <w:t xml:space="preserve">Orderici Vitalis, </w:t>
      </w:r>
      <w:r w:rsidRPr="00A01273">
        <w:rPr>
          <w:i/>
        </w:rPr>
        <w:t>Historiae Ecclesiasticae</w:t>
      </w:r>
      <w:r>
        <w:t>, Volume 4, ed. by A. Le Prevost (Paris: Societe de l’Historie de France, 1852), pp. 418-419.</w:t>
      </w:r>
      <w:bookmarkEnd w:id="16"/>
      <w:bookmarkEnd w:id="17"/>
      <w:r>
        <w:t xml:space="preserve"> Available at Internet Archive </w:t>
      </w:r>
      <w:hyperlink r:id="rId2" w:anchor="page/n430" w:history="1">
        <w:r w:rsidRPr="00250A38">
          <w:rPr>
            <w:rStyle w:val="Hyperlink"/>
          </w:rPr>
          <w:t>https://archive.org/stream/ordericivitalis07deligoog#page/n430</w:t>
        </w:r>
      </w:hyperlink>
      <w:r w:rsidR="00DB6926">
        <w:t>.</w:t>
      </w:r>
      <w:r>
        <w:t xml:space="preserve"> </w:t>
      </w:r>
      <w:r w:rsidR="00DB6926">
        <w:t>[</w:t>
      </w:r>
      <w:r>
        <w:t>accessed</w:t>
      </w:r>
      <w:r w:rsidR="00DB6926">
        <w:t>:</w:t>
      </w:r>
      <w:r>
        <w:t xml:space="preserve"> 26 August 2018].</w:t>
      </w:r>
    </w:p>
  </w:footnote>
  <w:footnote w:id="27">
    <w:p w14:paraId="40FA1B17" w14:textId="7ED550D3" w:rsidR="00CA4840" w:rsidRDefault="00CA4840">
      <w:pPr>
        <w:pStyle w:val="FootnoteText"/>
      </w:pPr>
      <w:r>
        <w:rPr>
          <w:rStyle w:val="FootnoteReference"/>
        </w:rPr>
        <w:footnoteRef/>
      </w:r>
      <w:r>
        <w:t xml:space="preserve"> </w:t>
      </w:r>
      <w:bookmarkStart w:id="18" w:name="_Hlk523228323"/>
      <w:bookmarkStart w:id="19" w:name="_Hlk523228324"/>
      <w:r>
        <w:t xml:space="preserve">W. Farrer, </w:t>
      </w:r>
      <w:r w:rsidRPr="002A4116">
        <w:rPr>
          <w:i/>
        </w:rPr>
        <w:t>An Outline Itinerary of King Henry the First</w:t>
      </w:r>
      <w:r>
        <w:t xml:space="preserve"> (Oxford: Frederick Hall, [1920]), p. 106. Available at Internet Archive </w:t>
      </w:r>
      <w:hyperlink r:id="rId3" w:history="1">
        <w:r w:rsidR="00DB6926" w:rsidRPr="001E229C">
          <w:rPr>
            <w:rStyle w:val="Hyperlink"/>
          </w:rPr>
          <w:t>https://archive.org/stream/outlineitinerary00farruoft#page/105/mode/1up</w:t>
        </w:r>
      </w:hyperlink>
      <w:r w:rsidR="00DB6926">
        <w:t>. [</w:t>
      </w:r>
      <w:r>
        <w:t>accessed</w:t>
      </w:r>
      <w:r w:rsidR="00DB6926">
        <w:t>:</w:t>
      </w:r>
      <w:r>
        <w:t xml:space="preserve"> 26 August 2018].</w:t>
      </w:r>
      <w:bookmarkEnd w:id="18"/>
      <w:bookmarkEnd w:id="19"/>
    </w:p>
  </w:footnote>
  <w:footnote w:id="28">
    <w:p w14:paraId="2F9C5C75" w14:textId="445D9774" w:rsidR="00C202EB" w:rsidRDefault="00C202EB">
      <w:pPr>
        <w:pStyle w:val="FootnoteText"/>
      </w:pPr>
      <w:r>
        <w:rPr>
          <w:rStyle w:val="FootnoteReference"/>
        </w:rPr>
        <w:footnoteRef/>
      </w:r>
      <w:r>
        <w:t xml:space="preserve"> </w:t>
      </w:r>
      <w:r w:rsidRPr="00C202EB">
        <w:rPr>
          <w:i/>
        </w:rPr>
        <w:t>ibid</w:t>
      </w:r>
      <w:r>
        <w:rPr>
          <w:i/>
        </w:rPr>
        <w:t>.</w:t>
      </w:r>
      <w:r>
        <w:t>, p. 107.</w:t>
      </w:r>
    </w:p>
  </w:footnote>
  <w:footnote w:id="29">
    <w:p w14:paraId="4C853128" w14:textId="3DEB7293" w:rsidR="00CA4840" w:rsidRDefault="00CA4840">
      <w:pPr>
        <w:pStyle w:val="FootnoteText"/>
      </w:pPr>
      <w:r>
        <w:rPr>
          <w:rStyle w:val="FootnoteReference"/>
        </w:rPr>
        <w:footnoteRef/>
      </w:r>
      <w:r>
        <w:t xml:space="preserve"> </w:t>
      </w:r>
      <w:r w:rsidR="00C202EB" w:rsidRPr="002A4116">
        <w:rPr>
          <w:i/>
        </w:rPr>
        <w:t>I</w:t>
      </w:r>
      <w:r w:rsidRPr="002A4116">
        <w:rPr>
          <w:i/>
        </w:rPr>
        <w:t>bid</w:t>
      </w:r>
      <w:r w:rsidR="00C202EB">
        <w:rPr>
          <w:i/>
        </w:rPr>
        <w:t>.</w:t>
      </w:r>
      <w:r>
        <w:t>, p. 114.</w:t>
      </w:r>
    </w:p>
  </w:footnote>
  <w:footnote w:id="30">
    <w:p w14:paraId="2D711B5A" w14:textId="26CE03A3" w:rsidR="00CA4840" w:rsidRDefault="00CA4840">
      <w:pPr>
        <w:pStyle w:val="FootnoteText"/>
      </w:pPr>
      <w:r>
        <w:rPr>
          <w:rStyle w:val="FootnoteReference"/>
        </w:rPr>
        <w:footnoteRef/>
      </w:r>
      <w:r>
        <w:t xml:space="preserve"> </w:t>
      </w:r>
      <w:r w:rsidR="00C202EB" w:rsidRPr="002A4116">
        <w:rPr>
          <w:i/>
        </w:rPr>
        <w:t>I</w:t>
      </w:r>
      <w:r w:rsidRPr="002A4116">
        <w:rPr>
          <w:i/>
        </w:rPr>
        <w:t>bid</w:t>
      </w:r>
      <w:r w:rsidR="00C202EB">
        <w:rPr>
          <w:i/>
        </w:rPr>
        <w:t>.</w:t>
      </w:r>
      <w:r>
        <w:t>, p. 106.</w:t>
      </w:r>
    </w:p>
  </w:footnote>
  <w:footnote w:id="31">
    <w:p w14:paraId="746BF829" w14:textId="5B5A4CFF" w:rsidR="009202EA" w:rsidRDefault="009202EA">
      <w:pPr>
        <w:pStyle w:val="FootnoteText"/>
      </w:pPr>
      <w:r>
        <w:rPr>
          <w:rStyle w:val="FootnoteReference"/>
        </w:rPr>
        <w:footnoteRef/>
      </w:r>
      <w:r>
        <w:t xml:space="preserve"> </w:t>
      </w:r>
      <w:bookmarkStart w:id="20" w:name="_Hlk523230706"/>
      <w:bookmarkStart w:id="21" w:name="_Hlk523230707"/>
      <w:r w:rsidRPr="00E66763">
        <w:rPr>
          <w:i/>
        </w:rPr>
        <w:t>Regesta Regum Anglo-Normannorum 1066-1154</w:t>
      </w:r>
      <w:r>
        <w:t xml:space="preserve">, volume </w:t>
      </w:r>
      <w:r w:rsidR="00E66763">
        <w:t xml:space="preserve">3 – Regesta Henrici Primi 1100-1135, </w:t>
      </w:r>
      <w:r>
        <w:t xml:space="preserve"> ed. by C. Johnson and H.A. Cronne (</w:t>
      </w:r>
      <w:r w:rsidR="00E66763">
        <w:t>London: Oxford University Press, 1956). p. 184.</w:t>
      </w:r>
      <w:bookmarkEnd w:id="20"/>
      <w:bookmarkEnd w:id="21"/>
    </w:p>
  </w:footnote>
  <w:footnote w:id="32">
    <w:p w14:paraId="7A510AC0" w14:textId="4DDDA61A" w:rsidR="00E068AB" w:rsidRDefault="00E068AB">
      <w:pPr>
        <w:pStyle w:val="FootnoteText"/>
      </w:pPr>
      <w:r>
        <w:rPr>
          <w:rStyle w:val="FootnoteReference"/>
        </w:rPr>
        <w:footnoteRef/>
      </w:r>
      <w:r>
        <w:t xml:space="preserve"> J.A. Green, ‘Women and Inheritance in Norman England: The Case of Geva Ridel’. </w:t>
      </w:r>
      <w:r w:rsidRPr="00474203">
        <w:rPr>
          <w:i/>
        </w:rPr>
        <w:t>Prosopon: Newsletter</w:t>
      </w:r>
      <w:r w:rsidR="00474203" w:rsidRPr="00474203">
        <w:rPr>
          <w:i/>
        </w:rPr>
        <w:t xml:space="preserve"> of the Unit of Prosopographical Research</w:t>
      </w:r>
      <w:r>
        <w:t xml:space="preserve">, </w:t>
      </w:r>
      <w:r w:rsidR="00474203">
        <w:t xml:space="preserve">12 (2001), 1-9, p. 2. Available at </w:t>
      </w:r>
      <w:hyperlink r:id="rId4" w:history="1">
        <w:r w:rsidR="00DB6926" w:rsidRPr="001E229C">
          <w:rPr>
            <w:rStyle w:val="Hyperlink"/>
          </w:rPr>
          <w:t>http://users.ox.ac.uk/~prosop/prosopon/issue12-1.pdf</w:t>
        </w:r>
      </w:hyperlink>
      <w:r w:rsidR="00474203">
        <w:t xml:space="preserve"> </w:t>
      </w:r>
      <w:r w:rsidR="00DB6926">
        <w:t>[</w:t>
      </w:r>
      <w:r w:rsidR="00474203">
        <w:t>accessed</w:t>
      </w:r>
      <w:r w:rsidR="00DB6926">
        <w:t>:</w:t>
      </w:r>
      <w:r w:rsidR="00474203">
        <w:t xml:space="preserve"> 27 August 2018].</w:t>
      </w:r>
    </w:p>
  </w:footnote>
  <w:footnote w:id="33">
    <w:p w14:paraId="0B125ACE" w14:textId="12A049AF" w:rsidR="00474203" w:rsidRDefault="00474203">
      <w:pPr>
        <w:pStyle w:val="FootnoteText"/>
      </w:pPr>
      <w:r>
        <w:rPr>
          <w:rStyle w:val="FootnoteReference"/>
        </w:rPr>
        <w:footnoteRef/>
      </w:r>
      <w:r>
        <w:t xml:space="preserve"> S.M.Christlelow, </w:t>
      </w:r>
      <w:r w:rsidR="00E20A40">
        <w:t xml:space="preserve">‘A Moveable Feast? Itineration and the Centralization of Government under Henry I’. Albion: A Quarterly Journal Concerned on British Studies, 28, 2, (1996), 187-228, pp. 222-223. Available at JSTOR </w:t>
      </w:r>
      <w:hyperlink r:id="rId5" w:history="1">
        <w:r w:rsidR="00DB6926" w:rsidRPr="001E229C">
          <w:rPr>
            <w:rStyle w:val="Hyperlink"/>
          </w:rPr>
          <w:t>https://www.jstor.org/stable/4052459</w:t>
        </w:r>
      </w:hyperlink>
      <w:r w:rsidR="00DB6926">
        <w:t>. [</w:t>
      </w:r>
      <w:r w:rsidR="00E20A40">
        <w:t>accessed</w:t>
      </w:r>
      <w:r w:rsidR="00DB6926">
        <w:t>:</w:t>
      </w:r>
      <w:r w:rsidR="00E20A40">
        <w:t xml:space="preserve"> 28 August 2018].</w:t>
      </w:r>
    </w:p>
  </w:footnote>
  <w:footnote w:id="34">
    <w:p w14:paraId="3123CACB" w14:textId="15410D33" w:rsidR="009C38FC" w:rsidRDefault="009C38FC">
      <w:pPr>
        <w:pStyle w:val="FootnoteText"/>
      </w:pPr>
      <w:r>
        <w:rPr>
          <w:rStyle w:val="FootnoteReference"/>
        </w:rPr>
        <w:footnoteRef/>
      </w:r>
      <w:r>
        <w:t xml:space="preserve"> </w:t>
      </w:r>
      <w:r w:rsidRPr="009C38FC">
        <w:rPr>
          <w:i/>
        </w:rPr>
        <w:t>ibid</w:t>
      </w:r>
      <w:r>
        <w:t>., p. 211.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46BA42" w14:textId="67D2AE56" w:rsidR="00A07140" w:rsidRDefault="00A07140">
    <w:pPr>
      <w:pStyle w:val="Header"/>
    </w:pPr>
    <w:r>
      <w:t>John Atkinson Student No. 1707908</w:t>
    </w:r>
  </w:p>
  <w:p w14:paraId="194443BF" w14:textId="77777777" w:rsidR="00A07140" w:rsidRDefault="00A071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3477A0"/>
    <w:multiLevelType w:val="hybridMultilevel"/>
    <w:tmpl w:val="60947C2C"/>
    <w:lvl w:ilvl="0" w:tplc="0C090017">
      <w:start w:val="1"/>
      <w:numFmt w:val="lowerLetter"/>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7F1"/>
    <w:rsid w:val="00046F14"/>
    <w:rsid w:val="00074D6F"/>
    <w:rsid w:val="000858FE"/>
    <w:rsid w:val="000C3D7F"/>
    <w:rsid w:val="000E1534"/>
    <w:rsid w:val="00132896"/>
    <w:rsid w:val="00192FCD"/>
    <w:rsid w:val="00195019"/>
    <w:rsid w:val="001D40AD"/>
    <w:rsid w:val="001F5153"/>
    <w:rsid w:val="002401C4"/>
    <w:rsid w:val="002420A6"/>
    <w:rsid w:val="00254020"/>
    <w:rsid w:val="00263ED9"/>
    <w:rsid w:val="002A4116"/>
    <w:rsid w:val="00320894"/>
    <w:rsid w:val="003267E0"/>
    <w:rsid w:val="003721AA"/>
    <w:rsid w:val="003A0A2E"/>
    <w:rsid w:val="00460153"/>
    <w:rsid w:val="00474203"/>
    <w:rsid w:val="0048281B"/>
    <w:rsid w:val="004D4752"/>
    <w:rsid w:val="004D6B41"/>
    <w:rsid w:val="00527E23"/>
    <w:rsid w:val="00557B6D"/>
    <w:rsid w:val="0068207D"/>
    <w:rsid w:val="006A0756"/>
    <w:rsid w:val="006C11FA"/>
    <w:rsid w:val="007414BC"/>
    <w:rsid w:val="007437F1"/>
    <w:rsid w:val="00747E35"/>
    <w:rsid w:val="0076791C"/>
    <w:rsid w:val="007D060D"/>
    <w:rsid w:val="00863512"/>
    <w:rsid w:val="008C695B"/>
    <w:rsid w:val="00920088"/>
    <w:rsid w:val="009202EA"/>
    <w:rsid w:val="0094722F"/>
    <w:rsid w:val="009961DF"/>
    <w:rsid w:val="009B5C59"/>
    <w:rsid w:val="009C38FC"/>
    <w:rsid w:val="009C621F"/>
    <w:rsid w:val="009C62B5"/>
    <w:rsid w:val="009D0278"/>
    <w:rsid w:val="00A01273"/>
    <w:rsid w:val="00A07140"/>
    <w:rsid w:val="00A44BB6"/>
    <w:rsid w:val="00A8399F"/>
    <w:rsid w:val="00A8415D"/>
    <w:rsid w:val="00AB21FB"/>
    <w:rsid w:val="00AE6A16"/>
    <w:rsid w:val="00B078F1"/>
    <w:rsid w:val="00BB0E30"/>
    <w:rsid w:val="00C14F2D"/>
    <w:rsid w:val="00C202EB"/>
    <w:rsid w:val="00C22F68"/>
    <w:rsid w:val="00C26F24"/>
    <w:rsid w:val="00CA4840"/>
    <w:rsid w:val="00CB10E6"/>
    <w:rsid w:val="00CF675A"/>
    <w:rsid w:val="00D26132"/>
    <w:rsid w:val="00DB633E"/>
    <w:rsid w:val="00DB6926"/>
    <w:rsid w:val="00DC7682"/>
    <w:rsid w:val="00E068AB"/>
    <w:rsid w:val="00E20A40"/>
    <w:rsid w:val="00E66763"/>
    <w:rsid w:val="00EC469C"/>
    <w:rsid w:val="00F320CB"/>
    <w:rsid w:val="00F74E1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B3E4B"/>
  <w15:chartTrackingRefBased/>
  <w15:docId w15:val="{C471EB96-3DF3-4785-894E-45BEEFDB8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7F1"/>
    <w:pPr>
      <w:ind w:left="720"/>
      <w:contextualSpacing/>
    </w:pPr>
  </w:style>
  <w:style w:type="paragraph" w:styleId="FootnoteText">
    <w:name w:val="footnote text"/>
    <w:basedOn w:val="Normal"/>
    <w:link w:val="FootnoteTextChar"/>
    <w:uiPriority w:val="99"/>
    <w:semiHidden/>
    <w:unhideWhenUsed/>
    <w:rsid w:val="007437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37F1"/>
    <w:rPr>
      <w:sz w:val="20"/>
      <w:szCs w:val="20"/>
    </w:rPr>
  </w:style>
  <w:style w:type="character" w:styleId="FootnoteReference">
    <w:name w:val="footnote reference"/>
    <w:basedOn w:val="DefaultParagraphFont"/>
    <w:uiPriority w:val="99"/>
    <w:semiHidden/>
    <w:unhideWhenUsed/>
    <w:rsid w:val="007437F1"/>
    <w:rPr>
      <w:vertAlign w:val="superscript"/>
    </w:rPr>
  </w:style>
  <w:style w:type="character" w:styleId="Hyperlink">
    <w:name w:val="Hyperlink"/>
    <w:basedOn w:val="DefaultParagraphFont"/>
    <w:uiPriority w:val="99"/>
    <w:unhideWhenUsed/>
    <w:rsid w:val="00A8415D"/>
    <w:rPr>
      <w:color w:val="0563C1" w:themeColor="hyperlink"/>
      <w:u w:val="single"/>
    </w:rPr>
  </w:style>
  <w:style w:type="character" w:styleId="UnresolvedMention">
    <w:name w:val="Unresolved Mention"/>
    <w:basedOn w:val="DefaultParagraphFont"/>
    <w:uiPriority w:val="99"/>
    <w:semiHidden/>
    <w:unhideWhenUsed/>
    <w:rsid w:val="00A8415D"/>
    <w:rPr>
      <w:color w:val="605E5C"/>
      <w:shd w:val="clear" w:color="auto" w:fill="E1DFDD"/>
    </w:rPr>
  </w:style>
  <w:style w:type="paragraph" w:styleId="Header">
    <w:name w:val="header"/>
    <w:basedOn w:val="Normal"/>
    <w:link w:val="HeaderChar"/>
    <w:uiPriority w:val="99"/>
    <w:unhideWhenUsed/>
    <w:rsid w:val="00A07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140"/>
  </w:style>
  <w:style w:type="paragraph" w:styleId="Footer">
    <w:name w:val="footer"/>
    <w:basedOn w:val="Normal"/>
    <w:link w:val="FooterChar"/>
    <w:uiPriority w:val="99"/>
    <w:unhideWhenUsed/>
    <w:rsid w:val="00A07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1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history.ac.uk/search"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sers.ox.ac.uk/~prosop/prosopon/issue12-1.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stor.org/stable/4052459" TargetMode="External"/><Relationship Id="rId4" Type="http://schemas.openxmlformats.org/officeDocument/2006/relationships/settings" Target="settings.xml"/><Relationship Id="rId9" Type="http://schemas.openxmlformats.org/officeDocument/2006/relationships/hyperlink" Target="https://archive.org/details/ordericivitalis07deligoog"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stream/outlineitinerary00farruoft#page/105/mode/1up" TargetMode="External"/><Relationship Id="rId2" Type="http://schemas.openxmlformats.org/officeDocument/2006/relationships/hyperlink" Target="https://archive.org/stream/ordericivitalis07deligoog" TargetMode="External"/><Relationship Id="rId1" Type="http://schemas.openxmlformats.org/officeDocument/2006/relationships/hyperlink" Target="http://www.british-history.ac.uk/fasti-ecclesiae/1300-1541/vol4/pp13-16" TargetMode="External"/><Relationship Id="rId5" Type="http://schemas.openxmlformats.org/officeDocument/2006/relationships/hyperlink" Target="https://www.jstor.org/stable/4052459" TargetMode="External"/><Relationship Id="rId4" Type="http://schemas.openxmlformats.org/officeDocument/2006/relationships/hyperlink" Target="http://users.ox.ac.uk/~prosop/prosopon/issue1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D86D62-87B6-46E2-BE4E-8BA89B46B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3371</TotalTime>
  <Pages>6</Pages>
  <Words>1732</Words>
  <Characters>9877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dc:creator>
  <cp:keywords/>
  <dc:description/>
  <cp:lastModifiedBy>Johnny</cp:lastModifiedBy>
  <cp:revision>10</cp:revision>
  <dcterms:created xsi:type="dcterms:W3CDTF">2018-08-14T02:22:00Z</dcterms:created>
  <dcterms:modified xsi:type="dcterms:W3CDTF">2018-08-29T04:05:00Z</dcterms:modified>
</cp:coreProperties>
</file>