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1575A" w14:textId="77777777" w:rsidR="008C3815" w:rsidRDefault="008C3815">
      <w:pPr>
        <w:spacing w:line="480" w:lineRule="auto"/>
        <w:jc w:val="center"/>
        <w:rPr>
          <w:rFonts w:ascii="Times New Roman" w:eastAsia="Times New Roman" w:hAnsi="Times New Roman" w:cs="Times New Roman"/>
          <w:b/>
          <w:sz w:val="24"/>
          <w:szCs w:val="24"/>
        </w:rPr>
      </w:pPr>
    </w:p>
    <w:p w14:paraId="37A0D97C" w14:textId="77777777" w:rsidR="008C3815" w:rsidRDefault="008C3815">
      <w:pPr>
        <w:spacing w:line="480" w:lineRule="auto"/>
        <w:jc w:val="center"/>
        <w:rPr>
          <w:rFonts w:ascii="Times New Roman" w:eastAsia="Times New Roman" w:hAnsi="Times New Roman" w:cs="Times New Roman"/>
          <w:b/>
          <w:sz w:val="24"/>
          <w:szCs w:val="24"/>
        </w:rPr>
      </w:pPr>
    </w:p>
    <w:p w14:paraId="30C42FF5" w14:textId="77777777" w:rsidR="008C3815" w:rsidRDefault="008C3815">
      <w:pPr>
        <w:spacing w:line="480" w:lineRule="auto"/>
        <w:jc w:val="right"/>
        <w:rPr>
          <w:rFonts w:ascii="Times New Roman" w:eastAsia="Times New Roman" w:hAnsi="Times New Roman" w:cs="Times New Roman"/>
          <w:b/>
          <w:sz w:val="24"/>
          <w:szCs w:val="24"/>
        </w:rPr>
      </w:pPr>
    </w:p>
    <w:p w14:paraId="71708F89" w14:textId="77777777" w:rsidR="008C3815" w:rsidRDefault="008C3815">
      <w:pPr>
        <w:spacing w:line="480" w:lineRule="auto"/>
        <w:jc w:val="center"/>
        <w:rPr>
          <w:rFonts w:ascii="Times New Roman" w:eastAsia="Times New Roman" w:hAnsi="Times New Roman" w:cs="Times New Roman"/>
          <w:b/>
          <w:sz w:val="24"/>
          <w:szCs w:val="24"/>
        </w:rPr>
      </w:pPr>
    </w:p>
    <w:p w14:paraId="063F6A31" w14:textId="77777777" w:rsidR="008C3815" w:rsidRPr="009A77FB" w:rsidRDefault="00000000">
      <w:pPr>
        <w:spacing w:line="480" w:lineRule="auto"/>
        <w:jc w:val="center"/>
        <w:rPr>
          <w:rFonts w:ascii="Times New Roman" w:eastAsia="Times New Roman" w:hAnsi="Times New Roman" w:cs="Times New Roman"/>
          <w:b/>
          <w:sz w:val="32"/>
          <w:szCs w:val="32"/>
        </w:rPr>
      </w:pPr>
      <w:r w:rsidRPr="009A77FB">
        <w:rPr>
          <w:rFonts w:ascii="Times New Roman" w:eastAsia="Times New Roman" w:hAnsi="Times New Roman" w:cs="Times New Roman"/>
          <w:b/>
          <w:sz w:val="32"/>
          <w:szCs w:val="32"/>
        </w:rPr>
        <w:t>Leonardo Royal Edinburgh Haymarket</w:t>
      </w:r>
    </w:p>
    <w:p w14:paraId="49D9912C" w14:textId="77777777" w:rsidR="008C3815" w:rsidRDefault="008C3815">
      <w:pPr>
        <w:spacing w:line="480" w:lineRule="auto"/>
        <w:jc w:val="center"/>
        <w:rPr>
          <w:rFonts w:ascii="Times New Roman" w:eastAsia="Times New Roman" w:hAnsi="Times New Roman" w:cs="Times New Roman"/>
          <w:sz w:val="24"/>
          <w:szCs w:val="24"/>
        </w:rPr>
      </w:pPr>
    </w:p>
    <w:p w14:paraId="203866F0" w14:textId="677ED9F6" w:rsidR="008C3815" w:rsidRDefault="004908DD" w:rsidP="004908D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 xml:space="preserve">Island Alchemists </w:t>
      </w:r>
      <w:proofErr w:type="spellStart"/>
      <w:r w:rsidR="00000000">
        <w:rPr>
          <w:rFonts w:ascii="Times New Roman" w:eastAsia="Times New Roman" w:hAnsi="Times New Roman" w:cs="Times New Roman"/>
          <w:sz w:val="24"/>
          <w:szCs w:val="24"/>
        </w:rPr>
        <w:t>Organisational</w:t>
      </w:r>
      <w:proofErr w:type="spellEnd"/>
      <w:r w:rsidR="00000000">
        <w:rPr>
          <w:rFonts w:ascii="Times New Roman" w:eastAsia="Times New Roman" w:hAnsi="Times New Roman" w:cs="Times New Roman"/>
          <w:sz w:val="24"/>
          <w:szCs w:val="24"/>
        </w:rPr>
        <w:t xml:space="preserve"> Consulting</w:t>
      </w:r>
    </w:p>
    <w:p w14:paraId="4F13E90C" w14:textId="77777777" w:rsidR="004908DD" w:rsidRDefault="004908DD" w:rsidP="004908DD">
      <w:pPr>
        <w:spacing w:line="480" w:lineRule="auto"/>
      </w:pPr>
      <w:r>
        <w:t xml:space="preserve"> </w:t>
      </w:r>
    </w:p>
    <w:p w14:paraId="3B41C5C1" w14:textId="77777777" w:rsidR="004908DD" w:rsidRDefault="004908DD" w:rsidP="004908DD">
      <w:pPr>
        <w:spacing w:line="480" w:lineRule="auto"/>
      </w:pPr>
    </w:p>
    <w:p w14:paraId="3B2F71A5" w14:textId="77777777" w:rsidR="004908DD" w:rsidRDefault="004908DD" w:rsidP="004908DD">
      <w:pPr>
        <w:spacing w:line="480" w:lineRule="auto"/>
      </w:pPr>
    </w:p>
    <w:p w14:paraId="55C39332" w14:textId="77777777" w:rsidR="004908DD" w:rsidRDefault="004908DD" w:rsidP="004908DD">
      <w:pPr>
        <w:spacing w:line="480" w:lineRule="auto"/>
      </w:pPr>
    </w:p>
    <w:p w14:paraId="2766CA43" w14:textId="2627891B" w:rsidR="004908DD" w:rsidRPr="00C40B69" w:rsidRDefault="004908DD" w:rsidP="004908DD">
      <w:pPr>
        <w:spacing w:line="480" w:lineRule="auto"/>
        <w:rPr>
          <w:sz w:val="28"/>
          <w:szCs w:val="28"/>
        </w:rPr>
      </w:pPr>
      <w:r w:rsidRPr="00C40B69">
        <w:rPr>
          <w:sz w:val="28"/>
          <w:szCs w:val="28"/>
        </w:rPr>
        <w:t>Student name: Oana Mihaela Mirauta</w:t>
      </w:r>
    </w:p>
    <w:p w14:paraId="139DCC0D" w14:textId="23543BC6" w:rsidR="004908DD" w:rsidRPr="00C40B69" w:rsidRDefault="004908DD" w:rsidP="004908DD">
      <w:pPr>
        <w:spacing w:line="480" w:lineRule="auto"/>
        <w:rPr>
          <w:sz w:val="28"/>
          <w:szCs w:val="28"/>
        </w:rPr>
      </w:pPr>
      <w:r w:rsidRPr="00C40B69">
        <w:rPr>
          <w:sz w:val="28"/>
          <w:szCs w:val="28"/>
        </w:rPr>
        <w:t>Student number: 2124122</w:t>
      </w:r>
    </w:p>
    <w:p w14:paraId="438D5FF3" w14:textId="77777777" w:rsidR="004908DD" w:rsidRPr="00C40B69" w:rsidRDefault="004908DD" w:rsidP="004908DD">
      <w:pPr>
        <w:spacing w:line="480" w:lineRule="auto"/>
        <w:rPr>
          <w:sz w:val="28"/>
          <w:szCs w:val="28"/>
        </w:rPr>
      </w:pPr>
      <w:r w:rsidRPr="00C40B69">
        <w:rPr>
          <w:sz w:val="28"/>
          <w:szCs w:val="28"/>
        </w:rPr>
        <w:t xml:space="preserve">Module: </w:t>
      </w:r>
      <w:proofErr w:type="spellStart"/>
      <w:r w:rsidRPr="00C40B69">
        <w:rPr>
          <w:sz w:val="28"/>
          <w:szCs w:val="28"/>
        </w:rPr>
        <w:t>Organisational</w:t>
      </w:r>
      <w:proofErr w:type="spellEnd"/>
      <w:r w:rsidRPr="00C40B69">
        <w:rPr>
          <w:sz w:val="28"/>
          <w:szCs w:val="28"/>
        </w:rPr>
        <w:t xml:space="preserve"> Consultancy</w:t>
      </w:r>
    </w:p>
    <w:p w14:paraId="5B42C888" w14:textId="77777777" w:rsidR="004908DD" w:rsidRPr="00C40B69" w:rsidRDefault="004908DD" w:rsidP="004908DD">
      <w:pPr>
        <w:spacing w:line="480" w:lineRule="auto"/>
        <w:rPr>
          <w:sz w:val="28"/>
          <w:szCs w:val="28"/>
        </w:rPr>
      </w:pPr>
      <w:r w:rsidRPr="00C40B69">
        <w:rPr>
          <w:sz w:val="28"/>
          <w:szCs w:val="28"/>
        </w:rPr>
        <w:t>Module code: BMIH6005</w:t>
      </w:r>
    </w:p>
    <w:p w14:paraId="40A740CD" w14:textId="77777777" w:rsidR="004908DD" w:rsidRPr="00C40B69" w:rsidRDefault="004908DD" w:rsidP="004908DD">
      <w:pPr>
        <w:spacing w:line="480" w:lineRule="auto"/>
        <w:rPr>
          <w:sz w:val="28"/>
          <w:szCs w:val="28"/>
        </w:rPr>
      </w:pPr>
      <w:r w:rsidRPr="00C40B69">
        <w:rPr>
          <w:sz w:val="28"/>
          <w:szCs w:val="28"/>
        </w:rPr>
        <w:t>Module lecturer: Jaliya de Silva</w:t>
      </w:r>
    </w:p>
    <w:p w14:paraId="39F6E6B3" w14:textId="65F69B0D" w:rsidR="004908DD" w:rsidRDefault="00000000" w:rsidP="004908DD">
      <w:pPr>
        <w:spacing w:line="480" w:lineRule="auto"/>
        <w:jc w:val="center"/>
      </w:pPr>
      <w:r>
        <w:br w:type="page"/>
      </w:r>
    </w:p>
    <w:p w14:paraId="08E7207C" w14:textId="77777777" w:rsidR="004908DD" w:rsidRPr="004908DD" w:rsidRDefault="004908DD" w:rsidP="004908DD">
      <w:pPr>
        <w:spacing w:line="480" w:lineRule="auto"/>
        <w:jc w:val="center"/>
      </w:pPr>
    </w:p>
    <w:p w14:paraId="3FD3F5DA" w14:textId="77777777" w:rsidR="008C3815" w:rsidRDefault="00000000">
      <w:pPr>
        <w:jc w:val="center"/>
      </w:pPr>
      <w:r>
        <w:rPr>
          <w:rFonts w:ascii="Times New Roman" w:eastAsia="Times New Roman" w:hAnsi="Times New Roman" w:cs="Times New Roman"/>
          <w:b/>
          <w:sz w:val="24"/>
          <w:szCs w:val="24"/>
        </w:rPr>
        <w:t>Table of Contents</w:t>
      </w:r>
    </w:p>
    <w:sdt>
      <w:sdtPr>
        <w:id w:val="2125424342"/>
        <w:docPartObj>
          <w:docPartGallery w:val="Table of Contents"/>
          <w:docPartUnique/>
        </w:docPartObj>
      </w:sdtPr>
      <w:sdtContent>
        <w:p w14:paraId="418B7ADF" w14:textId="77777777" w:rsidR="008C3815"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30j0zll">
            <w:r>
              <w:rPr>
                <w:b/>
                <w:color w:val="000000"/>
              </w:rPr>
              <w:t>Executive Summary</w:t>
            </w:r>
            <w:r>
              <w:rPr>
                <w:b/>
                <w:color w:val="000000"/>
              </w:rPr>
              <w:tab/>
              <w:t>3</w:t>
            </w:r>
          </w:hyperlink>
        </w:p>
        <w:p w14:paraId="1EF58C37" w14:textId="77777777" w:rsidR="008C3815" w:rsidRDefault="00000000">
          <w:pPr>
            <w:widowControl w:val="0"/>
            <w:tabs>
              <w:tab w:val="right" w:leader="dot" w:pos="12000"/>
            </w:tabs>
            <w:spacing w:before="60" w:line="240" w:lineRule="auto"/>
            <w:rPr>
              <w:b/>
              <w:color w:val="000000"/>
            </w:rPr>
          </w:pPr>
          <w:hyperlink w:anchor="_ueotyvs5nf0o">
            <w:r>
              <w:rPr>
                <w:b/>
                <w:color w:val="000000"/>
              </w:rPr>
              <w:t>Introduction</w:t>
            </w:r>
            <w:r>
              <w:rPr>
                <w:b/>
                <w:color w:val="000000"/>
              </w:rPr>
              <w:tab/>
              <w:t>8</w:t>
            </w:r>
          </w:hyperlink>
        </w:p>
        <w:p w14:paraId="4D10CD3B" w14:textId="77777777" w:rsidR="008C3815" w:rsidRDefault="00000000">
          <w:pPr>
            <w:widowControl w:val="0"/>
            <w:tabs>
              <w:tab w:val="right" w:leader="dot" w:pos="12000"/>
            </w:tabs>
            <w:spacing w:before="60" w:line="240" w:lineRule="auto"/>
            <w:rPr>
              <w:b/>
              <w:color w:val="000000"/>
            </w:rPr>
          </w:pPr>
          <w:hyperlink w:anchor="_3dy6vkm">
            <w:r>
              <w:rPr>
                <w:b/>
                <w:color w:val="000000"/>
              </w:rPr>
              <w:t>Analysis</w:t>
            </w:r>
            <w:r>
              <w:rPr>
                <w:b/>
                <w:color w:val="000000"/>
              </w:rPr>
              <w:tab/>
              <w:t>10</w:t>
            </w:r>
          </w:hyperlink>
        </w:p>
        <w:p w14:paraId="189E3391" w14:textId="77777777" w:rsidR="008C3815" w:rsidRDefault="00000000">
          <w:pPr>
            <w:widowControl w:val="0"/>
            <w:tabs>
              <w:tab w:val="right" w:leader="dot" w:pos="12000"/>
            </w:tabs>
            <w:spacing w:before="60" w:line="240" w:lineRule="auto"/>
            <w:ind w:left="360"/>
            <w:rPr>
              <w:color w:val="000000"/>
            </w:rPr>
          </w:pPr>
          <w:hyperlink w:anchor="_1t3h5sf">
            <w:r>
              <w:rPr>
                <w:color w:val="000000"/>
              </w:rPr>
              <w:t>Service Quality</w:t>
            </w:r>
            <w:r>
              <w:rPr>
                <w:color w:val="000000"/>
              </w:rPr>
              <w:tab/>
              <w:t>11</w:t>
            </w:r>
          </w:hyperlink>
        </w:p>
        <w:p w14:paraId="082D0112" w14:textId="77777777" w:rsidR="008C3815" w:rsidRDefault="00000000">
          <w:pPr>
            <w:widowControl w:val="0"/>
            <w:tabs>
              <w:tab w:val="right" w:leader="dot" w:pos="12000"/>
            </w:tabs>
            <w:spacing w:before="60" w:line="240" w:lineRule="auto"/>
            <w:ind w:left="360"/>
            <w:rPr>
              <w:color w:val="000000"/>
            </w:rPr>
          </w:pPr>
          <w:hyperlink w:anchor="_4d34og8">
            <w:r>
              <w:rPr>
                <w:color w:val="000000"/>
              </w:rPr>
              <w:t>Family Offerings</w:t>
            </w:r>
            <w:r>
              <w:rPr>
                <w:color w:val="000000"/>
              </w:rPr>
              <w:tab/>
              <w:t>12</w:t>
            </w:r>
          </w:hyperlink>
        </w:p>
        <w:p w14:paraId="418EB647" w14:textId="77777777" w:rsidR="008C3815" w:rsidRDefault="00000000">
          <w:pPr>
            <w:widowControl w:val="0"/>
            <w:tabs>
              <w:tab w:val="right" w:leader="dot" w:pos="12000"/>
            </w:tabs>
            <w:spacing w:before="60" w:line="240" w:lineRule="auto"/>
            <w:ind w:left="360"/>
            <w:rPr>
              <w:color w:val="000000"/>
            </w:rPr>
          </w:pPr>
          <w:hyperlink w:anchor="_2s8eyo1">
            <w:r>
              <w:rPr>
                <w:color w:val="000000"/>
              </w:rPr>
              <w:t>Infrastructure</w:t>
            </w:r>
            <w:r>
              <w:rPr>
                <w:color w:val="000000"/>
              </w:rPr>
              <w:tab/>
              <w:t>13</w:t>
            </w:r>
          </w:hyperlink>
        </w:p>
        <w:p w14:paraId="1AF3981D" w14:textId="77777777" w:rsidR="008C3815" w:rsidRDefault="00000000">
          <w:pPr>
            <w:widowControl w:val="0"/>
            <w:tabs>
              <w:tab w:val="right" w:leader="dot" w:pos="12000"/>
            </w:tabs>
            <w:spacing w:before="60" w:line="240" w:lineRule="auto"/>
            <w:ind w:left="360"/>
            <w:rPr>
              <w:color w:val="000000"/>
            </w:rPr>
          </w:pPr>
          <w:hyperlink w:anchor="_17dp8vu">
            <w:r>
              <w:rPr>
                <w:color w:val="000000"/>
              </w:rPr>
              <w:t>STEEPLED Analysis</w:t>
            </w:r>
            <w:r>
              <w:rPr>
                <w:color w:val="000000"/>
              </w:rPr>
              <w:tab/>
              <w:t>14</w:t>
            </w:r>
          </w:hyperlink>
        </w:p>
        <w:p w14:paraId="0E1F4D9B" w14:textId="77777777" w:rsidR="008C3815" w:rsidRDefault="00000000">
          <w:pPr>
            <w:widowControl w:val="0"/>
            <w:tabs>
              <w:tab w:val="right" w:leader="dot" w:pos="12000"/>
            </w:tabs>
            <w:spacing w:before="60" w:line="240" w:lineRule="auto"/>
            <w:ind w:left="360"/>
            <w:rPr>
              <w:color w:val="000000"/>
            </w:rPr>
          </w:pPr>
          <w:hyperlink w:anchor="_3rdcrjn">
            <w:r>
              <w:rPr>
                <w:color w:val="000000"/>
              </w:rPr>
              <w:t>SOAR Analysis</w:t>
            </w:r>
            <w:r>
              <w:rPr>
                <w:color w:val="000000"/>
              </w:rPr>
              <w:tab/>
              <w:t>15</w:t>
            </w:r>
          </w:hyperlink>
        </w:p>
        <w:p w14:paraId="61F0E835" w14:textId="77777777" w:rsidR="008C3815" w:rsidRDefault="00000000">
          <w:pPr>
            <w:widowControl w:val="0"/>
            <w:tabs>
              <w:tab w:val="right" w:leader="dot" w:pos="12000"/>
            </w:tabs>
            <w:spacing w:before="60" w:line="240" w:lineRule="auto"/>
            <w:ind w:left="360"/>
            <w:rPr>
              <w:color w:val="000000"/>
            </w:rPr>
          </w:pPr>
          <w:hyperlink w:anchor="_26in1rg">
            <w:r>
              <w:rPr>
                <w:color w:val="000000"/>
              </w:rPr>
              <w:t>TOWS Analysis</w:t>
            </w:r>
            <w:r>
              <w:rPr>
                <w:color w:val="000000"/>
              </w:rPr>
              <w:tab/>
              <w:t>16</w:t>
            </w:r>
          </w:hyperlink>
        </w:p>
        <w:p w14:paraId="72091C3B" w14:textId="77777777" w:rsidR="008C3815" w:rsidRDefault="00000000">
          <w:pPr>
            <w:widowControl w:val="0"/>
            <w:tabs>
              <w:tab w:val="right" w:leader="dot" w:pos="12000"/>
            </w:tabs>
            <w:spacing w:before="60" w:line="240" w:lineRule="auto"/>
            <w:ind w:left="360"/>
            <w:rPr>
              <w:color w:val="000000"/>
            </w:rPr>
          </w:pPr>
          <w:hyperlink w:anchor="_lnxbz9">
            <w:r>
              <w:rPr>
                <w:color w:val="000000"/>
              </w:rPr>
              <w:t>Areas of Positive Perfomance</w:t>
            </w:r>
            <w:r>
              <w:rPr>
                <w:color w:val="000000"/>
              </w:rPr>
              <w:tab/>
              <w:t>18</w:t>
            </w:r>
          </w:hyperlink>
        </w:p>
        <w:p w14:paraId="628D019C" w14:textId="77777777" w:rsidR="008C3815" w:rsidRDefault="00000000">
          <w:pPr>
            <w:widowControl w:val="0"/>
            <w:tabs>
              <w:tab w:val="right" w:leader="dot" w:pos="12000"/>
            </w:tabs>
            <w:spacing w:before="60" w:line="240" w:lineRule="auto"/>
            <w:rPr>
              <w:b/>
              <w:color w:val="000000"/>
            </w:rPr>
          </w:pPr>
          <w:hyperlink w:anchor="_35nkun2">
            <w:r>
              <w:rPr>
                <w:b/>
                <w:color w:val="000000"/>
              </w:rPr>
              <w:t>Recommendations and Change Management</w:t>
            </w:r>
            <w:r>
              <w:rPr>
                <w:b/>
                <w:color w:val="000000"/>
              </w:rPr>
              <w:tab/>
              <w:t>18</w:t>
            </w:r>
          </w:hyperlink>
        </w:p>
        <w:p w14:paraId="5683B961" w14:textId="77777777" w:rsidR="008C3815" w:rsidRDefault="00000000">
          <w:pPr>
            <w:widowControl w:val="0"/>
            <w:tabs>
              <w:tab w:val="right" w:leader="dot" w:pos="12000"/>
            </w:tabs>
            <w:spacing w:before="60" w:line="240" w:lineRule="auto"/>
            <w:ind w:left="360"/>
            <w:rPr>
              <w:color w:val="000000"/>
            </w:rPr>
          </w:pPr>
          <w:hyperlink w:anchor="_1ksv4uv">
            <w:r>
              <w:rPr>
                <w:color w:val="000000"/>
              </w:rPr>
              <w:t>Room Refurbishment Program</w:t>
            </w:r>
            <w:r>
              <w:rPr>
                <w:color w:val="000000"/>
              </w:rPr>
              <w:tab/>
              <w:t>18</w:t>
            </w:r>
          </w:hyperlink>
        </w:p>
        <w:p w14:paraId="166B93CF" w14:textId="77777777" w:rsidR="008C3815" w:rsidRDefault="00000000">
          <w:pPr>
            <w:widowControl w:val="0"/>
            <w:tabs>
              <w:tab w:val="right" w:leader="dot" w:pos="12000"/>
            </w:tabs>
            <w:spacing w:before="60" w:line="240" w:lineRule="auto"/>
            <w:ind w:left="360"/>
            <w:rPr>
              <w:color w:val="000000"/>
            </w:rPr>
          </w:pPr>
          <w:hyperlink w:anchor="_44sinio">
            <w:r>
              <w:rPr>
                <w:color w:val="000000"/>
              </w:rPr>
              <w:t>Family Amenities Development</w:t>
            </w:r>
            <w:r>
              <w:rPr>
                <w:color w:val="000000"/>
              </w:rPr>
              <w:tab/>
              <w:t>19</w:t>
            </w:r>
          </w:hyperlink>
        </w:p>
        <w:p w14:paraId="3812304F" w14:textId="77777777" w:rsidR="008C3815" w:rsidRDefault="00000000">
          <w:pPr>
            <w:widowControl w:val="0"/>
            <w:tabs>
              <w:tab w:val="right" w:leader="dot" w:pos="12000"/>
            </w:tabs>
            <w:spacing w:before="60" w:line="240" w:lineRule="auto"/>
            <w:ind w:left="360"/>
            <w:rPr>
              <w:color w:val="000000"/>
            </w:rPr>
          </w:pPr>
          <w:hyperlink w:anchor="_2jxsxqh">
            <w:r>
              <w:rPr>
                <w:color w:val="000000"/>
              </w:rPr>
              <w:t>Guest Experience Refinements</w:t>
            </w:r>
            <w:r>
              <w:rPr>
                <w:color w:val="000000"/>
              </w:rPr>
              <w:tab/>
              <w:t>20</w:t>
            </w:r>
          </w:hyperlink>
        </w:p>
        <w:p w14:paraId="2CD424D0" w14:textId="77777777" w:rsidR="008C3815" w:rsidRDefault="00000000">
          <w:pPr>
            <w:widowControl w:val="0"/>
            <w:tabs>
              <w:tab w:val="right" w:leader="dot" w:pos="12000"/>
            </w:tabs>
            <w:spacing w:before="60" w:line="240" w:lineRule="auto"/>
            <w:ind w:left="360"/>
            <w:rPr>
              <w:color w:val="000000"/>
            </w:rPr>
          </w:pPr>
          <w:hyperlink w:anchor="_z337ya">
            <w:r>
              <w:rPr>
                <w:color w:val="000000"/>
              </w:rPr>
              <w:t>Organizational Restructuring</w:t>
            </w:r>
            <w:r>
              <w:rPr>
                <w:color w:val="000000"/>
              </w:rPr>
              <w:tab/>
              <w:t>21</w:t>
            </w:r>
          </w:hyperlink>
        </w:p>
        <w:p w14:paraId="6194F86E" w14:textId="77777777" w:rsidR="008C3815" w:rsidRDefault="00000000">
          <w:pPr>
            <w:widowControl w:val="0"/>
            <w:tabs>
              <w:tab w:val="right" w:leader="dot" w:pos="12000"/>
            </w:tabs>
            <w:spacing w:before="60" w:line="240" w:lineRule="auto"/>
            <w:ind w:left="360"/>
            <w:rPr>
              <w:color w:val="000000"/>
            </w:rPr>
          </w:pPr>
          <w:hyperlink w:anchor="_3j2qqm3">
            <w:r>
              <w:rPr>
                <w:color w:val="000000"/>
              </w:rPr>
              <w:t>Wellness Development Program</w:t>
            </w:r>
            <w:r>
              <w:rPr>
                <w:color w:val="000000"/>
              </w:rPr>
              <w:tab/>
              <w:t>22</w:t>
            </w:r>
          </w:hyperlink>
        </w:p>
        <w:p w14:paraId="2B0B8EFF" w14:textId="77777777" w:rsidR="008C3815" w:rsidRDefault="00000000">
          <w:pPr>
            <w:widowControl w:val="0"/>
            <w:tabs>
              <w:tab w:val="right" w:leader="dot" w:pos="12000"/>
            </w:tabs>
            <w:spacing w:before="60" w:line="240" w:lineRule="auto"/>
            <w:ind w:left="360"/>
            <w:rPr>
              <w:color w:val="000000"/>
            </w:rPr>
          </w:pPr>
          <w:hyperlink w:anchor="_1y810tw">
            <w:r>
              <w:rPr>
                <w:color w:val="000000"/>
              </w:rPr>
              <w:t>Recommendations Communication</w:t>
            </w:r>
            <w:r>
              <w:rPr>
                <w:color w:val="000000"/>
              </w:rPr>
              <w:tab/>
              <w:t>23</w:t>
            </w:r>
          </w:hyperlink>
        </w:p>
        <w:p w14:paraId="757989DA" w14:textId="77777777" w:rsidR="008C3815" w:rsidRDefault="00000000">
          <w:pPr>
            <w:widowControl w:val="0"/>
            <w:tabs>
              <w:tab w:val="right" w:leader="dot" w:pos="12000"/>
            </w:tabs>
            <w:spacing w:before="60" w:line="240" w:lineRule="auto"/>
            <w:ind w:left="360"/>
            <w:rPr>
              <w:color w:val="000000"/>
            </w:rPr>
          </w:pPr>
          <w:hyperlink w:anchor="_4i7ojhp">
            <w:r>
              <w:rPr>
                <w:color w:val="000000"/>
              </w:rPr>
              <w:t>Training Resources and Support</w:t>
            </w:r>
            <w:r>
              <w:rPr>
                <w:color w:val="000000"/>
              </w:rPr>
              <w:tab/>
              <w:t>24</w:t>
            </w:r>
          </w:hyperlink>
        </w:p>
        <w:p w14:paraId="52AA5965" w14:textId="77777777" w:rsidR="008C3815" w:rsidRDefault="00000000">
          <w:pPr>
            <w:widowControl w:val="0"/>
            <w:tabs>
              <w:tab w:val="right" w:leader="dot" w:pos="12000"/>
            </w:tabs>
            <w:spacing w:before="60" w:line="240" w:lineRule="auto"/>
            <w:ind w:left="360"/>
            <w:rPr>
              <w:color w:val="000000"/>
            </w:rPr>
          </w:pPr>
          <w:hyperlink w:anchor="_2xcytpi">
            <w:r>
              <w:rPr>
                <w:color w:val="000000"/>
              </w:rPr>
              <w:t>Benefits Realization and Change Management Review</w:t>
            </w:r>
            <w:r>
              <w:rPr>
                <w:color w:val="000000"/>
              </w:rPr>
              <w:tab/>
              <w:t>25</w:t>
            </w:r>
          </w:hyperlink>
        </w:p>
        <w:p w14:paraId="6C34526D" w14:textId="77777777" w:rsidR="008C3815" w:rsidRDefault="00000000">
          <w:pPr>
            <w:widowControl w:val="0"/>
            <w:tabs>
              <w:tab w:val="right" w:leader="dot" w:pos="12000"/>
            </w:tabs>
            <w:spacing w:before="60" w:line="240" w:lineRule="auto"/>
            <w:ind w:left="360"/>
            <w:rPr>
              <w:color w:val="000000"/>
            </w:rPr>
          </w:pPr>
          <w:hyperlink w:anchor="_1ci93xb">
            <w:r>
              <w:rPr>
                <w:color w:val="000000"/>
              </w:rPr>
              <w:t>Progress Communication and Recalibration</w:t>
            </w:r>
            <w:r>
              <w:rPr>
                <w:color w:val="000000"/>
              </w:rPr>
              <w:tab/>
              <w:t>26</w:t>
            </w:r>
          </w:hyperlink>
        </w:p>
        <w:p w14:paraId="2E4B1E87" w14:textId="77777777" w:rsidR="008C3815" w:rsidRDefault="00000000">
          <w:pPr>
            <w:widowControl w:val="0"/>
            <w:tabs>
              <w:tab w:val="right" w:leader="dot" w:pos="12000"/>
            </w:tabs>
            <w:spacing w:before="60" w:line="240" w:lineRule="auto"/>
            <w:rPr>
              <w:b/>
              <w:color w:val="000000"/>
            </w:rPr>
          </w:pPr>
          <w:hyperlink w:anchor="_3whwml4">
            <w:r>
              <w:rPr>
                <w:b/>
                <w:color w:val="000000"/>
              </w:rPr>
              <w:t>Action Plan</w:t>
            </w:r>
            <w:r>
              <w:rPr>
                <w:b/>
                <w:color w:val="000000"/>
              </w:rPr>
              <w:tab/>
              <w:t>27</w:t>
            </w:r>
          </w:hyperlink>
        </w:p>
        <w:p w14:paraId="12DEEF7F" w14:textId="77777777" w:rsidR="008C3815" w:rsidRDefault="00000000">
          <w:pPr>
            <w:widowControl w:val="0"/>
            <w:tabs>
              <w:tab w:val="right" w:leader="dot" w:pos="12000"/>
            </w:tabs>
            <w:spacing w:before="60" w:line="240" w:lineRule="auto"/>
            <w:rPr>
              <w:b/>
              <w:color w:val="000000"/>
            </w:rPr>
          </w:pPr>
          <w:hyperlink w:anchor="_2bn6wsx">
            <w:r>
              <w:rPr>
                <w:b/>
                <w:color w:val="000000"/>
              </w:rPr>
              <w:t>Conclusion</w:t>
            </w:r>
            <w:r>
              <w:rPr>
                <w:b/>
                <w:color w:val="000000"/>
              </w:rPr>
              <w:tab/>
              <w:t>28</w:t>
            </w:r>
          </w:hyperlink>
        </w:p>
        <w:p w14:paraId="0D96956F" w14:textId="77777777" w:rsidR="008C3815" w:rsidRDefault="00000000">
          <w:pPr>
            <w:widowControl w:val="0"/>
            <w:tabs>
              <w:tab w:val="right" w:leader="dot" w:pos="12000"/>
            </w:tabs>
            <w:spacing w:before="60" w:line="240" w:lineRule="auto"/>
            <w:rPr>
              <w:b/>
              <w:color w:val="000000"/>
            </w:rPr>
          </w:pPr>
          <w:hyperlink w:anchor="_qsh70q">
            <w:r>
              <w:rPr>
                <w:b/>
                <w:color w:val="000000"/>
              </w:rPr>
              <w:t>References</w:t>
            </w:r>
            <w:r>
              <w:rPr>
                <w:b/>
                <w:color w:val="000000"/>
              </w:rPr>
              <w:tab/>
              <w:t>31</w:t>
            </w:r>
          </w:hyperlink>
          <w:r>
            <w:fldChar w:fldCharType="end"/>
          </w:r>
        </w:p>
      </w:sdtContent>
    </w:sdt>
    <w:p w14:paraId="64EF82F0" w14:textId="77777777" w:rsidR="008C3815" w:rsidRDefault="00000000">
      <w:pPr>
        <w:pStyle w:val="Heading1"/>
        <w:jc w:val="left"/>
      </w:pPr>
      <w:bookmarkStart w:id="0" w:name="_gjdgxs" w:colFirst="0" w:colLast="0"/>
      <w:bookmarkEnd w:id="0"/>
      <w:r>
        <w:br w:type="page"/>
      </w:r>
    </w:p>
    <w:p w14:paraId="537F1331" w14:textId="77777777" w:rsidR="008C3815" w:rsidRDefault="00000000">
      <w:pPr>
        <w:pStyle w:val="Heading1"/>
      </w:pPr>
      <w:bookmarkStart w:id="1" w:name="_30j0zll" w:colFirst="0" w:colLast="0"/>
      <w:bookmarkEnd w:id="1"/>
      <w:r>
        <w:lastRenderedPageBreak/>
        <w:t>Executive Summary</w:t>
      </w:r>
    </w:p>
    <w:p w14:paraId="4D102F1E" w14:textId="2745D179"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Island Alchemists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Consulting was engaged by Leonardo Royal Edinburgh Haymarket to address declines in guest satisfaction scores, online reviews and repeat visits threatening its standing in the </w:t>
      </w:r>
      <w:r w:rsidR="004908DD">
        <w:rPr>
          <w:rFonts w:ascii="Times New Roman" w:eastAsia="Times New Roman" w:hAnsi="Times New Roman" w:cs="Times New Roman"/>
          <w:sz w:val="24"/>
          <w:szCs w:val="24"/>
        </w:rPr>
        <w:t>luxury market</w:t>
      </w:r>
      <w:r>
        <w:rPr>
          <w:rFonts w:ascii="Times New Roman" w:eastAsia="Times New Roman" w:hAnsi="Times New Roman" w:cs="Times New Roman"/>
          <w:sz w:val="24"/>
          <w:szCs w:val="24"/>
        </w:rPr>
        <w:t xml:space="preserve">. A variety of analytical frameworks were utilized to examine internal and external impacting factors through interviews, </w:t>
      </w:r>
      <w:proofErr w:type="gramStart"/>
      <w:r>
        <w:rPr>
          <w:rFonts w:ascii="Times New Roman" w:eastAsia="Times New Roman" w:hAnsi="Times New Roman" w:cs="Times New Roman"/>
          <w:sz w:val="24"/>
          <w:szCs w:val="24"/>
        </w:rPr>
        <w:t>research</w:t>
      </w:r>
      <w:proofErr w:type="gramEnd"/>
      <w:r>
        <w:rPr>
          <w:rFonts w:ascii="Times New Roman" w:eastAsia="Times New Roman" w:hAnsi="Times New Roman" w:cs="Times New Roman"/>
          <w:sz w:val="24"/>
          <w:szCs w:val="24"/>
        </w:rPr>
        <w:t xml:space="preserve"> and observations. Three themes were identified: inconsistent service quality across departments due to lack of direction led to unexpected guest interactions associated with a 20% drop in satisfaction over five years Low family offerings meant opportunity diversity lost in the emerging multigenerational market, affecting family re-registration rates by 30%. and aging infrastructure hampering development projects have hurt attractive portfolios despite high costs. Recommendations were made to modernize facilities, implement revised training and information systems, new offerings targeted at customer segments, and optimize organizational </w:t>
      </w:r>
      <w:r w:rsidR="004908DD">
        <w:rPr>
          <w:rFonts w:ascii="Times New Roman" w:eastAsia="Times New Roman" w:hAnsi="Times New Roman" w:cs="Times New Roman"/>
          <w:sz w:val="24"/>
          <w:szCs w:val="24"/>
        </w:rPr>
        <w:t>structure.</w:t>
      </w:r>
    </w:p>
    <w:p w14:paraId="00EC7675" w14:textId="79BB2F19"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extensive interviews, surveys and on-site surveys, the Island Alchemists were able to identify three key issues affecting the guest experience at Leonardo Royal Edinburgh Haymarket </w:t>
      </w:r>
      <w:r w:rsidR="004908DD">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first issue relates to differences in service quality across sectors. Further research revealed that staff lacked clear guidelines and proper business policies regarding guest service. In the absence of standardized service arrangements, face-to-face interactions with guests varied considerably. This resulted in an unexpected drop in guest experience and satisfaction. Guest satisfaction survey responses showed a 20% decline in satisfaction levels over the past five years, which is directly related to service </w:t>
      </w:r>
      <w:r w:rsidR="004908DD">
        <w:rPr>
          <w:rFonts w:ascii="Times New Roman" w:eastAsia="Times New Roman" w:hAnsi="Times New Roman" w:cs="Times New Roman"/>
          <w:sz w:val="24"/>
          <w:szCs w:val="24"/>
        </w:rPr>
        <w:t>inconsistencies.</w:t>
      </w:r>
    </w:p>
    <w:p w14:paraId="0A8910D8"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major issue identified related to the lack of family-focused offerings and activities. A comparison of competitors indicated that the new luxury resorts have increased their </w:t>
      </w:r>
      <w:r>
        <w:rPr>
          <w:rFonts w:ascii="Times New Roman" w:eastAsia="Times New Roman" w:hAnsi="Times New Roman" w:cs="Times New Roman"/>
          <w:sz w:val="24"/>
          <w:szCs w:val="24"/>
        </w:rPr>
        <w:lastRenderedPageBreak/>
        <w:t>offerings to clearly cater to families and multi-generational groups as compared to that of Leonardo Royal Edinburgh Haymarket with limited programs and listings only one designed for families. As a result, resorts lost opportunities in the increasingly experienced travel market by focusing on memories through the experiences of generations; the negative impact of family re-registration is about 30%.</w:t>
      </w:r>
    </w:p>
    <w:p w14:paraId="4757D3A2"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major issue that emerged from the Island Alchemist's survey was that antiquated furniture and outdated infrastructure were hindering the provision of infrastructure in Leonardo Royal Edinburgh Haymarket and much of the hotel has not been extensively renovated since the property originally opened more than 15 years ago. Some rooms were showing visible signs of decay inconsistent with being a luxury 5-star resort. Outdated fixtures and accessories hindered the new developments needed to keep pace with changing aesthetic standards. This has undermined the perception of luxury accommodation despite high housing prices.</w:t>
      </w:r>
    </w:p>
    <w:p w14:paraId="0F5ED6CB" w14:textId="43C4A5BF"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Urgent remedial motion became needed to cope with those interlinked problems posing risks to Leonardo Royal Edinburgh Haymarket' status inside the profitable Edinburgh luxury resort market. The elderly room stock and infrastructure </w:t>
      </w:r>
      <w:r w:rsidR="004908DD">
        <w:rPr>
          <w:rFonts w:ascii="Times New Roman" w:eastAsia="Times New Roman" w:hAnsi="Times New Roman" w:cs="Times New Roman"/>
          <w:sz w:val="24"/>
          <w:szCs w:val="24"/>
        </w:rPr>
        <w:t>confined</w:t>
      </w:r>
      <w:r>
        <w:rPr>
          <w:rFonts w:ascii="Times New Roman" w:eastAsia="Times New Roman" w:hAnsi="Times New Roman" w:cs="Times New Roman"/>
          <w:sz w:val="24"/>
          <w:szCs w:val="24"/>
        </w:rPr>
        <w:t xml:space="preserve"> the inn's potential to refurbish rooms and facilities. Without such improvements, competitors threatened to surpass Leonardo Royal Edinburgh Haymarket if guests enjoyed excellence over the years.</w:t>
      </w:r>
    </w:p>
    <w:p w14:paraId="4462D8F3" w14:textId="02836B7F" w:rsidR="008C3815" w:rsidRDefault="00000000">
      <w:pPr>
        <w:spacing w:line="480" w:lineRule="auto"/>
        <w:ind w:firstLine="720"/>
        <w:rPr>
          <w:rFonts w:ascii="Times New Roman" w:eastAsia="Times New Roman" w:hAnsi="Times New Roman" w:cs="Times New Roman"/>
          <w:sz w:val="24"/>
          <w:szCs w:val="24"/>
        </w:rPr>
      </w:pPr>
      <w:bookmarkStart w:id="2" w:name="_1fob9te" w:colFirst="0" w:colLast="0"/>
      <w:bookmarkEnd w:id="2"/>
      <w:r>
        <w:rPr>
          <w:rFonts w:ascii="Times New Roman" w:eastAsia="Times New Roman" w:hAnsi="Times New Roman" w:cs="Times New Roman"/>
          <w:sz w:val="24"/>
          <w:szCs w:val="24"/>
        </w:rPr>
        <w:t xml:space="preserve">A STEEPLED analysis </w:t>
      </w:r>
      <w:r w:rsidR="004908DD">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carried out to observe macro environmental elements that might affect industry trends. It revealed threats which include climate change, era innovations and transferring demographics. Complementing this, SOAR and TOWS frameworks were utilized to systematically analyze the agency's strengths, weaknesses, </w:t>
      </w:r>
      <w:r w:rsidR="00C40B69">
        <w:rPr>
          <w:rFonts w:ascii="Times New Roman" w:eastAsia="Times New Roman" w:hAnsi="Times New Roman" w:cs="Times New Roman"/>
          <w:sz w:val="24"/>
          <w:szCs w:val="24"/>
        </w:rPr>
        <w:t>possibilities,</w:t>
      </w:r>
      <w:r>
        <w:rPr>
          <w:rFonts w:ascii="Times New Roman" w:eastAsia="Times New Roman" w:hAnsi="Times New Roman" w:cs="Times New Roman"/>
          <w:sz w:val="24"/>
          <w:szCs w:val="24"/>
        </w:rPr>
        <w:t xml:space="preserve"> and threats through a based approach. SOAR identified internal strengths around the inn's area and devoted workforce while additionally highlighting opportunities to enhance training programs and curate </w:t>
      </w:r>
      <w:r>
        <w:rPr>
          <w:rFonts w:ascii="Times New Roman" w:eastAsia="Times New Roman" w:hAnsi="Times New Roman" w:cs="Times New Roman"/>
          <w:sz w:val="24"/>
          <w:szCs w:val="24"/>
        </w:rPr>
        <w:lastRenderedPageBreak/>
        <w:t>new family sports. TOWS mixed those with outside threats around multiplied competition and changing visitor possibilities. Key findings from the analyses stressed the want to reinforce the body of workers training programs, develop dedicated family sports, and put in force complete refurbishments across aging room infrastructure to capitalize on possibilities and triumph over weaknesses threatening the resort's aggressive role.</w:t>
      </w:r>
    </w:p>
    <w:p w14:paraId="1F29CCC1" w14:textId="4E98AF10"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findings of the studies, recommendations for four strategies were developed. The first is a comprehensive interior renovation program to modernize all rooms over five years. This was intended to gradually increase the amenities in each room to justify the higher room prices. Second, a new service excellence program was proposed to introduce a revised training curriculum and implement an enhanced guest response system. This was intended to strengthen employee service skills while consistently providing high quality experiences. Enhanced health care and standardized family offerings led to a third recommendation, targeting new income segments of consumers. Finally, addressing deficiencies in organizational structure through improving activities and processes was seen as important for the successful implementation of structural </w:t>
      </w:r>
      <w:r w:rsidR="004908DD">
        <w:rPr>
          <w:rFonts w:ascii="Times New Roman" w:eastAsia="Times New Roman" w:hAnsi="Times New Roman" w:cs="Times New Roman"/>
          <w:sz w:val="24"/>
          <w:szCs w:val="24"/>
        </w:rPr>
        <w:t>changes.</w:t>
      </w:r>
    </w:p>
    <w:p w14:paraId="21A0BFDD"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Successfully imposing the endorsed strategic modifications might require a cautiously managed trade method. To realize the entire scope of advantages, Island Alchemists recommended Leonardo Royal Edinburgh Haymarket to undertake robust alternate management practices. A Change Management Steering Committee comprising management from all departments might be fashioned to oversee transformation efforts. Outside trade control experts could additionally be retained to assist navigate organizational changes.</w:t>
      </w:r>
    </w:p>
    <w:p w14:paraId="2EED3A28" w14:textId="012DB89C" w:rsidR="008C3815" w:rsidRDefault="00000000">
      <w:pPr>
        <w:spacing w:line="480" w:lineRule="auto"/>
        <w:ind w:firstLine="720"/>
        <w:rPr>
          <w:rFonts w:ascii="Times New Roman" w:eastAsia="Times New Roman" w:hAnsi="Times New Roman" w:cs="Times New Roman"/>
          <w:sz w:val="24"/>
          <w:szCs w:val="24"/>
        </w:rPr>
      </w:pPr>
      <w:bookmarkStart w:id="3" w:name="_3znysh7" w:colFirst="0" w:colLast="0"/>
      <w:bookmarkEnd w:id="3"/>
      <w:r>
        <w:rPr>
          <w:rFonts w:ascii="Times New Roman" w:eastAsia="Times New Roman" w:hAnsi="Times New Roman" w:cs="Times New Roman"/>
          <w:sz w:val="24"/>
          <w:szCs w:val="24"/>
        </w:rPr>
        <w:t xml:space="preserve">Implementing tasks just like the room refurbishment application, provider excellence improvements, and new well-being and circle of </w:t>
      </w:r>
      <w:r w:rsidR="004908DD">
        <w:rPr>
          <w:rFonts w:ascii="Times New Roman" w:eastAsia="Times New Roman" w:hAnsi="Times New Roman" w:cs="Times New Roman"/>
          <w:sz w:val="24"/>
          <w:szCs w:val="24"/>
        </w:rPr>
        <w:t>relatives’</w:t>
      </w:r>
      <w:r>
        <w:rPr>
          <w:rFonts w:ascii="Times New Roman" w:eastAsia="Times New Roman" w:hAnsi="Times New Roman" w:cs="Times New Roman"/>
          <w:sz w:val="24"/>
          <w:szCs w:val="24"/>
        </w:rPr>
        <w:t xml:space="preserve"> services aimed to draw incremental </w:t>
      </w:r>
      <w:r>
        <w:rPr>
          <w:rFonts w:ascii="Times New Roman" w:eastAsia="Times New Roman" w:hAnsi="Times New Roman" w:cs="Times New Roman"/>
          <w:sz w:val="24"/>
          <w:szCs w:val="24"/>
        </w:rPr>
        <w:lastRenderedPageBreak/>
        <w:t xml:space="preserve">revenue sources. By </w:t>
      </w:r>
      <w:r w:rsidR="004908DD">
        <w:rPr>
          <w:rFonts w:ascii="Times New Roman" w:eastAsia="Times New Roman" w:hAnsi="Times New Roman" w:cs="Times New Roman"/>
          <w:sz w:val="24"/>
          <w:szCs w:val="24"/>
        </w:rPr>
        <w:t>cleaning</w:t>
      </w:r>
      <w:r>
        <w:rPr>
          <w:rFonts w:ascii="Times New Roman" w:eastAsia="Times New Roman" w:hAnsi="Times New Roman" w:cs="Times New Roman"/>
          <w:sz w:val="24"/>
          <w:szCs w:val="24"/>
        </w:rPr>
        <w:t xml:space="preserve"> previous infrastructure, improving the visitor </w:t>
      </w:r>
      <w:r w:rsidR="00C40B69">
        <w:rPr>
          <w:rFonts w:ascii="Times New Roman" w:eastAsia="Times New Roman" w:hAnsi="Times New Roman" w:cs="Times New Roman"/>
          <w:sz w:val="24"/>
          <w:szCs w:val="24"/>
        </w:rPr>
        <w:t>level</w:t>
      </w:r>
      <w:r>
        <w:rPr>
          <w:rFonts w:ascii="Times New Roman" w:eastAsia="Times New Roman" w:hAnsi="Times New Roman" w:cs="Times New Roman"/>
          <w:sz w:val="24"/>
          <w:szCs w:val="24"/>
        </w:rPr>
        <w:t xml:space="preserve"> in, and appealing to new purchaser segments, Leonardo Royal Edinburgh Haymarket projected earnings could upward push with the aid of 30% within three years. This increase could stem from better room fees commanded via modernized lodges. Additionally, new offerings tailor-made to households and the health market supplied possibilities to enhance occupancy throughout unique durations and increase according to-character spend.</w:t>
      </w:r>
    </w:p>
    <w:p w14:paraId="5DDCE533" w14:textId="77777777" w:rsidR="008C3815" w:rsidRDefault="00000000">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Ongoing progress reviews were considered crucial by Island Alchemists to ensure projected returns materialized through disciplined execution. Regular communication with staff additionally aimed to maintain buy-in throughout change processes. With benefits realized carefully tracked and adjustments made where needed, Leonardo Royal Edinburgh Haymarket would be well-positioned to sustain world-class standards into the future. </w:t>
      </w:r>
      <w:r>
        <w:br w:type="page"/>
      </w:r>
    </w:p>
    <w:p w14:paraId="7E51B91B" w14:textId="77777777" w:rsidR="008C3815" w:rsidRDefault="00000000">
      <w:pPr>
        <w:pStyle w:val="Heading1"/>
      </w:pPr>
      <w:bookmarkStart w:id="4" w:name="_ueotyvs5nf0o" w:colFirst="0" w:colLast="0"/>
      <w:bookmarkEnd w:id="4"/>
      <w:r>
        <w:lastRenderedPageBreak/>
        <w:t>Introduction</w:t>
      </w:r>
    </w:p>
    <w:p w14:paraId="20372A03" w14:textId="4359EE5D"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Located in Edinburgh's prestigious West End </w:t>
      </w:r>
      <w:r w:rsidR="004908DD">
        <w:rPr>
          <w:rFonts w:ascii="Times New Roman" w:eastAsia="Times New Roman" w:hAnsi="Times New Roman" w:cs="Times New Roman"/>
          <w:sz w:val="24"/>
          <w:szCs w:val="24"/>
        </w:rPr>
        <w:t>neighborhood</w:t>
      </w:r>
      <w:r>
        <w:rPr>
          <w:rFonts w:ascii="Times New Roman" w:eastAsia="Times New Roman" w:hAnsi="Times New Roman" w:cs="Times New Roman"/>
          <w:sz w:val="24"/>
          <w:szCs w:val="24"/>
        </w:rPr>
        <w:t xml:space="preserve"> less than 500 </w:t>
      </w:r>
      <w:r w:rsidR="004908DD">
        <w:rPr>
          <w:rFonts w:ascii="Times New Roman" w:eastAsia="Times New Roman" w:hAnsi="Times New Roman" w:cs="Times New Roman"/>
          <w:sz w:val="24"/>
          <w:szCs w:val="24"/>
        </w:rPr>
        <w:t>meters</w:t>
      </w:r>
      <w:r>
        <w:rPr>
          <w:rFonts w:ascii="Times New Roman" w:eastAsia="Times New Roman" w:hAnsi="Times New Roman" w:cs="Times New Roman"/>
          <w:sz w:val="24"/>
          <w:szCs w:val="24"/>
        </w:rPr>
        <w:t xml:space="preserve"> from Haymarket train station, the Leonardo Royal Hotel Edinburgh is an urban retreat renowned for its prime city </w:t>
      </w:r>
      <w:r w:rsidR="004908DD">
        <w:rPr>
          <w:rFonts w:ascii="Times New Roman" w:eastAsia="Times New Roman" w:hAnsi="Times New Roman" w:cs="Times New Roman"/>
          <w:sz w:val="24"/>
          <w:szCs w:val="24"/>
        </w:rPr>
        <w:t>center</w:t>
      </w:r>
      <w:r>
        <w:rPr>
          <w:rFonts w:ascii="Times New Roman" w:eastAsia="Times New Roman" w:hAnsi="Times New Roman" w:cs="Times New Roman"/>
          <w:sz w:val="24"/>
          <w:szCs w:val="24"/>
        </w:rPr>
        <w:t xml:space="preserve"> location and modern amenities. Open since 1906, the 120-room boutique hotel occupies a refurbished Victorian building that carefully blends historic charm with modern amenities over 5 floors. Guests enjoy easy access to Edinburgh's top cultural attractions such as the Royal Botanic Garden and Arthur's Seat, as well as the vibrant shopping and dining areas along Dundas Street and George Street.</w:t>
      </w:r>
    </w:p>
    <w:p w14:paraId="7F536976" w14:textId="6C748FB1"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Offering a balanced mix of accommodation types, The Leonardo Royal Edinburgh is renowned for its 67 spacious and well-appointed rooms, ranging from Superior Queen Rooms ideal for couples to Deluxe Family Rooms with separate children's corners (Walker, 2021). Known for designing </w:t>
      </w:r>
      <w:r w:rsidR="004908DD">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city breaks that elevate local experiences, the hotel quickly became the first choice for leisure and business </w:t>
      </w:r>
      <w:r w:rsidR="004908DD">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alike. However, in recent years, key metrics such as guest satisfaction scores and positive online reviews have shown a decline in recent years, as rising </w:t>
      </w:r>
      <w:r w:rsidR="00C40B69">
        <w:rPr>
          <w:rFonts w:ascii="Times New Roman" w:eastAsia="Times New Roman" w:hAnsi="Times New Roman" w:cs="Times New Roman"/>
          <w:sz w:val="24"/>
          <w:szCs w:val="24"/>
        </w:rPr>
        <w:t>expectations,</w:t>
      </w:r>
      <w:r>
        <w:rPr>
          <w:rFonts w:ascii="Times New Roman" w:eastAsia="Times New Roman" w:hAnsi="Times New Roman" w:cs="Times New Roman"/>
          <w:sz w:val="24"/>
          <w:szCs w:val="24"/>
        </w:rPr>
        <w:t xml:space="preserve"> and stiff competition from newcomers such as the luxurious Scottsdale Suites appear to be challenging the Royal's position among Edinburgh's most prestigious addresses.</w:t>
      </w:r>
    </w:p>
    <w:p w14:paraId="3E01D2CC" w14:textId="37D1112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Seeking to </w:t>
      </w:r>
      <w:r w:rsidR="00C40B69">
        <w:rPr>
          <w:rFonts w:ascii="Times New Roman" w:eastAsia="Times New Roman" w:hAnsi="Times New Roman" w:cs="Times New Roman"/>
          <w:sz w:val="24"/>
          <w:szCs w:val="24"/>
        </w:rPr>
        <w:t>revitalize</w:t>
      </w:r>
      <w:r>
        <w:rPr>
          <w:rFonts w:ascii="Times New Roman" w:eastAsia="Times New Roman" w:hAnsi="Times New Roman" w:cs="Times New Roman"/>
          <w:sz w:val="24"/>
          <w:szCs w:val="24"/>
        </w:rPr>
        <w:t xml:space="preserve"> its operations and strengthen its competitive position, the Leonardo Royal Hotel Edinburgh engaged Island Alchemists </w:t>
      </w:r>
      <w:r w:rsidR="00C40B6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Consulting, a leading strategic consulting firm with extensive experience in the hospitality industry, to conduct a bespoke </w:t>
      </w:r>
      <w:r w:rsidR="00C40B6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review (Johnson et al., 2020). Our analytical methodology comprehensively examines the internal dynamics and external factors affecting performance through tools such as STEEPLED, SOAR and TOWS analyses (Johnson et al., 2020; Mohammed, 2017). This </w:t>
      </w:r>
      <w:r w:rsidR="00C40B69">
        <w:rPr>
          <w:rFonts w:ascii="Times New Roman" w:eastAsia="Times New Roman" w:hAnsi="Times New Roman" w:cs="Times New Roman"/>
          <w:sz w:val="24"/>
          <w:szCs w:val="24"/>
        </w:rPr>
        <w:lastRenderedPageBreak/>
        <w:t>personalized</w:t>
      </w:r>
      <w:r>
        <w:rPr>
          <w:rFonts w:ascii="Times New Roman" w:eastAsia="Times New Roman" w:hAnsi="Times New Roman" w:cs="Times New Roman"/>
          <w:sz w:val="24"/>
          <w:szCs w:val="24"/>
        </w:rPr>
        <w:t xml:space="preserve"> approach aims to help the hotel regain its prestigious position among Edinburgh's top urban accommodation options.</w:t>
      </w:r>
    </w:p>
    <w:p w14:paraId="6700AA8F" w14:textId="674A3DA6"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SOAR analysis will apply the STEEPLED framework to assess the broader political, </w:t>
      </w:r>
      <w:r w:rsidR="00C40B69">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social, technological, </w:t>
      </w:r>
      <w:r w:rsidR="00C40B69">
        <w:rPr>
          <w:rFonts w:ascii="Times New Roman" w:eastAsia="Times New Roman" w:hAnsi="Times New Roman" w:cs="Times New Roman"/>
          <w:sz w:val="24"/>
          <w:szCs w:val="24"/>
        </w:rPr>
        <w:t>environmental,</w:t>
      </w:r>
      <w:r>
        <w:rPr>
          <w:rFonts w:ascii="Times New Roman" w:eastAsia="Times New Roman" w:hAnsi="Times New Roman" w:cs="Times New Roman"/>
          <w:sz w:val="24"/>
          <w:szCs w:val="24"/>
        </w:rPr>
        <w:t xml:space="preserve"> and legal forces influencing industry trends in Edinburgh's hotel market (Mohammed, 2017). The SOAR methodology will systematically uncover the inherent strengths, opportunities, </w:t>
      </w:r>
      <w:r w:rsidR="00C40B69">
        <w:rPr>
          <w:rFonts w:ascii="Times New Roman" w:eastAsia="Times New Roman" w:hAnsi="Times New Roman" w:cs="Times New Roman"/>
          <w:sz w:val="24"/>
          <w:szCs w:val="24"/>
        </w:rPr>
        <w:t>aspirations,</w:t>
      </w:r>
      <w:r>
        <w:rPr>
          <w:rFonts w:ascii="Times New Roman" w:eastAsia="Times New Roman" w:hAnsi="Times New Roman" w:cs="Times New Roman"/>
          <w:sz w:val="24"/>
          <w:szCs w:val="24"/>
        </w:rPr>
        <w:t xml:space="preserve"> and outcomes of the Leonardo Royal Hotel, identifying areas for growth (Johnson et al., 2020). The </w:t>
      </w:r>
      <w:r w:rsidR="00C40B69">
        <w:rPr>
          <w:rFonts w:ascii="Times New Roman" w:eastAsia="Times New Roman" w:hAnsi="Times New Roman" w:cs="Times New Roman"/>
          <w:sz w:val="24"/>
          <w:szCs w:val="24"/>
        </w:rPr>
        <w:t>synchronized</w:t>
      </w:r>
      <w:r>
        <w:rPr>
          <w:rFonts w:ascii="Times New Roman" w:eastAsia="Times New Roman" w:hAnsi="Times New Roman" w:cs="Times New Roman"/>
          <w:sz w:val="24"/>
          <w:szCs w:val="24"/>
        </w:rPr>
        <w:t xml:space="preserve"> TOWS analysis will address internal weaknesses, threats posed by external competition and changing guest requirements.</w:t>
      </w:r>
    </w:p>
    <w:p w14:paraId="1F9C109C" w14:textId="3FBCE882"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Delivering </w:t>
      </w:r>
      <w:r w:rsidR="00C40B69">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results through these validated analytical tools aims to provide the Leonardo Royal Hotel with actionable strategic recommendations. The consultancy aims to strengthen core operations, formulate differentiated value propositions, and ensure sustainable market leadership among the city's leading urban hotel group. Recent declines in key performance indicators point to the need for targeted changes to restore the hotel's reputation for luxury and service quality within the prestigious West End </w:t>
      </w:r>
      <w:r w:rsidR="00C40B69">
        <w:rPr>
          <w:rFonts w:ascii="Times New Roman" w:eastAsia="Times New Roman" w:hAnsi="Times New Roman" w:cs="Times New Roman"/>
          <w:sz w:val="24"/>
          <w:szCs w:val="24"/>
        </w:rPr>
        <w:t>neighborhood</w:t>
      </w:r>
      <w:r>
        <w:rPr>
          <w:rFonts w:ascii="Times New Roman" w:eastAsia="Times New Roman" w:hAnsi="Times New Roman" w:cs="Times New Roman"/>
          <w:sz w:val="24"/>
          <w:szCs w:val="24"/>
        </w:rPr>
        <w:t>.</w:t>
      </w:r>
    </w:p>
    <w:p w14:paraId="4135F049" w14:textId="2D5FDB6D"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Island Alchemists </w:t>
      </w:r>
      <w:r w:rsidR="00C40B69">
        <w:rPr>
          <w:rFonts w:ascii="Times New Roman" w:eastAsia="Times New Roman" w:hAnsi="Times New Roman" w:cs="Times New Roman"/>
          <w:sz w:val="24"/>
          <w:szCs w:val="24"/>
        </w:rPr>
        <w:t>recognizes</w:t>
      </w:r>
      <w:r>
        <w:rPr>
          <w:rFonts w:ascii="Times New Roman" w:eastAsia="Times New Roman" w:hAnsi="Times New Roman" w:cs="Times New Roman"/>
          <w:sz w:val="24"/>
          <w:szCs w:val="24"/>
        </w:rPr>
        <w:t xml:space="preserve"> the responsibility of heritage properties to continuously evolve while maintaining their cultural heritage and role in the local community. By applying </w:t>
      </w:r>
      <w:r w:rsidR="00C40B69">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expertise and proven frameworks, our aim is to provide insights to improve guest experience, financial </w:t>
      </w:r>
      <w:proofErr w:type="gramStart"/>
      <w:r>
        <w:rPr>
          <w:rFonts w:ascii="Times New Roman" w:eastAsia="Times New Roman" w:hAnsi="Times New Roman" w:cs="Times New Roman"/>
          <w:sz w:val="24"/>
          <w:szCs w:val="24"/>
        </w:rPr>
        <w:t>results</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readiness for future challenges. Our goal is to help guide the Leonardo Royal Hotel to cement its distinctive position in Edinburgh for decades to come by </w:t>
      </w:r>
      <w:r w:rsidR="00C40B69">
        <w:rPr>
          <w:rFonts w:ascii="Times New Roman" w:eastAsia="Times New Roman" w:hAnsi="Times New Roman" w:cs="Times New Roman"/>
          <w:sz w:val="24"/>
          <w:szCs w:val="24"/>
        </w:rPr>
        <w:t>revitalizing</w:t>
      </w:r>
      <w:r>
        <w:rPr>
          <w:rFonts w:ascii="Times New Roman" w:eastAsia="Times New Roman" w:hAnsi="Times New Roman" w:cs="Times New Roman"/>
          <w:sz w:val="24"/>
          <w:szCs w:val="24"/>
        </w:rPr>
        <w:t xml:space="preserve"> its strategic focus, operating model and differentiated offerings that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new </w:t>
      </w:r>
      <w:r w:rsidR="00C40B69">
        <w:rPr>
          <w:rFonts w:ascii="Times New Roman" w:eastAsia="Times New Roman" w:hAnsi="Times New Roman" w:cs="Times New Roman"/>
          <w:sz w:val="24"/>
          <w:szCs w:val="24"/>
        </w:rPr>
        <w:t>opportunities.</w:t>
      </w:r>
    </w:p>
    <w:p w14:paraId="4D500286" w14:textId="77777777" w:rsidR="008C3815" w:rsidRDefault="008C3815">
      <w:pPr>
        <w:spacing w:line="480" w:lineRule="auto"/>
        <w:ind w:firstLine="720"/>
        <w:rPr>
          <w:rFonts w:ascii="Times New Roman" w:eastAsia="Times New Roman" w:hAnsi="Times New Roman" w:cs="Times New Roman"/>
          <w:sz w:val="24"/>
          <w:szCs w:val="24"/>
        </w:rPr>
      </w:pPr>
    </w:p>
    <w:p w14:paraId="117DBF00"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Going forward, Island Chemical experts will conduct in-depth staff interviews, observe on-site operations,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historical performance data, and solicit guest and stakeholder feedback to gain a comprehensive understanding of the factors affecting business performance. Our bespoke engagement aims to provide a comprehensive examination of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dynamics and external competitive landscape affecting the ability of the Leonardo Royal Hotel to deliver an exceptional experience worthy of its heritage and address in one of Scotland's most respected cities.</w:t>
      </w:r>
    </w:p>
    <w:p w14:paraId="20152131" w14:textId="77777777" w:rsidR="008C3815" w:rsidRDefault="00000000">
      <w:pPr>
        <w:pStyle w:val="Heading1"/>
      </w:pPr>
      <w:bookmarkStart w:id="5" w:name="_3dy6vkm" w:colFirst="0" w:colLast="0"/>
      <w:bookmarkEnd w:id="5"/>
      <w:r>
        <w:t>Analysis</w:t>
      </w:r>
    </w:p>
    <w:p w14:paraId="65A7257F"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Through interviews with the General Manager and Heads of Department at the Leonardo Royal Edinburgh Haymarket, three key issues affecting the guest experience were identified. The hotel engaged Island Alchemists to address low satisfaction scores, negative online reviews, and poor rebooking trends that were threatening its market share.</w:t>
      </w:r>
    </w:p>
    <w:p w14:paraId="58566B07"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inconsistent levels of service quality emerged as the most pressing concern. While many employees strive to provide exceptional hospitality, it has been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that service standards are not uniformly followed (Ozkan et al., 2020). Frontline staff lack clear guidance on standards such as interaction styles, issue resolution protocols, and meeting the needs of special groups (Chung and Moon, 2020). This results in unexpected guest interactions and a sub-optimal overall impression, which is directly linked to satisfaction ratings that are 20% lower than 5 years ago.</w:t>
      </w:r>
    </w:p>
    <w:p w14:paraId="0654C8FB" w14:textId="50D20F66"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second issue relates to minimal amenities and family-</w:t>
      </w:r>
      <w:r w:rsidR="00C40B69">
        <w:rPr>
          <w:rFonts w:ascii="Times New Roman" w:eastAsia="Times New Roman" w:hAnsi="Times New Roman" w:cs="Times New Roman"/>
          <w:sz w:val="24"/>
          <w:szCs w:val="24"/>
        </w:rPr>
        <w:t>centered</w:t>
      </w:r>
      <w:r>
        <w:rPr>
          <w:rFonts w:ascii="Times New Roman" w:eastAsia="Times New Roman" w:hAnsi="Times New Roman" w:cs="Times New Roman"/>
          <w:sz w:val="24"/>
          <w:szCs w:val="24"/>
        </w:rPr>
        <w:t xml:space="preserve"> activities. The benchmarking found that competitors are now explicitly catering to multi-generational groups with clubs and children's </w:t>
      </w:r>
      <w:r w:rsidR="00C40B69">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However, the Leonardo Royal Edinburgh Haymarket does not offer any structured childcare or daily </w:t>
      </w:r>
      <w:r w:rsidR="00C40B69">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Feedback suggests that the beautiful </w:t>
      </w:r>
      <w:r>
        <w:rPr>
          <w:rFonts w:ascii="Times New Roman" w:eastAsia="Times New Roman" w:hAnsi="Times New Roman" w:cs="Times New Roman"/>
          <w:sz w:val="24"/>
          <w:szCs w:val="24"/>
        </w:rPr>
        <w:lastRenderedPageBreak/>
        <w:t xml:space="preserve">surroundings are lost on anxious children, affecting family </w:t>
      </w:r>
      <w:r w:rsidR="00C40B69">
        <w:rPr>
          <w:rFonts w:ascii="Times New Roman" w:eastAsia="Times New Roman" w:hAnsi="Times New Roman" w:cs="Times New Roman"/>
          <w:sz w:val="24"/>
          <w:szCs w:val="24"/>
        </w:rPr>
        <w:t>rebooking’s</w:t>
      </w:r>
      <w:r>
        <w:rPr>
          <w:rFonts w:ascii="Times New Roman" w:eastAsia="Times New Roman" w:hAnsi="Times New Roman" w:cs="Times New Roman"/>
          <w:sz w:val="24"/>
          <w:szCs w:val="24"/>
        </w:rPr>
        <w:t xml:space="preserve"> by approximately 30% (Youssef, 2022). This represents a large untapped segment of the growing experiential travel market.</w:t>
      </w:r>
    </w:p>
    <w:p w14:paraId="7DAF0C10" w14:textId="27ED7F78"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Finally, aging room inventory and public space infrastructure have been cited as factors hindering improvement projects. Most of the villas were renovated when they opened more than 15 years ago and show signs of aging fixtures (Tanasi, 2024). Reviews consistently point to the need for updated interiors that conform to five-star standards (</w:t>
      </w:r>
      <w:proofErr w:type="spellStart"/>
      <w:r>
        <w:rPr>
          <w:rFonts w:ascii="Times New Roman" w:eastAsia="Times New Roman" w:hAnsi="Times New Roman" w:cs="Times New Roman"/>
          <w:sz w:val="24"/>
          <w:szCs w:val="24"/>
        </w:rPr>
        <w:t>Sadhale</w:t>
      </w:r>
      <w:proofErr w:type="spellEnd"/>
      <w:r>
        <w:rPr>
          <w:rFonts w:ascii="Times New Roman" w:eastAsia="Times New Roman" w:hAnsi="Times New Roman" w:cs="Times New Roman"/>
          <w:sz w:val="24"/>
          <w:szCs w:val="24"/>
        </w:rPr>
        <w:t xml:space="preserve">, 2023). These deficiencies undermine the prestige that hotels seek to </w:t>
      </w:r>
      <w:r w:rsidR="00C40B69">
        <w:rPr>
          <w:rFonts w:ascii="Times New Roman" w:eastAsia="Times New Roman" w:hAnsi="Times New Roman" w:cs="Times New Roman"/>
          <w:sz w:val="24"/>
          <w:szCs w:val="24"/>
        </w:rPr>
        <w:t>achieve,</w:t>
      </w:r>
      <w:r>
        <w:rPr>
          <w:rFonts w:ascii="Times New Roman" w:eastAsia="Times New Roman" w:hAnsi="Times New Roman" w:cs="Times New Roman"/>
          <w:sz w:val="24"/>
          <w:szCs w:val="24"/>
        </w:rPr>
        <w:t xml:space="preserve"> and the premium room rates applied, limiting revenue. Urgent remedial action is needed to address these interconnected issues that are undermining the Royal Edinburgh Haymarket's position in the lucrative luxury resort sector.</w:t>
      </w:r>
    </w:p>
    <w:p w14:paraId="3F6EBB92" w14:textId="77777777" w:rsidR="008C3815" w:rsidRDefault="00000000">
      <w:pPr>
        <w:pStyle w:val="Heading2"/>
      </w:pPr>
      <w:bookmarkStart w:id="6" w:name="_1t3h5sf" w:colFirst="0" w:colLast="0"/>
      <w:bookmarkEnd w:id="6"/>
      <w:r>
        <w:t>Service Quality</w:t>
      </w:r>
    </w:p>
    <w:p w14:paraId="161EB053"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further explore inconsistent service quality issues, we conducted semi-structured interviews with 10 managers and 20 employees representing different departments, as well as 30 guests during their stay. We also observed customer interactions and evaluated 15 service training manuals.</w:t>
      </w:r>
    </w:p>
    <w:p w14:paraId="325F234A" w14:textId="69020DE1"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research revealed deficiencies in the strategic, </w:t>
      </w:r>
      <w:r w:rsidR="00C40B69">
        <w:rPr>
          <w:rFonts w:ascii="Times New Roman" w:eastAsia="Times New Roman" w:hAnsi="Times New Roman" w:cs="Times New Roman"/>
          <w:sz w:val="24"/>
          <w:szCs w:val="24"/>
        </w:rPr>
        <w:t>tactical,</w:t>
      </w:r>
      <w:r>
        <w:rPr>
          <w:rFonts w:ascii="Times New Roman" w:eastAsia="Times New Roman" w:hAnsi="Times New Roman" w:cs="Times New Roman"/>
          <w:sz w:val="24"/>
          <w:szCs w:val="24"/>
        </w:rPr>
        <w:t xml:space="preserve"> and operational dimensions. At the strategic level, the hotel lacks a specific service vision and a specific standards manual to align workforce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(Rescalvo-Martin et al., 2021). Guest feedback data from the past year, obtained from the front desk, showed an increasing pattern of complaints about rudeness, communication breakdowns, and lack of proactive issue resolution. The themes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around staff who seemed disinterested or unable to comply with reasonable requests (</w:t>
      </w:r>
      <w:proofErr w:type="spellStart"/>
      <w:r>
        <w:rPr>
          <w:rFonts w:ascii="Times New Roman" w:eastAsia="Times New Roman" w:hAnsi="Times New Roman" w:cs="Times New Roman"/>
          <w:sz w:val="24"/>
          <w:szCs w:val="24"/>
        </w:rPr>
        <w:t>Bohns</w:t>
      </w:r>
      <w:proofErr w:type="spellEnd"/>
      <w:r>
        <w:rPr>
          <w:rFonts w:ascii="Times New Roman" w:eastAsia="Times New Roman" w:hAnsi="Times New Roman" w:cs="Times New Roman"/>
          <w:sz w:val="24"/>
          <w:szCs w:val="24"/>
        </w:rPr>
        <w:t xml:space="preserve"> and Schlund, 2020).</w:t>
      </w:r>
    </w:p>
    <w:p w14:paraId="06D99E23"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Tactically, departmental silos were found to hinder smooth interaction with residents. For example, the housekeeping department may not be aware of dietary preferences observed by the food and beverage department. Job descriptions also allowed little room for autonomy, risking disengagement (De Silva, 2023). Staff training consisted mostly of department-specific protocols rather than emotional skills or highlighting the true caring qualities that go hand in hand with luxury hospitality (Yu, 2021). Only 50% of new hires have undergone formal training in the past six months due to budget constraints, compared to 80% of new hires who have undergone formal training in the past six months due to budget constraints.</w:t>
      </w:r>
    </w:p>
    <w:p w14:paraId="6594466E"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Our confidential assessments revealed operational gaps such as team interactions that felt transactional rather than warm and caring. Problem solving was curative rather than preventative, undermining the emotional connections necessary for luxury service. We also found inconsistencies in product knowledge, for example between servers explaining food concepts and destination information necessary for memorable guest experiences.</w:t>
      </w:r>
    </w:p>
    <w:p w14:paraId="045EE020"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If left unaddressed, these systemic flaws will continue to erode Royal Edinburgh Haymarket's reputation in the highly competitive luxury resort market. Negative word of mouth can erode the hotel's hard-earned goodwill and cost the hotel occupancy losses as customers seek relationships with hotels that demonstrate superior service acumen. Urgent remedial action is needed to correct this vitally important aspect of operations.</w:t>
      </w:r>
    </w:p>
    <w:p w14:paraId="46C8F042" w14:textId="77777777" w:rsidR="008C3815" w:rsidRDefault="00000000">
      <w:pPr>
        <w:pStyle w:val="Heading2"/>
      </w:pPr>
      <w:bookmarkStart w:id="7" w:name="_4d34og8" w:colFirst="0" w:colLast="0"/>
      <w:bookmarkEnd w:id="7"/>
      <w:r>
        <w:t>Family Offerings</w:t>
      </w:r>
    </w:p>
    <w:p w14:paraId="25B5FC81" w14:textId="12FEA56F"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lack of family-oriented amenities and </w:t>
      </w:r>
      <w:r w:rsidR="00C40B69">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emerged as a notable gap when we reviewed more than 100 customer responses collected by the hotel over the past year. At least 25% of the complaints were related to the lack of entertainment options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activities </w:t>
      </w:r>
      <w:r>
        <w:rPr>
          <w:rFonts w:ascii="Times New Roman" w:eastAsia="Times New Roman" w:hAnsi="Times New Roman" w:cs="Times New Roman"/>
          <w:sz w:val="24"/>
          <w:szCs w:val="24"/>
        </w:rPr>
        <w:lastRenderedPageBreak/>
        <w:t>for children. Comments indicated that children get bored and restless quickly on the island without entertainment that caters to their needs.</w:t>
      </w:r>
    </w:p>
    <w:p w14:paraId="51A4A340"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We conducted a benchmark comparison of the family offerings at 3 of the closest competing luxury resorts to the Royal Edinburgh Haymarket Resort in Baa Atoll. All offered professionally staffed kids' clubs that operated daily with age-specific curricula ranging from arts/crafts and sports for younger children to interactive cooking/yoga classes for older age groups. The resorts also included family entertainment schedules with daily activities such as treasure hunts, film/game nights and teen lounges.</w:t>
      </w:r>
    </w:p>
    <w:p w14:paraId="3417A58B"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Statistical data from these competitors showed that families now make up more than 20% of annual bookings, with significant spending on additional amenities such as in-villa childcare and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dining experiences for children. Based on industry estimates, each child has the potential to generate an additional US$1,000 in revenue through additional meal plans and family treatments/trips (Coelho, 2022). With no existing family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at the Royal Edinburgh Haymarket, this large segment remains largely untapped. The development of a dedicated children's facility and a dedicated children's activity menu could help make the resort a more attractive multi-generational retreat. This moves the hotel towards hospitality trends that will enhance competitiveness in the next key demographic influencing travel decisions (Durley, 2020).</w:t>
      </w:r>
    </w:p>
    <w:p w14:paraId="0A36906E" w14:textId="77777777" w:rsidR="008C3815" w:rsidRDefault="00000000">
      <w:pPr>
        <w:pStyle w:val="Heading2"/>
      </w:pPr>
      <w:bookmarkStart w:id="8" w:name="_2s8eyo1" w:colFirst="0" w:colLast="0"/>
      <w:bookmarkEnd w:id="8"/>
      <w:r>
        <w:t>Infrastructure</w:t>
      </w:r>
    </w:p>
    <w:p w14:paraId="6A4F71A6"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infrastructure condition issues, Island Alchemists conducted a facilities audit of 30 rooms of various categories by referring to maintenance reports and renovation records. Guest feedback consistently showed dissatisfaction with the outdated interiors, especially among guests in deluxe rooms who pay upwards of US$1,500 per night. The resort was built more than 15 </w:t>
      </w:r>
      <w:r>
        <w:rPr>
          <w:rFonts w:ascii="Times New Roman" w:eastAsia="Times New Roman" w:hAnsi="Times New Roman" w:cs="Times New Roman"/>
          <w:sz w:val="24"/>
          <w:szCs w:val="24"/>
        </w:rPr>
        <w:lastRenderedPageBreak/>
        <w:t>years ago, and most rooms and public areas have seen only minor renovations since construction. Other than periodic repainting and furniture repairs, no major overhauls involving the replacement of fixtures and fittings have been carried out in a decade. This is evidenced by worn floors, bathroom plaster, faded fabrics and cabinets that show signs of wear and tear that are not commensurate with the five-star rating.</w:t>
      </w:r>
    </w:p>
    <w:p w14:paraId="04C7D529"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Projections indicate that $10 million is needed over the next five years to fully refurbish all rooms, replacing shared </w:t>
      </w:r>
      <w:proofErr w:type="gramStart"/>
      <w:r>
        <w:rPr>
          <w:rFonts w:ascii="Times New Roman" w:eastAsia="Times New Roman" w:hAnsi="Times New Roman" w:cs="Times New Roman"/>
          <w:sz w:val="24"/>
          <w:szCs w:val="24"/>
        </w:rPr>
        <w:t>furniture</w:t>
      </w:r>
      <w:proofErr w:type="gramEnd"/>
      <w:r>
        <w:rPr>
          <w:rFonts w:ascii="Times New Roman" w:eastAsia="Times New Roman" w:hAnsi="Times New Roman" w:cs="Times New Roman"/>
          <w:sz w:val="24"/>
          <w:szCs w:val="24"/>
        </w:rPr>
        <w:t xml:space="preserve"> and upgrading amenities such as Wi-Fi and in-room entertainment systems to contemporary standards. Failure to reinvest appropriately affects not only the perception of quality, but also long-term asset values, which are estimated to decline by 3-5 per cent per year if improvements are delayed. Refurbishing just 20 rooms per year as was the historical average will not keep up with guest and market expectations in the current climate. As redevelopment is delayed, future budgets must be increased to address the backlog of deferred maintenance that impacts financial viability (Giglio et al., 2018). Urgent intervention is needed to stave off these unnecessary costs in the future.</w:t>
      </w:r>
    </w:p>
    <w:p w14:paraId="01492FEF" w14:textId="77777777" w:rsidR="008C3815" w:rsidRDefault="00000000">
      <w:pPr>
        <w:pStyle w:val="Heading2"/>
      </w:pPr>
      <w:bookmarkStart w:id="9" w:name="_17dp8vu" w:colFirst="0" w:colLast="0"/>
      <w:bookmarkEnd w:id="9"/>
      <w:r>
        <w:t>STEEPLED Analysis</w:t>
      </w:r>
    </w:p>
    <w:p w14:paraId="6FC0937A"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STEEPLED's analysis of the macro-environment identified several external factors that could affect the performance of the Royal Edinburgh Haymarket (see Table 1). Politically, increased geopolitical volatility and global conflicts may negatively impact tourism (Nico et al., 2018). Economically, a slowing global economy and rising inflation may dampen demand (Hermansson, 2012). Socially, changing demographics such as an ageing population and an increasing number of single/LGBT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(Hattingh, 2023). Environmentally, concerns about climate change and sustainability are growing as increasing priorities for environmentally conscious guests (Lagoon, 2023). Technologically, innovations in virtual/augmented reality are </w:t>
      </w:r>
      <w:r>
        <w:rPr>
          <w:rFonts w:ascii="Times New Roman" w:eastAsia="Times New Roman" w:hAnsi="Times New Roman" w:cs="Times New Roman"/>
          <w:sz w:val="24"/>
          <w:szCs w:val="24"/>
        </w:rPr>
        <w:lastRenderedPageBreak/>
        <w:t xml:space="preserve">enhancing experiences (Trunfio et al., 2022). Legally, data privacy regulations must be addressed. These broader trends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need for strategic flexibility to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opportunities and mitigate threats.</w:t>
      </w:r>
    </w:p>
    <w:p w14:paraId="49E69D3E" w14:textId="77777777" w:rsidR="008C3815"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w:t>
      </w:r>
    </w:p>
    <w:p w14:paraId="2F2B2486" w14:textId="77777777" w:rsidR="008C3815"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STEEPLED Analysis</w:t>
      </w:r>
    </w:p>
    <w:tbl>
      <w:tblPr>
        <w:tblStyle w:val="a"/>
        <w:tblW w:w="9195" w:type="dxa"/>
        <w:tblInd w:w="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10"/>
        <w:gridCol w:w="1155"/>
        <w:gridCol w:w="1155"/>
        <w:gridCol w:w="1155"/>
        <w:gridCol w:w="1155"/>
        <w:gridCol w:w="1155"/>
        <w:gridCol w:w="1155"/>
        <w:gridCol w:w="1155"/>
      </w:tblGrid>
      <w:tr w:rsidR="008C3815" w14:paraId="7F9172FC" w14:textId="77777777">
        <w:tc>
          <w:tcPr>
            <w:tcW w:w="1110" w:type="dxa"/>
            <w:shd w:val="clear" w:color="auto" w:fill="auto"/>
            <w:tcMar>
              <w:top w:w="100" w:type="dxa"/>
              <w:left w:w="100" w:type="dxa"/>
              <w:bottom w:w="100" w:type="dxa"/>
              <w:right w:w="100" w:type="dxa"/>
            </w:tcMar>
          </w:tcPr>
          <w:p w14:paraId="2524E9B8"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1155" w:type="dxa"/>
            <w:shd w:val="clear" w:color="auto" w:fill="auto"/>
            <w:tcMar>
              <w:top w:w="100" w:type="dxa"/>
              <w:left w:w="100" w:type="dxa"/>
              <w:bottom w:w="100" w:type="dxa"/>
              <w:right w:w="100" w:type="dxa"/>
            </w:tcMar>
          </w:tcPr>
          <w:p w14:paraId="142704CC"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1155" w:type="dxa"/>
            <w:shd w:val="clear" w:color="auto" w:fill="auto"/>
            <w:tcMar>
              <w:top w:w="100" w:type="dxa"/>
              <w:left w:w="100" w:type="dxa"/>
              <w:bottom w:w="100" w:type="dxa"/>
              <w:right w:w="100" w:type="dxa"/>
            </w:tcMar>
          </w:tcPr>
          <w:p w14:paraId="37EFCE7E"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1155" w:type="dxa"/>
            <w:shd w:val="clear" w:color="auto" w:fill="auto"/>
            <w:tcMar>
              <w:top w:w="100" w:type="dxa"/>
              <w:left w:w="100" w:type="dxa"/>
              <w:bottom w:w="100" w:type="dxa"/>
              <w:right w:w="100" w:type="dxa"/>
            </w:tcMar>
          </w:tcPr>
          <w:p w14:paraId="05D17D16"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1155" w:type="dxa"/>
            <w:shd w:val="clear" w:color="auto" w:fill="auto"/>
            <w:tcMar>
              <w:top w:w="100" w:type="dxa"/>
              <w:left w:w="100" w:type="dxa"/>
              <w:bottom w:w="100" w:type="dxa"/>
              <w:right w:w="100" w:type="dxa"/>
            </w:tcMar>
          </w:tcPr>
          <w:p w14:paraId="50B86924"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1155" w:type="dxa"/>
            <w:shd w:val="clear" w:color="auto" w:fill="auto"/>
            <w:tcMar>
              <w:top w:w="100" w:type="dxa"/>
              <w:left w:w="100" w:type="dxa"/>
              <w:bottom w:w="100" w:type="dxa"/>
              <w:right w:w="100" w:type="dxa"/>
            </w:tcMar>
          </w:tcPr>
          <w:p w14:paraId="4DA6741A"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1155" w:type="dxa"/>
            <w:shd w:val="clear" w:color="auto" w:fill="auto"/>
            <w:tcMar>
              <w:top w:w="100" w:type="dxa"/>
              <w:left w:w="100" w:type="dxa"/>
              <w:bottom w:w="100" w:type="dxa"/>
              <w:right w:w="100" w:type="dxa"/>
            </w:tcMar>
          </w:tcPr>
          <w:p w14:paraId="05C0E41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Ethics</w:t>
            </w:r>
          </w:p>
        </w:tc>
        <w:tc>
          <w:tcPr>
            <w:tcW w:w="1155" w:type="dxa"/>
            <w:shd w:val="clear" w:color="auto" w:fill="auto"/>
            <w:tcMar>
              <w:top w:w="100" w:type="dxa"/>
              <w:left w:w="100" w:type="dxa"/>
              <w:bottom w:w="100" w:type="dxa"/>
              <w:right w:w="100" w:type="dxa"/>
            </w:tcMar>
          </w:tcPr>
          <w:p w14:paraId="53FBD7C5"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Demography</w:t>
            </w:r>
          </w:p>
        </w:tc>
      </w:tr>
      <w:tr w:rsidR="008C3815" w14:paraId="769004C6" w14:textId="77777777">
        <w:tc>
          <w:tcPr>
            <w:tcW w:w="1110" w:type="dxa"/>
            <w:shd w:val="clear" w:color="auto" w:fill="auto"/>
            <w:tcMar>
              <w:top w:w="100" w:type="dxa"/>
              <w:left w:w="100" w:type="dxa"/>
              <w:bottom w:w="100" w:type="dxa"/>
              <w:right w:w="100" w:type="dxa"/>
            </w:tcMar>
          </w:tcPr>
          <w:p w14:paraId="09F52643"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Geopolitical volatility</w:t>
            </w:r>
          </w:p>
        </w:tc>
        <w:tc>
          <w:tcPr>
            <w:tcW w:w="1155" w:type="dxa"/>
            <w:shd w:val="clear" w:color="auto" w:fill="auto"/>
            <w:tcMar>
              <w:top w:w="100" w:type="dxa"/>
              <w:left w:w="100" w:type="dxa"/>
              <w:bottom w:w="100" w:type="dxa"/>
              <w:right w:w="100" w:type="dxa"/>
            </w:tcMar>
          </w:tcPr>
          <w:p w14:paraId="1CC97D6F"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Rising inflation</w:t>
            </w:r>
          </w:p>
        </w:tc>
        <w:tc>
          <w:tcPr>
            <w:tcW w:w="1155" w:type="dxa"/>
            <w:shd w:val="clear" w:color="auto" w:fill="auto"/>
            <w:tcMar>
              <w:top w:w="100" w:type="dxa"/>
              <w:left w:w="100" w:type="dxa"/>
              <w:bottom w:w="100" w:type="dxa"/>
              <w:right w:w="100" w:type="dxa"/>
            </w:tcMar>
          </w:tcPr>
          <w:p w14:paraId="78DDBB6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Demographic shifts</w:t>
            </w:r>
          </w:p>
        </w:tc>
        <w:tc>
          <w:tcPr>
            <w:tcW w:w="1155" w:type="dxa"/>
            <w:shd w:val="clear" w:color="auto" w:fill="auto"/>
            <w:tcMar>
              <w:top w:w="100" w:type="dxa"/>
              <w:left w:w="100" w:type="dxa"/>
              <w:bottom w:w="100" w:type="dxa"/>
              <w:right w:w="100" w:type="dxa"/>
            </w:tcMar>
          </w:tcPr>
          <w:p w14:paraId="6D6C35F6"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VR/AR innovations</w:t>
            </w:r>
          </w:p>
        </w:tc>
        <w:tc>
          <w:tcPr>
            <w:tcW w:w="1155" w:type="dxa"/>
            <w:shd w:val="clear" w:color="auto" w:fill="auto"/>
            <w:tcMar>
              <w:top w:w="100" w:type="dxa"/>
              <w:left w:w="100" w:type="dxa"/>
              <w:bottom w:w="100" w:type="dxa"/>
              <w:right w:w="100" w:type="dxa"/>
            </w:tcMar>
          </w:tcPr>
          <w:p w14:paraId="6B5F17D3"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Climate change</w:t>
            </w:r>
          </w:p>
        </w:tc>
        <w:tc>
          <w:tcPr>
            <w:tcW w:w="1155" w:type="dxa"/>
            <w:shd w:val="clear" w:color="auto" w:fill="auto"/>
            <w:tcMar>
              <w:top w:w="100" w:type="dxa"/>
              <w:left w:w="100" w:type="dxa"/>
              <w:bottom w:w="100" w:type="dxa"/>
              <w:right w:w="100" w:type="dxa"/>
            </w:tcMar>
          </w:tcPr>
          <w:p w14:paraId="3A21E46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privacy laws</w:t>
            </w:r>
          </w:p>
        </w:tc>
        <w:tc>
          <w:tcPr>
            <w:tcW w:w="1155" w:type="dxa"/>
            <w:shd w:val="clear" w:color="auto" w:fill="auto"/>
            <w:tcMar>
              <w:top w:w="100" w:type="dxa"/>
              <w:left w:w="100" w:type="dxa"/>
              <w:bottom w:w="100" w:type="dxa"/>
              <w:right w:w="100" w:type="dxa"/>
            </w:tcMar>
          </w:tcPr>
          <w:p w14:paraId="4144FD4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Ethical sourcing and sustainability</w:t>
            </w:r>
          </w:p>
        </w:tc>
        <w:tc>
          <w:tcPr>
            <w:tcW w:w="1155" w:type="dxa"/>
            <w:shd w:val="clear" w:color="auto" w:fill="auto"/>
            <w:tcMar>
              <w:top w:w="100" w:type="dxa"/>
              <w:left w:w="100" w:type="dxa"/>
              <w:bottom w:w="100" w:type="dxa"/>
              <w:right w:w="100" w:type="dxa"/>
            </w:tcMar>
          </w:tcPr>
          <w:p w14:paraId="0EB5FBF8"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Demographic shifts</w:t>
            </w:r>
          </w:p>
        </w:tc>
      </w:tr>
      <w:tr w:rsidR="008C3815" w14:paraId="1885705F" w14:textId="77777777">
        <w:tc>
          <w:tcPr>
            <w:tcW w:w="1110" w:type="dxa"/>
            <w:shd w:val="clear" w:color="auto" w:fill="auto"/>
            <w:tcMar>
              <w:top w:w="100" w:type="dxa"/>
              <w:left w:w="100" w:type="dxa"/>
              <w:bottom w:w="100" w:type="dxa"/>
              <w:right w:w="100" w:type="dxa"/>
            </w:tcMar>
          </w:tcPr>
          <w:p w14:paraId="0E141C2A"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Global conflicts</w:t>
            </w:r>
          </w:p>
        </w:tc>
        <w:tc>
          <w:tcPr>
            <w:tcW w:w="1155" w:type="dxa"/>
            <w:shd w:val="clear" w:color="auto" w:fill="auto"/>
            <w:tcMar>
              <w:top w:w="100" w:type="dxa"/>
              <w:left w:w="100" w:type="dxa"/>
              <w:bottom w:w="100" w:type="dxa"/>
              <w:right w:w="100" w:type="dxa"/>
            </w:tcMar>
          </w:tcPr>
          <w:p w14:paraId="34893107"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Weakening demand</w:t>
            </w:r>
          </w:p>
        </w:tc>
        <w:tc>
          <w:tcPr>
            <w:tcW w:w="1155" w:type="dxa"/>
            <w:shd w:val="clear" w:color="auto" w:fill="auto"/>
            <w:tcMar>
              <w:top w:w="100" w:type="dxa"/>
              <w:left w:w="100" w:type="dxa"/>
              <w:bottom w:w="100" w:type="dxa"/>
              <w:right w:w="100" w:type="dxa"/>
            </w:tcMar>
          </w:tcPr>
          <w:p w14:paraId="0E2AB51C"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Single/LGBT travelers</w:t>
            </w:r>
          </w:p>
        </w:tc>
        <w:tc>
          <w:tcPr>
            <w:tcW w:w="1155" w:type="dxa"/>
            <w:shd w:val="clear" w:color="auto" w:fill="auto"/>
            <w:tcMar>
              <w:top w:w="100" w:type="dxa"/>
              <w:left w:w="100" w:type="dxa"/>
              <w:bottom w:w="100" w:type="dxa"/>
              <w:right w:w="100" w:type="dxa"/>
            </w:tcMar>
          </w:tcPr>
          <w:p w14:paraId="1772A54D"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243C424E"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focus</w:t>
            </w:r>
          </w:p>
        </w:tc>
        <w:tc>
          <w:tcPr>
            <w:tcW w:w="1155" w:type="dxa"/>
            <w:shd w:val="clear" w:color="auto" w:fill="auto"/>
            <w:tcMar>
              <w:top w:w="100" w:type="dxa"/>
              <w:left w:w="100" w:type="dxa"/>
              <w:bottom w:w="100" w:type="dxa"/>
              <w:right w:w="100" w:type="dxa"/>
            </w:tcMar>
          </w:tcPr>
          <w:p w14:paraId="36C8812E"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45108931"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privacy and security</w:t>
            </w:r>
          </w:p>
        </w:tc>
        <w:tc>
          <w:tcPr>
            <w:tcW w:w="1155" w:type="dxa"/>
            <w:shd w:val="clear" w:color="auto" w:fill="auto"/>
            <w:tcMar>
              <w:top w:w="100" w:type="dxa"/>
              <w:left w:w="100" w:type="dxa"/>
              <w:bottom w:w="100" w:type="dxa"/>
              <w:right w:w="100" w:type="dxa"/>
            </w:tcMar>
          </w:tcPr>
          <w:p w14:paraId="266C0195"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8C3815" w14:paraId="22B1E300" w14:textId="77777777">
        <w:tc>
          <w:tcPr>
            <w:tcW w:w="1110" w:type="dxa"/>
            <w:shd w:val="clear" w:color="auto" w:fill="auto"/>
            <w:tcMar>
              <w:top w:w="100" w:type="dxa"/>
              <w:left w:w="100" w:type="dxa"/>
              <w:bottom w:w="100" w:type="dxa"/>
              <w:right w:w="100" w:type="dxa"/>
            </w:tcMar>
          </w:tcPr>
          <w:p w14:paraId="5234ABA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Rising inflation</w:t>
            </w:r>
          </w:p>
        </w:tc>
        <w:tc>
          <w:tcPr>
            <w:tcW w:w="1155" w:type="dxa"/>
            <w:shd w:val="clear" w:color="auto" w:fill="auto"/>
            <w:tcMar>
              <w:top w:w="100" w:type="dxa"/>
              <w:left w:w="100" w:type="dxa"/>
              <w:bottom w:w="100" w:type="dxa"/>
              <w:right w:w="100" w:type="dxa"/>
            </w:tcMar>
          </w:tcPr>
          <w:p w14:paraId="49AAEA68"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3CEF7A76"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4A39E32C"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29CCF4D0"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36D8A3A2"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300A500D"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16ADC02B"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8C3815" w14:paraId="0ECAACA6" w14:textId="77777777">
        <w:tc>
          <w:tcPr>
            <w:tcW w:w="1110" w:type="dxa"/>
            <w:shd w:val="clear" w:color="auto" w:fill="auto"/>
            <w:tcMar>
              <w:top w:w="100" w:type="dxa"/>
              <w:left w:w="100" w:type="dxa"/>
              <w:bottom w:w="100" w:type="dxa"/>
              <w:right w:w="100" w:type="dxa"/>
            </w:tcMar>
          </w:tcPr>
          <w:p w14:paraId="1D5E4561"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privacy laws</w:t>
            </w:r>
          </w:p>
        </w:tc>
        <w:tc>
          <w:tcPr>
            <w:tcW w:w="1155" w:type="dxa"/>
            <w:shd w:val="clear" w:color="auto" w:fill="auto"/>
            <w:tcMar>
              <w:top w:w="100" w:type="dxa"/>
              <w:left w:w="100" w:type="dxa"/>
              <w:bottom w:w="100" w:type="dxa"/>
              <w:right w:w="100" w:type="dxa"/>
            </w:tcMar>
          </w:tcPr>
          <w:p w14:paraId="44984D90"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21E4776A"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54C5D8C6"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451A17C5"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150EB35D"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7003C59B"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55" w:type="dxa"/>
            <w:shd w:val="clear" w:color="auto" w:fill="auto"/>
            <w:tcMar>
              <w:top w:w="100" w:type="dxa"/>
              <w:left w:w="100" w:type="dxa"/>
              <w:bottom w:w="100" w:type="dxa"/>
              <w:right w:w="100" w:type="dxa"/>
            </w:tcMar>
          </w:tcPr>
          <w:p w14:paraId="5BC0CECE"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104E20CB" w14:textId="77777777" w:rsidR="008C3815" w:rsidRDefault="008C3815">
      <w:pPr>
        <w:spacing w:line="480" w:lineRule="auto"/>
        <w:rPr>
          <w:rFonts w:ascii="Times New Roman" w:eastAsia="Times New Roman" w:hAnsi="Times New Roman" w:cs="Times New Roman"/>
          <w:b/>
          <w:sz w:val="24"/>
          <w:szCs w:val="24"/>
        </w:rPr>
      </w:pPr>
    </w:p>
    <w:p w14:paraId="204CBFF9" w14:textId="77777777" w:rsidR="008C3815" w:rsidRDefault="00000000">
      <w:pPr>
        <w:pStyle w:val="Heading2"/>
      </w:pPr>
      <w:bookmarkStart w:id="10" w:name="_3rdcrjn" w:colFirst="0" w:colLast="0"/>
      <w:bookmarkEnd w:id="10"/>
      <w:r>
        <w:t>SOAR Analysis</w:t>
      </w:r>
    </w:p>
    <w:p w14:paraId="3B6D7E16"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SOAR framework was used to systematically analyze the hotel's internal strengths and opportunities for improvement (Table 2)</w:t>
      </w:r>
    </w:p>
    <w:p w14:paraId="728AE888" w14:textId="77777777" w:rsidR="008C3815"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w:t>
      </w:r>
    </w:p>
    <w:p w14:paraId="5607A1BD"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SOAR Analysis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C3815" w14:paraId="3EE79BC5" w14:textId="77777777">
        <w:tc>
          <w:tcPr>
            <w:tcW w:w="2340" w:type="dxa"/>
            <w:shd w:val="clear" w:color="auto" w:fill="auto"/>
            <w:tcMar>
              <w:top w:w="100" w:type="dxa"/>
              <w:left w:w="100" w:type="dxa"/>
              <w:bottom w:w="100" w:type="dxa"/>
              <w:right w:w="100" w:type="dxa"/>
            </w:tcMar>
          </w:tcPr>
          <w:p w14:paraId="7DD4C512"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2340" w:type="dxa"/>
            <w:shd w:val="clear" w:color="auto" w:fill="auto"/>
            <w:tcMar>
              <w:top w:w="100" w:type="dxa"/>
              <w:left w:w="100" w:type="dxa"/>
              <w:bottom w:w="100" w:type="dxa"/>
              <w:right w:w="100" w:type="dxa"/>
            </w:tcMar>
          </w:tcPr>
          <w:p w14:paraId="66993594"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2340" w:type="dxa"/>
            <w:shd w:val="clear" w:color="auto" w:fill="auto"/>
            <w:tcMar>
              <w:top w:w="100" w:type="dxa"/>
              <w:left w:w="100" w:type="dxa"/>
              <w:bottom w:w="100" w:type="dxa"/>
              <w:right w:w="100" w:type="dxa"/>
            </w:tcMar>
          </w:tcPr>
          <w:p w14:paraId="1EA95A4A"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Aspirations</w:t>
            </w:r>
          </w:p>
        </w:tc>
        <w:tc>
          <w:tcPr>
            <w:tcW w:w="2340" w:type="dxa"/>
            <w:shd w:val="clear" w:color="auto" w:fill="auto"/>
            <w:tcMar>
              <w:top w:w="100" w:type="dxa"/>
              <w:left w:w="100" w:type="dxa"/>
              <w:bottom w:w="100" w:type="dxa"/>
              <w:right w:w="100" w:type="dxa"/>
            </w:tcMar>
          </w:tcPr>
          <w:p w14:paraId="61F99575"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Results</w:t>
            </w:r>
          </w:p>
        </w:tc>
      </w:tr>
      <w:tr w:rsidR="008C3815" w14:paraId="6E2E60F8" w14:textId="77777777">
        <w:tc>
          <w:tcPr>
            <w:tcW w:w="2340" w:type="dxa"/>
            <w:shd w:val="clear" w:color="auto" w:fill="auto"/>
            <w:tcMar>
              <w:top w:w="100" w:type="dxa"/>
              <w:left w:w="100" w:type="dxa"/>
              <w:bottom w:w="100" w:type="dxa"/>
              <w:right w:w="100" w:type="dxa"/>
            </w:tcMar>
          </w:tcPr>
          <w:p w14:paraId="564FAE7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 location within protected </w:t>
            </w:r>
            <w:r>
              <w:rPr>
                <w:rFonts w:ascii="Times New Roman" w:eastAsia="Times New Roman" w:hAnsi="Times New Roman" w:cs="Times New Roman"/>
                <w:sz w:val="24"/>
                <w:szCs w:val="24"/>
              </w:rPr>
              <w:lastRenderedPageBreak/>
              <w:t>UNESCO biosphere</w:t>
            </w:r>
          </w:p>
        </w:tc>
        <w:tc>
          <w:tcPr>
            <w:tcW w:w="2340" w:type="dxa"/>
            <w:shd w:val="clear" w:color="auto" w:fill="auto"/>
            <w:tcMar>
              <w:top w:w="100" w:type="dxa"/>
              <w:left w:w="100" w:type="dxa"/>
              <w:bottom w:w="100" w:type="dxa"/>
              <w:right w:w="100" w:type="dxa"/>
            </w:tcMar>
          </w:tcPr>
          <w:p w14:paraId="49E57D53"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Strengthen service quality and standards </w:t>
            </w:r>
            <w:r>
              <w:rPr>
                <w:rFonts w:ascii="Times New Roman" w:eastAsia="Times New Roman" w:hAnsi="Times New Roman" w:cs="Times New Roman"/>
                <w:sz w:val="24"/>
                <w:szCs w:val="24"/>
              </w:rPr>
              <w:lastRenderedPageBreak/>
              <w:t>through refinement of training programs</w:t>
            </w:r>
          </w:p>
        </w:tc>
        <w:tc>
          <w:tcPr>
            <w:tcW w:w="2340" w:type="dxa"/>
            <w:shd w:val="clear" w:color="auto" w:fill="auto"/>
            <w:tcMar>
              <w:top w:w="100" w:type="dxa"/>
              <w:left w:w="100" w:type="dxa"/>
              <w:bottom w:w="100" w:type="dxa"/>
              <w:right w:w="100" w:type="dxa"/>
            </w:tcMar>
          </w:tcPr>
          <w:p w14:paraId="0405AE6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Regain position as preeminent luxury </w:t>
            </w:r>
            <w:r>
              <w:rPr>
                <w:rFonts w:ascii="Times New Roman" w:eastAsia="Times New Roman" w:hAnsi="Times New Roman" w:cs="Times New Roman"/>
                <w:sz w:val="24"/>
                <w:szCs w:val="24"/>
              </w:rPr>
              <w:lastRenderedPageBreak/>
              <w:t xml:space="preserve">resort in the </w:t>
            </w:r>
          </w:p>
        </w:tc>
        <w:tc>
          <w:tcPr>
            <w:tcW w:w="2340" w:type="dxa"/>
            <w:shd w:val="clear" w:color="auto" w:fill="auto"/>
            <w:tcMar>
              <w:top w:w="100" w:type="dxa"/>
              <w:left w:w="100" w:type="dxa"/>
              <w:bottom w:w="100" w:type="dxa"/>
              <w:right w:w="100" w:type="dxa"/>
            </w:tcMar>
          </w:tcPr>
          <w:p w14:paraId="690133D5"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Improve NPS, satisfaction and </w:t>
            </w:r>
            <w:r>
              <w:rPr>
                <w:rFonts w:ascii="Times New Roman" w:eastAsia="Times New Roman" w:hAnsi="Times New Roman" w:cs="Times New Roman"/>
                <w:sz w:val="24"/>
                <w:szCs w:val="24"/>
              </w:rPr>
              <w:lastRenderedPageBreak/>
              <w:t>rebooking rates to industry leading levels</w:t>
            </w:r>
          </w:p>
        </w:tc>
      </w:tr>
      <w:tr w:rsidR="008C3815" w14:paraId="3E345A23" w14:textId="77777777">
        <w:tc>
          <w:tcPr>
            <w:tcW w:w="2340" w:type="dxa"/>
            <w:shd w:val="clear" w:color="auto" w:fill="auto"/>
            <w:tcMar>
              <w:top w:w="100" w:type="dxa"/>
              <w:left w:w="100" w:type="dxa"/>
              <w:bottom w:w="100" w:type="dxa"/>
              <w:right w:w="100" w:type="dxa"/>
            </w:tcMar>
          </w:tcPr>
          <w:p w14:paraId="044B0E32"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Spacious, modern room designs and facilities</w:t>
            </w:r>
          </w:p>
        </w:tc>
        <w:tc>
          <w:tcPr>
            <w:tcW w:w="2340" w:type="dxa"/>
            <w:shd w:val="clear" w:color="auto" w:fill="auto"/>
            <w:tcMar>
              <w:top w:w="100" w:type="dxa"/>
              <w:left w:w="100" w:type="dxa"/>
              <w:bottom w:w="100" w:type="dxa"/>
              <w:right w:w="100" w:type="dxa"/>
            </w:tcMar>
          </w:tcPr>
          <w:p w14:paraId="4E6C50A1"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Curate dedicated family offerings like a kids' club and daily activity schedule</w:t>
            </w:r>
          </w:p>
        </w:tc>
        <w:tc>
          <w:tcPr>
            <w:tcW w:w="2340" w:type="dxa"/>
            <w:shd w:val="clear" w:color="auto" w:fill="auto"/>
            <w:tcMar>
              <w:top w:w="100" w:type="dxa"/>
              <w:left w:w="100" w:type="dxa"/>
              <w:bottom w:w="100" w:type="dxa"/>
              <w:right w:w="100" w:type="dxa"/>
            </w:tcMar>
          </w:tcPr>
          <w:p w14:paraId="2C5E20B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Continuously surpass guest expectations through best-in-class hospitality</w:t>
            </w:r>
          </w:p>
        </w:tc>
        <w:tc>
          <w:tcPr>
            <w:tcW w:w="2340" w:type="dxa"/>
            <w:shd w:val="clear" w:color="auto" w:fill="auto"/>
            <w:tcMar>
              <w:top w:w="100" w:type="dxa"/>
              <w:left w:w="100" w:type="dxa"/>
              <w:bottom w:w="100" w:type="dxa"/>
              <w:right w:w="100" w:type="dxa"/>
            </w:tcMar>
          </w:tcPr>
          <w:p w14:paraId="321A8385"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average room rates and achieve optimal annual occupancy</w:t>
            </w:r>
          </w:p>
        </w:tc>
      </w:tr>
      <w:tr w:rsidR="008C3815" w14:paraId="28B2BE16" w14:textId="77777777">
        <w:tc>
          <w:tcPr>
            <w:tcW w:w="2340" w:type="dxa"/>
            <w:shd w:val="clear" w:color="auto" w:fill="auto"/>
            <w:tcMar>
              <w:top w:w="100" w:type="dxa"/>
              <w:left w:w="100" w:type="dxa"/>
              <w:bottom w:w="100" w:type="dxa"/>
              <w:right w:w="100" w:type="dxa"/>
            </w:tcMar>
          </w:tcPr>
          <w:p w14:paraId="7972BBD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Esteemed Leonardo Royal Edinburgh Haymarket management expertise</w:t>
            </w:r>
          </w:p>
        </w:tc>
        <w:tc>
          <w:tcPr>
            <w:tcW w:w="2340" w:type="dxa"/>
            <w:shd w:val="clear" w:color="auto" w:fill="auto"/>
            <w:tcMar>
              <w:top w:w="100" w:type="dxa"/>
              <w:left w:w="100" w:type="dxa"/>
              <w:bottom w:w="100" w:type="dxa"/>
              <w:right w:w="100" w:type="dxa"/>
            </w:tcMar>
          </w:tcPr>
          <w:p w14:paraId="419E149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a comprehensive room and public area refurbishment program</w:t>
            </w:r>
          </w:p>
        </w:tc>
        <w:tc>
          <w:tcPr>
            <w:tcW w:w="2340" w:type="dxa"/>
            <w:shd w:val="clear" w:color="auto" w:fill="auto"/>
            <w:tcMar>
              <w:top w:w="100" w:type="dxa"/>
              <w:left w:w="100" w:type="dxa"/>
              <w:bottom w:w="100" w:type="dxa"/>
              <w:right w:w="100" w:type="dxa"/>
            </w:tcMar>
          </w:tcPr>
          <w:p w14:paraId="688959F2"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784C785F"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8C3815" w14:paraId="0881470E" w14:textId="77777777">
        <w:tc>
          <w:tcPr>
            <w:tcW w:w="2340" w:type="dxa"/>
            <w:shd w:val="clear" w:color="auto" w:fill="auto"/>
            <w:tcMar>
              <w:top w:w="100" w:type="dxa"/>
              <w:left w:w="100" w:type="dxa"/>
              <w:bottom w:w="100" w:type="dxa"/>
              <w:right w:w="100" w:type="dxa"/>
            </w:tcMar>
          </w:tcPr>
          <w:p w14:paraId="6C332948"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Dedicated, long-serving staff with institutional knowledge</w:t>
            </w:r>
          </w:p>
        </w:tc>
        <w:tc>
          <w:tcPr>
            <w:tcW w:w="2340" w:type="dxa"/>
            <w:shd w:val="clear" w:color="auto" w:fill="auto"/>
            <w:tcMar>
              <w:top w:w="100" w:type="dxa"/>
              <w:left w:w="100" w:type="dxa"/>
              <w:bottom w:w="100" w:type="dxa"/>
              <w:right w:w="100" w:type="dxa"/>
            </w:tcMar>
          </w:tcPr>
          <w:p w14:paraId="01C3A074"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Fortify F&amp;B venues and offerings with refreshed concepts matching luxury palates</w:t>
            </w:r>
          </w:p>
        </w:tc>
        <w:tc>
          <w:tcPr>
            <w:tcW w:w="2340" w:type="dxa"/>
            <w:shd w:val="clear" w:color="auto" w:fill="auto"/>
            <w:tcMar>
              <w:top w:w="100" w:type="dxa"/>
              <w:left w:w="100" w:type="dxa"/>
              <w:bottom w:w="100" w:type="dxa"/>
              <w:right w:w="100" w:type="dxa"/>
            </w:tcMar>
          </w:tcPr>
          <w:p w14:paraId="48EF27D4"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19D7D7DF"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8C3815" w14:paraId="237947CC" w14:textId="77777777">
        <w:tc>
          <w:tcPr>
            <w:tcW w:w="2340" w:type="dxa"/>
            <w:shd w:val="clear" w:color="auto" w:fill="auto"/>
            <w:tcMar>
              <w:top w:w="100" w:type="dxa"/>
              <w:left w:w="100" w:type="dxa"/>
              <w:bottom w:w="100" w:type="dxa"/>
              <w:right w:w="100" w:type="dxa"/>
            </w:tcMar>
          </w:tcPr>
          <w:p w14:paraId="628F8AAC"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37C7D73B" w14:textId="7C6418BD"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 wellness elements by expanding spa, </w:t>
            </w:r>
            <w:r w:rsidR="00C40B69">
              <w:rPr>
                <w:rFonts w:ascii="Times New Roman" w:eastAsia="Times New Roman" w:hAnsi="Times New Roman" w:cs="Times New Roman"/>
                <w:sz w:val="24"/>
                <w:szCs w:val="24"/>
              </w:rPr>
              <w:t>fitness,</w:t>
            </w:r>
            <w:r>
              <w:rPr>
                <w:rFonts w:ascii="Times New Roman" w:eastAsia="Times New Roman" w:hAnsi="Times New Roman" w:cs="Times New Roman"/>
                <w:sz w:val="24"/>
                <w:szCs w:val="24"/>
              </w:rPr>
              <w:t xml:space="preserve"> and yoga facilities</w:t>
            </w:r>
          </w:p>
        </w:tc>
        <w:tc>
          <w:tcPr>
            <w:tcW w:w="2340" w:type="dxa"/>
            <w:shd w:val="clear" w:color="auto" w:fill="auto"/>
            <w:tcMar>
              <w:top w:w="100" w:type="dxa"/>
              <w:left w:w="100" w:type="dxa"/>
              <w:bottom w:w="100" w:type="dxa"/>
              <w:right w:w="100" w:type="dxa"/>
            </w:tcMar>
          </w:tcPr>
          <w:p w14:paraId="0898B7BF"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65CDCE89"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8C3815" w14:paraId="2601DE1C" w14:textId="77777777">
        <w:tc>
          <w:tcPr>
            <w:tcW w:w="2340" w:type="dxa"/>
            <w:shd w:val="clear" w:color="auto" w:fill="auto"/>
            <w:tcMar>
              <w:top w:w="100" w:type="dxa"/>
              <w:left w:w="100" w:type="dxa"/>
              <w:bottom w:w="100" w:type="dxa"/>
              <w:right w:w="100" w:type="dxa"/>
            </w:tcMar>
          </w:tcPr>
          <w:p w14:paraId="7EC41168"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42DCBABE"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Bolster sustainability practices through a formal environmental management system</w:t>
            </w:r>
          </w:p>
        </w:tc>
        <w:tc>
          <w:tcPr>
            <w:tcW w:w="2340" w:type="dxa"/>
            <w:shd w:val="clear" w:color="auto" w:fill="auto"/>
            <w:tcMar>
              <w:top w:w="100" w:type="dxa"/>
              <w:left w:w="100" w:type="dxa"/>
              <w:bottom w:w="100" w:type="dxa"/>
              <w:right w:w="100" w:type="dxa"/>
            </w:tcMar>
          </w:tcPr>
          <w:p w14:paraId="28F4DD85"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54E310A1" w14:textId="77777777" w:rsidR="008C3815" w:rsidRDefault="008C3815">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30B2A80C" w14:textId="77777777" w:rsidR="008C3815" w:rsidRDefault="008C3815">
      <w:pPr>
        <w:spacing w:line="480" w:lineRule="auto"/>
        <w:rPr>
          <w:rFonts w:ascii="Times New Roman" w:eastAsia="Times New Roman" w:hAnsi="Times New Roman" w:cs="Times New Roman"/>
          <w:sz w:val="24"/>
          <w:szCs w:val="24"/>
        </w:rPr>
      </w:pPr>
    </w:p>
    <w:p w14:paraId="50E59FF6"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systematically examining core strengths and opportunities, this SOAR analysis provides a launching pad for the hotel to strategically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operations and improve the guest experience (Philips, 2021).</w:t>
      </w:r>
    </w:p>
    <w:p w14:paraId="143684C6" w14:textId="77777777" w:rsidR="008C3815" w:rsidRDefault="00000000">
      <w:pPr>
        <w:pStyle w:val="Heading2"/>
      </w:pPr>
      <w:bookmarkStart w:id="11" w:name="_26in1rg" w:colFirst="0" w:colLast="0"/>
      <w:bookmarkEnd w:id="11"/>
      <w:r>
        <w:t>TOWS Analysis</w:t>
      </w:r>
    </w:p>
    <w:p w14:paraId="0A9062B2" w14:textId="1055D885"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step in TOWS analysis is to identify the key external threats and opportunities facing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Dandage</w:t>
      </w:r>
      <w:proofErr w:type="spellEnd"/>
      <w:r>
        <w:rPr>
          <w:rFonts w:ascii="Times New Roman" w:eastAsia="Times New Roman" w:hAnsi="Times New Roman" w:cs="Times New Roman"/>
          <w:sz w:val="24"/>
          <w:szCs w:val="24"/>
        </w:rPr>
        <w:t xml:space="preserve"> et al., 2019). For Leonardo </w:t>
      </w:r>
      <w:proofErr w:type="gramStart"/>
      <w:r>
        <w:rPr>
          <w:rFonts w:ascii="Times New Roman" w:eastAsia="Times New Roman" w:hAnsi="Times New Roman" w:cs="Times New Roman"/>
          <w:sz w:val="24"/>
          <w:szCs w:val="24"/>
        </w:rPr>
        <w:t>Royal</w:t>
      </w:r>
      <w:proofErr w:type="gramEnd"/>
      <w:r>
        <w:rPr>
          <w:rFonts w:ascii="Times New Roman" w:eastAsia="Times New Roman" w:hAnsi="Times New Roman" w:cs="Times New Roman"/>
          <w:sz w:val="24"/>
          <w:szCs w:val="24"/>
        </w:rPr>
        <w:t xml:space="preserve"> Edinburgh Haymarket, the main threats include increased competition from new resorts being developed </w:t>
      </w:r>
      <w:r w:rsidR="00C40B69">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Another threat </w:t>
      </w:r>
      <w:r>
        <w:rPr>
          <w:rFonts w:ascii="Times New Roman" w:eastAsia="Times New Roman" w:hAnsi="Times New Roman" w:cs="Times New Roman"/>
          <w:sz w:val="24"/>
          <w:szCs w:val="24"/>
        </w:rPr>
        <w:lastRenderedPageBreak/>
        <w:t>is the shift in guest preferences towards more sustainable travel options (Timothy and Tee, 2009). In terms of opportunities, the growing interest in wellness travel is a way to attract new customers (Dillett et al., 2021). The use of technology such as virtual tours provides an opportunity to engage guests online.</w:t>
      </w:r>
    </w:p>
    <w:p w14:paraId="6026F412"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next stage examines internal strengths and weaknesses. One of the weaknesses of the Royal Edinburgh Haymarket is its ageing infrastructure that detracts from the luxury experience (Stewart, 2005). The quality of service is also inconsistent across departments. However, the resort enjoys a prime beachfront location within the UNESCO Biosphere Reserve, and the Royal Edinburgh Haymarket's established reputation is a notable strength. Well-trained staff with in-depth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knowledge of the resort's operations is another key strength.</w:t>
      </w:r>
    </w:p>
    <w:p w14:paraId="516E333A"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combination of external and internal factors leads to the formulation of strategic choices for TOWS (</w:t>
      </w:r>
      <w:proofErr w:type="spellStart"/>
      <w:r>
        <w:rPr>
          <w:rFonts w:ascii="Times New Roman" w:eastAsia="Times New Roman" w:hAnsi="Times New Roman" w:cs="Times New Roman"/>
          <w:sz w:val="24"/>
          <w:szCs w:val="24"/>
        </w:rPr>
        <w:t>Ravanavar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Charanthimath</w:t>
      </w:r>
      <w:proofErr w:type="spellEnd"/>
      <w:r>
        <w:rPr>
          <w:rFonts w:ascii="Times New Roman" w:eastAsia="Times New Roman" w:hAnsi="Times New Roman" w:cs="Times New Roman"/>
          <w:sz w:val="24"/>
          <w:szCs w:val="24"/>
        </w:rPr>
        <w:t xml:space="preserve">, 2012).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its vulnerability in ageing facilities in the face of the threat of new competitors, the resort can accelerate renovation plans. To leverage the power of its beachfront location on the opportunity in leisure travel, additional spa facilities and treatment offerings could be developed (</w:t>
      </w:r>
      <w:proofErr w:type="spellStart"/>
      <w:r>
        <w:rPr>
          <w:rFonts w:ascii="Times New Roman" w:eastAsia="Times New Roman" w:hAnsi="Times New Roman" w:cs="Times New Roman"/>
          <w:sz w:val="24"/>
          <w:szCs w:val="24"/>
        </w:rPr>
        <w:t>Tikasriodom</w:t>
      </w:r>
      <w:proofErr w:type="spellEnd"/>
      <w:r>
        <w:rPr>
          <w:rFonts w:ascii="Times New Roman" w:eastAsia="Times New Roman" w:hAnsi="Times New Roman" w:cs="Times New Roman"/>
          <w:sz w:val="24"/>
          <w:szCs w:val="24"/>
        </w:rPr>
        <w:t>, 2022). Offering affordable accommodation packages addresses the weakness in overseas markets through the opportunity to increase demand in the shoulder season.</w:t>
      </w:r>
    </w:p>
    <w:p w14:paraId="0BB00600"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implementation of TOWS strategies requires further refinement including detailed activities, resource requirements, timelines, and metrics (Barilla, 2012). For example,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operationalise</w:t>
      </w:r>
      <w:proofErr w:type="spellEnd"/>
      <w:r>
        <w:rPr>
          <w:rFonts w:ascii="Times New Roman" w:eastAsia="Times New Roman" w:hAnsi="Times New Roman" w:cs="Times New Roman"/>
          <w:sz w:val="24"/>
          <w:szCs w:val="24"/>
        </w:rPr>
        <w:t xml:space="preserve"> the conversion of </w:t>
      </w:r>
      <w:proofErr w:type="spellStart"/>
      <w:r>
        <w:rPr>
          <w:rFonts w:ascii="Times New Roman" w:eastAsia="Times New Roman" w:hAnsi="Times New Roman" w:cs="Times New Roman"/>
          <w:sz w:val="24"/>
          <w:szCs w:val="24"/>
        </w:rPr>
        <w:t>underutilised</w:t>
      </w:r>
      <w:proofErr w:type="spellEnd"/>
      <w:r>
        <w:rPr>
          <w:rFonts w:ascii="Times New Roman" w:eastAsia="Times New Roman" w:hAnsi="Times New Roman" w:cs="Times New Roman"/>
          <w:sz w:val="24"/>
          <w:szCs w:val="24"/>
        </w:rPr>
        <w:t xml:space="preserve"> spaces into health facilities, procedures related to concept development, budgeting, design, construction and marketing need to be clarified. Alignment between departments also ensures smooth implementation of strategies.</w:t>
      </w:r>
    </w:p>
    <w:p w14:paraId="7AE2DDE0"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 xml:space="preserve">Regular review and adjustment of TOWS strategies is also vital as external threats and opportunities are dynamic. Monitoring performance and collecting continuous feedback helps in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strategies (Johnson et al., 2020). This keeps the analysis process agile and focused on achieving results through proactive and integrated consideration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opportunities and challenges.</w:t>
      </w:r>
    </w:p>
    <w:p w14:paraId="6C66DD33" w14:textId="77777777" w:rsidR="008C3815" w:rsidRDefault="00000000">
      <w:pPr>
        <w:pStyle w:val="Heading2"/>
      </w:pPr>
      <w:bookmarkStart w:id="12" w:name="_lnxbz9" w:colFirst="0" w:colLast="0"/>
      <w:bookmarkEnd w:id="12"/>
      <w:r>
        <w:t xml:space="preserve">Areas of Positive </w:t>
      </w:r>
      <w:proofErr w:type="spellStart"/>
      <w:r>
        <w:t>Perfomance</w:t>
      </w:r>
      <w:proofErr w:type="spellEnd"/>
    </w:p>
    <w:p w14:paraId="4140CD10"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Leonardo Royal Edinburgh Haymarket currently enjoys several key areas of positive performance. One of the key strengths is its ideal beachfront location within the UNESCO Baa Atoll Biosphere Reserve. This prime location is a major attraction for guests seeking a peaceful island retreat (Sen &amp; Bhattacharya, 2019). Another aspect where the hotel excels is in its culinary offerings. Both the signature Mediterranean restaurant and the vibrant beachfront seafood grill receive excellent reviews from guests and consistently attract loyal returning customers (Walker, 2021). In-villa guest service is also a strong point. A relaxed butler service provides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touches from check-in to check-out, enhancing the feeling of luxury. </w:t>
      </w:r>
    </w:p>
    <w:p w14:paraId="6E07A910" w14:textId="2B42E17A"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hotel's wellness facilities, including an expansive spa and outdoor yoga pavilion, provide a holistic rejuvenation that has been highly praised by guests (Chapman, 2012). Finally, the overwater conference </w:t>
      </w:r>
      <w:r w:rsidR="00C40B69">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xml:space="preserve"> event possibilities are best-in-class in the region, with corporate retreats and lucrative weddings regularly secured. These attributes provide a solid foundation on which to build.</w:t>
      </w:r>
    </w:p>
    <w:p w14:paraId="36EDCB3E" w14:textId="77777777" w:rsidR="008C3815" w:rsidRDefault="00000000">
      <w:pPr>
        <w:pStyle w:val="Heading1"/>
      </w:pPr>
      <w:bookmarkStart w:id="13" w:name="_35nkun2" w:colFirst="0" w:colLast="0"/>
      <w:bookmarkEnd w:id="13"/>
      <w:r>
        <w:t>Recommendations and Change Management</w:t>
      </w:r>
    </w:p>
    <w:p w14:paraId="5B9AC9E3" w14:textId="77777777" w:rsidR="008C3815" w:rsidRDefault="00000000">
      <w:pPr>
        <w:pStyle w:val="Heading2"/>
      </w:pPr>
      <w:bookmarkStart w:id="14" w:name="_1ksv4uv" w:colFirst="0" w:colLast="0"/>
      <w:bookmarkEnd w:id="14"/>
      <w:r>
        <w:t>Room Refurbishment Program</w:t>
      </w:r>
    </w:p>
    <w:p w14:paraId="5C3FE46D" w14:textId="181A6748"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the hotel's ageing infrastructure and improve guest experiences, a multi-year comprehensive room refurbishment </w:t>
      </w:r>
      <w:r w:rsidR="00C40B69">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is recommended (Vives and Ostrovskaya, 2023). </w:t>
      </w:r>
      <w:r>
        <w:rPr>
          <w:rFonts w:ascii="Times New Roman" w:eastAsia="Times New Roman" w:hAnsi="Times New Roman" w:cs="Times New Roman"/>
          <w:sz w:val="24"/>
          <w:szCs w:val="24"/>
        </w:rPr>
        <w:lastRenderedPageBreak/>
        <w:t xml:space="preserve">This </w:t>
      </w:r>
      <w:r w:rsidR="00C40B69">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will completely refurbish all 120 rooms over three years through a phased approach. Doing so in phases </w:t>
      </w:r>
      <w:r w:rsidR="00C40B69">
        <w:rPr>
          <w:rFonts w:ascii="Times New Roman" w:eastAsia="Times New Roman" w:hAnsi="Times New Roman" w:cs="Times New Roman"/>
          <w:sz w:val="24"/>
          <w:szCs w:val="24"/>
        </w:rPr>
        <w:t>minimizes</w:t>
      </w:r>
      <w:r>
        <w:rPr>
          <w:rFonts w:ascii="Times New Roman" w:eastAsia="Times New Roman" w:hAnsi="Times New Roman" w:cs="Times New Roman"/>
          <w:sz w:val="24"/>
          <w:szCs w:val="24"/>
        </w:rPr>
        <w:t xml:space="preserve"> operational disruption to hotel operations and the guest experience. The start of the </w:t>
      </w:r>
      <w:r w:rsidR="00C40B69">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will focus on 50 staterooms in the first year with an estimated investment of US$500,000. These staterooms will receive a complete overhaul with new fixtures and fittings, new luxury furniture and new décor inspired by local Maldivian designs. This immersion in Maldivian culture and design aims to elevate the sense of place in each updated room.</w:t>
      </w:r>
    </w:p>
    <w:p w14:paraId="1A2B1712"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managers will meticulously coordinate all logistics required to smoothly execute the room renovations while continuing to protect guest bookings. Specifically, the marketing team will actively promote temporary room upgrades as they become available. This incentive is intended to encourage guests to rebook existing reservations or discretionary additional spending during the refurbishment period (Kosiak, 2020). Furthermore, comprehensive staff training will be provided on the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new room features and designs. This ensures that all staff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expertly demonstrate the enhancements to guests and seamlessly deliver enhanced hotel experiences once the projects are complete (Moody and Juan).</w:t>
      </w:r>
    </w:p>
    <w:p w14:paraId="0220CF7B" w14:textId="77777777" w:rsidR="008C3815" w:rsidRDefault="00000000">
      <w:pPr>
        <w:pStyle w:val="Heading2"/>
      </w:pPr>
      <w:bookmarkStart w:id="15" w:name="_44sinio" w:colFirst="0" w:colLast="0"/>
      <w:bookmarkEnd w:id="15"/>
      <w:r>
        <w:t>Family Amenities Development</w:t>
      </w:r>
    </w:p>
    <w:p w14:paraId="3FC44F2A" w14:textId="643B73F6"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better meet the needs of the growing segment of family </w:t>
      </w:r>
      <w:r w:rsidR="00C40B69">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the development of enhanced family offerings is recommended (Allen et al., 2012). This includes the allocation of previously </w:t>
      </w:r>
      <w:proofErr w:type="spellStart"/>
      <w:r>
        <w:rPr>
          <w:rFonts w:ascii="Times New Roman" w:eastAsia="Times New Roman" w:hAnsi="Times New Roman" w:cs="Times New Roman"/>
          <w:sz w:val="24"/>
          <w:szCs w:val="24"/>
        </w:rPr>
        <w:t>unutilised</w:t>
      </w:r>
      <w:proofErr w:type="spellEnd"/>
      <w:r>
        <w:rPr>
          <w:rFonts w:ascii="Times New Roman" w:eastAsia="Times New Roman" w:hAnsi="Times New Roman" w:cs="Times New Roman"/>
          <w:sz w:val="24"/>
          <w:szCs w:val="24"/>
        </w:rPr>
        <w:t xml:space="preserve"> ballroom space to create a children's club area. An estimated investment of US$150,000 will transform the area into an attractive facility with age-appropriate amenities and daily </w:t>
      </w:r>
      <w:r w:rsidR="00C40B69">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for children. The transformation of this space is intended to provide a family-orientated sanctuary for young guests to enjoy supervised activities in comfort.</w:t>
      </w:r>
    </w:p>
    <w:p w14:paraId="691DE1EA" w14:textId="52E1203C"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 xml:space="preserve">A new family concierge position is proposed to better meet the needs of the growing family travel market. This entails the recruitment of five staff to fill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Family Concierge positions. The concierge will be trained to design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family packages, itineraries, and start-to-finish trip planning tailored to guests of all ages (Westerman, 2014). A focus on multi-generational enjoyment and quality family time will be the foundation of package offerings such as in-villa dining and private beach excursions. Staff selected for the new family concierge positions will undergo training </w:t>
      </w:r>
      <w:r w:rsidR="00C40B69">
        <w:rPr>
          <w:rFonts w:ascii="Times New Roman" w:eastAsia="Times New Roman" w:hAnsi="Times New Roman" w:cs="Times New Roman"/>
          <w:sz w:val="24"/>
          <w:szCs w:val="24"/>
        </w:rPr>
        <w:t>centered</w:t>
      </w:r>
      <w:r>
        <w:rPr>
          <w:rFonts w:ascii="Times New Roman" w:eastAsia="Times New Roman" w:hAnsi="Times New Roman" w:cs="Times New Roman"/>
          <w:sz w:val="24"/>
          <w:szCs w:val="24"/>
        </w:rPr>
        <w:t xml:space="preserve"> on family-first service standards and policies. International certifications will also be sought to validate their skills in family-</w:t>
      </w:r>
      <w:r w:rsidR="00C40B69">
        <w:rPr>
          <w:rFonts w:ascii="Times New Roman" w:eastAsia="Times New Roman" w:hAnsi="Times New Roman" w:cs="Times New Roman"/>
          <w:sz w:val="24"/>
          <w:szCs w:val="24"/>
        </w:rPr>
        <w:t>centered</w:t>
      </w:r>
      <w:r>
        <w:rPr>
          <w:rFonts w:ascii="Times New Roman" w:eastAsia="Times New Roman" w:hAnsi="Times New Roman" w:cs="Times New Roman"/>
          <w:sz w:val="24"/>
          <w:szCs w:val="24"/>
        </w:rPr>
        <w:t xml:space="preserve"> hospitality.</w:t>
      </w:r>
    </w:p>
    <w:p w14:paraId="3A70AED1" w14:textId="7ADD12E0"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proposed developments aimed at enhancing the resort's family offerings are expected to significantly increase family travel revenue within the first year. New family packages and </w:t>
      </w:r>
      <w:r w:rsidR="00C40B69">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featuring a kids' club will be prominently marketed to increase family bookings by an estimated 25% compared to previous levels. In addition, additional </w:t>
      </w:r>
      <w:r w:rsidR="00C40B69">
        <w:rPr>
          <w:rFonts w:ascii="Times New Roman" w:eastAsia="Times New Roman" w:hAnsi="Times New Roman" w:cs="Times New Roman"/>
          <w:sz w:val="24"/>
          <w:szCs w:val="24"/>
        </w:rPr>
        <w:t>spending</w:t>
      </w:r>
      <w:r>
        <w:rPr>
          <w:rFonts w:ascii="Times New Roman" w:eastAsia="Times New Roman" w:hAnsi="Times New Roman" w:cs="Times New Roman"/>
          <w:sz w:val="24"/>
          <w:szCs w:val="24"/>
        </w:rPr>
        <w:t xml:space="preserve"> per family is expected to increase by 30% as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packages </w:t>
      </w:r>
      <w:proofErr w:type="spellStart"/>
      <w:r>
        <w:rPr>
          <w:rFonts w:ascii="Times New Roman" w:eastAsia="Times New Roman" w:hAnsi="Times New Roman" w:cs="Times New Roman"/>
          <w:sz w:val="24"/>
          <w:szCs w:val="24"/>
        </w:rPr>
        <w:t>incentivise</w:t>
      </w:r>
      <w:proofErr w:type="spellEnd"/>
      <w:r>
        <w:rPr>
          <w:rFonts w:ascii="Times New Roman" w:eastAsia="Times New Roman" w:hAnsi="Times New Roman" w:cs="Times New Roman"/>
          <w:sz w:val="24"/>
          <w:szCs w:val="24"/>
        </w:rPr>
        <w:t xml:space="preserve"> increased length of stay and higher discretionary spend among family guests.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family visitors in this way seeks to establish the resort as a premier multi-generational resort for families to enjoy for many years to come (Green, 2006).</w:t>
      </w:r>
    </w:p>
    <w:p w14:paraId="0FEF557B" w14:textId="77777777" w:rsidR="008C3815" w:rsidRDefault="00000000">
      <w:pPr>
        <w:pStyle w:val="Heading2"/>
      </w:pPr>
      <w:bookmarkStart w:id="16" w:name="_2jxsxqh" w:colFirst="0" w:colLast="0"/>
      <w:bookmarkEnd w:id="16"/>
      <w:r>
        <w:t>Guest Experience Refinements</w:t>
      </w:r>
    </w:p>
    <w:p w14:paraId="6BAF0315"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remedy inconsistent quality issues, a hotel-wide Guest Experience Refinements program is proposed. This begins with completely revamping existing team member training at an estimated $50,000 investment. Industry experts will design a refreshed curriculum centered around service excellence best practices and standards. Role-specific certifications will also be pursued to validate skills mastery. Regular evaluation tools like 360-degree feedback and </w:t>
      </w:r>
      <w:r>
        <w:rPr>
          <w:rFonts w:ascii="Times New Roman" w:eastAsia="Times New Roman" w:hAnsi="Times New Roman" w:cs="Times New Roman"/>
          <w:sz w:val="24"/>
          <w:szCs w:val="24"/>
        </w:rPr>
        <w:lastRenderedPageBreak/>
        <w:t>undercover “mystery shopper” assessments will provide quantifiable data on training uptake and guest experiences across all departments.</w:t>
      </w:r>
    </w:p>
    <w:p w14:paraId="34162DB2"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Additionally, introducing Objective and Key Results (OKRs) allows monitoring individual performance according to clearly defined goals. Departmental OKRs promote healthy collaboration and accountability at granular levels (Ciuba, 2023). A consolidated IT platform will further elevate service quality through enterprise-wide feedback collection and analytics. Systematized guest comments and mystery shopper reports can swiftly pinpoint strengths or deficiencies. Service recoveries and staff recognition can then be precisely targeted based on fact-based insights (Kumar et al., 2023). These refinements aim to lift guest satisfaction to 90% and employee engagement to 80% or above within two years. This supports sustainable excellence throughout the guest journey.</w:t>
      </w:r>
    </w:p>
    <w:p w14:paraId="51E3E340"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that regular re-evaluation and adjustment of the Guest Experience Refinements program occurs to account for constantly evolving industry standards and changing guest needs. Trends and competitors must be continuously monitored to incorporate emerging best practices (Sallam et al., 2023). Additionally, gathering ongoing guest feedback allows the resort to refine processes according to shifting expectations. By fostering an organizational culture of perpetual learning and improvement, the Leonardo Royal Edinburgh Haymarket will remain agile and responsive to the future of luxury hospitality. This maintenance of industry leadership is key to sustaining long-term excellence and prestige (Mann et al., 2011).</w:t>
      </w:r>
    </w:p>
    <w:p w14:paraId="2E91E312" w14:textId="77777777" w:rsidR="008C3815" w:rsidRDefault="00000000">
      <w:pPr>
        <w:pStyle w:val="Heading2"/>
      </w:pPr>
      <w:bookmarkStart w:id="17" w:name="_z337ya" w:colFirst="0" w:colLast="0"/>
      <w:bookmarkEnd w:id="17"/>
      <w:r>
        <w:t>Organizational Restructuring</w:t>
      </w:r>
    </w:p>
    <w:p w14:paraId="2DC0F4B2"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implementation of the recommended strategic changes warrants an optimized organizational structure. It is proposed to appoint a dedicated Guest Experience Officer (GEO) role to oversee all service quality initiatives, training programs, evaluation systems and cultural </w:t>
      </w:r>
      <w:r>
        <w:rPr>
          <w:rFonts w:ascii="Times New Roman" w:eastAsia="Times New Roman" w:hAnsi="Times New Roman" w:cs="Times New Roman"/>
          <w:sz w:val="24"/>
          <w:szCs w:val="24"/>
        </w:rPr>
        <w:lastRenderedPageBreak/>
        <w:t>developments. The GEO will spearhead holistic guest-centric transformation. Meanwhile, redesigning frontline operations into discrete geographical pods headed by dedicated Cluster Managers enhances oversight of smaller zones.</w:t>
      </w:r>
    </w:p>
    <w:p w14:paraId="5E780B42"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To effectively oversee changes, a Change Management Steering Committee will be formed. Comprised of heads from all departments, this cross-functional team will provide crucial leadership guidance (Tang, 2019). Members will support staff throughout transitions by helping address challenges as they emerge. The Committee will also work to maintain harmony between new initiatives, positions, and restructured processes. Outside change management consultants will be retained for $30,000. These experts will assist leadership in implementing the transformed organizational framework through job analysis and by mapping updated operations. Their input will be integral to smoothly conducting changes on a large scale.</w:t>
      </w:r>
    </w:p>
    <w:p w14:paraId="3E54BE77"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proposed optimized organizational structure seeks multiple benefits. Streamlined processes and eliminating redundant roles are estimated to reduce indirect costs by 10%. Productivity is anticipated to climb substantially as well through a more efficient model. Projections indicate a 15% productivity increase in the first year alone. This will result from empowering departments to work under a nimbler, localized system that facilitates more agile decision-making and issue resolution. Overall, recalibrating the organizational design is intended to aid long-lasting transformation by enhancing both guest and employee experiences through a more effective framework (Altinay and Arici, 2022). The revamped structure supports sustainability goals.</w:t>
      </w:r>
    </w:p>
    <w:p w14:paraId="541BACC0" w14:textId="77777777" w:rsidR="008C3815" w:rsidRDefault="00000000">
      <w:pPr>
        <w:pStyle w:val="Heading2"/>
      </w:pPr>
      <w:bookmarkStart w:id="18" w:name="_3j2qqm3" w:colFirst="0" w:colLast="0"/>
      <w:bookmarkEnd w:id="18"/>
      <w:r>
        <w:t>Wellness Development Program</w:t>
      </w:r>
    </w:p>
    <w:p w14:paraId="44BF3391"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better position the resort as a premier wellness destination and capitalize on the large wellness travel sector, a comprehensive Wellness Facilities Upgrade Program is recommended. </w:t>
      </w:r>
      <w:r>
        <w:rPr>
          <w:rFonts w:ascii="Times New Roman" w:eastAsia="Times New Roman" w:hAnsi="Times New Roman" w:cs="Times New Roman"/>
          <w:sz w:val="24"/>
          <w:szCs w:val="24"/>
        </w:rPr>
        <w:lastRenderedPageBreak/>
        <w:t>Costing $750,000, the program significantly expands spa facilities. This includes doubling the size of the existing spa by adding four new luxurious treatment rooms. An inviting outdoor yoga pavilion will also be constructed to host classes and private sessions. Specialized wellness menus featuring superfoods and healing ingredients will complement offerings.</w:t>
      </w:r>
    </w:p>
    <w:p w14:paraId="762A1824" w14:textId="7D65D17B"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 dedicated Wellness Concierge role will be introduced along with specialized staff training programs. The Wellness Concierge team will design customized wellness journeys and curated itineraries for </w:t>
      </w:r>
      <w:r w:rsidR="00C40B69">
        <w:rPr>
          <w:rFonts w:ascii="Times New Roman" w:eastAsia="Times New Roman" w:hAnsi="Times New Roman" w:cs="Times New Roman"/>
          <w:sz w:val="24"/>
          <w:szCs w:val="24"/>
        </w:rPr>
        <w:t>everyone</w:t>
      </w:r>
      <w:r>
        <w:rPr>
          <w:rFonts w:ascii="Times New Roman" w:eastAsia="Times New Roman" w:hAnsi="Times New Roman" w:cs="Times New Roman"/>
          <w:sz w:val="24"/>
          <w:szCs w:val="24"/>
        </w:rPr>
        <w:t xml:space="preserve"> or group. Relevant certifications like yoga instruction will allow crafting tailored wellness experiences (Smith and Puczkó, 2008). Additionally, partnering with an accredited medical spa operator will introduce advanced therapies like regenerative treatments. This will distinguish facilities and attract high spending clientele seeking cutting-edge wellness technologies.</w:t>
      </w:r>
    </w:p>
    <w:p w14:paraId="47ED0E72"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wellness development program includes plans to increase targeted marketing of the new offerings. This aims to significantly expand the wellness tourism sector served by the resort within a two-year period. Specific quantifiable goals are to achieve a 50% rise in spa revenue through more treatments being booked, higher retail sales, and an increased membership base capitalizing on expanded facilities. Additionally, Average Daily Rates for specialized wellness packages at the property are projected to climb by 25% on average. This anticipates broadening the global perception of the destination's wellness appeal through showcase of the enhanced facilities and expertise (Pike, 2015). The marketing strategy targets substantial revenue growth from the wellness segment.</w:t>
      </w:r>
    </w:p>
    <w:p w14:paraId="6C4FFE82" w14:textId="77777777" w:rsidR="008C3815" w:rsidRDefault="008C3815">
      <w:pPr>
        <w:spacing w:line="480" w:lineRule="auto"/>
        <w:rPr>
          <w:rFonts w:ascii="Times New Roman" w:eastAsia="Times New Roman" w:hAnsi="Times New Roman" w:cs="Times New Roman"/>
          <w:sz w:val="24"/>
          <w:szCs w:val="24"/>
        </w:rPr>
      </w:pPr>
    </w:p>
    <w:p w14:paraId="53E3ABEC" w14:textId="77777777" w:rsidR="008C3815" w:rsidRDefault="00000000">
      <w:pPr>
        <w:pStyle w:val="Heading2"/>
      </w:pPr>
      <w:bookmarkStart w:id="19" w:name="_1y810tw" w:colFirst="0" w:colLast="0"/>
      <w:bookmarkEnd w:id="19"/>
      <w:r>
        <w:lastRenderedPageBreak/>
        <w:t>Recommendations Communication</w:t>
      </w:r>
    </w:p>
    <w:p w14:paraId="60476FBF" w14:textId="3A0F2145"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Successfully implementing significant organizational changes requires strong internal communication and staff buy-in (James IV, 2016). An Employee Engagement Steering Committee </w:t>
      </w:r>
      <w:r w:rsidR="00C40B69">
        <w:rPr>
          <w:rFonts w:ascii="Times New Roman" w:eastAsia="Times New Roman" w:hAnsi="Times New Roman" w:cs="Times New Roman"/>
          <w:sz w:val="24"/>
          <w:szCs w:val="24"/>
        </w:rPr>
        <w:t>comprising of</w:t>
      </w:r>
      <w:r>
        <w:rPr>
          <w:rFonts w:ascii="Times New Roman" w:eastAsia="Times New Roman" w:hAnsi="Times New Roman" w:cs="Times New Roman"/>
          <w:sz w:val="24"/>
          <w:szCs w:val="24"/>
        </w:rPr>
        <w:t xml:space="preserve"> staff volunteers from all departments will be formed. Their role is to collaborate with leadership, provide representative feedback, and help drive crucial two-way conversation. An inclusive, multi-channel strategy involves interactive digital and in-person townhall sessions hosted department-wise. Led by specialists, these discuss recommendations, address concerns, and help staff envision opportunities. Digital platforms like Yammer facilitate ongoing updates while periodic email bulletins share progress.</w:t>
      </w:r>
    </w:p>
    <w:p w14:paraId="2F96EB9F" w14:textId="1790BD20"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Managers will receive coaching to effectively cascade information within their teams through team huddles and one-on-ones. Incentive programs recognize early adopters modeling desired behaviors and mindsets (Ward et al., 2018). An open-door policy demonstrates receptiveness to continual feedback ensuring transparency. Frequent pulse surveys gauge sentiment and engagement levels. Real-time adjustments preserve &gt;80% of staff feeling informed, </w:t>
      </w:r>
      <w:proofErr w:type="gramStart"/>
      <w:r>
        <w:rPr>
          <w:rFonts w:ascii="Times New Roman" w:eastAsia="Times New Roman" w:hAnsi="Times New Roman" w:cs="Times New Roman"/>
          <w:sz w:val="24"/>
          <w:szCs w:val="24"/>
        </w:rPr>
        <w:t>empowered</w:t>
      </w:r>
      <w:proofErr w:type="gramEnd"/>
      <w:r>
        <w:rPr>
          <w:rFonts w:ascii="Times New Roman" w:eastAsia="Times New Roman" w:hAnsi="Times New Roman" w:cs="Times New Roman"/>
          <w:sz w:val="24"/>
          <w:szCs w:val="24"/>
        </w:rPr>
        <w:t xml:space="preserve"> and optimistic throughout this transition. Regular communications champion change while empowering staff to help shape the future through participative, solutions-oriented </w:t>
      </w:r>
      <w:r w:rsidR="00C40B69">
        <w:rPr>
          <w:rFonts w:ascii="Times New Roman" w:eastAsia="Times New Roman" w:hAnsi="Times New Roman" w:cs="Times New Roman"/>
          <w:sz w:val="24"/>
          <w:szCs w:val="24"/>
        </w:rPr>
        <w:t>discussions.</w:t>
      </w:r>
    </w:p>
    <w:p w14:paraId="4BDA088E" w14:textId="77777777" w:rsidR="008C3815" w:rsidRDefault="00000000">
      <w:pPr>
        <w:pStyle w:val="Heading2"/>
      </w:pPr>
      <w:bookmarkStart w:id="20" w:name="_4i7ojhp" w:colFirst="0" w:colLast="0"/>
      <w:bookmarkEnd w:id="20"/>
      <w:r>
        <w:t>Training Resources and Support</w:t>
      </w:r>
    </w:p>
    <w:p w14:paraId="0687089B" w14:textId="66BA37B8"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implementation of changes relies on robust training infrastructure that equips staff with skills and confidence. A comprehensive Training Calendar will be developed, outlining programs mapped to a structured curriculum with clear KPIs. This includes soft skill courses focusing on leadership, </w:t>
      </w:r>
      <w:r w:rsidR="00C40B69">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and customer service excellence (Kerzner, 2018). Technical courses will concentrate on departments' SOP revisions, new technologies and </w:t>
      </w:r>
      <w:r>
        <w:rPr>
          <w:rFonts w:ascii="Times New Roman" w:eastAsia="Times New Roman" w:hAnsi="Times New Roman" w:cs="Times New Roman"/>
          <w:sz w:val="24"/>
          <w:szCs w:val="24"/>
        </w:rPr>
        <w:lastRenderedPageBreak/>
        <w:t>product knowledge. Hands-on learning such as shadowing and on-the-job mentorship further reinforce concepts.</w:t>
      </w:r>
    </w:p>
    <w:p w14:paraId="0561CDB2" w14:textId="2DE6695B"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interactive e-learning portal will house all training materials and assets, ensuring accessibility from any device (Khan, 2015). This includes instructional videos, presentations, </w:t>
      </w:r>
      <w:r w:rsidR="00C40B69">
        <w:rPr>
          <w:rFonts w:ascii="Times New Roman" w:eastAsia="Times New Roman" w:hAnsi="Times New Roman" w:cs="Times New Roman"/>
          <w:sz w:val="24"/>
          <w:szCs w:val="24"/>
        </w:rPr>
        <w:t>assessments,</w:t>
      </w:r>
      <w:r>
        <w:rPr>
          <w:rFonts w:ascii="Times New Roman" w:eastAsia="Times New Roman" w:hAnsi="Times New Roman" w:cs="Times New Roman"/>
          <w:sz w:val="24"/>
          <w:szCs w:val="24"/>
        </w:rPr>
        <w:t xml:space="preserve"> and certification modules. To support career progression, staff will have access to career coaching services and an internal job board. Coaches will provide guidance on developing skills, navigating opportunities opened by changes, and pursuing advancement pathways both internally and beyond.</w:t>
      </w:r>
    </w:p>
    <w:p w14:paraId="141CDFA9"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HR department will play an active role in change management through ongoing development initiatives (</w:t>
      </w:r>
      <w:proofErr w:type="spellStart"/>
      <w:r>
        <w:rPr>
          <w:rFonts w:ascii="Times New Roman" w:eastAsia="Times New Roman" w:hAnsi="Times New Roman" w:cs="Times New Roman"/>
          <w:sz w:val="24"/>
          <w:szCs w:val="24"/>
        </w:rPr>
        <w:t>Errida</w:t>
      </w:r>
      <w:proofErr w:type="spellEnd"/>
      <w:r>
        <w:rPr>
          <w:rFonts w:ascii="Times New Roman" w:eastAsia="Times New Roman" w:hAnsi="Times New Roman" w:cs="Times New Roman"/>
          <w:sz w:val="24"/>
          <w:szCs w:val="24"/>
        </w:rPr>
        <w:t xml:space="preserve"> and Lotfi, 2021). Regular check-ins and engagement surveys will allow identifying additional training needs. An Employee Assistance hotline provides confidential support for personal and professional matters (White et al., 2015). This comprehensive training infrastructure equips staff with resources to successfully adopt changes while caring for their wellbeing (</w:t>
      </w:r>
      <w:proofErr w:type="spellStart"/>
      <w:r>
        <w:rPr>
          <w:rFonts w:ascii="Times New Roman" w:eastAsia="Times New Roman" w:hAnsi="Times New Roman" w:cs="Times New Roman"/>
          <w:sz w:val="24"/>
          <w:szCs w:val="24"/>
        </w:rPr>
        <w:t>Grol</w:t>
      </w:r>
      <w:proofErr w:type="spellEnd"/>
      <w:r>
        <w:rPr>
          <w:rFonts w:ascii="Times New Roman" w:eastAsia="Times New Roman" w:hAnsi="Times New Roman" w:cs="Times New Roman"/>
          <w:sz w:val="24"/>
          <w:szCs w:val="24"/>
        </w:rPr>
        <w:t>, 2013). Regular evaluation and reinvestment in learning programs ensure continuous improvement in line with strategic priorities.</w:t>
      </w:r>
    </w:p>
    <w:p w14:paraId="32BD2080" w14:textId="77777777" w:rsidR="008C3815" w:rsidRDefault="00000000">
      <w:pPr>
        <w:pStyle w:val="Heading2"/>
      </w:pPr>
      <w:bookmarkStart w:id="21" w:name="_2xcytpi" w:colFirst="0" w:colLast="0"/>
      <w:bookmarkEnd w:id="21"/>
      <w:r>
        <w:t>Benefits Realization and Change Management Review</w:t>
      </w:r>
    </w:p>
    <w:p w14:paraId="1C949AA1"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proposed changes deliver expected benefits, defining metrics to gauge realization over time is essential. Key performance indicators will include quantitative elements such as guest satisfaction and loyalty scores, performance reviews, staff turnover and absenteeism levels. Additional metrics capture productivity indexes and financial targets outlined in business case projections. Regular qualitative pulse surveys will also identify sentiment shifts.</w:t>
      </w:r>
    </w:p>
    <w:p w14:paraId="0BFCDAF3"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Quarterly change management review meetings involving leadership, staff committee representatives, and internal/external change management advisors will evaluate progress </w:t>
      </w:r>
      <w:r>
        <w:rPr>
          <w:rFonts w:ascii="Times New Roman" w:eastAsia="Times New Roman" w:hAnsi="Times New Roman" w:cs="Times New Roman"/>
          <w:sz w:val="24"/>
          <w:szCs w:val="24"/>
        </w:rPr>
        <w:lastRenderedPageBreak/>
        <w:t>(Gianforte, 2007). Through collaborative discussion of metrics performance against targets, course corrections can be recommended as needed. Follow-up change management workshops keep momentum by addressing emerging issues or opportunities through participative problem-solving (Alvesson and Sveningsson, 2015).</w:t>
      </w:r>
    </w:p>
    <w:p w14:paraId="7E684230"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Full implementation of all recommendations within the next two to three years alongside continuous improvement is projected to substantially increase profitability. Specifically, new revenue streams from expanded offerings, heightened property utilization, and customer acquisition are expected to lift profits by 30% compared to prior baseline. Continuous benefits realization review ensures benefits materialize as planned through well-supported change management, while uncovering additional opportunities not previously envisioned. This balanced approach to evaluate impact and refine strategy sustains transformation outcomes long-term.</w:t>
      </w:r>
    </w:p>
    <w:p w14:paraId="00C02833" w14:textId="77777777" w:rsidR="008C3815" w:rsidRDefault="00000000">
      <w:pPr>
        <w:pStyle w:val="Heading2"/>
      </w:pPr>
      <w:bookmarkStart w:id="22" w:name="_1ci93xb" w:colFirst="0" w:colLast="0"/>
      <w:bookmarkEnd w:id="22"/>
      <w:r>
        <w:t>Progress Communication and Recalibration</w:t>
      </w:r>
    </w:p>
    <w:p w14:paraId="66D2CA46"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communication of progress strengthens change management by recognizing achievements, addressing concerns, and sustaining enthusiasm through the transition (Anderson and Anderson, 2010). Every two months, departmental Townhall sessions facilitated by managers will share program results, lessons learned, and invite feedback. Interactivity fosters participation and two-way dialogue. Digital screens throughout the resort display engaging case studies on initiatives already bearing fruit.</w:t>
      </w:r>
    </w:p>
    <w:p w14:paraId="3FA6BD8B"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“You Said, We Did” messaging relayed via staff digital channels demonstrates how department and individual input directly influenced strategic decisions. This showcases to all personnel that their voices are heard and valued. Quarterly all-employee Gatherings hosted by </w:t>
      </w:r>
      <w:r>
        <w:rPr>
          <w:rFonts w:ascii="Times New Roman" w:eastAsia="Times New Roman" w:hAnsi="Times New Roman" w:cs="Times New Roman"/>
          <w:sz w:val="24"/>
          <w:szCs w:val="24"/>
        </w:rPr>
        <w:lastRenderedPageBreak/>
        <w:t>the GM will also announce any recalibrations to the overarching strategy based on observations and lessons from early adoption phases.</w:t>
      </w:r>
    </w:p>
    <w:p w14:paraId="7AC241D4" w14:textId="77777777"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Highlighting inspired success stories from peers who embraced changes early on serves to recognize champions while motivating others still acclimating (Mansaray, 2019). Celebrations strengthen culture transformation by emphasizing collaboration over competition. Continuous open communication cultivates trust that leadership and staff are transitioning the resort experience jointly to new heights of guest satisfaction and performance through candid sharing of progress, </w:t>
      </w:r>
      <w:proofErr w:type="gramStart"/>
      <w:r>
        <w:rPr>
          <w:rFonts w:ascii="Times New Roman" w:eastAsia="Times New Roman" w:hAnsi="Times New Roman" w:cs="Times New Roman"/>
          <w:sz w:val="24"/>
          <w:szCs w:val="24"/>
        </w:rPr>
        <w:t>challenges</w:t>
      </w:r>
      <w:proofErr w:type="gramEnd"/>
      <w:r>
        <w:rPr>
          <w:rFonts w:ascii="Times New Roman" w:eastAsia="Times New Roman" w:hAnsi="Times New Roman" w:cs="Times New Roman"/>
          <w:sz w:val="24"/>
          <w:szCs w:val="24"/>
        </w:rPr>
        <w:t xml:space="preserve"> and opportunities for improvement together (Barbosa-McCoy, 2016).</w:t>
      </w:r>
    </w:p>
    <w:p w14:paraId="09645509" w14:textId="77777777" w:rsidR="008C3815" w:rsidRDefault="00000000">
      <w:pPr>
        <w:pStyle w:val="Heading1"/>
      </w:pPr>
      <w:bookmarkStart w:id="23" w:name="_3whwml4" w:colFirst="0" w:colLast="0"/>
      <w:bookmarkEnd w:id="23"/>
      <w:r>
        <w:t>Action Plan</w:t>
      </w:r>
    </w:p>
    <w:p w14:paraId="691EE6DA" w14:textId="77777777" w:rsidR="008C3815"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w:t>
      </w:r>
    </w:p>
    <w:p w14:paraId="618B15F4"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w:t>
      </w:r>
    </w:p>
    <w:tbl>
      <w:tblPr>
        <w:tblStyle w:val="a1"/>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5"/>
        <w:gridCol w:w="1140"/>
        <w:gridCol w:w="2415"/>
        <w:gridCol w:w="2220"/>
        <w:gridCol w:w="750"/>
        <w:gridCol w:w="1065"/>
        <w:gridCol w:w="945"/>
      </w:tblGrid>
      <w:tr w:rsidR="008C3815" w14:paraId="484A53A3" w14:textId="77777777">
        <w:trPr>
          <w:trHeight w:val="1022"/>
        </w:trPr>
        <w:tc>
          <w:tcPr>
            <w:tcW w:w="705" w:type="dxa"/>
            <w:shd w:val="clear" w:color="auto" w:fill="auto"/>
            <w:tcMar>
              <w:top w:w="100" w:type="dxa"/>
              <w:left w:w="100" w:type="dxa"/>
              <w:bottom w:w="100" w:type="dxa"/>
              <w:right w:w="100" w:type="dxa"/>
            </w:tcMar>
          </w:tcPr>
          <w:p w14:paraId="2FD62CE6"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w:t>
            </w:r>
          </w:p>
        </w:tc>
        <w:tc>
          <w:tcPr>
            <w:tcW w:w="1140" w:type="dxa"/>
            <w:shd w:val="clear" w:color="auto" w:fill="auto"/>
            <w:tcMar>
              <w:top w:w="100" w:type="dxa"/>
              <w:left w:w="100" w:type="dxa"/>
              <w:bottom w:w="100" w:type="dxa"/>
              <w:right w:w="100" w:type="dxa"/>
            </w:tcMar>
          </w:tcPr>
          <w:p w14:paraId="468545A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Problem </w:t>
            </w:r>
          </w:p>
        </w:tc>
        <w:tc>
          <w:tcPr>
            <w:tcW w:w="2415" w:type="dxa"/>
            <w:shd w:val="clear" w:color="auto" w:fill="auto"/>
            <w:tcMar>
              <w:top w:w="100" w:type="dxa"/>
              <w:left w:w="100" w:type="dxa"/>
              <w:bottom w:w="100" w:type="dxa"/>
              <w:right w:w="100" w:type="dxa"/>
            </w:tcMar>
          </w:tcPr>
          <w:p w14:paraId="01CEDAB0"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Solution</w:t>
            </w:r>
          </w:p>
        </w:tc>
        <w:tc>
          <w:tcPr>
            <w:tcW w:w="2220" w:type="dxa"/>
            <w:shd w:val="clear" w:color="auto" w:fill="auto"/>
            <w:tcMar>
              <w:top w:w="100" w:type="dxa"/>
              <w:left w:w="100" w:type="dxa"/>
              <w:bottom w:w="100" w:type="dxa"/>
              <w:right w:w="100" w:type="dxa"/>
            </w:tcMar>
          </w:tcPr>
          <w:p w14:paraId="77A8476F"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Desired Outcome</w:t>
            </w:r>
          </w:p>
        </w:tc>
        <w:tc>
          <w:tcPr>
            <w:tcW w:w="750" w:type="dxa"/>
            <w:shd w:val="clear" w:color="auto" w:fill="auto"/>
            <w:tcMar>
              <w:top w:w="100" w:type="dxa"/>
              <w:left w:w="100" w:type="dxa"/>
              <w:bottom w:w="100" w:type="dxa"/>
              <w:right w:w="100" w:type="dxa"/>
            </w:tcMar>
          </w:tcPr>
          <w:p w14:paraId="0DC961B2"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Scale</w:t>
            </w:r>
          </w:p>
        </w:tc>
        <w:tc>
          <w:tcPr>
            <w:tcW w:w="1065" w:type="dxa"/>
            <w:shd w:val="clear" w:color="auto" w:fill="auto"/>
            <w:tcMar>
              <w:top w:w="100" w:type="dxa"/>
              <w:left w:w="100" w:type="dxa"/>
              <w:bottom w:w="100" w:type="dxa"/>
              <w:right w:w="100" w:type="dxa"/>
            </w:tcMar>
          </w:tcPr>
          <w:p w14:paraId="01B59128"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Completion Date</w:t>
            </w:r>
          </w:p>
        </w:tc>
        <w:tc>
          <w:tcPr>
            <w:tcW w:w="945" w:type="dxa"/>
            <w:shd w:val="clear" w:color="auto" w:fill="auto"/>
            <w:tcMar>
              <w:top w:w="100" w:type="dxa"/>
              <w:left w:w="100" w:type="dxa"/>
              <w:bottom w:w="100" w:type="dxa"/>
              <w:right w:w="100" w:type="dxa"/>
            </w:tcMar>
          </w:tcPr>
          <w:p w14:paraId="2D8E5472"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Planned Budget</w:t>
            </w:r>
          </w:p>
        </w:tc>
      </w:tr>
      <w:tr w:rsidR="008C3815" w14:paraId="015EA904" w14:textId="77777777">
        <w:tc>
          <w:tcPr>
            <w:tcW w:w="705" w:type="dxa"/>
            <w:shd w:val="clear" w:color="auto" w:fill="auto"/>
            <w:tcMar>
              <w:top w:w="100" w:type="dxa"/>
              <w:left w:w="100" w:type="dxa"/>
              <w:bottom w:w="100" w:type="dxa"/>
              <w:right w:w="100" w:type="dxa"/>
            </w:tcMar>
          </w:tcPr>
          <w:p w14:paraId="667763D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140" w:type="dxa"/>
            <w:shd w:val="clear" w:color="auto" w:fill="auto"/>
            <w:tcMar>
              <w:top w:w="100" w:type="dxa"/>
              <w:left w:w="100" w:type="dxa"/>
              <w:bottom w:w="100" w:type="dxa"/>
              <w:right w:w="100" w:type="dxa"/>
            </w:tcMar>
          </w:tcPr>
          <w:p w14:paraId="0D3EF259"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Aging Infrastructure</w:t>
            </w:r>
          </w:p>
        </w:tc>
        <w:tc>
          <w:tcPr>
            <w:tcW w:w="2415" w:type="dxa"/>
            <w:shd w:val="clear" w:color="auto" w:fill="auto"/>
            <w:tcMar>
              <w:top w:w="100" w:type="dxa"/>
              <w:left w:w="100" w:type="dxa"/>
              <w:bottom w:w="100" w:type="dxa"/>
              <w:right w:w="100" w:type="dxa"/>
            </w:tcMar>
          </w:tcPr>
          <w:p w14:paraId="42E40ABC"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proposed to implement a 5-year room refurbishment program to refresh the dated rooms over time. This will begin with renovating 50 rooms in the first year to modernize amenities and elevate the design aesthetic. The multi-year rollout aims to minimize guest disruption while maximizing return on investment.</w:t>
            </w:r>
          </w:p>
        </w:tc>
        <w:tc>
          <w:tcPr>
            <w:tcW w:w="2220" w:type="dxa"/>
            <w:shd w:val="clear" w:color="auto" w:fill="auto"/>
            <w:tcMar>
              <w:top w:w="100" w:type="dxa"/>
              <w:left w:w="100" w:type="dxa"/>
              <w:bottom w:w="100" w:type="dxa"/>
              <w:right w:w="100" w:type="dxa"/>
            </w:tcMar>
          </w:tcPr>
          <w:p w14:paraId="417CB64C"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Updating room offerings through the refurbishment program aims to enhance amenities, elevate design standards, boost guest satisfaction, and command higher nightly room rates reflective of luxury travel expectations.</w:t>
            </w:r>
          </w:p>
        </w:tc>
        <w:tc>
          <w:tcPr>
            <w:tcW w:w="750" w:type="dxa"/>
            <w:shd w:val="clear" w:color="auto" w:fill="auto"/>
            <w:tcMar>
              <w:top w:w="100" w:type="dxa"/>
              <w:left w:w="100" w:type="dxa"/>
              <w:bottom w:w="100" w:type="dxa"/>
              <w:right w:w="100" w:type="dxa"/>
            </w:tcMar>
          </w:tcPr>
          <w:p w14:paraId="686A5FF1"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 years</w:t>
            </w:r>
          </w:p>
        </w:tc>
        <w:tc>
          <w:tcPr>
            <w:tcW w:w="1065" w:type="dxa"/>
            <w:shd w:val="clear" w:color="auto" w:fill="auto"/>
            <w:tcMar>
              <w:top w:w="100" w:type="dxa"/>
              <w:left w:w="100" w:type="dxa"/>
              <w:bottom w:w="100" w:type="dxa"/>
              <w:right w:w="100" w:type="dxa"/>
            </w:tcMar>
          </w:tcPr>
          <w:p w14:paraId="53EF94B0"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December 2027</w:t>
            </w:r>
          </w:p>
        </w:tc>
        <w:tc>
          <w:tcPr>
            <w:tcW w:w="945" w:type="dxa"/>
            <w:shd w:val="clear" w:color="auto" w:fill="auto"/>
            <w:tcMar>
              <w:top w:w="100" w:type="dxa"/>
              <w:left w:w="100" w:type="dxa"/>
              <w:bottom w:w="100" w:type="dxa"/>
              <w:right w:w="100" w:type="dxa"/>
            </w:tcMar>
          </w:tcPr>
          <w:p w14:paraId="2928129C"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 million</w:t>
            </w:r>
          </w:p>
        </w:tc>
      </w:tr>
      <w:tr w:rsidR="008C3815" w14:paraId="7512D432" w14:textId="77777777">
        <w:tc>
          <w:tcPr>
            <w:tcW w:w="705" w:type="dxa"/>
            <w:shd w:val="clear" w:color="auto" w:fill="auto"/>
            <w:tcMar>
              <w:top w:w="100" w:type="dxa"/>
              <w:left w:w="100" w:type="dxa"/>
              <w:bottom w:w="100" w:type="dxa"/>
              <w:right w:w="100" w:type="dxa"/>
            </w:tcMar>
          </w:tcPr>
          <w:p w14:paraId="2786B6BA"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140" w:type="dxa"/>
            <w:shd w:val="clear" w:color="auto" w:fill="auto"/>
            <w:tcMar>
              <w:top w:w="100" w:type="dxa"/>
              <w:left w:w="100" w:type="dxa"/>
              <w:bottom w:w="100" w:type="dxa"/>
              <w:right w:w="100" w:type="dxa"/>
            </w:tcMar>
          </w:tcPr>
          <w:p w14:paraId="761CC0D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Inconsistent </w:t>
            </w:r>
            <w:r>
              <w:rPr>
                <w:rFonts w:ascii="Times New Roman" w:eastAsia="Times New Roman" w:hAnsi="Times New Roman" w:cs="Times New Roman"/>
                <w:sz w:val="24"/>
                <w:szCs w:val="24"/>
              </w:rPr>
              <w:lastRenderedPageBreak/>
              <w:t>Service Quality</w:t>
            </w:r>
          </w:p>
        </w:tc>
        <w:tc>
          <w:tcPr>
            <w:tcW w:w="2415" w:type="dxa"/>
            <w:shd w:val="clear" w:color="auto" w:fill="auto"/>
            <w:tcMar>
              <w:top w:w="100" w:type="dxa"/>
              <w:left w:w="100" w:type="dxa"/>
              <w:bottom w:w="100" w:type="dxa"/>
              <w:right w:w="100" w:type="dxa"/>
            </w:tcMar>
          </w:tcPr>
          <w:p w14:paraId="481F7B3F"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new service excellence program is </w:t>
            </w:r>
            <w:r>
              <w:rPr>
                <w:rFonts w:ascii="Times New Roman" w:eastAsia="Times New Roman" w:hAnsi="Times New Roman" w:cs="Times New Roman"/>
                <w:sz w:val="24"/>
                <w:szCs w:val="24"/>
              </w:rPr>
              <w:lastRenderedPageBreak/>
              <w:t>recommended to improve the guest experience. This involves introducing revised staff training curricula as well as new systems to solicit guest feedback and provide employees with performance assessments and opportunities to develop their skills. The goal is to consistently deliver high-quality service.</w:t>
            </w:r>
          </w:p>
        </w:tc>
        <w:tc>
          <w:tcPr>
            <w:tcW w:w="2220" w:type="dxa"/>
            <w:shd w:val="clear" w:color="auto" w:fill="auto"/>
            <w:tcMar>
              <w:top w:w="100" w:type="dxa"/>
              <w:left w:w="100" w:type="dxa"/>
              <w:bottom w:w="100" w:type="dxa"/>
              <w:right w:w="100" w:type="dxa"/>
            </w:tcMar>
          </w:tcPr>
          <w:p w14:paraId="7AC7EE7C"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service excellence program </w:t>
            </w:r>
            <w:r>
              <w:rPr>
                <w:rFonts w:ascii="Times New Roman" w:eastAsia="Times New Roman" w:hAnsi="Times New Roman" w:cs="Times New Roman"/>
                <w:sz w:val="24"/>
                <w:szCs w:val="24"/>
              </w:rPr>
              <w:lastRenderedPageBreak/>
              <w:t xml:space="preserve">strives to enhance guest experiences and satisfaction through upgraded training and feedback systems that also boost employee engagement, </w:t>
            </w:r>
            <w:proofErr w:type="gramStart"/>
            <w:r>
              <w:rPr>
                <w:rFonts w:ascii="Times New Roman" w:eastAsia="Times New Roman" w:hAnsi="Times New Roman" w:cs="Times New Roman"/>
                <w:sz w:val="24"/>
                <w:szCs w:val="24"/>
              </w:rPr>
              <w:t>performance</w:t>
            </w:r>
            <w:proofErr w:type="gramEnd"/>
            <w:r>
              <w:rPr>
                <w:rFonts w:ascii="Times New Roman" w:eastAsia="Times New Roman" w:hAnsi="Times New Roman" w:cs="Times New Roman"/>
                <w:sz w:val="24"/>
                <w:szCs w:val="24"/>
              </w:rPr>
              <w:t xml:space="preserve"> and morale through continuing education opportunities.</w:t>
            </w:r>
          </w:p>
        </w:tc>
        <w:tc>
          <w:tcPr>
            <w:tcW w:w="750" w:type="dxa"/>
            <w:shd w:val="clear" w:color="auto" w:fill="auto"/>
            <w:tcMar>
              <w:top w:w="100" w:type="dxa"/>
              <w:left w:w="100" w:type="dxa"/>
              <w:bottom w:w="100" w:type="dxa"/>
              <w:right w:w="100" w:type="dxa"/>
            </w:tcMar>
          </w:tcPr>
          <w:p w14:paraId="6314F9A4"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 years</w:t>
            </w:r>
          </w:p>
        </w:tc>
        <w:tc>
          <w:tcPr>
            <w:tcW w:w="1065" w:type="dxa"/>
            <w:shd w:val="clear" w:color="auto" w:fill="auto"/>
            <w:tcMar>
              <w:top w:w="100" w:type="dxa"/>
              <w:left w:w="100" w:type="dxa"/>
              <w:bottom w:w="100" w:type="dxa"/>
              <w:right w:w="100" w:type="dxa"/>
            </w:tcMar>
          </w:tcPr>
          <w:p w14:paraId="36B9E650"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December 2024</w:t>
            </w:r>
          </w:p>
        </w:tc>
        <w:tc>
          <w:tcPr>
            <w:tcW w:w="945" w:type="dxa"/>
            <w:shd w:val="clear" w:color="auto" w:fill="auto"/>
            <w:tcMar>
              <w:top w:w="100" w:type="dxa"/>
              <w:left w:w="100" w:type="dxa"/>
              <w:bottom w:w="100" w:type="dxa"/>
              <w:right w:w="100" w:type="dxa"/>
            </w:tcMar>
          </w:tcPr>
          <w:p w14:paraId="14C56DD2"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r>
      <w:tr w:rsidR="008C3815" w14:paraId="4F56BC19" w14:textId="77777777">
        <w:tc>
          <w:tcPr>
            <w:tcW w:w="705" w:type="dxa"/>
            <w:shd w:val="clear" w:color="auto" w:fill="auto"/>
            <w:tcMar>
              <w:top w:w="100" w:type="dxa"/>
              <w:left w:w="100" w:type="dxa"/>
              <w:bottom w:w="100" w:type="dxa"/>
              <w:right w:w="100" w:type="dxa"/>
            </w:tcMar>
          </w:tcPr>
          <w:p w14:paraId="6E638A3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140" w:type="dxa"/>
            <w:shd w:val="clear" w:color="auto" w:fill="auto"/>
            <w:tcMar>
              <w:top w:w="100" w:type="dxa"/>
              <w:left w:w="100" w:type="dxa"/>
              <w:bottom w:w="100" w:type="dxa"/>
              <w:right w:w="100" w:type="dxa"/>
            </w:tcMar>
          </w:tcPr>
          <w:p w14:paraId="7BBAF43D"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Seasonality of Business</w:t>
            </w:r>
          </w:p>
        </w:tc>
        <w:tc>
          <w:tcPr>
            <w:tcW w:w="2415" w:type="dxa"/>
            <w:shd w:val="clear" w:color="auto" w:fill="auto"/>
            <w:tcMar>
              <w:top w:w="100" w:type="dxa"/>
              <w:left w:w="100" w:type="dxa"/>
              <w:bottom w:w="100" w:type="dxa"/>
              <w:right w:w="100" w:type="dxa"/>
            </w:tcMar>
          </w:tcPr>
          <w:p w14:paraId="4E38BD46"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Plans involve developing new wellness facilities and meeting/event packages to attract year-round demand beyond leisure travel by capitalizing on growing wellness and business tourism segments seeking specialized amenities and experiences.</w:t>
            </w:r>
          </w:p>
        </w:tc>
        <w:tc>
          <w:tcPr>
            <w:tcW w:w="2220" w:type="dxa"/>
            <w:shd w:val="clear" w:color="auto" w:fill="auto"/>
            <w:tcMar>
              <w:top w:w="100" w:type="dxa"/>
              <w:left w:w="100" w:type="dxa"/>
              <w:bottom w:w="100" w:type="dxa"/>
              <w:right w:w="100" w:type="dxa"/>
            </w:tcMar>
          </w:tcPr>
          <w:p w14:paraId="71C1FCA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By attracting new customer segments through wellness and conference facilities, resort management can achieve smoother demand patterns year-round, maximizing occupancy rates including during traditionally slower periods.</w:t>
            </w:r>
          </w:p>
        </w:tc>
        <w:tc>
          <w:tcPr>
            <w:tcW w:w="750" w:type="dxa"/>
            <w:shd w:val="clear" w:color="auto" w:fill="auto"/>
            <w:tcMar>
              <w:top w:w="100" w:type="dxa"/>
              <w:left w:w="100" w:type="dxa"/>
              <w:bottom w:w="100" w:type="dxa"/>
              <w:right w:w="100" w:type="dxa"/>
            </w:tcMar>
          </w:tcPr>
          <w:p w14:paraId="3A072EF2"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years</w:t>
            </w:r>
          </w:p>
        </w:tc>
        <w:tc>
          <w:tcPr>
            <w:tcW w:w="1065" w:type="dxa"/>
            <w:shd w:val="clear" w:color="auto" w:fill="auto"/>
            <w:tcMar>
              <w:top w:w="100" w:type="dxa"/>
              <w:left w:w="100" w:type="dxa"/>
              <w:bottom w:w="100" w:type="dxa"/>
              <w:right w:w="100" w:type="dxa"/>
            </w:tcMar>
          </w:tcPr>
          <w:p w14:paraId="40A0D973"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December 2025</w:t>
            </w:r>
          </w:p>
        </w:tc>
        <w:tc>
          <w:tcPr>
            <w:tcW w:w="945" w:type="dxa"/>
            <w:shd w:val="clear" w:color="auto" w:fill="auto"/>
            <w:tcMar>
              <w:top w:w="100" w:type="dxa"/>
              <w:left w:w="100" w:type="dxa"/>
              <w:bottom w:w="100" w:type="dxa"/>
              <w:right w:w="100" w:type="dxa"/>
            </w:tcMar>
          </w:tcPr>
          <w:p w14:paraId="75C2DAF4"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 million</w:t>
            </w:r>
          </w:p>
        </w:tc>
      </w:tr>
      <w:tr w:rsidR="008C3815" w14:paraId="61C11893" w14:textId="77777777">
        <w:tc>
          <w:tcPr>
            <w:tcW w:w="705" w:type="dxa"/>
            <w:shd w:val="clear" w:color="auto" w:fill="auto"/>
            <w:tcMar>
              <w:top w:w="100" w:type="dxa"/>
              <w:left w:w="100" w:type="dxa"/>
              <w:bottom w:w="100" w:type="dxa"/>
              <w:right w:w="100" w:type="dxa"/>
            </w:tcMar>
          </w:tcPr>
          <w:p w14:paraId="4D7AF5DB"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140" w:type="dxa"/>
            <w:shd w:val="clear" w:color="auto" w:fill="auto"/>
            <w:tcMar>
              <w:top w:w="100" w:type="dxa"/>
              <w:left w:w="100" w:type="dxa"/>
              <w:bottom w:w="100" w:type="dxa"/>
              <w:right w:w="100" w:type="dxa"/>
            </w:tcMar>
          </w:tcPr>
          <w:p w14:paraId="0136A62F"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Underdeveloped Family Offerings</w:t>
            </w:r>
          </w:p>
        </w:tc>
        <w:tc>
          <w:tcPr>
            <w:tcW w:w="2415" w:type="dxa"/>
            <w:shd w:val="clear" w:color="auto" w:fill="auto"/>
            <w:tcMar>
              <w:top w:w="100" w:type="dxa"/>
              <w:left w:w="100" w:type="dxa"/>
              <w:bottom w:w="100" w:type="dxa"/>
              <w:right w:w="100" w:type="dxa"/>
            </w:tcMar>
          </w:tcPr>
          <w:p w14:paraId="28920176"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proposal to establish a kids' club and offer bundled family activity packages is recommended. This aims to attract families by providing supervised programs and experiences for children to keep them entertained, allowing parents more leisure time while expanding the resort's target </w:t>
            </w:r>
            <w:r>
              <w:rPr>
                <w:rFonts w:ascii="Times New Roman" w:eastAsia="Times New Roman" w:hAnsi="Times New Roman" w:cs="Times New Roman"/>
                <w:sz w:val="24"/>
                <w:szCs w:val="24"/>
              </w:rPr>
              <w:lastRenderedPageBreak/>
              <w:t>demographics during seasonal school breaks.</w:t>
            </w:r>
          </w:p>
        </w:tc>
        <w:tc>
          <w:tcPr>
            <w:tcW w:w="2220" w:type="dxa"/>
            <w:shd w:val="clear" w:color="auto" w:fill="auto"/>
            <w:tcMar>
              <w:top w:w="100" w:type="dxa"/>
              <w:left w:w="100" w:type="dxa"/>
              <w:bottom w:w="100" w:type="dxa"/>
              <w:right w:w="100" w:type="dxa"/>
            </w:tcMar>
          </w:tcPr>
          <w:p w14:paraId="044EE20A"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implementing a kids' club and family activity packages, the resort can significantly grow its business from families with children, developing this as a more prominent customer segment.</w:t>
            </w:r>
          </w:p>
        </w:tc>
        <w:tc>
          <w:tcPr>
            <w:tcW w:w="750" w:type="dxa"/>
            <w:shd w:val="clear" w:color="auto" w:fill="auto"/>
            <w:tcMar>
              <w:top w:w="100" w:type="dxa"/>
              <w:left w:w="100" w:type="dxa"/>
              <w:bottom w:w="100" w:type="dxa"/>
              <w:right w:w="100" w:type="dxa"/>
            </w:tcMar>
          </w:tcPr>
          <w:p w14:paraId="61425443"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year</w:t>
            </w:r>
          </w:p>
        </w:tc>
        <w:tc>
          <w:tcPr>
            <w:tcW w:w="1065" w:type="dxa"/>
            <w:shd w:val="clear" w:color="auto" w:fill="auto"/>
            <w:tcMar>
              <w:top w:w="100" w:type="dxa"/>
              <w:left w:w="100" w:type="dxa"/>
              <w:bottom w:w="100" w:type="dxa"/>
              <w:right w:w="100" w:type="dxa"/>
            </w:tcMar>
          </w:tcPr>
          <w:p w14:paraId="48A7807E"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December 2023</w:t>
            </w:r>
          </w:p>
        </w:tc>
        <w:tc>
          <w:tcPr>
            <w:tcW w:w="945" w:type="dxa"/>
            <w:shd w:val="clear" w:color="auto" w:fill="auto"/>
            <w:tcMar>
              <w:top w:w="100" w:type="dxa"/>
              <w:left w:w="100" w:type="dxa"/>
              <w:bottom w:w="100" w:type="dxa"/>
              <w:right w:w="100" w:type="dxa"/>
            </w:tcMar>
          </w:tcPr>
          <w:p w14:paraId="5CF94461" w14:textId="77777777" w:rsidR="008C3815"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bl>
    <w:p w14:paraId="47D8A95A" w14:textId="77777777" w:rsidR="008C3815" w:rsidRDefault="008C3815">
      <w:pPr>
        <w:spacing w:line="480" w:lineRule="auto"/>
        <w:rPr>
          <w:rFonts w:ascii="Times New Roman" w:eastAsia="Times New Roman" w:hAnsi="Times New Roman" w:cs="Times New Roman"/>
          <w:sz w:val="24"/>
          <w:szCs w:val="24"/>
        </w:rPr>
      </w:pPr>
    </w:p>
    <w:p w14:paraId="5DE5B564" w14:textId="77777777" w:rsidR="008C3815" w:rsidRDefault="00000000">
      <w:pPr>
        <w:pStyle w:val="Heading1"/>
      </w:pPr>
      <w:bookmarkStart w:id="24" w:name="_2bn6wsx" w:colFirst="0" w:colLast="0"/>
      <w:bookmarkEnd w:id="24"/>
      <w:r>
        <w:t>Conclusion</w:t>
      </w:r>
    </w:p>
    <w:p w14:paraId="506C930C" w14:textId="159F80C9" w:rsidR="008C381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sought to comprehensively examine both external industry trends, as well as internal capabilities of the Leonardo Royal Edinburgh Haymarket using SOAR and TOWS analysis. This provided deep insights into the competitive landscape,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pressures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strengths and weaknesses affecting business performance. Consultations with hotel leadership and staff </w:t>
      </w:r>
      <w:r w:rsidR="00C40B69">
        <w:rPr>
          <w:rFonts w:ascii="Times New Roman" w:eastAsia="Times New Roman" w:hAnsi="Times New Roman" w:cs="Times New Roman"/>
          <w:sz w:val="24"/>
          <w:szCs w:val="24"/>
        </w:rPr>
        <w:t>helped us</w:t>
      </w:r>
      <w:r>
        <w:rPr>
          <w:rFonts w:ascii="Times New Roman" w:eastAsia="Times New Roman" w:hAnsi="Times New Roman" w:cs="Times New Roman"/>
          <w:sz w:val="24"/>
          <w:szCs w:val="24"/>
        </w:rPr>
        <w:t xml:space="preserve"> to understand the day-to-day challenges affecting guest satisfaction, staff morale and revenue. Diagnostic assessments and interviews helped the consultants develop a holistic perspective of the improvements needed to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opportunities to increase occupancy, </w:t>
      </w:r>
      <w:proofErr w:type="gramStart"/>
      <w:r>
        <w:rPr>
          <w:rFonts w:ascii="Times New Roman" w:eastAsia="Times New Roman" w:hAnsi="Times New Roman" w:cs="Times New Roman"/>
          <w:sz w:val="24"/>
          <w:szCs w:val="24"/>
        </w:rPr>
        <w:t>rates</w:t>
      </w:r>
      <w:proofErr w:type="gramEnd"/>
      <w:r>
        <w:rPr>
          <w:rFonts w:ascii="Times New Roman" w:eastAsia="Times New Roman" w:hAnsi="Times New Roman" w:cs="Times New Roman"/>
          <w:sz w:val="24"/>
          <w:szCs w:val="24"/>
        </w:rPr>
        <w:t xml:space="preserve"> and profitability in the long term under changing market dynamics.</w:t>
      </w:r>
    </w:p>
    <w:p w14:paraId="70520567" w14:textId="77777777"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Diagnostic analyses revealed that Leonardo Royal Edinburgh Haymarket's ageing facilities represented an immediate weakness requiring attention, leading to recommendations for infrastructure refurbishment over a five-year period. In addition, inconsistencies in the quality of guest service emerged as an area for improvement, necessitating the development of new staff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new channels for guest feedback. To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opportunities, a strategic focus was placed on expanding the resort's offerings to include health and wellness facilities and amenities, attracting families with children as a target market segment, and smoothing out seasonal demand trends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year-round occupancy levels. Accordingly, the strategic roadmap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xml:space="preserve"> developments in these areas. A comprehensive action plan was developed detailing time-bound initiatives to address key outcomes, accompanied by projected budgets. Proposed solutions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around upgrading at least 50 guest rooms per year, </w:t>
      </w:r>
      <w:r>
        <w:rPr>
          <w:rFonts w:ascii="Times New Roman" w:eastAsia="Times New Roman" w:hAnsi="Times New Roman" w:cs="Times New Roman"/>
          <w:sz w:val="24"/>
          <w:szCs w:val="24"/>
        </w:rPr>
        <w:lastRenderedPageBreak/>
        <w:t xml:space="preserve">launching new facilities and amenities focused on wellness, creating a kids' club and daily activity package for families, and implementing a new service excellence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that includes revised training structures and systems to collect guest feedback.</w:t>
      </w:r>
    </w:p>
    <w:p w14:paraId="15A63CA7" w14:textId="08070DBE"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 comprehensive change management approach aims to seamlessly guide staff through the transitional phases to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benefits for all stakeholders. Regular review processes will track progress against benchmarks and advocate for continuous improvement. Implementing these strategies together effectively is expected to future-proof the Royal Edinburgh Haymarket in the face of increasing </w:t>
      </w:r>
      <w:r w:rsidR="00C40B69">
        <w:rPr>
          <w:rFonts w:ascii="Times New Roman" w:eastAsia="Times New Roman" w:hAnsi="Times New Roman" w:cs="Times New Roman"/>
          <w:sz w:val="24"/>
          <w:szCs w:val="24"/>
        </w:rPr>
        <w:t>obstacles and</w:t>
      </w:r>
      <w:r>
        <w:rPr>
          <w:rFonts w:ascii="Times New Roman" w:eastAsia="Times New Roman" w:hAnsi="Times New Roman" w:cs="Times New Roman"/>
          <w:sz w:val="24"/>
          <w:szCs w:val="24"/>
        </w:rPr>
        <w:t xml:space="preserve"> support the foundation for sustainable progress and sector authority in the years to come. Key aspects include engaging staff,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disruption, monitoring key milestones, and incorporating feedback to enhance outcomes over time. If successfully implemented, this strategic plan and review protocol will strengthen the </w:t>
      </w:r>
      <w:r w:rsidR="00C40B6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resilience to broader sectoral pressures and options, positioning it for long-term success.</w:t>
      </w:r>
    </w:p>
    <w:p w14:paraId="25718C71" w14:textId="50A4C1CE" w:rsidR="008C381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 would like to express my appreciation to the Royal Edinburgh Haymarket Leadership Group for choosing our consultancy for this important project. Their input throughout has been invaluable. We appreciate the opportunity to collaborate in enabling a constructive transformation and wish the hotel every success going forward. This consultancy has appreciated the opportunity to </w:t>
      </w:r>
      <w:r w:rsidR="00C40B69">
        <w:rPr>
          <w:rFonts w:ascii="Times New Roman" w:eastAsia="Times New Roman" w:hAnsi="Times New Roman" w:cs="Times New Roman"/>
          <w:sz w:val="24"/>
          <w:szCs w:val="24"/>
        </w:rPr>
        <w:t>analyses</w:t>
      </w:r>
      <w:r>
        <w:rPr>
          <w:rFonts w:ascii="Times New Roman" w:eastAsia="Times New Roman" w:hAnsi="Times New Roman" w:cs="Times New Roman"/>
          <w:sz w:val="24"/>
          <w:szCs w:val="24"/>
        </w:rPr>
        <w:t xml:space="preserve"> the business, make </w:t>
      </w:r>
      <w:proofErr w:type="gramStart"/>
      <w:r>
        <w:rPr>
          <w:rFonts w:ascii="Times New Roman" w:eastAsia="Times New Roman" w:hAnsi="Times New Roman" w:cs="Times New Roman"/>
          <w:sz w:val="24"/>
          <w:szCs w:val="24"/>
        </w:rPr>
        <w:t>recommendations</w:t>
      </w:r>
      <w:proofErr w:type="gramEnd"/>
      <w:r>
        <w:rPr>
          <w:rFonts w:ascii="Times New Roman" w:eastAsia="Times New Roman" w:hAnsi="Times New Roman" w:cs="Times New Roman"/>
          <w:sz w:val="24"/>
          <w:szCs w:val="24"/>
        </w:rPr>
        <w:t xml:space="preserve"> and engage in positive changes that will strengthen the Royal Edinburgh Haymarket's position in the market for long-term sustainability and growth.</w:t>
      </w:r>
    </w:p>
    <w:p w14:paraId="10258041" w14:textId="77777777" w:rsidR="008C3815" w:rsidRDefault="00000000">
      <w:pPr>
        <w:spacing w:line="480" w:lineRule="auto"/>
        <w:rPr>
          <w:rFonts w:ascii="Times New Roman" w:eastAsia="Times New Roman" w:hAnsi="Times New Roman" w:cs="Times New Roman"/>
          <w:sz w:val="24"/>
          <w:szCs w:val="24"/>
        </w:rPr>
      </w:pPr>
      <w:r>
        <w:br w:type="page"/>
      </w:r>
    </w:p>
    <w:p w14:paraId="09B5EFBE" w14:textId="77777777" w:rsidR="008C3815" w:rsidRDefault="00000000">
      <w:pPr>
        <w:pStyle w:val="Heading1"/>
      </w:pPr>
      <w:bookmarkStart w:id="25" w:name="_qsh70q" w:colFirst="0" w:colLast="0"/>
      <w:bookmarkEnd w:id="25"/>
      <w:r>
        <w:lastRenderedPageBreak/>
        <w:t>References</w:t>
      </w:r>
    </w:p>
    <w:p w14:paraId="23BB135B"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Alén, E., Domínguez, T. and Losada, N., 2012. New opportunities for the tourism market: Senior tourism and accessible tourism. </w:t>
      </w:r>
      <w:r>
        <w:rPr>
          <w:rFonts w:ascii="Times New Roman" w:eastAsia="Times New Roman" w:hAnsi="Times New Roman" w:cs="Times New Roman"/>
          <w:i/>
          <w:sz w:val="24"/>
          <w:szCs w:val="24"/>
        </w:rPr>
        <w:t>Visions for global tourism industry: Creating and sustaining competitive strategies</w:t>
      </w:r>
      <w:r>
        <w:rPr>
          <w:rFonts w:ascii="Times New Roman" w:eastAsia="Times New Roman" w:hAnsi="Times New Roman" w:cs="Times New Roman"/>
          <w:sz w:val="24"/>
          <w:szCs w:val="24"/>
        </w:rPr>
        <w:t>, pp.139-166.</w:t>
      </w:r>
    </w:p>
    <w:p w14:paraId="5AE260E6"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Altinay, L. and Arici, H.E., 2022. Transformation of the hospitality services marketing structure: a chaos theory perspective. </w:t>
      </w:r>
      <w:r>
        <w:rPr>
          <w:rFonts w:ascii="Times New Roman" w:eastAsia="Times New Roman" w:hAnsi="Times New Roman" w:cs="Times New Roman"/>
          <w:i/>
          <w:sz w:val="24"/>
          <w:szCs w:val="24"/>
        </w:rPr>
        <w:t>Journal of Services Marketing</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36</w:t>
      </w:r>
      <w:r>
        <w:rPr>
          <w:rFonts w:ascii="Times New Roman" w:eastAsia="Times New Roman" w:hAnsi="Times New Roman" w:cs="Times New Roman"/>
          <w:sz w:val="24"/>
          <w:szCs w:val="24"/>
        </w:rPr>
        <w:t>(5), pp.658-673.</w:t>
      </w:r>
    </w:p>
    <w:p w14:paraId="39AC4566"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Alvesson, M. and Sveningsson, S., 2015. </w:t>
      </w:r>
      <w:r>
        <w:rPr>
          <w:rFonts w:ascii="Times New Roman" w:eastAsia="Times New Roman" w:hAnsi="Times New Roman" w:cs="Times New Roman"/>
          <w:i/>
          <w:sz w:val="24"/>
          <w:szCs w:val="24"/>
        </w:rPr>
        <w:t>Changing organizational culture: Cultural change work in progress</w:t>
      </w:r>
      <w:r>
        <w:rPr>
          <w:rFonts w:ascii="Times New Roman" w:eastAsia="Times New Roman" w:hAnsi="Times New Roman" w:cs="Times New Roman"/>
          <w:sz w:val="24"/>
          <w:szCs w:val="24"/>
        </w:rPr>
        <w:t>. Routledge.</w:t>
      </w:r>
    </w:p>
    <w:p w14:paraId="20EF3ED6"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Anderson, L.A. and Anderson, D., 2010. </w:t>
      </w:r>
      <w:r>
        <w:rPr>
          <w:rFonts w:ascii="Times New Roman" w:eastAsia="Times New Roman" w:hAnsi="Times New Roman" w:cs="Times New Roman"/>
          <w:i/>
          <w:sz w:val="24"/>
          <w:szCs w:val="24"/>
        </w:rPr>
        <w:t>The change leader's roadmap: How to navigate your organization's transformation</w:t>
      </w:r>
      <w:r>
        <w:rPr>
          <w:rFonts w:ascii="Times New Roman" w:eastAsia="Times New Roman" w:hAnsi="Times New Roman" w:cs="Times New Roman"/>
          <w:sz w:val="24"/>
          <w:szCs w:val="24"/>
        </w:rPr>
        <w:t> (Vol. 384). John Wiley &amp; Sons.</w:t>
      </w:r>
    </w:p>
    <w:p w14:paraId="154A56FC"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Barbosa-McCoy, V., 2016. </w:t>
      </w:r>
      <w:r>
        <w:rPr>
          <w:rFonts w:ascii="Times New Roman" w:eastAsia="Times New Roman" w:hAnsi="Times New Roman" w:cs="Times New Roman"/>
          <w:i/>
          <w:sz w:val="24"/>
          <w:szCs w:val="24"/>
        </w:rPr>
        <w:t>Hotel managers' motivational strategies for enhancing employee performance</w:t>
      </w:r>
      <w:r>
        <w:rPr>
          <w:rFonts w:ascii="Times New Roman" w:eastAsia="Times New Roman" w:hAnsi="Times New Roman" w:cs="Times New Roman"/>
          <w:sz w:val="24"/>
          <w:szCs w:val="24"/>
        </w:rPr>
        <w:t> (Doctoral dissertation, Walden University).</w:t>
      </w:r>
    </w:p>
    <w:p w14:paraId="5FF7C0B6"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Barrella, E.M., 2012. </w:t>
      </w:r>
      <w:r>
        <w:rPr>
          <w:rFonts w:ascii="Times New Roman" w:eastAsia="Times New Roman" w:hAnsi="Times New Roman" w:cs="Times New Roman"/>
          <w:i/>
          <w:sz w:val="24"/>
          <w:szCs w:val="24"/>
        </w:rPr>
        <w:t>Strategic planning for a sustainable transportation system: A SWOT-based framework for assessment and implementation guidance for transportation agencies</w:t>
      </w:r>
      <w:r>
        <w:rPr>
          <w:rFonts w:ascii="Times New Roman" w:eastAsia="Times New Roman" w:hAnsi="Times New Roman" w:cs="Times New Roman"/>
          <w:sz w:val="24"/>
          <w:szCs w:val="24"/>
        </w:rPr>
        <w:t>. Georgia Institute of Technology.</w:t>
      </w:r>
    </w:p>
    <w:p w14:paraId="3EA8E4AD"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Bohns</w:t>
      </w:r>
      <w:proofErr w:type="spellEnd"/>
      <w:r>
        <w:rPr>
          <w:rFonts w:ascii="Times New Roman" w:eastAsia="Times New Roman" w:hAnsi="Times New Roman" w:cs="Times New Roman"/>
          <w:sz w:val="24"/>
          <w:szCs w:val="24"/>
        </w:rPr>
        <w:t xml:space="preserve">, V.K. and Schlund, R., 2020. Consent is an organizational behavior issue. </w:t>
      </w:r>
      <w:r>
        <w:rPr>
          <w:rFonts w:ascii="Times New Roman" w:eastAsia="Times New Roman" w:hAnsi="Times New Roman" w:cs="Times New Roman"/>
          <w:i/>
          <w:sz w:val="24"/>
          <w:szCs w:val="24"/>
        </w:rPr>
        <w:t>Research in Organizational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 p.100138.</w:t>
      </w:r>
    </w:p>
    <w:p w14:paraId="7059A387"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Chapman, J., 2012. </w:t>
      </w:r>
      <w:r>
        <w:rPr>
          <w:rFonts w:ascii="Times New Roman" w:eastAsia="Times New Roman" w:hAnsi="Times New Roman" w:cs="Times New Roman"/>
          <w:i/>
          <w:sz w:val="24"/>
          <w:szCs w:val="24"/>
        </w:rPr>
        <w:t>Ultimate Spa: Asia's Best Spas and Spa Treatments</w:t>
      </w:r>
      <w:r>
        <w:rPr>
          <w:rFonts w:ascii="Times New Roman" w:eastAsia="Times New Roman" w:hAnsi="Times New Roman" w:cs="Times New Roman"/>
          <w:sz w:val="24"/>
          <w:szCs w:val="24"/>
        </w:rPr>
        <w:t>. Tuttle Publishing.</w:t>
      </w:r>
    </w:p>
    <w:p w14:paraId="39E35459"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Chung, J.W.J., 2019</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w:t>
      </w:r>
      <w:proofErr w:type="spellStart"/>
      <w:r>
        <w:rPr>
          <w:rFonts w:ascii="Times New Roman" w:eastAsia="Times New Roman" w:hAnsi="Times New Roman" w:cs="Times New Roman"/>
          <w:i/>
          <w:sz w:val="24"/>
          <w:szCs w:val="24"/>
        </w:rPr>
        <w:t>ArtAsiaPacific</w:t>
      </w:r>
      <w:proofErr w:type="spellEnd"/>
      <w:r>
        <w:rPr>
          <w:rFonts w:ascii="Times New Roman" w:eastAsia="Times New Roman" w:hAnsi="Times New Roman" w:cs="Times New Roman"/>
          <w:i/>
          <w:sz w:val="24"/>
          <w:szCs w:val="24"/>
        </w:rPr>
        <w:t xml:space="preserve"> Almanac</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 p.142.</w:t>
      </w:r>
    </w:p>
    <w:p w14:paraId="6127C028"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Ciuba, A., 2023. A conceptual Framework of Objectives and Key Results (OKRs) for Achieving Sustainability Goals in Organizations. Literature Review.</w:t>
      </w:r>
    </w:p>
    <w:p w14:paraId="4D03B8F7"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Coelho, B.M., 2022. </w:t>
      </w:r>
      <w:r>
        <w:rPr>
          <w:rFonts w:ascii="Times New Roman" w:eastAsia="Times New Roman" w:hAnsi="Times New Roman" w:cs="Times New Roman"/>
          <w:i/>
          <w:sz w:val="24"/>
          <w:szCs w:val="24"/>
        </w:rPr>
        <w:t xml:space="preserve">Can customer relationship management help </w:t>
      </w:r>
      <w:proofErr w:type="gramStart"/>
      <w:r>
        <w:rPr>
          <w:rFonts w:ascii="Times New Roman" w:eastAsia="Times New Roman" w:hAnsi="Times New Roman" w:cs="Times New Roman"/>
          <w:i/>
          <w:sz w:val="24"/>
          <w:szCs w:val="24"/>
        </w:rPr>
        <w:t>maximizing</w:t>
      </w:r>
      <w:proofErr w:type="gramEnd"/>
      <w:r>
        <w:rPr>
          <w:rFonts w:ascii="Times New Roman" w:eastAsia="Times New Roman" w:hAnsi="Times New Roman" w:cs="Times New Roman"/>
          <w:i/>
          <w:sz w:val="24"/>
          <w:szCs w:val="24"/>
        </w:rPr>
        <w:t xml:space="preserve"> revenue management? </w:t>
      </w:r>
      <w:proofErr w:type="gramStart"/>
      <w:r>
        <w:rPr>
          <w:rFonts w:ascii="Times New Roman" w:eastAsia="Times New Roman" w:hAnsi="Times New Roman" w:cs="Times New Roman"/>
          <w:i/>
          <w:sz w:val="24"/>
          <w:szCs w:val="24"/>
        </w:rPr>
        <w:t>internship</w:t>
      </w:r>
      <w:proofErr w:type="gramEnd"/>
      <w:r>
        <w:rPr>
          <w:rFonts w:ascii="Times New Roman" w:eastAsia="Times New Roman" w:hAnsi="Times New Roman" w:cs="Times New Roman"/>
          <w:i/>
          <w:sz w:val="24"/>
          <w:szCs w:val="24"/>
        </w:rPr>
        <w:t xml:space="preserve"> at ap hotels &amp; resorts</w:t>
      </w:r>
      <w:r>
        <w:rPr>
          <w:rFonts w:ascii="Times New Roman" w:eastAsia="Times New Roman" w:hAnsi="Times New Roman" w:cs="Times New Roman"/>
          <w:sz w:val="24"/>
          <w:szCs w:val="24"/>
        </w:rPr>
        <w:t xml:space="preserve"> (Doctoral dissertation).</w:t>
      </w:r>
    </w:p>
    <w:p w14:paraId="22DBADEE"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Dandage</w:t>
      </w:r>
      <w:proofErr w:type="spellEnd"/>
      <w:r>
        <w:rPr>
          <w:rFonts w:ascii="Times New Roman" w:eastAsia="Times New Roman" w:hAnsi="Times New Roman" w:cs="Times New Roman"/>
          <w:sz w:val="24"/>
          <w:szCs w:val="24"/>
        </w:rPr>
        <w:t xml:space="preserve">, R.V., Mantha, </w:t>
      </w:r>
      <w:proofErr w:type="gramStart"/>
      <w:r>
        <w:rPr>
          <w:rFonts w:ascii="Times New Roman" w:eastAsia="Times New Roman" w:hAnsi="Times New Roman" w:cs="Times New Roman"/>
          <w:sz w:val="24"/>
          <w:szCs w:val="24"/>
        </w:rPr>
        <w:t>S.S.</w:t>
      </w:r>
      <w:proofErr w:type="gramEnd"/>
      <w:r>
        <w:rPr>
          <w:rFonts w:ascii="Times New Roman" w:eastAsia="Times New Roman" w:hAnsi="Times New Roman" w:cs="Times New Roman"/>
          <w:sz w:val="24"/>
          <w:szCs w:val="24"/>
        </w:rPr>
        <w:t xml:space="preserve"> and Rane, S.B., 2019. Strategy development using TOWS matrix for international project risk management based on prioritization of risk categories. </w:t>
      </w:r>
      <w:r>
        <w:rPr>
          <w:rFonts w:ascii="Times New Roman" w:eastAsia="Times New Roman" w:hAnsi="Times New Roman" w:cs="Times New Roman"/>
          <w:i/>
          <w:sz w:val="24"/>
          <w:szCs w:val="24"/>
        </w:rPr>
        <w:t>International Journal of Managing Projects in Business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(4), pp.1003-1029.</w:t>
      </w:r>
    </w:p>
    <w:p w14:paraId="60AC40E7"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De Silva, U.J., 2023. EMPLOYEE MOTIVATION AND PERFORMANCE.</w:t>
      </w:r>
    </w:p>
    <w:p w14:paraId="4B42B5A9"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Dillette</w:t>
      </w:r>
      <w:proofErr w:type="spellEnd"/>
      <w:r>
        <w:rPr>
          <w:rFonts w:ascii="Times New Roman" w:eastAsia="Times New Roman" w:hAnsi="Times New Roman" w:cs="Times New Roman"/>
          <w:sz w:val="24"/>
          <w:szCs w:val="24"/>
        </w:rPr>
        <w:t xml:space="preserve">, A.K., Douglas, A.C. and Andrzejewski, C., 2021. Dimensions of holistic wellness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international wellness tourism experiences. </w:t>
      </w:r>
      <w:r>
        <w:rPr>
          <w:rFonts w:ascii="Times New Roman" w:eastAsia="Times New Roman" w:hAnsi="Times New Roman" w:cs="Times New Roman"/>
          <w:i/>
          <w:sz w:val="24"/>
          <w:szCs w:val="24"/>
        </w:rPr>
        <w:t>Current Issues in Tourism</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(6), pp.794-810.</w:t>
      </w:r>
    </w:p>
    <w:p w14:paraId="593FE2C5"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Doorly, V.B., 2020. </w:t>
      </w:r>
      <w:r>
        <w:rPr>
          <w:rFonts w:ascii="Times New Roman" w:eastAsia="Times New Roman" w:hAnsi="Times New Roman" w:cs="Times New Roman"/>
          <w:i/>
          <w:sz w:val="24"/>
          <w:szCs w:val="24"/>
        </w:rPr>
        <w:t>Megatrends defining the future of tourism: A Journey Within the Journey in 12 Universal Truths</w:t>
      </w:r>
      <w:r>
        <w:rPr>
          <w:rFonts w:ascii="Times New Roman" w:eastAsia="Times New Roman" w:hAnsi="Times New Roman" w:cs="Times New Roman"/>
          <w:sz w:val="24"/>
          <w:szCs w:val="24"/>
        </w:rPr>
        <w:t> (Vol. 6). Springer Nature.</w:t>
      </w:r>
    </w:p>
    <w:p w14:paraId="02EB7942"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Errida</w:t>
      </w:r>
      <w:proofErr w:type="spellEnd"/>
      <w:r>
        <w:rPr>
          <w:rFonts w:ascii="Times New Roman" w:eastAsia="Times New Roman" w:hAnsi="Times New Roman" w:cs="Times New Roman"/>
          <w:sz w:val="24"/>
          <w:szCs w:val="24"/>
        </w:rPr>
        <w:t>, A. and Lotfi, B., 2021. The determinants of organizational change management success: Literature review and case study. </w:t>
      </w:r>
      <w:r>
        <w:rPr>
          <w:rFonts w:ascii="Times New Roman" w:eastAsia="Times New Roman" w:hAnsi="Times New Roman" w:cs="Times New Roman"/>
          <w:i/>
          <w:sz w:val="24"/>
          <w:szCs w:val="24"/>
        </w:rPr>
        <w:t>International Journal of Engineering Business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 p.18479790211016273.</w:t>
      </w:r>
    </w:p>
    <w:p w14:paraId="1E979CB7"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Gianforte, J.J., 2007. Change management.</w:t>
      </w:r>
    </w:p>
    <w:p w14:paraId="3963D3C0"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Giglio, J.M., Friar, J.H. and Crittenden, W.F., 2018. Integrating lifecycle asset management in the public sector. </w:t>
      </w:r>
      <w:r>
        <w:rPr>
          <w:rFonts w:ascii="Times New Roman" w:eastAsia="Times New Roman" w:hAnsi="Times New Roman" w:cs="Times New Roman"/>
          <w:i/>
          <w:sz w:val="24"/>
          <w:szCs w:val="24"/>
        </w:rPr>
        <w:t>Business Horizons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61</w:t>
      </w:r>
      <w:r>
        <w:rPr>
          <w:rFonts w:ascii="Times New Roman" w:eastAsia="Times New Roman" w:hAnsi="Times New Roman" w:cs="Times New Roman"/>
          <w:sz w:val="24"/>
          <w:szCs w:val="24"/>
        </w:rPr>
        <w:t>(4), pp.511-519.</w:t>
      </w:r>
    </w:p>
    <w:p w14:paraId="45BF513B"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Glusac</w:t>
      </w:r>
      <w:proofErr w:type="spellEnd"/>
      <w:r>
        <w:rPr>
          <w:rFonts w:ascii="Times New Roman" w:eastAsia="Times New Roman" w:hAnsi="Times New Roman" w:cs="Times New Roman"/>
          <w:sz w:val="24"/>
          <w:szCs w:val="24"/>
        </w:rPr>
        <w:t>, E., 2018. Culture and Conservation Beneath the Sea. </w:t>
      </w:r>
      <w:r>
        <w:rPr>
          <w:rFonts w:ascii="Times New Roman" w:eastAsia="Times New Roman" w:hAnsi="Times New Roman" w:cs="Times New Roman"/>
          <w:i/>
          <w:sz w:val="24"/>
          <w:szCs w:val="24"/>
        </w:rPr>
        <w:t>International New York Times</w:t>
      </w:r>
      <w:r>
        <w:rPr>
          <w:rFonts w:ascii="Times New Roman" w:eastAsia="Times New Roman" w:hAnsi="Times New Roman" w:cs="Times New Roman"/>
          <w:sz w:val="24"/>
          <w:szCs w:val="24"/>
        </w:rPr>
        <w:t>, pp.NA-NA.</w:t>
      </w:r>
    </w:p>
    <w:p w14:paraId="579C0E29"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Green, B., 2006. </w:t>
      </w:r>
      <w:r>
        <w:rPr>
          <w:rFonts w:ascii="Times New Roman" w:eastAsia="Times New Roman" w:hAnsi="Times New Roman" w:cs="Times New Roman"/>
          <w:i/>
          <w:sz w:val="24"/>
          <w:szCs w:val="24"/>
        </w:rPr>
        <w:t>Marketing to leading-edge baby boomers: Perceptions, principles, practices, predictions</w:t>
      </w:r>
      <w:r>
        <w:rPr>
          <w:rFonts w:ascii="Times New Roman" w:eastAsia="Times New Roman" w:hAnsi="Times New Roman" w:cs="Times New Roman"/>
          <w:sz w:val="24"/>
          <w:szCs w:val="24"/>
        </w:rPr>
        <w:t>. Paramount Market Publishing.</w:t>
      </w:r>
    </w:p>
    <w:p w14:paraId="18D830E9"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Grol</w:t>
      </w:r>
      <w:proofErr w:type="spellEnd"/>
      <w:r>
        <w:rPr>
          <w:rFonts w:ascii="Times New Roman" w:eastAsia="Times New Roman" w:hAnsi="Times New Roman" w:cs="Times New Roman"/>
          <w:sz w:val="24"/>
          <w:szCs w:val="24"/>
        </w:rPr>
        <w:t>, R., Wensing, M., Eccles, M. and Davis, D. eds., 2013. </w:t>
      </w:r>
      <w:r>
        <w:rPr>
          <w:rFonts w:ascii="Times New Roman" w:eastAsia="Times New Roman" w:hAnsi="Times New Roman" w:cs="Times New Roman"/>
          <w:i/>
          <w:sz w:val="24"/>
          <w:szCs w:val="24"/>
        </w:rPr>
        <w:t xml:space="preserve">Improving patient care: the implementation of </w:t>
      </w:r>
      <w:proofErr w:type="gramStart"/>
      <w:r>
        <w:rPr>
          <w:rFonts w:ascii="Times New Roman" w:eastAsia="Times New Roman" w:hAnsi="Times New Roman" w:cs="Times New Roman"/>
          <w:i/>
          <w:sz w:val="24"/>
          <w:szCs w:val="24"/>
        </w:rPr>
        <w:t>change</w:t>
      </w:r>
      <w:proofErr w:type="gramEnd"/>
      <w:r>
        <w:rPr>
          <w:rFonts w:ascii="Times New Roman" w:eastAsia="Times New Roman" w:hAnsi="Times New Roman" w:cs="Times New Roman"/>
          <w:i/>
          <w:sz w:val="24"/>
          <w:szCs w:val="24"/>
        </w:rPr>
        <w:t xml:space="preserve"> in health care</w:t>
      </w:r>
      <w:r>
        <w:rPr>
          <w:rFonts w:ascii="Times New Roman" w:eastAsia="Times New Roman" w:hAnsi="Times New Roman" w:cs="Times New Roman"/>
          <w:sz w:val="24"/>
          <w:szCs w:val="24"/>
        </w:rPr>
        <w:t>. John Wiley &amp; Sons.</w:t>
      </w:r>
    </w:p>
    <w:p w14:paraId="38D91158"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Hattingh, C., 2023. " Barking up the right tree"-segmenting post-modern LGBT nightclub visitors in Cape Town, South Africa.</w:t>
      </w:r>
    </w:p>
    <w:p w14:paraId="7A7B275F"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Hermansson, C., 2012. Global Economic Outlook. </w:t>
      </w:r>
      <w:r>
        <w:rPr>
          <w:rFonts w:ascii="Times New Roman" w:eastAsia="Times New Roman" w:hAnsi="Times New Roman" w:cs="Times New Roman"/>
          <w:i/>
          <w:sz w:val="24"/>
          <w:szCs w:val="24"/>
        </w:rPr>
        <w:t>Retrieved from</w:t>
      </w:r>
      <w:r>
        <w:rPr>
          <w:rFonts w:ascii="Times New Roman" w:eastAsia="Times New Roman" w:hAnsi="Times New Roman" w:cs="Times New Roman"/>
          <w:sz w:val="24"/>
          <w:szCs w:val="24"/>
        </w:rPr>
        <w:t>.</w:t>
      </w:r>
    </w:p>
    <w:p w14:paraId="61A24F83"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James IV, C., 2016. </w:t>
      </w:r>
      <w:r>
        <w:rPr>
          <w:rFonts w:ascii="Times New Roman" w:eastAsia="Times New Roman" w:hAnsi="Times New Roman" w:cs="Times New Roman"/>
          <w:i/>
          <w:sz w:val="24"/>
          <w:szCs w:val="24"/>
        </w:rPr>
        <w:t>Exploring strategies to gain frontline employee buy-in during change initiatives in manufacturing</w:t>
      </w:r>
      <w:r>
        <w:rPr>
          <w:rFonts w:ascii="Times New Roman" w:eastAsia="Times New Roman" w:hAnsi="Times New Roman" w:cs="Times New Roman"/>
          <w:sz w:val="24"/>
          <w:szCs w:val="24"/>
        </w:rPr>
        <w:t> (Doctoral dissertation, Walden University).</w:t>
      </w:r>
    </w:p>
    <w:p w14:paraId="2AD132ED"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J., Whittington, R., </w:t>
      </w:r>
      <w:proofErr w:type="spellStart"/>
      <w:r>
        <w:rPr>
          <w:rFonts w:ascii="Times New Roman" w:eastAsia="Times New Roman" w:hAnsi="Times New Roman" w:cs="Times New Roman"/>
          <w:sz w:val="24"/>
          <w:szCs w:val="24"/>
        </w:rPr>
        <w:t>Regnér</w:t>
      </w:r>
      <w:proofErr w:type="spellEnd"/>
      <w:r>
        <w:rPr>
          <w:rFonts w:ascii="Times New Roman" w:eastAsia="Times New Roman" w:hAnsi="Times New Roman" w:cs="Times New Roman"/>
          <w:sz w:val="24"/>
          <w:szCs w:val="24"/>
        </w:rPr>
        <w:t>, P., Angwin, D., Johnson, G. and Scholes, K., 2020. </w:t>
      </w:r>
      <w:r>
        <w:rPr>
          <w:rFonts w:ascii="Times New Roman" w:eastAsia="Times New Roman" w:hAnsi="Times New Roman" w:cs="Times New Roman"/>
          <w:i/>
          <w:sz w:val="24"/>
          <w:szCs w:val="24"/>
        </w:rPr>
        <w:t>Exploring strategy</w:t>
      </w:r>
      <w:r>
        <w:rPr>
          <w:rFonts w:ascii="Times New Roman" w:eastAsia="Times New Roman" w:hAnsi="Times New Roman" w:cs="Times New Roman"/>
          <w:sz w:val="24"/>
          <w:szCs w:val="24"/>
        </w:rPr>
        <w:t>. Pearson UK.</w:t>
      </w:r>
    </w:p>
    <w:p w14:paraId="369B7BE0"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Kamenkova</w:t>
      </w:r>
      <w:proofErr w:type="spellEnd"/>
      <w:r>
        <w:rPr>
          <w:rFonts w:ascii="Times New Roman" w:eastAsia="Times New Roman" w:hAnsi="Times New Roman" w:cs="Times New Roman"/>
          <w:sz w:val="24"/>
          <w:szCs w:val="24"/>
        </w:rPr>
        <w:t xml:space="preserve">, V. and </w:t>
      </w:r>
      <w:proofErr w:type="spellStart"/>
      <w:r>
        <w:rPr>
          <w:rFonts w:ascii="Times New Roman" w:eastAsia="Times New Roman" w:hAnsi="Times New Roman" w:cs="Times New Roman"/>
          <w:sz w:val="24"/>
          <w:szCs w:val="24"/>
        </w:rPr>
        <w:t>Senkova</w:t>
      </w:r>
      <w:proofErr w:type="spellEnd"/>
      <w:r>
        <w:rPr>
          <w:rFonts w:ascii="Times New Roman" w:eastAsia="Times New Roman" w:hAnsi="Times New Roman" w:cs="Times New Roman"/>
          <w:sz w:val="24"/>
          <w:szCs w:val="24"/>
        </w:rPr>
        <w:t>, K., 2020. MARKETING STRATEGY FOR ATTRACTING RUSSIAN CUSTOMERS. CASE: LIETSU HOTEL.</w:t>
      </w:r>
    </w:p>
    <w:p w14:paraId="05EC08AF"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Kerzner, H., 2018. </w:t>
      </w:r>
      <w:r>
        <w:rPr>
          <w:rFonts w:ascii="Times New Roman" w:eastAsia="Times New Roman" w:hAnsi="Times New Roman" w:cs="Times New Roman"/>
          <w:i/>
          <w:sz w:val="24"/>
          <w:szCs w:val="24"/>
        </w:rPr>
        <w:t>Project management best practices: Achieving global excellence</w:t>
      </w:r>
      <w:r>
        <w:rPr>
          <w:rFonts w:ascii="Times New Roman" w:eastAsia="Times New Roman" w:hAnsi="Times New Roman" w:cs="Times New Roman"/>
          <w:sz w:val="24"/>
          <w:szCs w:val="24"/>
        </w:rPr>
        <w:t>. John Wiley &amp; Sons.</w:t>
      </w:r>
    </w:p>
    <w:p w14:paraId="4B15DFEA"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Khan, B.H., 2015. Introduction to e-learning. </w:t>
      </w:r>
      <w:r>
        <w:rPr>
          <w:rFonts w:ascii="Times New Roman" w:eastAsia="Times New Roman" w:hAnsi="Times New Roman" w:cs="Times New Roman"/>
          <w:i/>
          <w:sz w:val="24"/>
          <w:szCs w:val="24"/>
        </w:rPr>
        <w:t>International handbook of e-learning</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 pp.1-40.</w:t>
      </w:r>
    </w:p>
    <w:p w14:paraId="213BF2A5"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Kumar, R., Rani, S. and Khangura, S.S. eds., 2023. </w:t>
      </w:r>
      <w:r>
        <w:rPr>
          <w:rFonts w:ascii="Times New Roman" w:eastAsia="Times New Roman" w:hAnsi="Times New Roman" w:cs="Times New Roman"/>
          <w:i/>
          <w:sz w:val="24"/>
          <w:szCs w:val="24"/>
        </w:rPr>
        <w:t>Machine Learning for Sustainable Manufacturing in Industry 4.0: Concept, Concerns and Applications</w:t>
      </w:r>
      <w:r>
        <w:rPr>
          <w:rFonts w:ascii="Times New Roman" w:eastAsia="Times New Roman" w:hAnsi="Times New Roman" w:cs="Times New Roman"/>
          <w:sz w:val="24"/>
          <w:szCs w:val="24"/>
        </w:rPr>
        <w:t>. CRC Press.</w:t>
      </w:r>
    </w:p>
    <w:p w14:paraId="13D8673B"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Kusiák</w:t>
      </w:r>
      <w:proofErr w:type="spellEnd"/>
      <w:r>
        <w:rPr>
          <w:rFonts w:ascii="Times New Roman" w:eastAsia="Times New Roman" w:hAnsi="Times New Roman" w:cs="Times New Roman"/>
          <w:sz w:val="24"/>
          <w:szCs w:val="24"/>
        </w:rPr>
        <w:t xml:space="preserve">, Á., 2020. Eco-labels and their influence on </w:t>
      </w:r>
      <w:proofErr w:type="spellStart"/>
      <w:proofErr w:type="gramStart"/>
      <w:r>
        <w:rPr>
          <w:rFonts w:ascii="Times New Roman" w:eastAsia="Times New Roman" w:hAnsi="Times New Roman" w:cs="Times New Roman"/>
          <w:sz w:val="24"/>
          <w:szCs w:val="24"/>
        </w:rPr>
        <w:t>travellers</w:t>
      </w:r>
      <w:proofErr w:type="spellEnd"/>
      <w:proofErr w:type="gramEnd"/>
      <w:r>
        <w:rPr>
          <w:rFonts w:ascii="Times New Roman" w:eastAsia="Times New Roman" w:hAnsi="Times New Roman" w:cs="Times New Roman"/>
          <w:sz w:val="24"/>
          <w:szCs w:val="24"/>
        </w:rPr>
        <w:t xml:space="preserve"> accommodation choices.</w:t>
      </w:r>
    </w:p>
    <w:p w14:paraId="6FFCFA41"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Lagun, K., 2023. THE ROLE OF ECO-FRIENDLY HOTELS TOWARDS SUSTAINABILITY-AN INITIATIVE FROM THE HOSPITALITY SECTOR.</w:t>
      </w:r>
    </w:p>
    <w:p w14:paraId="571975D0"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Mann, R., Adebanjo, D. and Tickle, M., 2011. Deployment of business excellence in Asia: An exploratory study. </w:t>
      </w:r>
      <w:r>
        <w:rPr>
          <w:rFonts w:ascii="Times New Roman" w:eastAsia="Times New Roman" w:hAnsi="Times New Roman" w:cs="Times New Roman"/>
          <w:i/>
          <w:sz w:val="24"/>
          <w:szCs w:val="24"/>
        </w:rPr>
        <w:t>International journal of Quality &amp; reliability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(6), pp.604-627.</w:t>
      </w:r>
    </w:p>
    <w:p w14:paraId="06C9A37A"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Mansaray, H.E., 2019. The role of leadership style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change management: a literature review. </w:t>
      </w:r>
      <w:r>
        <w:rPr>
          <w:rFonts w:ascii="Times New Roman" w:eastAsia="Times New Roman" w:hAnsi="Times New Roman" w:cs="Times New Roman"/>
          <w:i/>
          <w:sz w:val="24"/>
          <w:szCs w:val="24"/>
        </w:rPr>
        <w:t>Journal of Human Resource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pp.18-31.</w:t>
      </w:r>
    </w:p>
    <w:p w14:paraId="00913CEA"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Mody, M. and Juan, M., </w:t>
      </w:r>
      <w:proofErr w:type="gramStart"/>
      <w:r>
        <w:rPr>
          <w:rFonts w:ascii="Times New Roman" w:eastAsia="Times New Roman" w:hAnsi="Times New Roman" w:cs="Times New Roman"/>
          <w:sz w:val="24"/>
          <w:szCs w:val="24"/>
        </w:rPr>
        <w:t>Airbnb</w:t>
      </w:r>
      <w:proofErr w:type="gramEnd"/>
      <w:r>
        <w:rPr>
          <w:rFonts w:ascii="Times New Roman" w:eastAsia="Times New Roman" w:hAnsi="Times New Roman" w:cs="Times New Roman"/>
          <w:sz w:val="24"/>
          <w:szCs w:val="24"/>
        </w:rPr>
        <w:t xml:space="preserve"> and the Hotel Industry: The Past, Present, additionally Our of Sales, Marketing, Branding, and Revenue Management.</w:t>
      </w:r>
    </w:p>
    <w:p w14:paraId="5EDA9C52"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Mohamed, T.Z.F., 2017. Geo-service Industry Analysis: Scanning Challenges and Opportunities for Sustainable Asia-Pacific. </w:t>
      </w:r>
      <w:r>
        <w:rPr>
          <w:rFonts w:ascii="Times New Roman" w:eastAsia="Times New Roman" w:hAnsi="Times New Roman" w:cs="Times New Roman"/>
          <w:i/>
          <w:sz w:val="24"/>
          <w:szCs w:val="24"/>
        </w:rPr>
        <w:t xml:space="preserve">Journal of Business and </w:t>
      </w:r>
      <w:proofErr w:type="spellStart"/>
      <w:r>
        <w:rPr>
          <w:rFonts w:ascii="Times New Roman" w:eastAsia="Times New Roman" w:hAnsi="Times New Roman" w:cs="Times New Roman"/>
          <w:i/>
          <w:sz w:val="24"/>
          <w:szCs w:val="24"/>
        </w:rPr>
        <w:t>Behavioural</w:t>
      </w:r>
      <w:proofErr w:type="spellEnd"/>
      <w:r>
        <w:rPr>
          <w:rFonts w:ascii="Times New Roman" w:eastAsia="Times New Roman" w:hAnsi="Times New Roman" w:cs="Times New Roman"/>
          <w:i/>
          <w:sz w:val="24"/>
          <w:szCs w:val="24"/>
        </w:rPr>
        <w:t xml:space="preserve"> Entrepreneurship</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pp.50-58.</w:t>
      </w:r>
    </w:p>
    <w:p w14:paraId="03ABE24A"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Neacşu, M.C., </w:t>
      </w:r>
      <w:proofErr w:type="spellStart"/>
      <w:r>
        <w:rPr>
          <w:rFonts w:ascii="Times New Roman" w:eastAsia="Times New Roman" w:hAnsi="Times New Roman" w:cs="Times New Roman"/>
          <w:sz w:val="24"/>
          <w:szCs w:val="24"/>
        </w:rPr>
        <w:t>Neguţ</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Vlăsceanu</w:t>
      </w:r>
      <w:proofErr w:type="spellEnd"/>
      <w:r>
        <w:rPr>
          <w:rFonts w:ascii="Times New Roman" w:eastAsia="Times New Roman" w:hAnsi="Times New Roman" w:cs="Times New Roman"/>
          <w:sz w:val="24"/>
          <w:szCs w:val="24"/>
        </w:rPr>
        <w:t>, G., 2018. The impact of geopolitical risks on tourism. </w:t>
      </w:r>
      <w:proofErr w:type="spellStart"/>
      <w:r>
        <w:rPr>
          <w:rFonts w:ascii="Times New Roman" w:eastAsia="Times New Roman" w:hAnsi="Times New Roman" w:cs="Times New Roman"/>
          <w:i/>
          <w:sz w:val="24"/>
          <w:szCs w:val="24"/>
        </w:rPr>
        <w:t>Amfiteatru</w:t>
      </w:r>
      <w:proofErr w:type="spellEnd"/>
      <w:r>
        <w:rPr>
          <w:rFonts w:ascii="Times New Roman" w:eastAsia="Times New Roman" w:hAnsi="Times New Roman" w:cs="Times New Roman"/>
          <w:i/>
          <w:sz w:val="24"/>
          <w:szCs w:val="24"/>
        </w:rPr>
        <w:t xml:space="preserve"> Economic</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(12), pp.870-884.</w:t>
      </w:r>
    </w:p>
    <w:p w14:paraId="7414F06B"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Özkan, P., Süer, S., Keser, İ.K. and </w:t>
      </w:r>
      <w:proofErr w:type="spellStart"/>
      <w:r>
        <w:rPr>
          <w:rFonts w:ascii="Times New Roman" w:eastAsia="Times New Roman" w:hAnsi="Times New Roman" w:cs="Times New Roman"/>
          <w:sz w:val="24"/>
          <w:szCs w:val="24"/>
        </w:rPr>
        <w:t>Kocakoç</w:t>
      </w:r>
      <w:proofErr w:type="spellEnd"/>
      <w:r>
        <w:rPr>
          <w:rFonts w:ascii="Times New Roman" w:eastAsia="Times New Roman" w:hAnsi="Times New Roman" w:cs="Times New Roman"/>
          <w:sz w:val="24"/>
          <w:szCs w:val="24"/>
        </w:rPr>
        <w:t xml:space="preserve">, İ.D., 2020. The effect of service quality and customer satisfaction on customer loyalty: The mediation of perceived value of services, corporate image, and corporate reputation. </w:t>
      </w:r>
      <w:r>
        <w:rPr>
          <w:rFonts w:ascii="Times New Roman" w:eastAsia="Times New Roman" w:hAnsi="Times New Roman" w:cs="Times New Roman"/>
          <w:i/>
          <w:sz w:val="24"/>
          <w:szCs w:val="24"/>
        </w:rPr>
        <w:t>International Journal of Bank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38</w:t>
      </w:r>
      <w:r>
        <w:rPr>
          <w:rFonts w:ascii="Times New Roman" w:eastAsia="Times New Roman" w:hAnsi="Times New Roman" w:cs="Times New Roman"/>
          <w:sz w:val="24"/>
          <w:szCs w:val="24"/>
        </w:rPr>
        <w:t>(2), pp.384-405.</w:t>
      </w:r>
    </w:p>
    <w:p w14:paraId="62583A45"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Pike, S., 2015. </w:t>
      </w:r>
      <w:r>
        <w:rPr>
          <w:rFonts w:ascii="Times New Roman" w:eastAsia="Times New Roman" w:hAnsi="Times New Roman" w:cs="Times New Roman"/>
          <w:i/>
          <w:sz w:val="24"/>
          <w:szCs w:val="24"/>
        </w:rPr>
        <w:t>Destination marketing: essentials</w:t>
      </w:r>
      <w:r>
        <w:rPr>
          <w:rFonts w:ascii="Times New Roman" w:eastAsia="Times New Roman" w:hAnsi="Times New Roman" w:cs="Times New Roman"/>
          <w:sz w:val="24"/>
          <w:szCs w:val="24"/>
        </w:rPr>
        <w:t>. Routledge.</w:t>
      </w:r>
    </w:p>
    <w:p w14:paraId="6DC05D94"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Ravanavar</w:t>
      </w:r>
      <w:proofErr w:type="spellEnd"/>
      <w:r>
        <w:rPr>
          <w:rFonts w:ascii="Times New Roman" w:eastAsia="Times New Roman" w:hAnsi="Times New Roman" w:cs="Times New Roman"/>
          <w:sz w:val="24"/>
          <w:szCs w:val="24"/>
        </w:rPr>
        <w:t xml:space="preserve">, G.M. and </w:t>
      </w:r>
      <w:proofErr w:type="spellStart"/>
      <w:r>
        <w:rPr>
          <w:rFonts w:ascii="Times New Roman" w:eastAsia="Times New Roman" w:hAnsi="Times New Roman" w:cs="Times New Roman"/>
          <w:sz w:val="24"/>
          <w:szCs w:val="24"/>
        </w:rPr>
        <w:t>Charantimath</w:t>
      </w:r>
      <w:proofErr w:type="spellEnd"/>
      <w:r>
        <w:rPr>
          <w:rFonts w:ascii="Times New Roman" w:eastAsia="Times New Roman" w:hAnsi="Times New Roman" w:cs="Times New Roman"/>
          <w:sz w:val="24"/>
          <w:szCs w:val="24"/>
        </w:rPr>
        <w:t>, P.M., 2012. Strategic formulation using tows matrix–A Case Study. </w:t>
      </w:r>
      <w:r>
        <w:rPr>
          <w:rFonts w:ascii="Times New Roman" w:eastAsia="Times New Roman" w:hAnsi="Times New Roman" w:cs="Times New Roman"/>
          <w:i/>
          <w:sz w:val="24"/>
          <w:szCs w:val="24"/>
        </w:rPr>
        <w:t>International Journal of Research and Development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pp.87-90.</w:t>
      </w:r>
    </w:p>
    <w:p w14:paraId="07D2E1EB"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Rescalvo-Martin, E., Gutierrez-Gutierrez, </w:t>
      </w:r>
      <w:proofErr w:type="gramStart"/>
      <w:r>
        <w:rPr>
          <w:rFonts w:ascii="Times New Roman" w:eastAsia="Times New Roman" w:hAnsi="Times New Roman" w:cs="Times New Roman"/>
          <w:sz w:val="24"/>
          <w:szCs w:val="24"/>
        </w:rPr>
        <w:t>L.</w:t>
      </w:r>
      <w:proofErr w:type="gramEnd"/>
      <w:r>
        <w:rPr>
          <w:rFonts w:ascii="Times New Roman" w:eastAsia="Times New Roman" w:hAnsi="Times New Roman" w:cs="Times New Roman"/>
          <w:sz w:val="24"/>
          <w:szCs w:val="24"/>
        </w:rPr>
        <w:t xml:space="preserve"> and Llorens-Montes, F.J., 2021. The effect of paradoxical leadership on extra-role service in the hospitality industry.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(10), pp.3661-3684.</w:t>
      </w:r>
    </w:p>
    <w:p w14:paraId="40319E42"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Sadhale</w:t>
      </w:r>
      <w:proofErr w:type="spellEnd"/>
      <w:r>
        <w:rPr>
          <w:rFonts w:ascii="Times New Roman" w:eastAsia="Times New Roman" w:hAnsi="Times New Roman" w:cs="Times New Roman"/>
          <w:sz w:val="24"/>
          <w:szCs w:val="24"/>
        </w:rPr>
        <w:t xml:space="preserve">, M.V., 2023. </w:t>
      </w:r>
      <w:r>
        <w:rPr>
          <w:rFonts w:ascii="Times New Roman" w:eastAsia="Times New Roman" w:hAnsi="Times New Roman" w:cs="Times New Roman"/>
          <w:i/>
          <w:sz w:val="24"/>
          <w:szCs w:val="24"/>
        </w:rPr>
        <w:t xml:space="preserve">A study of customer engagement as a business strategy with reference to </w:t>
      </w:r>
      <w:proofErr w:type="gramStart"/>
      <w:r>
        <w:rPr>
          <w:rFonts w:ascii="Times New Roman" w:eastAsia="Times New Roman" w:hAnsi="Times New Roman" w:cs="Times New Roman"/>
          <w:i/>
          <w:sz w:val="24"/>
          <w:szCs w:val="24"/>
        </w:rPr>
        <w:t>five star</w:t>
      </w:r>
      <w:proofErr w:type="gramEnd"/>
      <w:r>
        <w:rPr>
          <w:rFonts w:ascii="Times New Roman" w:eastAsia="Times New Roman" w:hAnsi="Times New Roman" w:cs="Times New Roman"/>
          <w:i/>
          <w:sz w:val="24"/>
          <w:szCs w:val="24"/>
        </w:rPr>
        <w:t xml:space="preserve"> hotels in </w:t>
      </w:r>
      <w:proofErr w:type="spellStart"/>
      <w:r>
        <w:rPr>
          <w:rFonts w:ascii="Times New Roman" w:eastAsia="Times New Roman" w:hAnsi="Times New Roman" w:cs="Times New Roman"/>
          <w:i/>
          <w:sz w:val="24"/>
          <w:szCs w:val="24"/>
        </w:rPr>
        <w:t>pune</w:t>
      </w:r>
      <w:proofErr w:type="spellEnd"/>
      <w:r>
        <w:rPr>
          <w:rFonts w:ascii="Times New Roman" w:eastAsia="Times New Roman" w:hAnsi="Times New Roman" w:cs="Times New Roman"/>
          <w:i/>
          <w:sz w:val="24"/>
          <w:szCs w:val="24"/>
        </w:rPr>
        <w:t xml:space="preserve"> city</w:t>
      </w:r>
      <w:r>
        <w:rPr>
          <w:rFonts w:ascii="Times New Roman" w:eastAsia="Times New Roman" w:hAnsi="Times New Roman" w:cs="Times New Roman"/>
          <w:sz w:val="24"/>
          <w:szCs w:val="24"/>
        </w:rPr>
        <w:t xml:space="preserve"> (Doctoral dissertation, Tilak Maharashtra Vidyapeeth).</w:t>
      </w:r>
    </w:p>
    <w:p w14:paraId="4A91120F"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Sallam, K., Mohamed, </w:t>
      </w:r>
      <w:proofErr w:type="gramStart"/>
      <w:r>
        <w:rPr>
          <w:rFonts w:ascii="Times New Roman" w:eastAsia="Times New Roman" w:hAnsi="Times New Roman" w:cs="Times New Roman"/>
          <w:sz w:val="24"/>
          <w:szCs w:val="24"/>
        </w:rPr>
        <w:t>M.</w:t>
      </w:r>
      <w:proofErr w:type="gramEnd"/>
      <w:r>
        <w:rPr>
          <w:rFonts w:ascii="Times New Roman" w:eastAsia="Times New Roman" w:hAnsi="Times New Roman" w:cs="Times New Roman"/>
          <w:sz w:val="24"/>
          <w:szCs w:val="24"/>
        </w:rPr>
        <w:t xml:space="preserve"> and Mohamed, A.W., 2023. Internet of Things (IoT) in supply chain management: challenges, opportunities, and best practices.</w:t>
      </w:r>
    </w:p>
    <w:p w14:paraId="3A6E9940"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 K. and Bhattacharya, A., 2019. Attracting and managing talent, how are the top three hotel companies in India doing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Worldwide Hospitality and Tourism Themes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(4), pp.404-417.</w:t>
      </w:r>
    </w:p>
    <w:p w14:paraId="3FF9F0E2"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Smith, M. and Puczkó, L., 2008. </w:t>
      </w:r>
      <w:r>
        <w:rPr>
          <w:rFonts w:ascii="Times New Roman" w:eastAsia="Times New Roman" w:hAnsi="Times New Roman" w:cs="Times New Roman"/>
          <w:i/>
          <w:sz w:val="24"/>
          <w:szCs w:val="24"/>
        </w:rPr>
        <w:t>Health and wellness tourism</w:t>
      </w:r>
      <w:r>
        <w:rPr>
          <w:rFonts w:ascii="Times New Roman" w:eastAsia="Times New Roman" w:hAnsi="Times New Roman" w:cs="Times New Roman"/>
          <w:sz w:val="24"/>
          <w:szCs w:val="24"/>
        </w:rPr>
        <w:t>. Routledge.</w:t>
      </w:r>
    </w:p>
    <w:p w14:paraId="729AF6A0"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Stern, S.B., 2006. </w:t>
      </w:r>
      <w:r>
        <w:rPr>
          <w:rFonts w:ascii="Times New Roman" w:eastAsia="Times New Roman" w:hAnsi="Times New Roman" w:cs="Times New Roman"/>
          <w:i/>
          <w:sz w:val="24"/>
          <w:szCs w:val="24"/>
        </w:rPr>
        <w:t>Stern's Guide to the Greatest Resorts of the World</w:t>
      </w:r>
      <w:r>
        <w:rPr>
          <w:rFonts w:ascii="Times New Roman" w:eastAsia="Times New Roman" w:hAnsi="Times New Roman" w:cs="Times New Roman"/>
          <w:sz w:val="24"/>
          <w:szCs w:val="24"/>
        </w:rPr>
        <w:t xml:space="preserve">. Stern's Travel </w:t>
      </w:r>
      <w:proofErr w:type="gramStart"/>
      <w:r>
        <w:rPr>
          <w:rFonts w:ascii="Times New Roman" w:eastAsia="Times New Roman" w:hAnsi="Times New Roman" w:cs="Times New Roman"/>
          <w:sz w:val="24"/>
          <w:szCs w:val="24"/>
        </w:rPr>
        <w:t>Guides,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Ltd..</w:t>
      </w:r>
      <w:proofErr w:type="gramEnd"/>
    </w:p>
    <w:p w14:paraId="3DF440E0"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Stewart, E., 2005. </w:t>
      </w:r>
      <w:r>
        <w:rPr>
          <w:rFonts w:ascii="Times New Roman" w:eastAsia="Times New Roman" w:hAnsi="Times New Roman" w:cs="Times New Roman"/>
          <w:i/>
          <w:sz w:val="24"/>
          <w:szCs w:val="24"/>
        </w:rPr>
        <w:t>Achieving sustainable development through corporate sustainability: an assessment of environmental and social performance in the Caribbean tourism industry</w:t>
      </w:r>
      <w:r>
        <w:rPr>
          <w:rFonts w:ascii="Times New Roman" w:eastAsia="Times New Roman" w:hAnsi="Times New Roman" w:cs="Times New Roman"/>
          <w:sz w:val="24"/>
          <w:szCs w:val="24"/>
        </w:rPr>
        <w:t>. Stanford University.</w:t>
      </w:r>
    </w:p>
    <w:p w14:paraId="5E69A8D1"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Suzuki, D., 2022. </w:t>
      </w:r>
      <w:r>
        <w:rPr>
          <w:rFonts w:ascii="Times New Roman" w:eastAsia="Times New Roman" w:hAnsi="Times New Roman" w:cs="Times New Roman"/>
          <w:i/>
          <w:sz w:val="24"/>
          <w:szCs w:val="24"/>
        </w:rPr>
        <w:t>The sacred balance: Rediscovering our place in nature</w:t>
      </w:r>
      <w:r>
        <w:rPr>
          <w:rFonts w:ascii="Times New Roman" w:eastAsia="Times New Roman" w:hAnsi="Times New Roman" w:cs="Times New Roman"/>
          <w:sz w:val="24"/>
          <w:szCs w:val="24"/>
        </w:rPr>
        <w:t>. Greystone Books Ltd.</w:t>
      </w:r>
    </w:p>
    <w:p w14:paraId="167E32CB"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Tanasi, D., Lanteri, R., Hassam, S., Trapani, P., Calderone, D., Kingsland, K., De Giorgi, L., Ferrari, I., </w:t>
      </w:r>
      <w:proofErr w:type="spellStart"/>
      <w:r>
        <w:rPr>
          <w:rFonts w:ascii="Times New Roman" w:eastAsia="Times New Roman" w:hAnsi="Times New Roman" w:cs="Times New Roman"/>
          <w:sz w:val="24"/>
          <w:szCs w:val="24"/>
        </w:rPr>
        <w:t>Fragalá</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Giuri</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Leucci</w:t>
      </w:r>
      <w:proofErr w:type="spellEnd"/>
      <w:r>
        <w:rPr>
          <w:rFonts w:ascii="Times New Roman" w:eastAsia="Times New Roman" w:hAnsi="Times New Roman" w:cs="Times New Roman"/>
          <w:sz w:val="24"/>
          <w:szCs w:val="24"/>
        </w:rPr>
        <w:t xml:space="preserve">, G., 2024. Remote sensing campaign at the Roman Villa of </w:t>
      </w:r>
      <w:proofErr w:type="spellStart"/>
      <w:r>
        <w:rPr>
          <w:rFonts w:ascii="Times New Roman" w:eastAsia="Times New Roman" w:hAnsi="Times New Roman" w:cs="Times New Roman"/>
          <w:sz w:val="24"/>
          <w:szCs w:val="24"/>
        </w:rPr>
        <w:t>Caddeddi</w:t>
      </w:r>
      <w:proofErr w:type="spellEnd"/>
      <w:r>
        <w:rPr>
          <w:rFonts w:ascii="Times New Roman" w:eastAsia="Times New Roman" w:hAnsi="Times New Roman" w:cs="Times New Roman"/>
          <w:sz w:val="24"/>
          <w:szCs w:val="24"/>
        </w:rPr>
        <w:t xml:space="preserve"> on the </w:t>
      </w:r>
      <w:proofErr w:type="spellStart"/>
      <w:r>
        <w:rPr>
          <w:rFonts w:ascii="Times New Roman" w:eastAsia="Times New Roman" w:hAnsi="Times New Roman" w:cs="Times New Roman"/>
          <w:sz w:val="24"/>
          <w:szCs w:val="24"/>
        </w:rPr>
        <w:t>Tellaro</w:t>
      </w:r>
      <w:proofErr w:type="spellEnd"/>
      <w:r>
        <w:rPr>
          <w:rFonts w:ascii="Times New Roman" w:eastAsia="Times New Roman" w:hAnsi="Times New Roman" w:cs="Times New Roman"/>
          <w:sz w:val="24"/>
          <w:szCs w:val="24"/>
        </w:rPr>
        <w:t xml:space="preserve"> river (Noto, Italy). </w:t>
      </w:r>
      <w:r>
        <w:rPr>
          <w:rFonts w:ascii="Times New Roman" w:eastAsia="Times New Roman" w:hAnsi="Times New Roman" w:cs="Times New Roman"/>
          <w:i/>
          <w:sz w:val="24"/>
          <w:szCs w:val="24"/>
        </w:rPr>
        <w:t>Exploration Geophysics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(1), pp.63-79.</w:t>
      </w:r>
    </w:p>
    <w:p w14:paraId="026F598F"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Tang, K.N., 2019. </w:t>
      </w:r>
      <w:r>
        <w:rPr>
          <w:rFonts w:ascii="Times New Roman" w:eastAsia="Times New Roman" w:hAnsi="Times New Roman" w:cs="Times New Roman"/>
          <w:i/>
          <w:sz w:val="24"/>
          <w:szCs w:val="24"/>
        </w:rPr>
        <w:t>Leadership and Change management</w:t>
      </w:r>
      <w:r>
        <w:rPr>
          <w:rFonts w:ascii="Times New Roman" w:eastAsia="Times New Roman" w:hAnsi="Times New Roman" w:cs="Times New Roman"/>
          <w:sz w:val="24"/>
          <w:szCs w:val="24"/>
        </w:rPr>
        <w:t>. Springer.</w:t>
      </w:r>
    </w:p>
    <w:p w14:paraId="04CB8531" w14:textId="77777777" w:rsidR="008C3815"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Techasriudom</w:t>
      </w:r>
      <w:proofErr w:type="spellEnd"/>
      <w:r>
        <w:rPr>
          <w:rFonts w:ascii="Times New Roman" w:eastAsia="Times New Roman" w:hAnsi="Times New Roman" w:cs="Times New Roman"/>
          <w:sz w:val="24"/>
          <w:szCs w:val="24"/>
        </w:rPr>
        <w:t>, P., 2022. Management strategies analysis of Thai Hotel case study: Oceanfront Beach Resort and Spa.</w:t>
      </w:r>
    </w:p>
    <w:p w14:paraId="0EC14BCC"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Timothy, D. and Teye, V., 2009. </w:t>
      </w:r>
      <w:r>
        <w:rPr>
          <w:rFonts w:ascii="Times New Roman" w:eastAsia="Times New Roman" w:hAnsi="Times New Roman" w:cs="Times New Roman"/>
          <w:i/>
          <w:sz w:val="24"/>
          <w:szCs w:val="24"/>
        </w:rPr>
        <w:t>Tourism and the lodging sector</w:t>
      </w:r>
      <w:r>
        <w:rPr>
          <w:rFonts w:ascii="Times New Roman" w:eastAsia="Times New Roman" w:hAnsi="Times New Roman" w:cs="Times New Roman"/>
          <w:sz w:val="24"/>
          <w:szCs w:val="24"/>
        </w:rPr>
        <w:t>. Routledge.</w:t>
      </w:r>
    </w:p>
    <w:p w14:paraId="288594E9"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Trunfio, M., Lucia, M.D., Campana, S. and Magnelli, A., 2022. Innovating the cultural heritage museum service model through virtual reality and augmented reality: The effects on the overall visitor experience and satisfaction. </w:t>
      </w:r>
      <w:r>
        <w:rPr>
          <w:rFonts w:ascii="Times New Roman" w:eastAsia="Times New Roman" w:hAnsi="Times New Roman" w:cs="Times New Roman"/>
          <w:i/>
          <w:sz w:val="24"/>
          <w:szCs w:val="24"/>
        </w:rPr>
        <w:t>Journal of Heritage Tourism</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(1), pp.1-19.</w:t>
      </w:r>
    </w:p>
    <w:p w14:paraId="27AE8800"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Vives, A. and Ostrovskaya, L., 2023. Exploring the impact of hotel attributes and services on price and revenue: A hedonic pricing model approach with a focus on internal and external segmentation and repeat customers. </w:t>
      </w:r>
      <w:r>
        <w:rPr>
          <w:rFonts w:ascii="Times New Roman" w:eastAsia="Times New Roman" w:hAnsi="Times New Roman" w:cs="Times New Roman"/>
          <w:i/>
          <w:sz w:val="24"/>
          <w:szCs w:val="24"/>
        </w:rPr>
        <w:t>Tourism Economics</w:t>
      </w:r>
      <w:r>
        <w:rPr>
          <w:rFonts w:ascii="Times New Roman" w:eastAsia="Times New Roman" w:hAnsi="Times New Roman" w:cs="Times New Roman"/>
          <w:sz w:val="24"/>
          <w:szCs w:val="24"/>
        </w:rPr>
        <w:t>, p.13548166231200373.</w:t>
      </w:r>
    </w:p>
    <w:p w14:paraId="6DA41F8F"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Walker, J.R., 2021. </w:t>
      </w:r>
      <w:r>
        <w:rPr>
          <w:rFonts w:ascii="Times New Roman" w:eastAsia="Times New Roman" w:hAnsi="Times New Roman" w:cs="Times New Roman"/>
          <w:i/>
          <w:sz w:val="24"/>
          <w:szCs w:val="24"/>
        </w:rPr>
        <w:t>The restaurant: from concept to operation</w:t>
      </w:r>
      <w:r>
        <w:rPr>
          <w:rFonts w:ascii="Times New Roman" w:eastAsia="Times New Roman" w:hAnsi="Times New Roman" w:cs="Times New Roman"/>
          <w:sz w:val="24"/>
          <w:szCs w:val="24"/>
        </w:rPr>
        <w:t>. John Wiley &amp; Sons.</w:t>
      </w:r>
    </w:p>
    <w:p w14:paraId="4C5B91F2"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Ward, P.S., Bell, A.R., </w:t>
      </w:r>
      <w:proofErr w:type="spellStart"/>
      <w:r>
        <w:rPr>
          <w:rFonts w:ascii="Times New Roman" w:eastAsia="Times New Roman" w:hAnsi="Times New Roman" w:cs="Times New Roman"/>
          <w:sz w:val="24"/>
          <w:szCs w:val="24"/>
        </w:rPr>
        <w:t>Droppelmann</w:t>
      </w:r>
      <w:proofErr w:type="spellEnd"/>
      <w:r>
        <w:rPr>
          <w:rFonts w:ascii="Times New Roman" w:eastAsia="Times New Roman" w:hAnsi="Times New Roman" w:cs="Times New Roman"/>
          <w:sz w:val="24"/>
          <w:szCs w:val="24"/>
        </w:rPr>
        <w:t>, K. and Benton, T.G., 2018. Early adoption of conservation agriculture practices: Understanding partial compliance in programs with multiple adoption decisions. </w:t>
      </w:r>
      <w:r>
        <w:rPr>
          <w:rFonts w:ascii="Times New Roman" w:eastAsia="Times New Roman" w:hAnsi="Times New Roman" w:cs="Times New Roman"/>
          <w:i/>
          <w:sz w:val="24"/>
          <w:szCs w:val="24"/>
        </w:rPr>
        <w:t>Land use policy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70</w:t>
      </w:r>
      <w:r>
        <w:rPr>
          <w:rFonts w:ascii="Times New Roman" w:eastAsia="Times New Roman" w:hAnsi="Times New Roman" w:cs="Times New Roman"/>
          <w:sz w:val="24"/>
          <w:szCs w:val="24"/>
        </w:rPr>
        <w:t>, pp.27-37.</w:t>
      </w:r>
    </w:p>
    <w:p w14:paraId="6FFABCD0"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Westerman, G., Bonnet, D. and McAfee, A., 2014. </w:t>
      </w:r>
      <w:r>
        <w:rPr>
          <w:rFonts w:ascii="Times New Roman" w:eastAsia="Times New Roman" w:hAnsi="Times New Roman" w:cs="Times New Roman"/>
          <w:i/>
          <w:sz w:val="24"/>
          <w:szCs w:val="24"/>
        </w:rPr>
        <w:t>Leading digital: Turning technology into business transformation</w:t>
      </w:r>
      <w:r>
        <w:rPr>
          <w:rFonts w:ascii="Times New Roman" w:eastAsia="Times New Roman" w:hAnsi="Times New Roman" w:cs="Times New Roman"/>
          <w:sz w:val="24"/>
          <w:szCs w:val="24"/>
        </w:rPr>
        <w:t>. Harvard Business Press.</w:t>
      </w:r>
    </w:p>
    <w:p w14:paraId="012A77D8"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White, A.A., Brock, D.M., McCotter, P.I., Hofeldt, R., Edrees, H.H., Wu, A.W., Shannon, </w:t>
      </w:r>
      <w:proofErr w:type="gramStart"/>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and Gallagher, T.H., 2015. Risk managers' descriptions of programs to support second victims after adverse events. </w:t>
      </w:r>
      <w:r>
        <w:rPr>
          <w:rFonts w:ascii="Times New Roman" w:eastAsia="Times New Roman" w:hAnsi="Times New Roman" w:cs="Times New Roman"/>
          <w:i/>
          <w:sz w:val="24"/>
          <w:szCs w:val="24"/>
        </w:rPr>
        <w:t>Journal of Healthcare Risk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(4), pp.30-40.</w:t>
      </w:r>
    </w:p>
    <w:p w14:paraId="55444BBF"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Yousaf, A., 2022. Developing Digital Marketing Strategies to attract family customers. Case study: Holiday Club </w:t>
      </w:r>
      <w:proofErr w:type="spellStart"/>
      <w:r>
        <w:rPr>
          <w:rFonts w:ascii="Times New Roman" w:eastAsia="Times New Roman" w:hAnsi="Times New Roman" w:cs="Times New Roman"/>
          <w:sz w:val="24"/>
          <w:szCs w:val="24"/>
        </w:rPr>
        <w:t>Caribia</w:t>
      </w:r>
      <w:proofErr w:type="spellEnd"/>
      <w:r>
        <w:rPr>
          <w:rFonts w:ascii="Times New Roman" w:eastAsia="Times New Roman" w:hAnsi="Times New Roman" w:cs="Times New Roman"/>
          <w:sz w:val="24"/>
          <w:szCs w:val="24"/>
        </w:rPr>
        <w:t xml:space="preserve"> Turku.</w:t>
      </w:r>
    </w:p>
    <w:p w14:paraId="381AB3A8"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 H., 2021. </w:t>
      </w:r>
      <w:r>
        <w:rPr>
          <w:rFonts w:ascii="Times New Roman" w:eastAsia="Times New Roman" w:hAnsi="Times New Roman" w:cs="Times New Roman"/>
          <w:i/>
          <w:sz w:val="24"/>
          <w:szCs w:val="24"/>
        </w:rPr>
        <w:t>Ascend Your Start-Up: Conquer the 5 Disconnects to Accelerate Growth</w:t>
      </w:r>
      <w:r>
        <w:rPr>
          <w:rFonts w:ascii="Times New Roman" w:eastAsia="Times New Roman" w:hAnsi="Times New Roman" w:cs="Times New Roman"/>
          <w:sz w:val="24"/>
          <w:szCs w:val="24"/>
        </w:rPr>
        <w:t>. Made For Success Publishing.</w:t>
      </w:r>
    </w:p>
    <w:p w14:paraId="736B0E18" w14:textId="77777777" w:rsidR="008C3815"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Zhong, Y. and Moon, H.C., 2020. What drives customer satisfaction, loyalty, and happiness in fast-food restaurants in China? Perceived price, service quality, food quality, physical environment quality, and the moderating role of gender. </w:t>
      </w:r>
      <w:r>
        <w:rPr>
          <w:rFonts w:ascii="Times New Roman" w:eastAsia="Times New Roman" w:hAnsi="Times New Roman" w:cs="Times New Roman"/>
          <w:i/>
          <w:sz w:val="24"/>
          <w:szCs w:val="24"/>
        </w:rPr>
        <w:t>Foods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(4), p.460.</w:t>
      </w:r>
    </w:p>
    <w:p w14:paraId="6D08954B" w14:textId="77777777" w:rsidR="008C3815" w:rsidRDefault="008C3815">
      <w:pPr>
        <w:spacing w:line="480" w:lineRule="auto"/>
        <w:rPr>
          <w:rFonts w:ascii="Times New Roman" w:eastAsia="Times New Roman" w:hAnsi="Times New Roman" w:cs="Times New Roman"/>
          <w:sz w:val="24"/>
          <w:szCs w:val="24"/>
        </w:rPr>
      </w:pPr>
    </w:p>
    <w:p w14:paraId="7D5451B5" w14:textId="77777777" w:rsidR="008C3815" w:rsidRDefault="008C3815">
      <w:pPr>
        <w:spacing w:line="480" w:lineRule="auto"/>
        <w:rPr>
          <w:rFonts w:ascii="Times New Roman" w:eastAsia="Times New Roman" w:hAnsi="Times New Roman" w:cs="Times New Roman"/>
          <w:sz w:val="24"/>
          <w:szCs w:val="24"/>
        </w:rPr>
      </w:pPr>
    </w:p>
    <w:p w14:paraId="26CF8983" w14:textId="77777777" w:rsidR="008C3815" w:rsidRDefault="008C3815">
      <w:pPr>
        <w:spacing w:line="480" w:lineRule="auto"/>
        <w:rPr>
          <w:rFonts w:ascii="Times New Roman" w:eastAsia="Times New Roman" w:hAnsi="Times New Roman" w:cs="Times New Roman"/>
          <w:sz w:val="24"/>
          <w:szCs w:val="24"/>
        </w:rPr>
      </w:pPr>
    </w:p>
    <w:p w14:paraId="02DB2AB4" w14:textId="77777777" w:rsidR="008C3815" w:rsidRDefault="008C3815">
      <w:pPr>
        <w:spacing w:line="480" w:lineRule="auto"/>
        <w:rPr>
          <w:rFonts w:ascii="Times New Roman" w:eastAsia="Times New Roman" w:hAnsi="Times New Roman" w:cs="Times New Roman"/>
          <w:sz w:val="24"/>
          <w:szCs w:val="24"/>
        </w:rPr>
      </w:pPr>
    </w:p>
    <w:p w14:paraId="2D01F324" w14:textId="77777777" w:rsidR="008C3815" w:rsidRDefault="008C3815">
      <w:pPr>
        <w:spacing w:line="480" w:lineRule="auto"/>
        <w:rPr>
          <w:rFonts w:ascii="Times New Roman" w:eastAsia="Times New Roman" w:hAnsi="Times New Roman" w:cs="Times New Roman"/>
          <w:sz w:val="24"/>
          <w:szCs w:val="24"/>
        </w:rPr>
      </w:pPr>
    </w:p>
    <w:p w14:paraId="3ED964F4" w14:textId="77777777" w:rsidR="008C3815" w:rsidRDefault="008C3815">
      <w:pPr>
        <w:spacing w:line="480" w:lineRule="auto"/>
        <w:rPr>
          <w:rFonts w:ascii="Times New Roman" w:eastAsia="Times New Roman" w:hAnsi="Times New Roman" w:cs="Times New Roman"/>
          <w:sz w:val="24"/>
          <w:szCs w:val="24"/>
        </w:rPr>
      </w:pPr>
    </w:p>
    <w:p w14:paraId="3502A9F3" w14:textId="77777777" w:rsidR="008C3815" w:rsidRDefault="008C3815">
      <w:pPr>
        <w:spacing w:line="480" w:lineRule="auto"/>
        <w:rPr>
          <w:rFonts w:ascii="Times New Roman" w:eastAsia="Times New Roman" w:hAnsi="Times New Roman" w:cs="Times New Roman"/>
          <w:sz w:val="24"/>
          <w:szCs w:val="24"/>
        </w:rPr>
      </w:pPr>
    </w:p>
    <w:p w14:paraId="423EA9CA" w14:textId="77777777" w:rsidR="008C3815" w:rsidRDefault="008C3815">
      <w:pPr>
        <w:spacing w:line="480" w:lineRule="auto"/>
        <w:jc w:val="center"/>
        <w:rPr>
          <w:rFonts w:ascii="Times New Roman" w:eastAsia="Times New Roman" w:hAnsi="Times New Roman" w:cs="Times New Roman"/>
          <w:b/>
          <w:sz w:val="24"/>
          <w:szCs w:val="24"/>
        </w:rPr>
      </w:pPr>
    </w:p>
    <w:p w14:paraId="79049467" w14:textId="77777777" w:rsidR="008C3815" w:rsidRDefault="008C3815">
      <w:pPr>
        <w:spacing w:line="480" w:lineRule="auto"/>
        <w:jc w:val="center"/>
        <w:rPr>
          <w:rFonts w:ascii="Times New Roman" w:eastAsia="Times New Roman" w:hAnsi="Times New Roman" w:cs="Times New Roman"/>
          <w:sz w:val="24"/>
          <w:szCs w:val="24"/>
        </w:rPr>
      </w:pPr>
    </w:p>
    <w:sectPr w:rsidR="008C3815">
      <w:headerReference w:type="default" r:id="rId6"/>
      <w:headerReference w:type="firs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09C0D" w14:textId="77777777" w:rsidR="009D3EF0" w:rsidRDefault="009D3EF0">
      <w:pPr>
        <w:spacing w:line="240" w:lineRule="auto"/>
      </w:pPr>
      <w:r>
        <w:separator/>
      </w:r>
    </w:p>
  </w:endnote>
  <w:endnote w:type="continuationSeparator" w:id="0">
    <w:p w14:paraId="53415954" w14:textId="77777777" w:rsidR="009D3EF0" w:rsidRDefault="009D3E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FD219" w14:textId="77777777" w:rsidR="009D3EF0" w:rsidRDefault="009D3EF0">
      <w:pPr>
        <w:spacing w:line="240" w:lineRule="auto"/>
      </w:pPr>
      <w:r>
        <w:separator/>
      </w:r>
    </w:p>
  </w:footnote>
  <w:footnote w:type="continuationSeparator" w:id="0">
    <w:p w14:paraId="19BA3E07" w14:textId="77777777" w:rsidR="009D3EF0" w:rsidRDefault="009D3E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E0672" w14:textId="77777777" w:rsidR="008C3815"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908DD">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6E26E" w14:textId="77777777" w:rsidR="008C3815" w:rsidRDefault="008C381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815"/>
    <w:rsid w:val="00027FAC"/>
    <w:rsid w:val="004908DD"/>
    <w:rsid w:val="008C3815"/>
    <w:rsid w:val="009A77FB"/>
    <w:rsid w:val="009D3EF0"/>
    <w:rsid w:val="00C40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4F15F"/>
  <w15:docId w15:val="{34B1759A-5646-4177-8F5F-999215924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jc w:val="center"/>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480"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35</Pages>
  <Words>8684</Words>
  <Characters>49503</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Mirauta</cp:lastModifiedBy>
  <cp:revision>3</cp:revision>
  <dcterms:created xsi:type="dcterms:W3CDTF">2024-02-26T21:25:00Z</dcterms:created>
  <dcterms:modified xsi:type="dcterms:W3CDTF">2024-02-26T21:26:00Z</dcterms:modified>
</cp:coreProperties>
</file>