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No Spacing"/>
        <w:spacing w:line="360" w:lineRule="auto"/>
        <w:jc w:val="both"/>
        <w:rPr>
          <w:rFonts w:ascii="Arial" w:cs="Arial" w:hAnsi="Arial" w:eastAsia="Arial"/>
          <w:sz w:val="24"/>
          <w:szCs w:val="24"/>
        </w:rPr>
      </w:pPr>
      <w:r>
        <w:rPr>
          <w:rFonts w:ascii="Arial" w:hAnsi="Arial"/>
          <w:sz w:val="24"/>
          <w:szCs w:val="24"/>
        </w:rPr>
        <mc:AlternateContent>
          <mc:Choice Requires="wpg">
            <w:drawing xmlns:a="http://schemas.openxmlformats.org/drawingml/2006/main">
              <wp:anchor distT="0" distB="0" distL="0" distR="0" simplePos="0" relativeHeight="251657216" behindDoc="1" locked="0" layoutInCell="1" allowOverlap="1">
                <wp:simplePos x="0" y="0"/>
                <wp:positionH relativeFrom="page">
                  <wp:posOffset>302258</wp:posOffset>
                </wp:positionH>
                <wp:positionV relativeFrom="page">
                  <wp:posOffset>783204</wp:posOffset>
                </wp:positionV>
                <wp:extent cx="2194601" cy="9125730"/>
                <wp:effectExtent l="0" t="0" r="0" b="0"/>
                <wp:wrapNone/>
                <wp:docPr id="1073741855" name="officeArt object" descr="Group 26"/>
                <wp:cNvGraphicFramePr/>
                <a:graphic xmlns:a="http://schemas.openxmlformats.org/drawingml/2006/main">
                  <a:graphicData uri="http://schemas.microsoft.com/office/word/2010/wordprocessingGroup">
                    <wpg:wgp>
                      <wpg:cNvGrpSpPr/>
                      <wpg:grpSpPr>
                        <a:xfrm>
                          <a:off x="0" y="0"/>
                          <a:ext cx="2194601" cy="9125730"/>
                          <a:chOff x="0" y="0"/>
                          <a:chExt cx="2194600" cy="9125729"/>
                        </a:xfrm>
                      </wpg:grpSpPr>
                      <wps:wsp>
                        <wps:cNvPr id="1073741825" name="Rectangle 3"/>
                        <wps:cNvSpPr/>
                        <wps:spPr>
                          <a:xfrm>
                            <a:off x="8" y="-1"/>
                            <a:ext cx="194546" cy="9125731"/>
                          </a:xfrm>
                          <a:prstGeom prst="rect">
                            <a:avLst/>
                          </a:prstGeom>
                          <a:solidFill>
                            <a:srgbClr val="0E2841"/>
                          </a:solidFill>
                          <a:ln w="12700" cap="flat">
                            <a:noFill/>
                            <a:miter lim="400000"/>
                          </a:ln>
                          <a:effectLst/>
                        </wps:spPr>
                        <wps:bodyPr/>
                      </wps:wsp>
                      <wpg:grpSp>
                        <wpg:cNvPr id="1073741828" name="Pentagon 4"/>
                        <wpg:cNvGrpSpPr/>
                        <wpg:grpSpPr>
                          <a:xfrm>
                            <a:off x="-1" y="1466841"/>
                            <a:ext cx="2194601" cy="552087"/>
                            <a:chOff x="0" y="-1"/>
                            <a:chExt cx="2194600" cy="552086"/>
                          </a:xfrm>
                        </wpg:grpSpPr>
                        <wps:wsp>
                          <wps:cNvPr id="1073741826" name="Shape"/>
                          <wps:cNvSpPr/>
                          <wps:spPr>
                            <a:xfrm>
                              <a:off x="0" y="2"/>
                              <a:ext cx="2194601" cy="552084"/>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18883" y="0"/>
                                  </a:lnTo>
                                  <a:lnTo>
                                    <a:pt x="21600" y="10800"/>
                                  </a:lnTo>
                                  <a:lnTo>
                                    <a:pt x="18883" y="21600"/>
                                  </a:lnTo>
                                  <a:lnTo>
                                    <a:pt x="0" y="21600"/>
                                  </a:lnTo>
                                  <a:close/>
                                </a:path>
                              </a:pathLst>
                            </a:custGeom>
                            <a:solidFill>
                              <a:schemeClr val="accent1"/>
                            </a:solidFill>
                            <a:ln w="12700" cap="flat">
                              <a:noFill/>
                              <a:miter lim="400000"/>
                            </a:ln>
                            <a:effectLst/>
                          </wps:spPr>
                          <wps:bodyPr/>
                        </wps:wsp>
                        <wps:wsp>
                          <wps:cNvPr id="1073741827" name="3/24/2025"/>
                          <wps:cNvSpPr txBox="1"/>
                          <wps:spPr>
                            <a:xfrm>
                              <a:off x="91445" y="-2"/>
                              <a:ext cx="1782254" cy="552083"/>
                            </a:xfrm>
                            <a:prstGeom prst="rect">
                              <a:avLst/>
                            </a:prstGeom>
                            <a:noFill/>
                            <a:ln w="12700" cap="flat">
                              <a:noFill/>
                              <a:miter lim="400000"/>
                            </a:ln>
                            <a:effectLst/>
                          </wps:spPr>
                          <wps:txbx>
                            <w:txbxContent>
                              <w:p>
                                <w:pPr>
                                  <w:pStyle w:val="No Spacing"/>
                                  <w:jc w:val="right"/>
                                </w:pPr>
                                <w:r>
                                  <w:rPr>
                                    <w:outline w:val="0"/>
                                    <w:color w:val="ffffff"/>
                                    <w:sz w:val="28"/>
                                    <w:szCs w:val="28"/>
                                    <w:u w:color="ffffff"/>
                                    <w:rtl w:val="0"/>
                                    <w:lang w:val="en-US"/>
                                    <w14:textFill>
                                      <w14:solidFill>
                                        <w14:srgbClr w14:val="FFFFFF"/>
                                      </w14:solidFill>
                                    </w14:textFill>
                                  </w:rPr>
                                  <w:t>3/24/2025</w:t>
                                </w:r>
                              </w:p>
                            </w:txbxContent>
                          </wps:txbx>
                          <wps:bodyPr wrap="square" lIns="0" tIns="0" rIns="0" bIns="0" numCol="1" anchor="ctr">
                            <a:noAutofit/>
                          </wps:bodyPr>
                        </wps:wsp>
                      </wpg:grpSp>
                      <wpg:grpSp>
                        <wpg:cNvPr id="1073741854" name="Group 5"/>
                        <wpg:cNvGrpSpPr/>
                        <wpg:grpSpPr>
                          <a:xfrm>
                            <a:off x="76193" y="4210029"/>
                            <a:ext cx="2057447" cy="4910387"/>
                            <a:chOff x="-1" y="-1"/>
                            <a:chExt cx="2057445" cy="4910385"/>
                          </a:xfrm>
                        </wpg:grpSpPr>
                        <wpg:grpSp>
                          <wpg:cNvPr id="1073741841" name="Group 6"/>
                          <wpg:cNvGrpSpPr/>
                          <wpg:grpSpPr>
                            <a:xfrm>
                              <a:off x="95156" y="-2"/>
                              <a:ext cx="1650268" cy="4910386"/>
                              <a:chOff x="0" y="0"/>
                              <a:chExt cx="1650267" cy="4910385"/>
                            </a:xfrm>
                          </wpg:grpSpPr>
                          <wps:wsp>
                            <wps:cNvPr id="1073741829" name="Freeform 20"/>
                            <wps:cNvSpPr/>
                            <wps:spPr>
                              <a:xfrm>
                                <a:off x="360053" y="3154526"/>
                                <a:ext cx="305062" cy="1098976"/>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6905" y="7462"/>
                                    </a:lnTo>
                                    <a:lnTo>
                                      <a:pt x="14872" y="14924"/>
                                    </a:lnTo>
                                    <a:lnTo>
                                      <a:pt x="21600" y="20471"/>
                                    </a:lnTo>
                                    <a:lnTo>
                                      <a:pt x="21600" y="21600"/>
                                    </a:lnTo>
                                    <a:lnTo>
                                      <a:pt x="13456" y="15022"/>
                                    </a:lnTo>
                                    <a:lnTo>
                                      <a:pt x="6905" y="8836"/>
                                    </a:lnTo>
                                    <a:lnTo>
                                      <a:pt x="1062" y="2602"/>
                                    </a:lnTo>
                                    <a:lnTo>
                                      <a:pt x="0" y="0"/>
                                    </a:lnTo>
                                    <a:close/>
                                  </a:path>
                                </a:pathLst>
                              </a:custGeom>
                              <a:solidFill>
                                <a:srgbClr val="0E2841"/>
                              </a:solidFill>
                              <a:ln w="3175" cap="flat">
                                <a:solidFill>
                                  <a:srgbClr val="0E2841"/>
                                </a:solidFill>
                                <a:prstDash val="solid"/>
                                <a:round/>
                              </a:ln>
                              <a:effectLst/>
                            </wps:spPr>
                            <wps:bodyPr/>
                          </wps:wsp>
                          <wps:wsp>
                            <wps:cNvPr id="1073741830" name="Freeform 21"/>
                            <wps:cNvSpPr/>
                            <wps:spPr>
                              <a:xfrm>
                                <a:off x="680107" y="4238503"/>
                                <a:ext cx="290053" cy="671882"/>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1490" y="1526"/>
                                    </a:lnTo>
                                    <a:lnTo>
                                      <a:pt x="6890" y="7468"/>
                                    </a:lnTo>
                                    <a:lnTo>
                                      <a:pt x="12476" y="13410"/>
                                    </a:lnTo>
                                    <a:lnTo>
                                      <a:pt x="21600" y="21600"/>
                                    </a:lnTo>
                                    <a:lnTo>
                                      <a:pt x="20110" y="21600"/>
                                    </a:lnTo>
                                    <a:lnTo>
                                      <a:pt x="11172" y="13570"/>
                                    </a:lnTo>
                                    <a:lnTo>
                                      <a:pt x="5586" y="7869"/>
                                    </a:lnTo>
                                    <a:lnTo>
                                      <a:pt x="186" y="2007"/>
                                    </a:lnTo>
                                    <a:lnTo>
                                      <a:pt x="0" y="0"/>
                                    </a:lnTo>
                                    <a:close/>
                                  </a:path>
                                </a:pathLst>
                              </a:custGeom>
                              <a:solidFill>
                                <a:srgbClr val="0E2841"/>
                              </a:solidFill>
                              <a:ln w="3175" cap="flat">
                                <a:solidFill>
                                  <a:srgbClr val="0E2841"/>
                                </a:solidFill>
                                <a:prstDash val="solid"/>
                                <a:round/>
                              </a:ln>
                              <a:effectLst/>
                            </wps:spPr>
                            <wps:bodyPr/>
                          </wps:wsp>
                          <wps:wsp>
                            <wps:cNvPr id="1073741831" name="Freeform 22"/>
                            <wps:cNvSpPr/>
                            <wps:spPr>
                              <a:xfrm>
                                <a:off x="-1" y="-1"/>
                                <a:ext cx="350065" cy="3177017"/>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154" y="1342"/>
                                    </a:lnTo>
                                    <a:lnTo>
                                      <a:pt x="463" y="2700"/>
                                    </a:lnTo>
                                    <a:lnTo>
                                      <a:pt x="1851" y="5383"/>
                                    </a:lnTo>
                                    <a:lnTo>
                                      <a:pt x="3549" y="8083"/>
                                    </a:lnTo>
                                    <a:lnTo>
                                      <a:pt x="6017" y="10766"/>
                                    </a:lnTo>
                                    <a:lnTo>
                                      <a:pt x="8949" y="13449"/>
                                    </a:lnTo>
                                    <a:lnTo>
                                      <a:pt x="12806" y="16098"/>
                                    </a:lnTo>
                                    <a:lnTo>
                                      <a:pt x="16509" y="18442"/>
                                    </a:lnTo>
                                    <a:lnTo>
                                      <a:pt x="20829" y="20768"/>
                                    </a:lnTo>
                                    <a:lnTo>
                                      <a:pt x="21600" y="21600"/>
                                    </a:lnTo>
                                    <a:lnTo>
                                      <a:pt x="21291" y="21430"/>
                                    </a:lnTo>
                                    <a:lnTo>
                                      <a:pt x="16200" y="18781"/>
                                    </a:lnTo>
                                    <a:lnTo>
                                      <a:pt x="11880" y="16115"/>
                                    </a:lnTo>
                                    <a:lnTo>
                                      <a:pt x="8177" y="13449"/>
                                    </a:lnTo>
                                    <a:lnTo>
                                      <a:pt x="5400" y="10766"/>
                                    </a:lnTo>
                                    <a:lnTo>
                                      <a:pt x="3086" y="8083"/>
                                    </a:lnTo>
                                    <a:lnTo>
                                      <a:pt x="1389" y="5383"/>
                                    </a:lnTo>
                                    <a:lnTo>
                                      <a:pt x="309" y="2700"/>
                                    </a:lnTo>
                                    <a:lnTo>
                                      <a:pt x="0" y="1342"/>
                                    </a:lnTo>
                                    <a:lnTo>
                                      <a:pt x="0" y="0"/>
                                    </a:lnTo>
                                    <a:close/>
                                  </a:path>
                                </a:pathLst>
                              </a:custGeom>
                              <a:solidFill>
                                <a:srgbClr val="0E2841"/>
                              </a:solidFill>
                              <a:ln w="3175" cap="flat">
                                <a:solidFill>
                                  <a:srgbClr val="0E2841"/>
                                </a:solidFill>
                                <a:prstDash val="solid"/>
                                <a:round/>
                              </a:ln>
                              <a:effectLst/>
                            </wps:spPr>
                            <wps:bodyPr/>
                          </wps:wsp>
                          <wps:wsp>
                            <wps:cNvPr id="1073741832" name="Freeform 23"/>
                            <wps:cNvSpPr/>
                            <wps:spPr>
                              <a:xfrm>
                                <a:off x="315047" y="1021536"/>
                                <a:ext cx="112529" cy="2133002"/>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21600" y="0"/>
                                    </a:moveTo>
                                    <a:lnTo>
                                      <a:pt x="16800" y="1669"/>
                                    </a:lnTo>
                                    <a:lnTo>
                                      <a:pt x="12480" y="3364"/>
                                    </a:lnTo>
                                    <a:lnTo>
                                      <a:pt x="6720" y="6753"/>
                                    </a:lnTo>
                                    <a:lnTo>
                                      <a:pt x="2880" y="10142"/>
                                    </a:lnTo>
                                    <a:lnTo>
                                      <a:pt x="1440" y="13506"/>
                                    </a:lnTo>
                                    <a:lnTo>
                                      <a:pt x="2880" y="16921"/>
                                    </a:lnTo>
                                    <a:lnTo>
                                      <a:pt x="6720" y="20310"/>
                                    </a:lnTo>
                                    <a:lnTo>
                                      <a:pt x="8640" y="21600"/>
                                    </a:lnTo>
                                    <a:lnTo>
                                      <a:pt x="8640" y="21524"/>
                                    </a:lnTo>
                                    <a:lnTo>
                                      <a:pt x="4320" y="20588"/>
                                    </a:lnTo>
                                    <a:lnTo>
                                      <a:pt x="3840" y="20310"/>
                                    </a:lnTo>
                                    <a:lnTo>
                                      <a:pt x="480" y="16921"/>
                                    </a:lnTo>
                                    <a:lnTo>
                                      <a:pt x="0" y="13506"/>
                                    </a:lnTo>
                                    <a:lnTo>
                                      <a:pt x="1440" y="10142"/>
                                    </a:lnTo>
                                    <a:lnTo>
                                      <a:pt x="5760" y="6753"/>
                                    </a:lnTo>
                                    <a:lnTo>
                                      <a:pt x="12000" y="3339"/>
                                    </a:lnTo>
                                    <a:lnTo>
                                      <a:pt x="16320" y="1669"/>
                                    </a:lnTo>
                                    <a:lnTo>
                                      <a:pt x="21600" y="0"/>
                                    </a:lnTo>
                                    <a:close/>
                                  </a:path>
                                </a:pathLst>
                              </a:custGeom>
                              <a:solidFill>
                                <a:srgbClr val="0E2841"/>
                              </a:solidFill>
                              <a:ln w="3175" cap="flat">
                                <a:solidFill>
                                  <a:srgbClr val="0E2841"/>
                                </a:solidFill>
                                <a:prstDash val="solid"/>
                                <a:round/>
                              </a:ln>
                              <a:effectLst/>
                            </wps:spPr>
                            <wps:bodyPr/>
                          </wps:wsp>
                          <wps:wsp>
                            <wps:cNvPr id="1073741833" name="Freeform 24"/>
                            <wps:cNvSpPr/>
                            <wps:spPr>
                              <a:xfrm>
                                <a:off x="350052" y="3177005"/>
                                <a:ext cx="385075" cy="1571032"/>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1403" y="1511"/>
                                    </a:lnTo>
                                    <a:lnTo>
                                      <a:pt x="2945" y="4327"/>
                                    </a:lnTo>
                                    <a:lnTo>
                                      <a:pt x="4769" y="7108"/>
                                    </a:lnTo>
                                    <a:lnTo>
                                      <a:pt x="7434" y="10062"/>
                                    </a:lnTo>
                                    <a:lnTo>
                                      <a:pt x="10519" y="13049"/>
                                    </a:lnTo>
                                    <a:lnTo>
                                      <a:pt x="14026" y="16003"/>
                                    </a:lnTo>
                                    <a:lnTo>
                                      <a:pt x="16831" y="17891"/>
                                    </a:lnTo>
                                    <a:lnTo>
                                      <a:pt x="19777" y="19780"/>
                                    </a:lnTo>
                                    <a:lnTo>
                                      <a:pt x="21319" y="21222"/>
                                    </a:lnTo>
                                    <a:lnTo>
                                      <a:pt x="21600" y="21600"/>
                                    </a:lnTo>
                                    <a:lnTo>
                                      <a:pt x="19636" y="20432"/>
                                    </a:lnTo>
                                    <a:lnTo>
                                      <a:pt x="16130" y="18269"/>
                                    </a:lnTo>
                                    <a:lnTo>
                                      <a:pt x="13044" y="16071"/>
                                    </a:lnTo>
                                    <a:lnTo>
                                      <a:pt x="9397" y="13152"/>
                                    </a:lnTo>
                                    <a:lnTo>
                                      <a:pt x="6592" y="10130"/>
                                    </a:lnTo>
                                    <a:lnTo>
                                      <a:pt x="3927" y="7108"/>
                                    </a:lnTo>
                                    <a:lnTo>
                                      <a:pt x="1683" y="3571"/>
                                    </a:lnTo>
                                    <a:lnTo>
                                      <a:pt x="0" y="0"/>
                                    </a:lnTo>
                                    <a:close/>
                                  </a:path>
                                </a:pathLst>
                              </a:custGeom>
                              <a:solidFill>
                                <a:srgbClr val="0E2841"/>
                              </a:solidFill>
                              <a:ln w="3175" cap="flat">
                                <a:solidFill>
                                  <a:srgbClr val="0E2841"/>
                                </a:solidFill>
                                <a:prstDash val="solid"/>
                                <a:round/>
                              </a:ln>
                              <a:effectLst/>
                            </wps:spPr>
                            <wps:bodyPr/>
                          </wps:wsp>
                          <wps:wsp>
                            <wps:cNvPr id="1073741834" name="Freeform 25"/>
                            <wps:cNvSpPr/>
                            <wps:spPr>
                              <a:xfrm>
                                <a:off x="755118" y="4738034"/>
                                <a:ext cx="82524" cy="172350"/>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600" y="21600"/>
                                    </a:lnTo>
                                    <a:lnTo>
                                      <a:pt x="15709" y="21600"/>
                                    </a:lnTo>
                                    <a:lnTo>
                                      <a:pt x="7855" y="10957"/>
                                    </a:lnTo>
                                    <a:lnTo>
                                      <a:pt x="0" y="0"/>
                                    </a:lnTo>
                                    <a:close/>
                                  </a:path>
                                </a:pathLst>
                              </a:custGeom>
                              <a:solidFill>
                                <a:srgbClr val="0E2841"/>
                              </a:solidFill>
                              <a:ln w="3175" cap="flat">
                                <a:solidFill>
                                  <a:srgbClr val="0E2841"/>
                                </a:solidFill>
                                <a:prstDash val="solid"/>
                                <a:round/>
                              </a:ln>
                              <a:effectLst/>
                            </wps:spPr>
                            <wps:bodyPr/>
                          </wps:wsp>
                          <wps:wsp>
                            <wps:cNvPr id="1073741835" name="Freeform 26"/>
                            <wps:cNvSpPr/>
                            <wps:spPr>
                              <a:xfrm>
                                <a:off x="337549" y="3054619"/>
                                <a:ext cx="37518" cy="232297"/>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12960" y="8594"/>
                                    </a:lnTo>
                                    <a:lnTo>
                                      <a:pt x="12960" y="9290"/>
                                    </a:lnTo>
                                    <a:lnTo>
                                      <a:pt x="21600" y="21600"/>
                                    </a:lnTo>
                                    <a:lnTo>
                                      <a:pt x="7200" y="11381"/>
                                    </a:lnTo>
                                    <a:lnTo>
                                      <a:pt x="0" y="0"/>
                                    </a:lnTo>
                                    <a:close/>
                                  </a:path>
                                </a:pathLst>
                              </a:custGeom>
                              <a:solidFill>
                                <a:srgbClr val="0E2841"/>
                              </a:solidFill>
                              <a:ln w="3175" cap="flat">
                                <a:solidFill>
                                  <a:srgbClr val="0E2841"/>
                                </a:solidFill>
                                <a:prstDash val="solid"/>
                                <a:round/>
                              </a:ln>
                              <a:effectLst/>
                            </wps:spPr>
                            <wps:bodyPr/>
                          </wps:wsp>
                          <wps:wsp>
                            <wps:cNvPr id="1073741836" name="Freeform 27"/>
                            <wps:cNvSpPr/>
                            <wps:spPr>
                              <a:xfrm>
                                <a:off x="665102" y="2325311"/>
                                <a:ext cx="985165" cy="1913206"/>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21600" y="0"/>
                                    </a:moveTo>
                                    <a:lnTo>
                                      <a:pt x="19517" y="1072"/>
                                    </a:lnTo>
                                    <a:lnTo>
                                      <a:pt x="17488" y="2171"/>
                                    </a:lnTo>
                                    <a:lnTo>
                                      <a:pt x="15570" y="3299"/>
                                    </a:lnTo>
                                    <a:lnTo>
                                      <a:pt x="13651" y="4512"/>
                                    </a:lnTo>
                                    <a:lnTo>
                                      <a:pt x="11348" y="6147"/>
                                    </a:lnTo>
                                    <a:lnTo>
                                      <a:pt x="9210" y="7783"/>
                                    </a:lnTo>
                                    <a:lnTo>
                                      <a:pt x="7182" y="9559"/>
                                    </a:lnTo>
                                    <a:lnTo>
                                      <a:pt x="5373" y="11336"/>
                                    </a:lnTo>
                                    <a:lnTo>
                                      <a:pt x="3783" y="13169"/>
                                    </a:lnTo>
                                    <a:lnTo>
                                      <a:pt x="2467" y="15086"/>
                                    </a:lnTo>
                                    <a:lnTo>
                                      <a:pt x="1425" y="17032"/>
                                    </a:lnTo>
                                    <a:lnTo>
                                      <a:pt x="768" y="18978"/>
                                    </a:lnTo>
                                    <a:lnTo>
                                      <a:pt x="384" y="21036"/>
                                    </a:lnTo>
                                    <a:lnTo>
                                      <a:pt x="329" y="21600"/>
                                    </a:lnTo>
                                    <a:lnTo>
                                      <a:pt x="0" y="21121"/>
                                    </a:lnTo>
                                    <a:lnTo>
                                      <a:pt x="55" y="20980"/>
                                    </a:lnTo>
                                    <a:lnTo>
                                      <a:pt x="384" y="18978"/>
                                    </a:lnTo>
                                    <a:lnTo>
                                      <a:pt x="1151" y="17004"/>
                                    </a:lnTo>
                                    <a:lnTo>
                                      <a:pt x="2193" y="15030"/>
                                    </a:lnTo>
                                    <a:lnTo>
                                      <a:pt x="3563" y="13140"/>
                                    </a:lnTo>
                                    <a:lnTo>
                                      <a:pt x="5153" y="11279"/>
                                    </a:lnTo>
                                    <a:lnTo>
                                      <a:pt x="6962" y="9475"/>
                                    </a:lnTo>
                                    <a:lnTo>
                                      <a:pt x="8991" y="7755"/>
                                    </a:lnTo>
                                    <a:lnTo>
                                      <a:pt x="11184" y="6063"/>
                                    </a:lnTo>
                                    <a:lnTo>
                                      <a:pt x="13596" y="4455"/>
                                    </a:lnTo>
                                    <a:lnTo>
                                      <a:pt x="15460" y="3271"/>
                                    </a:lnTo>
                                    <a:lnTo>
                                      <a:pt x="17434" y="2143"/>
                                    </a:lnTo>
                                    <a:lnTo>
                                      <a:pt x="19407" y="1043"/>
                                    </a:lnTo>
                                    <a:lnTo>
                                      <a:pt x="21600" y="0"/>
                                    </a:lnTo>
                                    <a:close/>
                                  </a:path>
                                </a:pathLst>
                              </a:custGeom>
                              <a:solidFill>
                                <a:srgbClr val="0E2841"/>
                              </a:solidFill>
                              <a:ln w="3175" cap="flat">
                                <a:solidFill>
                                  <a:srgbClr val="0E2841"/>
                                </a:solidFill>
                                <a:prstDash val="solid"/>
                                <a:round/>
                              </a:ln>
                              <a:effectLst/>
                            </wps:spPr>
                            <wps:bodyPr/>
                          </wps:wsp>
                          <wps:wsp>
                            <wps:cNvPr id="1073741837" name="Freeform 28"/>
                            <wps:cNvSpPr/>
                            <wps:spPr>
                              <a:xfrm>
                                <a:off x="665104" y="4253490"/>
                                <a:ext cx="90026" cy="484557"/>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3600" y="1781"/>
                                    </a:lnTo>
                                    <a:lnTo>
                                      <a:pt x="4200" y="2115"/>
                                    </a:lnTo>
                                    <a:lnTo>
                                      <a:pt x="6600" y="8907"/>
                                    </a:lnTo>
                                    <a:lnTo>
                                      <a:pt x="12000" y="14697"/>
                                    </a:lnTo>
                                    <a:lnTo>
                                      <a:pt x="19800" y="20598"/>
                                    </a:lnTo>
                                    <a:lnTo>
                                      <a:pt x="21600" y="21600"/>
                                    </a:lnTo>
                                    <a:lnTo>
                                      <a:pt x="12600" y="17926"/>
                                    </a:lnTo>
                                    <a:lnTo>
                                      <a:pt x="9000" y="16144"/>
                                    </a:lnTo>
                                    <a:lnTo>
                                      <a:pt x="3000" y="9019"/>
                                    </a:lnTo>
                                    <a:lnTo>
                                      <a:pt x="600" y="4565"/>
                                    </a:lnTo>
                                    <a:lnTo>
                                      <a:pt x="0" y="0"/>
                                    </a:lnTo>
                                    <a:close/>
                                  </a:path>
                                </a:pathLst>
                              </a:custGeom>
                              <a:solidFill>
                                <a:srgbClr val="0E2841"/>
                              </a:solidFill>
                              <a:ln w="3175" cap="flat">
                                <a:solidFill>
                                  <a:srgbClr val="0E2841"/>
                                </a:solidFill>
                                <a:prstDash val="solid"/>
                                <a:round/>
                              </a:ln>
                              <a:effectLst/>
                            </wps:spPr>
                            <wps:bodyPr/>
                          </wps:wsp>
                          <wps:wsp>
                            <wps:cNvPr id="1073741838" name="Freeform 29"/>
                            <wps:cNvSpPr/>
                            <wps:spPr>
                              <a:xfrm>
                                <a:off x="735115" y="4748024"/>
                                <a:ext cx="77524" cy="162361"/>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600" y="21600"/>
                                    </a:lnTo>
                                    <a:lnTo>
                                      <a:pt x="16026" y="21600"/>
                                    </a:lnTo>
                                    <a:lnTo>
                                      <a:pt x="0" y="0"/>
                                    </a:lnTo>
                                    <a:close/>
                                  </a:path>
                                </a:pathLst>
                              </a:custGeom>
                              <a:solidFill>
                                <a:srgbClr val="0E2841"/>
                              </a:solidFill>
                              <a:ln w="3175" cap="flat">
                                <a:solidFill>
                                  <a:srgbClr val="0E2841"/>
                                </a:solidFill>
                                <a:prstDash val="solid"/>
                                <a:round/>
                              </a:ln>
                              <a:effectLst/>
                            </wps:spPr>
                            <wps:bodyPr/>
                          </wps:wsp>
                          <wps:wsp>
                            <wps:cNvPr id="1073741839" name="Freeform 30"/>
                            <wps:cNvSpPr/>
                            <wps:spPr>
                              <a:xfrm>
                                <a:off x="665104" y="4196044"/>
                                <a:ext cx="17516" cy="104913"/>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18514" y="8743"/>
                                    </a:lnTo>
                                    <a:lnTo>
                                      <a:pt x="21600" y="21600"/>
                                    </a:lnTo>
                                    <a:lnTo>
                                      <a:pt x="18514" y="20057"/>
                                    </a:lnTo>
                                    <a:lnTo>
                                      <a:pt x="0" y="11829"/>
                                    </a:lnTo>
                                    <a:lnTo>
                                      <a:pt x="0" y="0"/>
                                    </a:lnTo>
                                    <a:close/>
                                  </a:path>
                                </a:pathLst>
                              </a:custGeom>
                              <a:solidFill>
                                <a:srgbClr val="0E2841"/>
                              </a:solidFill>
                              <a:ln w="3175" cap="flat">
                                <a:solidFill>
                                  <a:srgbClr val="0E2841"/>
                                </a:solidFill>
                                <a:prstDash val="solid"/>
                                <a:round/>
                              </a:ln>
                              <a:effectLst/>
                            </wps:spPr>
                            <wps:bodyPr/>
                          </wps:wsp>
                          <wps:wsp>
                            <wps:cNvPr id="1073741840" name="Freeform 31"/>
                            <wps:cNvSpPr/>
                            <wps:spPr>
                              <a:xfrm>
                                <a:off x="702609" y="4615649"/>
                                <a:ext cx="112529" cy="294734"/>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880" y="2929"/>
                                    </a:lnTo>
                                    <a:lnTo>
                                      <a:pt x="10080" y="8969"/>
                                    </a:lnTo>
                                    <a:lnTo>
                                      <a:pt x="15840" y="15376"/>
                                    </a:lnTo>
                                    <a:lnTo>
                                      <a:pt x="21600" y="21600"/>
                                    </a:lnTo>
                                    <a:lnTo>
                                      <a:pt x="21120" y="21600"/>
                                    </a:lnTo>
                                    <a:lnTo>
                                      <a:pt x="6240" y="9702"/>
                                    </a:lnTo>
                                    <a:lnTo>
                                      <a:pt x="5280" y="7688"/>
                                    </a:lnTo>
                                    <a:lnTo>
                                      <a:pt x="0" y="0"/>
                                    </a:lnTo>
                                    <a:close/>
                                  </a:path>
                                </a:pathLst>
                              </a:custGeom>
                              <a:solidFill>
                                <a:srgbClr val="0E2841"/>
                              </a:solidFill>
                              <a:ln w="3175" cap="flat">
                                <a:solidFill>
                                  <a:srgbClr val="0E2841"/>
                                </a:solidFill>
                                <a:prstDash val="solid"/>
                                <a:round/>
                              </a:ln>
                              <a:effectLst/>
                            </wps:spPr>
                            <wps:bodyPr/>
                          </wps:wsp>
                        </wpg:grpSp>
                        <wpg:grpSp>
                          <wpg:cNvPr id="1073741853" name="Group 7"/>
                          <wpg:cNvGrpSpPr/>
                          <wpg:grpSpPr>
                            <a:xfrm>
                              <a:off x="-2" y="967842"/>
                              <a:ext cx="2057447" cy="3942534"/>
                              <a:chOff x="0" y="-1"/>
                              <a:chExt cx="2057446" cy="3942533"/>
                            </a:xfrm>
                          </wpg:grpSpPr>
                          <wps:wsp>
                            <wps:cNvPr id="1073741842" name="Freeform 8"/>
                            <wps:cNvSpPr/>
                            <wps:spPr>
                              <a:xfrm>
                                <a:off x="89616" y="1268166"/>
                                <a:ext cx="466760" cy="1678478"/>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7085" y="7440"/>
                                    </a:lnTo>
                                    <a:lnTo>
                                      <a:pt x="14861" y="14832"/>
                                    </a:lnTo>
                                    <a:lnTo>
                                      <a:pt x="21600" y="20400"/>
                                    </a:lnTo>
                                    <a:lnTo>
                                      <a:pt x="21600" y="21600"/>
                                    </a:lnTo>
                                    <a:lnTo>
                                      <a:pt x="13651" y="14928"/>
                                    </a:lnTo>
                                    <a:lnTo>
                                      <a:pt x="7085" y="8784"/>
                                    </a:lnTo>
                                    <a:lnTo>
                                      <a:pt x="1210" y="2592"/>
                                    </a:lnTo>
                                    <a:lnTo>
                                      <a:pt x="0" y="0"/>
                                    </a:lnTo>
                                    <a:close/>
                                  </a:path>
                                </a:pathLst>
                              </a:custGeom>
                              <a:solidFill>
                                <a:srgbClr val="0E2841">
                                  <a:alpha val="20000"/>
                                </a:srgbClr>
                              </a:solidFill>
                              <a:ln w="3175" cap="flat">
                                <a:solidFill>
                                  <a:srgbClr val="0E2841">
                                    <a:alpha val="20000"/>
                                  </a:srgbClr>
                                </a:solidFill>
                                <a:prstDash val="solid"/>
                                <a:round/>
                              </a:ln>
                              <a:effectLst/>
                            </wps:spPr>
                            <wps:bodyPr/>
                          </wps:wsp>
                          <wps:wsp>
                            <wps:cNvPr id="1073741843" name="Freeform 9"/>
                            <wps:cNvSpPr/>
                            <wps:spPr>
                              <a:xfrm>
                                <a:off x="582501" y="2916793"/>
                                <a:ext cx="440625" cy="1025740"/>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1464" y="1571"/>
                                    </a:lnTo>
                                    <a:lnTo>
                                      <a:pt x="6773" y="7540"/>
                                    </a:lnTo>
                                    <a:lnTo>
                                      <a:pt x="12631" y="13353"/>
                                    </a:lnTo>
                                    <a:lnTo>
                                      <a:pt x="21600" y="21600"/>
                                    </a:lnTo>
                                    <a:lnTo>
                                      <a:pt x="19953" y="21600"/>
                                    </a:lnTo>
                                    <a:lnTo>
                                      <a:pt x="11166" y="13667"/>
                                    </a:lnTo>
                                    <a:lnTo>
                                      <a:pt x="5492" y="7855"/>
                                    </a:lnTo>
                                    <a:lnTo>
                                      <a:pt x="0" y="2042"/>
                                    </a:lnTo>
                                    <a:lnTo>
                                      <a:pt x="0" y="0"/>
                                    </a:lnTo>
                                    <a:close/>
                                  </a:path>
                                </a:pathLst>
                              </a:custGeom>
                              <a:solidFill>
                                <a:srgbClr val="0E2841">
                                  <a:alpha val="20000"/>
                                </a:srgbClr>
                              </a:solidFill>
                              <a:ln w="3175" cap="flat">
                                <a:solidFill>
                                  <a:srgbClr val="0E2841">
                                    <a:alpha val="20000"/>
                                  </a:srgbClr>
                                </a:solidFill>
                                <a:prstDash val="solid"/>
                                <a:round/>
                              </a:ln>
                              <a:effectLst/>
                            </wps:spPr>
                            <wps:bodyPr/>
                          </wps:wsp>
                          <wps:wsp>
                            <wps:cNvPr id="1073741844" name="Freeform 10"/>
                            <wps:cNvSpPr/>
                            <wps:spPr>
                              <a:xfrm>
                                <a:off x="-1" y="846688"/>
                                <a:ext cx="74693" cy="451335"/>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17280" y="12853"/>
                                    </a:lnTo>
                                    <a:lnTo>
                                      <a:pt x="21600" y="21600"/>
                                    </a:lnTo>
                                    <a:lnTo>
                                      <a:pt x="0" y="5534"/>
                                    </a:lnTo>
                                    <a:lnTo>
                                      <a:pt x="0" y="0"/>
                                    </a:lnTo>
                                    <a:close/>
                                  </a:path>
                                </a:pathLst>
                              </a:custGeom>
                              <a:solidFill>
                                <a:srgbClr val="0E2841">
                                  <a:alpha val="20000"/>
                                </a:srgbClr>
                              </a:solidFill>
                              <a:ln w="3175" cap="flat">
                                <a:solidFill>
                                  <a:srgbClr val="0E2841">
                                    <a:alpha val="20000"/>
                                  </a:srgbClr>
                                </a:solidFill>
                                <a:prstDash val="solid"/>
                                <a:round/>
                              </a:ln>
                              <a:effectLst/>
                            </wps:spPr>
                            <wps:bodyPr/>
                          </wps:wsp>
                          <wps:wsp>
                            <wps:cNvPr id="1073741845" name="Freeform 12"/>
                            <wps:cNvSpPr/>
                            <wps:spPr>
                              <a:xfrm>
                                <a:off x="74680" y="1298010"/>
                                <a:ext cx="589981" cy="2398347"/>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1504" y="1545"/>
                                    </a:lnTo>
                                    <a:lnTo>
                                      <a:pt x="3008" y="4333"/>
                                    </a:lnTo>
                                    <a:lnTo>
                                      <a:pt x="4922" y="7088"/>
                                    </a:lnTo>
                                    <a:lnTo>
                                      <a:pt x="7519" y="10111"/>
                                    </a:lnTo>
                                    <a:lnTo>
                                      <a:pt x="10390" y="13067"/>
                                    </a:lnTo>
                                    <a:lnTo>
                                      <a:pt x="14081" y="15990"/>
                                    </a:lnTo>
                                    <a:lnTo>
                                      <a:pt x="16815" y="17905"/>
                                    </a:lnTo>
                                    <a:lnTo>
                                      <a:pt x="19686" y="19752"/>
                                    </a:lnTo>
                                    <a:lnTo>
                                      <a:pt x="21190" y="21230"/>
                                    </a:lnTo>
                                    <a:lnTo>
                                      <a:pt x="21600" y="21600"/>
                                    </a:lnTo>
                                    <a:lnTo>
                                      <a:pt x="19413" y="20424"/>
                                    </a:lnTo>
                                    <a:lnTo>
                                      <a:pt x="16132" y="18274"/>
                                    </a:lnTo>
                                    <a:lnTo>
                                      <a:pt x="12987" y="16057"/>
                                    </a:lnTo>
                                    <a:lnTo>
                                      <a:pt x="9433" y="13135"/>
                                    </a:lnTo>
                                    <a:lnTo>
                                      <a:pt x="6425" y="10145"/>
                                    </a:lnTo>
                                    <a:lnTo>
                                      <a:pt x="3965" y="7122"/>
                                    </a:lnTo>
                                    <a:lnTo>
                                      <a:pt x="1777" y="3594"/>
                                    </a:lnTo>
                                    <a:lnTo>
                                      <a:pt x="0" y="0"/>
                                    </a:lnTo>
                                    <a:close/>
                                  </a:path>
                                </a:pathLst>
                              </a:custGeom>
                              <a:solidFill>
                                <a:srgbClr val="0E2841">
                                  <a:alpha val="20000"/>
                                </a:srgbClr>
                              </a:solidFill>
                              <a:ln w="3175" cap="flat">
                                <a:solidFill>
                                  <a:srgbClr val="0E2841">
                                    <a:alpha val="20000"/>
                                  </a:srgbClr>
                                </a:solidFill>
                                <a:prstDash val="solid"/>
                                <a:round/>
                              </a:ln>
                              <a:effectLst/>
                            </wps:spPr>
                            <wps:bodyPr/>
                          </wps:wsp>
                          <wps:wsp>
                            <wps:cNvPr id="1073741846" name="Freeform 13"/>
                            <wps:cNvSpPr/>
                            <wps:spPr>
                              <a:xfrm>
                                <a:off x="694522" y="3677695"/>
                                <a:ext cx="123238" cy="264837"/>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600" y="21600"/>
                                    </a:lnTo>
                                    <a:lnTo>
                                      <a:pt x="15709" y="21600"/>
                                    </a:lnTo>
                                    <a:lnTo>
                                      <a:pt x="7200" y="10952"/>
                                    </a:lnTo>
                                    <a:lnTo>
                                      <a:pt x="0" y="0"/>
                                    </a:lnTo>
                                    <a:close/>
                                  </a:path>
                                </a:pathLst>
                              </a:custGeom>
                              <a:solidFill>
                                <a:srgbClr val="0E2841">
                                  <a:alpha val="20000"/>
                                </a:srgbClr>
                              </a:solidFill>
                              <a:ln w="3175" cap="flat">
                                <a:solidFill>
                                  <a:srgbClr val="0E2841">
                                    <a:alpha val="20000"/>
                                  </a:srgbClr>
                                </a:solidFill>
                                <a:prstDash val="solid"/>
                                <a:round/>
                              </a:ln>
                              <a:effectLst/>
                            </wps:spPr>
                            <wps:bodyPr/>
                          </wps:wsp>
                          <wps:wsp>
                            <wps:cNvPr id="1073741847" name="Freeform 14"/>
                            <wps:cNvSpPr/>
                            <wps:spPr>
                              <a:xfrm>
                                <a:off x="59745" y="1115240"/>
                                <a:ext cx="56022" cy="354361"/>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11520" y="8413"/>
                                    </a:lnTo>
                                    <a:lnTo>
                                      <a:pt x="11520" y="9322"/>
                                    </a:lnTo>
                                    <a:lnTo>
                                      <a:pt x="21600" y="21600"/>
                                    </a:lnTo>
                                    <a:lnTo>
                                      <a:pt x="5760" y="11141"/>
                                    </a:lnTo>
                                    <a:lnTo>
                                      <a:pt x="0" y="0"/>
                                    </a:lnTo>
                                    <a:close/>
                                  </a:path>
                                </a:pathLst>
                              </a:custGeom>
                              <a:solidFill>
                                <a:srgbClr val="0E2841">
                                  <a:alpha val="20000"/>
                                </a:srgbClr>
                              </a:solidFill>
                              <a:ln w="3175" cap="flat">
                                <a:solidFill>
                                  <a:srgbClr val="0E2841">
                                    <a:alpha val="20000"/>
                                  </a:srgbClr>
                                </a:solidFill>
                                <a:prstDash val="solid"/>
                                <a:round/>
                              </a:ln>
                              <a:effectLst/>
                            </wps:spPr>
                            <wps:bodyPr/>
                          </wps:wsp>
                          <wps:wsp>
                            <wps:cNvPr id="1073741848" name="Freeform 15"/>
                            <wps:cNvSpPr/>
                            <wps:spPr>
                              <a:xfrm>
                                <a:off x="556362" y="-2"/>
                                <a:ext cx="1501084" cy="2916807"/>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21600" y="0"/>
                                    </a:moveTo>
                                    <a:lnTo>
                                      <a:pt x="21600" y="28"/>
                                    </a:lnTo>
                                    <a:lnTo>
                                      <a:pt x="19504" y="1077"/>
                                    </a:lnTo>
                                    <a:lnTo>
                                      <a:pt x="17463" y="2182"/>
                                    </a:lnTo>
                                    <a:lnTo>
                                      <a:pt x="15582" y="3342"/>
                                    </a:lnTo>
                                    <a:lnTo>
                                      <a:pt x="13701" y="4530"/>
                                    </a:lnTo>
                                    <a:lnTo>
                                      <a:pt x="11337" y="6132"/>
                                    </a:lnTo>
                                    <a:lnTo>
                                      <a:pt x="9188" y="7845"/>
                                    </a:lnTo>
                                    <a:lnTo>
                                      <a:pt x="7146" y="9557"/>
                                    </a:lnTo>
                                    <a:lnTo>
                                      <a:pt x="5373" y="11352"/>
                                    </a:lnTo>
                                    <a:lnTo>
                                      <a:pt x="3815" y="13203"/>
                                    </a:lnTo>
                                    <a:lnTo>
                                      <a:pt x="2418" y="15081"/>
                                    </a:lnTo>
                                    <a:lnTo>
                                      <a:pt x="1451" y="17042"/>
                                    </a:lnTo>
                                    <a:lnTo>
                                      <a:pt x="699" y="19031"/>
                                    </a:lnTo>
                                    <a:lnTo>
                                      <a:pt x="376" y="21020"/>
                                    </a:lnTo>
                                    <a:lnTo>
                                      <a:pt x="376" y="21600"/>
                                    </a:lnTo>
                                    <a:lnTo>
                                      <a:pt x="0" y="21130"/>
                                    </a:lnTo>
                                    <a:lnTo>
                                      <a:pt x="54" y="21020"/>
                                    </a:lnTo>
                                    <a:lnTo>
                                      <a:pt x="376" y="19004"/>
                                    </a:lnTo>
                                    <a:lnTo>
                                      <a:pt x="1128" y="17015"/>
                                    </a:lnTo>
                                    <a:lnTo>
                                      <a:pt x="2149" y="15054"/>
                                    </a:lnTo>
                                    <a:lnTo>
                                      <a:pt x="3546" y="13120"/>
                                    </a:lnTo>
                                    <a:lnTo>
                                      <a:pt x="5104" y="11297"/>
                                    </a:lnTo>
                                    <a:lnTo>
                                      <a:pt x="6985" y="9474"/>
                                    </a:lnTo>
                                    <a:lnTo>
                                      <a:pt x="8973" y="7762"/>
                                    </a:lnTo>
                                    <a:lnTo>
                                      <a:pt x="11230" y="6077"/>
                                    </a:lnTo>
                                    <a:lnTo>
                                      <a:pt x="13594" y="4502"/>
                                    </a:lnTo>
                                    <a:lnTo>
                                      <a:pt x="15421" y="3315"/>
                                    </a:lnTo>
                                    <a:lnTo>
                                      <a:pt x="17409" y="2154"/>
                                    </a:lnTo>
                                    <a:lnTo>
                                      <a:pt x="19451" y="1050"/>
                                    </a:lnTo>
                                    <a:lnTo>
                                      <a:pt x="21600" y="0"/>
                                    </a:lnTo>
                                    <a:close/>
                                  </a:path>
                                </a:pathLst>
                              </a:custGeom>
                              <a:solidFill>
                                <a:srgbClr val="0E2841">
                                  <a:alpha val="20000"/>
                                </a:srgbClr>
                              </a:solidFill>
                              <a:ln w="3175" cap="flat">
                                <a:solidFill>
                                  <a:srgbClr val="0E2841">
                                    <a:alpha val="20000"/>
                                  </a:srgbClr>
                                </a:solidFill>
                                <a:prstDash val="solid"/>
                                <a:round/>
                              </a:ln>
                              <a:effectLst/>
                            </wps:spPr>
                            <wps:bodyPr/>
                          </wps:wsp>
                          <wps:wsp>
                            <wps:cNvPr id="1073741849" name="Freeform 16"/>
                            <wps:cNvSpPr/>
                            <wps:spPr>
                              <a:xfrm>
                                <a:off x="556361" y="2946632"/>
                                <a:ext cx="138173" cy="731075"/>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3503" y="1653"/>
                                    </a:lnTo>
                                    <a:lnTo>
                                      <a:pt x="4086" y="1984"/>
                                    </a:lnTo>
                                    <a:lnTo>
                                      <a:pt x="7005" y="8816"/>
                                    </a:lnTo>
                                    <a:lnTo>
                                      <a:pt x="12259" y="14767"/>
                                    </a:lnTo>
                                    <a:lnTo>
                                      <a:pt x="19265" y="20718"/>
                                    </a:lnTo>
                                    <a:lnTo>
                                      <a:pt x="21600" y="21600"/>
                                    </a:lnTo>
                                    <a:lnTo>
                                      <a:pt x="12843" y="17853"/>
                                    </a:lnTo>
                                    <a:lnTo>
                                      <a:pt x="8757" y="16090"/>
                                    </a:lnTo>
                                    <a:lnTo>
                                      <a:pt x="2919" y="8927"/>
                                    </a:lnTo>
                                    <a:lnTo>
                                      <a:pt x="584" y="4408"/>
                                    </a:lnTo>
                                    <a:lnTo>
                                      <a:pt x="0" y="0"/>
                                    </a:lnTo>
                                    <a:close/>
                                  </a:path>
                                </a:pathLst>
                              </a:custGeom>
                              <a:solidFill>
                                <a:srgbClr val="0E2841">
                                  <a:alpha val="20000"/>
                                </a:srgbClr>
                              </a:solidFill>
                              <a:ln w="3175" cap="flat">
                                <a:solidFill>
                                  <a:srgbClr val="0E2841">
                                    <a:alpha val="20000"/>
                                  </a:srgbClr>
                                </a:solidFill>
                                <a:prstDash val="solid"/>
                                <a:round/>
                              </a:ln>
                              <a:effectLst/>
                            </wps:spPr>
                            <wps:bodyPr/>
                          </wps:wsp>
                          <wps:wsp>
                            <wps:cNvPr id="1073741850" name="Freeform 17"/>
                            <wps:cNvSpPr/>
                            <wps:spPr>
                              <a:xfrm>
                                <a:off x="664648" y="3696346"/>
                                <a:ext cx="115771" cy="246186"/>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600" y="21600"/>
                                    </a:lnTo>
                                    <a:lnTo>
                                      <a:pt x="16723" y="21600"/>
                                    </a:lnTo>
                                    <a:lnTo>
                                      <a:pt x="0" y="0"/>
                                    </a:lnTo>
                                    <a:close/>
                                  </a:path>
                                </a:pathLst>
                              </a:custGeom>
                              <a:solidFill>
                                <a:srgbClr val="0E2841">
                                  <a:alpha val="20000"/>
                                </a:srgbClr>
                              </a:solidFill>
                              <a:ln w="3175" cap="flat">
                                <a:solidFill>
                                  <a:srgbClr val="0E2841">
                                    <a:alpha val="20000"/>
                                  </a:srgbClr>
                                </a:solidFill>
                                <a:prstDash val="solid"/>
                                <a:round/>
                              </a:ln>
                              <a:effectLst/>
                            </wps:spPr>
                            <wps:bodyPr/>
                          </wps:wsp>
                          <wps:wsp>
                            <wps:cNvPr id="1073741851" name="Freeform 18"/>
                            <wps:cNvSpPr/>
                            <wps:spPr>
                              <a:xfrm>
                                <a:off x="556361" y="2853386"/>
                                <a:ext cx="26152" cy="160398"/>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600" y="8540"/>
                                    </a:lnTo>
                                    <a:lnTo>
                                      <a:pt x="21600" y="21600"/>
                                    </a:lnTo>
                                    <a:lnTo>
                                      <a:pt x="18514" y="20093"/>
                                    </a:lnTo>
                                    <a:lnTo>
                                      <a:pt x="0" y="12558"/>
                                    </a:lnTo>
                                    <a:lnTo>
                                      <a:pt x="0" y="0"/>
                                    </a:lnTo>
                                    <a:close/>
                                  </a:path>
                                </a:pathLst>
                              </a:custGeom>
                              <a:solidFill>
                                <a:srgbClr val="0E2841">
                                  <a:alpha val="20000"/>
                                </a:srgbClr>
                              </a:solidFill>
                              <a:ln w="3175" cap="flat">
                                <a:solidFill>
                                  <a:srgbClr val="0E2841">
                                    <a:alpha val="20000"/>
                                  </a:srgbClr>
                                </a:solidFill>
                                <a:prstDash val="solid"/>
                                <a:round/>
                              </a:ln>
                              <a:effectLst/>
                            </wps:spPr>
                            <wps:bodyPr/>
                          </wps:wsp>
                          <wps:wsp>
                            <wps:cNvPr id="1073741852" name="Freeform 19"/>
                            <wps:cNvSpPr/>
                            <wps:spPr>
                              <a:xfrm>
                                <a:off x="612373" y="3491198"/>
                                <a:ext cx="171779" cy="451335"/>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3287" y="2856"/>
                                    </a:lnTo>
                                    <a:lnTo>
                                      <a:pt x="10330" y="8926"/>
                                    </a:lnTo>
                                    <a:lnTo>
                                      <a:pt x="15496" y="15352"/>
                                    </a:lnTo>
                                    <a:lnTo>
                                      <a:pt x="21600" y="21600"/>
                                    </a:lnTo>
                                    <a:lnTo>
                                      <a:pt x="21130" y="21600"/>
                                    </a:lnTo>
                                    <a:lnTo>
                                      <a:pt x="6574" y="9818"/>
                                    </a:lnTo>
                                    <a:lnTo>
                                      <a:pt x="5165" y="7855"/>
                                    </a:lnTo>
                                    <a:lnTo>
                                      <a:pt x="0" y="0"/>
                                    </a:lnTo>
                                    <a:close/>
                                  </a:path>
                                </a:pathLst>
                              </a:custGeom>
                              <a:solidFill>
                                <a:srgbClr val="0E2841">
                                  <a:alpha val="20000"/>
                                </a:srgbClr>
                              </a:solidFill>
                              <a:ln w="3175" cap="flat">
                                <a:solidFill>
                                  <a:srgbClr val="0E2841">
                                    <a:alpha val="20000"/>
                                  </a:srgbClr>
                                </a:solidFill>
                                <a:prstDash val="solid"/>
                                <a:round/>
                              </a:ln>
                              <a:effectLst/>
                            </wps:spPr>
                            <wps:bodyPr/>
                          </wps:wsp>
                        </wpg:grpSp>
                      </wpg:grpSp>
                    </wpg:wgp>
                  </a:graphicData>
                </a:graphic>
              </wp:anchor>
            </w:drawing>
          </mc:Choice>
          <mc:Fallback>
            <w:pict>
              <v:group id="_x0000_s1026" style="visibility:visible;position:absolute;margin-left:23.8pt;margin-top:61.7pt;width:172.8pt;height:718.6pt;z-index:-251659264;mso-position-horizontal:absolute;mso-position-horizontal-relative:page;mso-position-vertical:absolute;mso-position-vertical-relative:page;mso-wrap-distance-left:0.0pt;mso-wrap-distance-top:0.0pt;mso-wrap-distance-right:0.0pt;mso-wrap-distance-bottom:0.0pt;" coordorigin="-1,-1" coordsize="2194601,9125730">
                <w10:wrap type="none" side="bothSides" anchorx="page" anchory="page"/>
                <v:rect id="_x0000_s1027" style="position:absolute;left:9;top:-1;width:194545;height:9125730;">
                  <v:fill color="#0E2841" opacity="100.0%" type="solid"/>
                  <v:stroke on="f" weight="1.0pt" dashstyle="solid" endcap="flat" miterlimit="400.0%" joinstyle="miter" linestyle="single" startarrow="none" startarrowwidth="medium" startarrowlength="medium" endarrow="none" endarrowwidth="medium" endarrowlength="medium"/>
                </v:rect>
                <v:group id="_x0000_s1028" style="position:absolute;left:-1;top:1466841;width:2194601;height:552086;" coordorigin="0,-1" coordsize="2194601,552086">
                  <v:shape id="_x0000_s1029" style="position:absolute;left:0;top:3;width:2194601;height:552082;" coordorigin="0,0" coordsize="21600,21600" path="M 0,0 L 18883,0 L 21600,10800 L 18883,21600 L 0,21600 X E">
                    <v:fill color="#156082" opacity="100.0%" type="solid"/>
                    <v:stroke on="f" weight="1.0pt" dashstyle="solid" endcap="flat" miterlimit="400.0%" joinstyle="miter" linestyle="single" startarrow="none" startarrowwidth="medium" startarrowlength="medium" endarrow="none" endarrowwidth="medium" endarrowlength="medium"/>
                  </v:shape>
                  <v:shape id="_x0000_s1030" type="#_x0000_t202" style="position:absolute;left:91445;top:-1;width:1782253;height:552081;">
                    <v:fill on="f"/>
                    <v:stroke on="f" weight="1.0pt" dashstyle="solid" endcap="flat" miterlimit="400.0%" joinstyle="miter" linestyle="single" startarrow="none" startarrowwidth="medium" startarrowlength="medium" endarrow="none" endarrowwidth="medium" endarrowlength="medium"/>
                    <v:textbox>
                      <w:txbxContent>
                        <w:p>
                          <w:pPr>
                            <w:pStyle w:val="No Spacing"/>
                            <w:jc w:val="right"/>
                          </w:pPr>
                          <w:r>
                            <w:rPr>
                              <w:outline w:val="0"/>
                              <w:color w:val="ffffff"/>
                              <w:sz w:val="28"/>
                              <w:szCs w:val="28"/>
                              <w:u w:color="ffffff"/>
                              <w:rtl w:val="0"/>
                              <w:lang w:val="en-US"/>
                              <w14:textFill>
                                <w14:solidFill>
                                  <w14:srgbClr w14:val="FFFFFF"/>
                                </w14:solidFill>
                              </w14:textFill>
                            </w:rPr>
                            <w:t>3/24/2025</w:t>
                          </w:r>
                        </w:p>
                      </w:txbxContent>
                    </v:textbox>
                  </v:shape>
                </v:group>
                <v:group id="_x0000_s1031" style="position:absolute;left:76193;top:4210029;width:2057446;height:4910386;" coordorigin="-2,-2" coordsize="2057446,4910386">
                  <v:group id="_x0000_s1032" style="position:absolute;left:95156;top:-2;width:1650267;height:4910386;" coordorigin="-1,-1" coordsize="1650267,4910386">
                    <v:shape id="_x0000_s1033" style="position:absolute;left:360054;top:3154527;width:305060;height:1098975;" coordorigin="0,0" coordsize="21600,21600" path="M 0,0 L 6905,7462 L 14872,14924 L 21600,20471 L 21600,21600 L 13456,15022 L 6905,8836 L 1062,2602 L 0,0 X E">
                      <v:fill color="#0E2841" opacity="100.0%" type="solid"/>
                      <v:stroke filltype="solid" color="#0E2841" opacity="100.0%" weight="0.2pt" dashstyle="solid" endcap="flat" joinstyle="round" linestyle="single" startarrow="none" startarrowwidth="medium" startarrowlength="medium" endarrow="none" endarrowwidth="medium" endarrowlength="medium"/>
                    </v:shape>
                    <v:shape id="_x0000_s1034" style="position:absolute;left:680107;top:4238504;width:290052;height:671881;" coordorigin="0,0" coordsize="21600,21600" path="M 0,0 L 1490,1526 L 6890,7468 L 12476,13410 L 21600,21600 L 20110,21600 L 11172,13570 L 5586,7869 L 186,2007 L 0,0 X E">
                      <v:fill color="#0E2841" opacity="100.0%" type="solid"/>
                      <v:stroke filltype="solid" color="#0E2841" opacity="100.0%" weight="0.2pt" dashstyle="solid" endcap="flat" joinstyle="round" linestyle="single" startarrow="none" startarrowwidth="medium" startarrowlength="medium" endarrow="none" endarrowwidth="medium" endarrowlength="medium"/>
                    </v:shape>
                    <v:shape id="_x0000_s1035" style="position:absolute;left:-1;top:-1;width:350065;height:3177016;" coordorigin="0,0" coordsize="21600,21600" path="M 0,0 L 154,1342 L 463,2700 L 1851,5383 L 3549,8083 L 6017,10766 L 8949,13449 L 12806,16098 L 16509,18442 L 20829,20768 L 21600,21600 L 21291,21430 L 16200,18781 L 11880,16115 L 8177,13449 L 5400,10766 L 3086,8083 L 1389,5383 L 309,2700 L 0,1342 L 0,0 X E">
                      <v:fill color="#0E2841" opacity="100.0%" type="solid"/>
                      <v:stroke filltype="solid" color="#0E2841" opacity="100.0%" weight="0.2pt" dashstyle="solid" endcap="flat" joinstyle="round" linestyle="single" startarrow="none" startarrowwidth="medium" startarrowlength="medium" endarrow="none" endarrowwidth="medium" endarrowlength="medium"/>
                    </v:shape>
                    <v:shape id="_x0000_s1036" style="position:absolute;left:315047;top:1021537;width:112528;height:2133001;" coordorigin="0,0" coordsize="21600,21600" path="M 21600,0 L 16800,1669 L 12480,3364 L 6720,6753 L 2880,10142 L 1440,13506 L 2880,16921 L 6720,20310 L 8640,21600 L 8640,21524 L 4320,20588 L 3840,20310 L 480,16921 L 0,13506 L 1440,10142 L 5760,6753 L 12000,3339 L 16320,1669 L 21600,0 X E">
                      <v:fill color="#0E2841" opacity="100.0%" type="solid"/>
                      <v:stroke filltype="solid" color="#0E2841" opacity="100.0%" weight="0.2pt" dashstyle="solid" endcap="flat" joinstyle="round" linestyle="single" startarrow="none" startarrowwidth="medium" startarrowlength="medium" endarrow="none" endarrowwidth="medium" endarrowlength="medium"/>
                    </v:shape>
                    <v:shape id="_x0000_s1037" style="position:absolute;left:350053;top:3177006;width:385074;height:1571031;" coordorigin="0,0" coordsize="21600,21600" path="M 0,0 L 1403,1511 L 2945,4327 L 4769,7108 L 7434,10062 L 10519,13049 L 14026,16003 L 16831,17891 L 19777,19780 L 21319,21222 L 21600,21600 L 19636,20432 L 16130,18269 L 13044,16071 L 9397,13152 L 6592,10130 L 3927,7108 L 1683,3571 L 0,0 X E">
                      <v:fill color="#0E2841" opacity="100.0%" type="solid"/>
                      <v:stroke filltype="solid" color="#0E2841" opacity="100.0%" weight="0.2pt" dashstyle="solid" endcap="flat" joinstyle="round" linestyle="single" startarrow="none" startarrowwidth="medium" startarrowlength="medium" endarrow="none" endarrowwidth="medium" endarrowlength="medium"/>
                    </v:shape>
                    <v:shape id="_x0000_s1038" style="position:absolute;left:755118;top:4738034;width:82523;height:172349;" coordorigin="0,0" coordsize="21600,21600" path="M 0,0 L 21600,21600 L 15709,21600 L 7855,10957 L 0,0 X E">
                      <v:fill color="#0E2841" opacity="100.0%" type="solid"/>
                      <v:stroke filltype="solid" color="#0E2841" opacity="100.0%" weight="0.2pt" dashstyle="solid" endcap="flat" joinstyle="round" linestyle="single" startarrow="none" startarrowwidth="medium" startarrowlength="medium" endarrow="none" endarrowwidth="medium" endarrowlength="medium"/>
                    </v:shape>
                    <v:shape id="_x0000_s1039" style="position:absolute;left:337550;top:3054620;width:37517;height:232295;" coordorigin="0,0" coordsize="21600,21600" path="M 0,0 L 12960,8594 L 12960,9290 L 21600,21600 L 7200,11381 L 0,0 X E">
                      <v:fill color="#0E2841" opacity="100.0%" type="solid"/>
                      <v:stroke filltype="solid" color="#0E2841" opacity="100.0%" weight="0.2pt" dashstyle="solid" endcap="flat" joinstyle="round" linestyle="single" startarrow="none" startarrowwidth="medium" startarrowlength="medium" endarrow="none" endarrowwidth="medium" endarrowlength="medium"/>
                    </v:shape>
                    <v:shape id="_x0000_s1040" style="position:absolute;left:665103;top:2325311;width:985164;height:1913205;" coordorigin="0,0" coordsize="21600,21600" path="M 21600,0 L 19517,1072 L 17488,2171 L 15570,3299 L 13651,4512 L 11348,6147 L 9210,7783 L 7182,9559 L 5373,11336 L 3783,13169 L 2467,15086 L 1425,17032 L 768,18978 L 384,21036 L 329,21600 L 0,21121 L 55,20980 L 384,18978 L 1151,17004 L 2193,15030 L 3563,13140 L 5153,11279 L 6962,9475 L 8991,7755 L 11184,6063 L 13596,4455 L 15460,3271 L 17434,2143 L 19407,1043 L 21600,0 X E">
                      <v:fill color="#0E2841" opacity="100.0%" type="solid"/>
                      <v:stroke filltype="solid" color="#0E2841" opacity="100.0%" weight="0.2pt" dashstyle="solid" endcap="flat" joinstyle="round" linestyle="single" startarrow="none" startarrowwidth="medium" startarrowlength="medium" endarrow="none" endarrowwidth="medium" endarrowlength="medium"/>
                    </v:shape>
                    <v:shape id="_x0000_s1041" style="position:absolute;left:665104;top:4253491;width:90025;height:484555;" coordorigin="0,0" coordsize="21600,21600" path="M 0,0 L 3600,1781 L 4200,2115 L 6600,8907 L 12000,14697 L 19800,20598 L 21600,21600 L 12600,17926 L 9000,16144 L 3000,9019 L 600,4565 L 0,0 X E">
                      <v:fill color="#0E2841" opacity="100.0%" type="solid"/>
                      <v:stroke filltype="solid" color="#0E2841" opacity="100.0%" weight="0.2pt" dashstyle="solid" endcap="flat" joinstyle="round" linestyle="single" startarrow="none" startarrowwidth="medium" startarrowlength="medium" endarrow="none" endarrowwidth="medium" endarrowlength="medium"/>
                    </v:shape>
                    <v:shape id="_x0000_s1042" style="position:absolute;left:735115;top:4748024;width:77523;height:162360;" coordorigin="0,0" coordsize="21600,21600" path="M 0,0 L 21600,21600 L 16026,21600 L 0,0 X E">
                      <v:fill color="#0E2841" opacity="100.0%" type="solid"/>
                      <v:stroke filltype="solid" color="#0E2841" opacity="100.0%" weight="0.2pt" dashstyle="solid" endcap="flat" joinstyle="round" linestyle="single" startarrow="none" startarrowwidth="medium" startarrowlength="medium" endarrow="none" endarrowwidth="medium" endarrowlength="medium"/>
                    </v:shape>
                    <v:shape id="_x0000_s1043" style="position:absolute;left:665104;top:4196045;width:17515;height:104911;" coordorigin="0,0" coordsize="21600,21600" path="M 0,0 L 18514,8743 L 21600,21600 L 18514,20057 L 0,11829 L 0,0 X E">
                      <v:fill color="#0E2841" opacity="100.0%" type="solid"/>
                      <v:stroke filltype="solid" color="#0E2841" opacity="100.0%" weight="0.2pt" dashstyle="solid" endcap="flat" joinstyle="round" linestyle="single" startarrow="none" startarrowwidth="medium" startarrowlength="medium" endarrow="none" endarrowwidth="medium" endarrowlength="medium"/>
                    </v:shape>
                    <v:shape id="_x0000_s1044" style="position:absolute;left:702609;top:4615649;width:112528;height:294733;" coordorigin="0,0" coordsize="21600,21600" path="M 0,0 L 2880,2929 L 10080,8969 L 15840,15376 L 21600,21600 L 21120,21600 L 6240,9702 L 5280,7688 L 0,0 X E">
                      <v:fill color="#0E2841" opacity="100.0%" type="solid"/>
                      <v:stroke filltype="solid" color="#0E2841" opacity="100.0%" weight="0.2pt" dashstyle="solid" endcap="flat" joinstyle="round" linestyle="single" startarrow="none" startarrowwidth="medium" startarrowlength="medium" endarrow="none" endarrowwidth="medium" endarrowlength="medium"/>
                    </v:shape>
                  </v:group>
                  <v:group id="_x0000_s1045" style="position:absolute;left:-2;top:967842;width:2057446;height:3942533;" coordorigin="-1,-1" coordsize="2057446,3942533">
                    <v:shape id="_x0000_s1046" style="position:absolute;left:89616;top:1268167;width:466760;height:1678477;" coordorigin="0,0" coordsize="21600,21600" path="M 0,0 L 7085,7440 L 14861,14832 L 21600,20400 L 21600,21600 L 13651,14928 L 7085,8784 L 1210,2592 L 0,0 X E">
                      <v:fill color="#0E2841" opacity="20.0%" type="solid"/>
                      <v:stroke filltype="solid" color="#0E2841" opacity="20.0%" weight="0.2pt" dashstyle="solid" endcap="flat" joinstyle="round" linestyle="single" startarrow="none" startarrowwidth="medium" startarrowlength="medium" endarrow="none" endarrowwidth="medium" endarrowlength="medium"/>
                    </v:shape>
                    <v:shape id="_x0000_s1047" style="position:absolute;left:582502;top:2916793;width:440624;height:1025739;" coordorigin="0,0" coordsize="21600,21600" path="M 0,0 L 1464,1571 L 6773,7540 L 12631,13353 L 21600,21600 L 19953,21600 L 11166,13667 L 5492,7855 L 0,2042 L 0,0 X E">
                      <v:fill color="#0E2841" opacity="20.0%" type="solid"/>
                      <v:stroke filltype="solid" color="#0E2841" opacity="20.0%" weight="0.2pt" dashstyle="solid" endcap="flat" joinstyle="round" linestyle="single" startarrow="none" startarrowwidth="medium" startarrowlength="medium" endarrow="none" endarrowwidth="medium" endarrowlength="medium"/>
                    </v:shape>
                    <v:shape id="_x0000_s1048" style="position:absolute;left:-1;top:846689;width:74692;height:451333;" coordorigin="0,0" coordsize="21600,21600" path="M 0,0 L 17280,12853 L 21600,21600 L 0,5534 L 0,0 X E">
                      <v:fill color="#0E2841" opacity="20.0%" type="solid"/>
                      <v:stroke filltype="solid" color="#0E2841" opacity="20.0%" weight="0.2pt" dashstyle="solid" endcap="flat" joinstyle="round" linestyle="single" startarrow="none" startarrowwidth="medium" startarrowlength="medium" endarrow="none" endarrowwidth="medium" endarrowlength="medium"/>
                    </v:shape>
                    <v:shape id="_x0000_s1049" style="position:absolute;left:74680;top:1298010;width:589981;height:2398346;" coordorigin="0,0" coordsize="21600,21600" path="M 0,0 L 1504,1545 L 3008,4333 L 4922,7088 L 7519,10111 L 10390,13067 L 14081,15990 L 16815,17905 L 19686,19752 L 21190,21230 L 21600,21600 L 19413,20424 L 16132,18274 L 12987,16057 L 9433,13135 L 6425,10145 L 3965,7122 L 1777,3594 L 0,0 X E">
                      <v:fill color="#0E2841" opacity="20.0%" type="solid"/>
                      <v:stroke filltype="solid" color="#0E2841" opacity="20.0%" weight="0.2pt" dashstyle="solid" endcap="flat" joinstyle="round" linestyle="single" startarrow="none" startarrowwidth="medium" startarrowlength="medium" endarrow="none" endarrowwidth="medium" endarrowlength="medium"/>
                    </v:shape>
                    <v:shape id="_x0000_s1050" style="position:absolute;left:694522;top:3677695;width:123237;height:264836;" coordorigin="0,0" coordsize="21600,21600" path="M 0,0 L 21600,21600 L 15709,21600 L 7200,10952 L 0,0 X E">
                      <v:fill color="#0E2841" opacity="20.0%" type="solid"/>
                      <v:stroke filltype="solid" color="#0E2841" opacity="20.0%" weight="0.2pt" dashstyle="solid" endcap="flat" joinstyle="round" linestyle="single" startarrow="none" startarrowwidth="medium" startarrowlength="medium" endarrow="none" endarrowwidth="medium" endarrowlength="medium"/>
                    </v:shape>
                    <v:shape id="_x0000_s1051" style="position:absolute;left:59745;top:1115241;width:56021;height:354359;" coordorigin="0,0" coordsize="21600,21600" path="M 0,0 L 11520,8413 L 11520,9322 L 21600,21600 L 5760,11141 L 0,0 X E">
                      <v:fill color="#0E2841" opacity="20.0%" type="solid"/>
                      <v:stroke filltype="solid" color="#0E2841" opacity="20.0%" weight="0.2pt" dashstyle="solid" endcap="flat" joinstyle="round" linestyle="single" startarrow="none" startarrowwidth="medium" startarrowlength="medium" endarrow="none" endarrowwidth="medium" endarrowlength="medium"/>
                    </v:shape>
                    <v:shape id="_x0000_s1052" style="position:absolute;left:556363;top:-1;width:1501082;height:2916806;" coordorigin="0,0" coordsize="21600,21600" path="M 21600,0 L 21600,28 L 19504,1077 L 17463,2182 L 15582,3342 L 13701,4530 L 11337,6132 L 9188,7845 L 7146,9557 L 5373,11352 L 3815,13203 L 2418,15081 L 1451,17042 L 699,19031 L 376,21020 L 376,21600 L 0,21130 L 54,21020 L 376,19004 L 1128,17015 L 2149,15054 L 3546,13120 L 5104,11297 L 6985,9474 L 8973,7762 L 11230,6077 L 13594,4502 L 15421,3315 L 17409,2154 L 19451,1050 L 21600,0 X E">
                      <v:fill color="#0E2841" opacity="20.0%" type="solid"/>
                      <v:stroke filltype="solid" color="#0E2841" opacity="20.0%" weight="0.2pt" dashstyle="solid" endcap="flat" joinstyle="round" linestyle="single" startarrow="none" startarrowwidth="medium" startarrowlength="medium" endarrow="none" endarrowwidth="medium" endarrowlength="medium"/>
                    </v:shape>
                    <v:shape id="_x0000_s1053" style="position:absolute;left:556362;top:2946632;width:138171;height:731074;" coordorigin="0,0" coordsize="21600,21600" path="M 0,0 L 3503,1653 L 4086,1984 L 7005,8816 L 12259,14767 L 19265,20718 L 21600,21600 L 12843,17853 L 8757,16090 L 2919,8927 L 584,4408 L 0,0 X E">
                      <v:fill color="#0E2841" opacity="20.0%" type="solid"/>
                      <v:stroke filltype="solid" color="#0E2841" opacity="20.0%" weight="0.2pt" dashstyle="solid" endcap="flat" joinstyle="round" linestyle="single" startarrow="none" startarrowwidth="medium" startarrowlength="medium" endarrow="none" endarrowwidth="medium" endarrowlength="medium"/>
                    </v:shape>
                    <v:shape id="_x0000_s1054" style="position:absolute;left:664649;top:3696346;width:115769;height:246185;" coordorigin="0,0" coordsize="21600,21600" path="M 0,0 L 21600,21600 L 16723,21600 L 0,0 X E">
                      <v:fill color="#0E2841" opacity="20.0%" type="solid"/>
                      <v:stroke filltype="solid" color="#0E2841" opacity="20.0%" weight="0.2pt" dashstyle="solid" endcap="flat" joinstyle="round" linestyle="single" startarrow="none" startarrowwidth="medium" startarrowlength="medium" endarrow="none" endarrowwidth="medium" endarrowlength="medium"/>
                    </v:shape>
                    <v:shape id="_x0000_s1055" style="position:absolute;left:556362;top:2853386;width:26151;height:160397;" coordorigin="0,0" coordsize="21600,21600" path="M 0,0 L 21600,8540 L 21600,21600 L 18514,20093 L 0,12558 L 0,0 X E">
                      <v:fill color="#0E2841" opacity="20.0%" type="solid"/>
                      <v:stroke filltype="solid" color="#0E2841" opacity="20.0%" weight="0.2pt" dashstyle="solid" endcap="flat" joinstyle="round" linestyle="single" startarrow="none" startarrowwidth="medium" startarrowlength="medium" endarrow="none" endarrowwidth="medium" endarrowlength="medium"/>
                    </v:shape>
                    <v:shape id="_x0000_s1056" style="position:absolute;left:612374;top:3491199;width:171777;height:451333;" coordorigin="0,0" coordsize="21600,21600" path="M 0,0 L 3287,2856 L 10330,8926 L 15496,15352 L 21600,21600 L 21130,21600 L 6574,9818 L 5165,7855 L 0,0 X E">
                      <v:fill color="#0E2841" opacity="20.0%" type="solid"/>
                      <v:stroke filltype="solid" color="#0E2841" opacity="20.0%" weight="0.2pt" dashstyle="solid" endcap="flat" joinstyle="round" linestyle="single" startarrow="none" startarrowwidth="medium" startarrowlength="medium" endarrow="none" endarrowwidth="medium" endarrowlength="medium"/>
                    </v:shape>
                  </v:group>
                </v:group>
              </v:group>
            </w:pict>
          </mc:Fallback>
        </mc:AlternateContent>
      </w:r>
      <w:r>
        <w:rPr>
          <w:rFonts w:ascii="Arial" w:cs="Arial" w:hAnsi="Arial" w:eastAsia="Arial"/>
          <w:sz w:val="24"/>
          <w:szCs w:val="24"/>
        </w:rPr>
        <mc:AlternateContent>
          <mc:Choice Requires="wps">
            <w:drawing xmlns:a="http://schemas.openxmlformats.org/drawingml/2006/main">
              <wp:anchor distT="0" distB="0" distL="0" distR="0" simplePos="0" relativeHeight="251660288" behindDoc="0" locked="0" layoutInCell="1" allowOverlap="1">
                <wp:simplePos x="0" y="0"/>
                <wp:positionH relativeFrom="page">
                  <wp:posOffset>3175000</wp:posOffset>
                </wp:positionH>
                <wp:positionV relativeFrom="page">
                  <wp:posOffset>9408793</wp:posOffset>
                </wp:positionV>
                <wp:extent cx="3657600" cy="355600"/>
                <wp:effectExtent l="0" t="0" r="0" b="0"/>
                <wp:wrapNone/>
                <wp:docPr id="1073741856" name="officeArt object" descr="Text Box 28"/>
                <wp:cNvGraphicFramePr/>
                <a:graphic xmlns:a="http://schemas.openxmlformats.org/drawingml/2006/main">
                  <a:graphicData uri="http://schemas.microsoft.com/office/word/2010/wordprocessingShape">
                    <wps:wsp>
                      <wps:cNvSpPr txBox="1"/>
                      <wps:spPr>
                        <a:xfrm>
                          <a:off x="0" y="0"/>
                          <a:ext cx="3657600" cy="355600"/>
                        </a:xfrm>
                        <a:prstGeom prst="rect">
                          <a:avLst/>
                        </a:prstGeom>
                        <a:noFill/>
                        <a:ln w="12700" cap="flat">
                          <a:noFill/>
                          <a:miter lim="400000"/>
                        </a:ln>
                        <a:effectLst/>
                      </wps:spPr>
                      <wps:txbx>
                        <w:txbxContent>
                          <w:p>
                            <w:pPr>
                              <w:pStyle w:val="No Spacing"/>
                              <w:rPr>
                                <w:outline w:val="0"/>
                                <w:color w:val="156082"/>
                                <w:sz w:val="26"/>
                                <w:szCs w:val="26"/>
                                <w:u w:color="156082"/>
                                <w14:textFill>
                                  <w14:solidFill>
                                    <w14:srgbClr w14:val="156082"/>
                                  </w14:solidFill>
                                </w14:textFill>
                              </w:rPr>
                            </w:pPr>
                            <w:r>
                              <w:rPr>
                                <w:outline w:val="0"/>
                                <w:color w:val="156082"/>
                                <w:sz w:val="26"/>
                                <w:szCs w:val="26"/>
                                <w:u w:color="156082"/>
                                <w:rtl w:val="0"/>
                                <w:lang w:val="en-US"/>
                                <w14:textFill>
                                  <w14:solidFill>
                                    <w14:srgbClr w14:val="156082"/>
                                  </w14:solidFill>
                                </w14:textFill>
                              </w:rPr>
                              <w:t>University of Wales Trinity Saint David</w:t>
                            </w:r>
                          </w:p>
                          <w:p>
                            <w:pPr>
                              <w:pStyle w:val="No Spacing"/>
                            </w:pPr>
                            <w:r>
                              <w:rPr>
                                <w:caps w:val="1"/>
                                <w:outline w:val="0"/>
                                <w:color w:val="595959"/>
                                <w:sz w:val="20"/>
                                <w:szCs w:val="20"/>
                                <w:u w:color="595959"/>
                                <w:rtl w:val="0"/>
                                <w:lang w:val="en-US"/>
                                <w14:textFill>
                                  <w14:solidFill>
                                    <w14:srgbClr w14:val="595959"/>
                                  </w14:solidFill>
                                </w14:textFill>
                              </w:rPr>
                              <w:t>London campus</w:t>
                            </w:r>
                          </w:p>
                        </w:txbxContent>
                      </wps:txbx>
                      <wps:bodyPr wrap="square" lIns="0" tIns="0" rIns="0" bIns="0" numCol="1" anchor="b">
                        <a:noAutofit/>
                      </wps:bodyPr>
                    </wps:wsp>
                  </a:graphicData>
                </a:graphic>
              </wp:anchor>
            </w:drawing>
          </mc:Choice>
          <mc:Fallback>
            <w:pict>
              <v:shape id="_x0000_s1057" type="#_x0000_t202" style="visibility:visible;position:absolute;margin-left:250.0pt;margin-top:740.8pt;width:288.0pt;height:28.0pt;z-index:251660288;mso-position-horizontal:absolute;mso-position-horizontal-relative:page;mso-position-vertical:absolute;mso-position-vertical-relative:page;mso-wrap-distance-left:0.0pt;mso-wrap-distance-top:0.0pt;mso-wrap-distance-right:0.0pt;mso-wrap-distance-bottom:0.0pt;">
                <v:fill on="f"/>
                <v:stroke on="f" weight="1.0pt" dashstyle="solid" endcap="flat" miterlimit="400.0%" joinstyle="miter" linestyle="single" startarrow="none" startarrowwidth="medium" startarrowlength="medium" endarrow="none" endarrowwidth="medium" endarrowlength="medium"/>
                <v:textbox>
                  <w:txbxContent>
                    <w:p>
                      <w:pPr>
                        <w:pStyle w:val="No Spacing"/>
                        <w:rPr>
                          <w:outline w:val="0"/>
                          <w:color w:val="156082"/>
                          <w:sz w:val="26"/>
                          <w:szCs w:val="26"/>
                          <w:u w:color="156082"/>
                          <w14:textFill>
                            <w14:solidFill>
                              <w14:srgbClr w14:val="156082"/>
                            </w14:solidFill>
                          </w14:textFill>
                        </w:rPr>
                      </w:pPr>
                      <w:r>
                        <w:rPr>
                          <w:outline w:val="0"/>
                          <w:color w:val="156082"/>
                          <w:sz w:val="26"/>
                          <w:szCs w:val="26"/>
                          <w:u w:color="156082"/>
                          <w:rtl w:val="0"/>
                          <w:lang w:val="en-US"/>
                          <w14:textFill>
                            <w14:solidFill>
                              <w14:srgbClr w14:val="156082"/>
                            </w14:solidFill>
                          </w14:textFill>
                        </w:rPr>
                        <w:t>University of Wales Trinity Saint David</w:t>
                      </w:r>
                    </w:p>
                    <w:p>
                      <w:pPr>
                        <w:pStyle w:val="No Spacing"/>
                      </w:pPr>
                      <w:r>
                        <w:rPr>
                          <w:caps w:val="1"/>
                          <w:outline w:val="0"/>
                          <w:color w:val="595959"/>
                          <w:sz w:val="20"/>
                          <w:szCs w:val="20"/>
                          <w:u w:color="595959"/>
                          <w:rtl w:val="0"/>
                          <w:lang w:val="en-US"/>
                          <w14:textFill>
                            <w14:solidFill>
                              <w14:srgbClr w14:val="595959"/>
                            </w14:solidFill>
                          </w14:textFill>
                        </w:rPr>
                        <w:t>London campus</w:t>
                      </w:r>
                    </w:p>
                  </w:txbxContent>
                </v:textbox>
                <w10:wrap type="none" side="bothSides" anchorx="page" anchory="page"/>
              </v:shape>
            </w:pict>
          </mc:Fallback>
        </mc:AlternateContent>
      </w:r>
    </w:p>
    <w:p>
      <w:pPr>
        <w:pStyle w:val="Body A"/>
        <w:spacing w:line="360" w:lineRule="auto"/>
        <w:jc w:val="both"/>
        <w:rPr>
          <w:rFonts w:ascii="Arial" w:cs="Arial" w:hAnsi="Arial" w:eastAsia="Arial"/>
        </w:rPr>
      </w:pPr>
      <w:r>
        <mc:AlternateContent>
          <mc:Choice Requires="wps">
            <w:drawing xmlns:a="http://schemas.openxmlformats.org/drawingml/2006/main">
              <wp:anchor distT="80010" distB="80010" distL="80010" distR="80010" simplePos="0" relativeHeight="251661312" behindDoc="0" locked="0" layoutInCell="1" allowOverlap="1">
                <wp:simplePos x="0" y="0"/>
                <wp:positionH relativeFrom="page">
                  <wp:posOffset>3036350</wp:posOffset>
                </wp:positionH>
                <wp:positionV relativeFrom="page">
                  <wp:posOffset>6070592</wp:posOffset>
                </wp:positionV>
                <wp:extent cx="4112698" cy="2713555"/>
                <wp:effectExtent l="0" t="0" r="0" b="0"/>
                <wp:wrapSquare wrapText="bothSides" distL="80010" distR="80010" distT="80010" distB="80010"/>
                <wp:docPr id="1073741859" name="officeArt object" descr="Text Box 2"/>
                <wp:cNvGraphicFramePr/>
                <a:graphic xmlns:a="http://schemas.openxmlformats.org/drawingml/2006/main">
                  <a:graphicData uri="http://schemas.microsoft.com/office/word/2010/wordprocessingShape">
                    <wps:wsp>
                      <wps:cNvSpPr txBox="1"/>
                      <wps:spPr>
                        <a:xfrm>
                          <a:off x="0" y="0"/>
                          <a:ext cx="4112698" cy="2713555"/>
                        </a:xfrm>
                        <a:prstGeom prst="rect">
                          <a:avLst/>
                        </a:prstGeom>
                        <a:solidFill>
                          <a:srgbClr val="FFFFFF"/>
                        </a:solidFill>
                        <a:ln w="9525" cap="flat">
                          <a:solidFill>
                            <a:srgbClr val="000000"/>
                          </a:solidFill>
                          <a:prstDash val="solid"/>
                          <a:miter lim="800000"/>
                        </a:ln>
                        <a:effectLst/>
                      </wps:spPr>
                      <wps:txbx id="1">
                        <w:txbxContent>
                          <w:p>
                            <w:pPr>
                              <w:pStyle w:val="Body A"/>
                            </w:pPr>
                            <w:r>
                              <w:rPr>
                                <w:rFonts w:ascii="Aptos" w:cs="Aptos" w:hAnsi="Aptos" w:eastAsia="Aptos"/>
                                <w:b w:val="1"/>
                                <w:bCs w:val="1"/>
                                <w:sz w:val="32"/>
                                <w:szCs w:val="32"/>
                                <w:rtl w:val="0"/>
                                <w:lang w:val="en-US"/>
                              </w:rPr>
                              <w:t xml:space="preserve">Module Name: </w:t>
                            </w:r>
                            <w:r>
                              <w:rPr>
                                <w:rFonts w:ascii="Aptos" w:cs="Aptos" w:hAnsi="Aptos" w:eastAsia="Aptos"/>
                                <w:i w:val="1"/>
                                <w:iCs w:val="1"/>
                                <w:sz w:val="28"/>
                                <w:szCs w:val="28"/>
                                <w:rtl w:val="0"/>
                                <w:lang w:val="en-US"/>
                              </w:rPr>
                              <w:t>Data Security and Compliance</w:t>
                            </w:r>
                          </w:p>
                          <w:p>
                            <w:pPr>
                              <w:pStyle w:val="Body A"/>
                              <w:rPr>
                                <w:rFonts w:ascii="Aptos" w:cs="Aptos" w:hAnsi="Aptos" w:eastAsia="Aptos"/>
                                <w:i w:val="1"/>
                                <w:iCs w:val="1"/>
                                <w:sz w:val="28"/>
                                <w:szCs w:val="28"/>
                              </w:rPr>
                            </w:pPr>
                            <w:r>
                              <w:rPr>
                                <w:rFonts w:ascii="Aptos" w:cs="Aptos" w:hAnsi="Aptos" w:eastAsia="Aptos"/>
                                <w:b w:val="1"/>
                                <w:bCs w:val="1"/>
                                <w:sz w:val="32"/>
                                <w:szCs w:val="32"/>
                                <w:rtl w:val="0"/>
                                <w:lang w:val="en-US"/>
                              </w:rPr>
                              <w:t xml:space="preserve">Module Code: </w:t>
                            </w:r>
                            <w:r>
                              <w:rPr>
                                <w:rFonts w:ascii="Aptos" w:cs="Aptos" w:hAnsi="Aptos" w:eastAsia="Aptos"/>
                                <w:i w:val="1"/>
                                <w:iCs w:val="1"/>
                                <w:sz w:val="28"/>
                                <w:szCs w:val="28"/>
                                <w:rtl w:val="0"/>
                                <w:lang w:val="en-US"/>
                              </w:rPr>
                              <w:t>ACCA 5034</w:t>
                            </w:r>
                          </w:p>
                          <w:p>
                            <w:pPr>
                              <w:pStyle w:val="Body A"/>
                              <w:rPr>
                                <w:rFonts w:ascii="Aptos" w:cs="Aptos" w:hAnsi="Aptos" w:eastAsia="Aptos"/>
                                <w:i w:val="1"/>
                                <w:iCs w:val="1"/>
                                <w:sz w:val="28"/>
                                <w:szCs w:val="28"/>
                              </w:rPr>
                            </w:pPr>
                            <w:r>
                              <w:rPr>
                                <w:rFonts w:ascii="Aptos" w:cs="Aptos" w:hAnsi="Aptos" w:eastAsia="Aptos"/>
                                <w:b w:val="1"/>
                                <w:bCs w:val="1"/>
                                <w:sz w:val="34"/>
                                <w:szCs w:val="34"/>
                                <w:rtl w:val="0"/>
                                <w:lang w:val="de-DE"/>
                              </w:rPr>
                              <w:t xml:space="preserve">Student Name: </w:t>
                            </w:r>
                            <w:r>
                              <w:rPr>
                                <w:rFonts w:ascii="Aptos" w:cs="Aptos" w:hAnsi="Aptos" w:eastAsia="Aptos"/>
                                <w:i w:val="1"/>
                                <w:iCs w:val="1"/>
                                <w:sz w:val="28"/>
                                <w:szCs w:val="28"/>
                                <w:rtl w:val="0"/>
                                <w:lang w:val="en-US"/>
                              </w:rPr>
                              <w:t>Mohamad Bagher Ghotbi Karimi</w:t>
                            </w:r>
                          </w:p>
                          <w:p>
                            <w:pPr>
                              <w:pStyle w:val="Body A"/>
                              <w:rPr>
                                <w:rFonts w:ascii="Aptos" w:cs="Aptos" w:hAnsi="Aptos" w:eastAsia="Aptos"/>
                                <w:b w:val="1"/>
                                <w:bCs w:val="1"/>
                                <w:i w:val="1"/>
                                <w:iCs w:val="1"/>
                                <w:sz w:val="28"/>
                                <w:szCs w:val="28"/>
                              </w:rPr>
                            </w:pPr>
                            <w:r>
                              <w:rPr>
                                <w:rFonts w:ascii="Aptos" w:cs="Aptos" w:hAnsi="Aptos" w:eastAsia="Aptos"/>
                                <w:b w:val="1"/>
                                <w:bCs w:val="1"/>
                                <w:sz w:val="34"/>
                                <w:szCs w:val="34"/>
                                <w:rtl w:val="0"/>
                                <w:lang w:val="en-US"/>
                              </w:rPr>
                              <w:t>Student ID:</w:t>
                            </w:r>
                            <w:r>
                              <w:rPr>
                                <w:rFonts w:ascii="Aptos" w:cs="Aptos" w:hAnsi="Aptos" w:eastAsia="Aptos"/>
                                <w:b w:val="1"/>
                                <w:bCs w:val="1"/>
                                <w:i w:val="1"/>
                                <w:iCs w:val="1"/>
                                <w:sz w:val="28"/>
                                <w:szCs w:val="28"/>
                                <w:rtl w:val="0"/>
                                <w:lang w:val="en-US"/>
                              </w:rPr>
                              <w:t xml:space="preserve"> 2422377</w:t>
                            </w:r>
                          </w:p>
                          <w:p>
                            <w:pPr>
                              <w:pStyle w:val="Body A"/>
                            </w:pPr>
                            <w:r>
                              <w:rPr>
                                <w:rFonts w:ascii="Aptos" w:cs="Aptos" w:hAnsi="Aptos" w:eastAsia="Aptos"/>
                                <w:b w:val="1"/>
                                <w:bCs w:val="1"/>
                                <w:sz w:val="34"/>
                                <w:szCs w:val="34"/>
                                <w:rtl w:val="0"/>
                                <w:lang w:val="fr-FR"/>
                              </w:rPr>
                              <w:t>Lecturer</w:t>
                            </w:r>
                            <w:r>
                              <w:rPr>
                                <w:rFonts w:ascii="Aptos" w:cs="Aptos" w:hAnsi="Aptos" w:eastAsia="Aptos"/>
                                <w:b w:val="1"/>
                                <w:bCs w:val="1"/>
                                <w:sz w:val="34"/>
                                <w:szCs w:val="34"/>
                                <w:rtl w:val="1"/>
                              </w:rPr>
                              <w:t>’</w:t>
                            </w:r>
                            <w:r>
                              <w:rPr>
                                <w:rFonts w:ascii="Aptos" w:cs="Aptos" w:hAnsi="Aptos" w:eastAsia="Aptos"/>
                                <w:b w:val="1"/>
                                <w:bCs w:val="1"/>
                                <w:sz w:val="34"/>
                                <w:szCs w:val="34"/>
                                <w:rtl w:val="0"/>
                                <w:lang w:val="de-DE"/>
                              </w:rPr>
                              <w:t>s Name:</w:t>
                            </w:r>
                            <w:r>
                              <w:rPr>
                                <w:rtl w:val="0"/>
                                <w:lang w:val="de-DE"/>
                              </w:rPr>
                              <w:t xml:space="preserve"> </w:t>
                            </w:r>
                            <w:r>
                              <w:rPr>
                                <w:rFonts w:ascii="Aptos" w:cs="Aptos" w:hAnsi="Aptos" w:eastAsia="Aptos"/>
                                <w:i w:val="1"/>
                                <w:iCs w:val="1"/>
                                <w:sz w:val="28"/>
                                <w:szCs w:val="28"/>
                                <w:rtl w:val="0"/>
                                <w:lang w:val="en-US"/>
                              </w:rPr>
                              <w:t>Ayman El Hajjar</w:t>
                            </w:r>
                          </w:p>
                        </w:txbxContent>
                      </wps:txbx>
                      <wps:bodyPr wrap="square" lIns="45718" tIns="45718" rIns="45718" bIns="45718" numCol="1" anchor="t">
                        <a:noAutofit/>
                      </wps:bodyPr>
                    </wps:wsp>
                  </a:graphicData>
                </a:graphic>
              </wp:anchor>
            </w:drawing>
          </mc:Choice>
          <mc:Fallback>
            <w:pict>
              <v:shape id="_x0000_s1058" type="#_x0000_t202" style="visibility:visible;position:absolute;margin-left:239.1pt;margin-top:478.0pt;width:323.8pt;height:213.7pt;z-index:251661312;mso-position-horizontal:absolute;mso-position-horizontal-relative:page;mso-position-vertical:absolute;mso-position-vertical-relative:page;mso-wrap-distance-left:6.3pt;mso-wrap-distance-top:6.3pt;mso-wrap-distance-right:6.3pt;mso-wrap-distance-bottom:6.3pt;">
                <v:fill color="#FFFFFF" opacity="100.0%" type="solid"/>
                <v:stroke filltype="solid" color="#000000" opacity="100.0%" weight="0.8pt" dashstyle="solid" endcap="flat" miterlimit="800.0%" joinstyle="miter" linestyle="single" startarrow="none" startarrowwidth="medium" startarrowlength="medium" endarrow="none" endarrowwidth="medium" endarrowlength="medium"/>
                <v:textbox>
                  <w:txbxContent>
                    <w:p>
                      <w:pPr>
                        <w:pStyle w:val="Body A"/>
                      </w:pPr>
                      <w:r>
                        <w:rPr>
                          <w:rFonts w:ascii="Aptos" w:cs="Aptos" w:hAnsi="Aptos" w:eastAsia="Aptos"/>
                          <w:b w:val="1"/>
                          <w:bCs w:val="1"/>
                          <w:sz w:val="32"/>
                          <w:szCs w:val="32"/>
                          <w:rtl w:val="0"/>
                          <w:lang w:val="en-US"/>
                        </w:rPr>
                        <w:t xml:space="preserve">Module Name: </w:t>
                      </w:r>
                      <w:r>
                        <w:rPr>
                          <w:rFonts w:ascii="Aptos" w:cs="Aptos" w:hAnsi="Aptos" w:eastAsia="Aptos"/>
                          <w:i w:val="1"/>
                          <w:iCs w:val="1"/>
                          <w:sz w:val="28"/>
                          <w:szCs w:val="28"/>
                          <w:rtl w:val="0"/>
                          <w:lang w:val="en-US"/>
                        </w:rPr>
                        <w:t>Data Security and Compliance</w:t>
                      </w:r>
                    </w:p>
                    <w:p>
                      <w:pPr>
                        <w:pStyle w:val="Body A"/>
                        <w:rPr>
                          <w:rFonts w:ascii="Aptos" w:cs="Aptos" w:hAnsi="Aptos" w:eastAsia="Aptos"/>
                          <w:i w:val="1"/>
                          <w:iCs w:val="1"/>
                          <w:sz w:val="28"/>
                          <w:szCs w:val="28"/>
                        </w:rPr>
                      </w:pPr>
                      <w:r>
                        <w:rPr>
                          <w:rFonts w:ascii="Aptos" w:cs="Aptos" w:hAnsi="Aptos" w:eastAsia="Aptos"/>
                          <w:b w:val="1"/>
                          <w:bCs w:val="1"/>
                          <w:sz w:val="32"/>
                          <w:szCs w:val="32"/>
                          <w:rtl w:val="0"/>
                          <w:lang w:val="en-US"/>
                        </w:rPr>
                        <w:t xml:space="preserve">Module Code: </w:t>
                      </w:r>
                      <w:r>
                        <w:rPr>
                          <w:rFonts w:ascii="Aptos" w:cs="Aptos" w:hAnsi="Aptos" w:eastAsia="Aptos"/>
                          <w:i w:val="1"/>
                          <w:iCs w:val="1"/>
                          <w:sz w:val="28"/>
                          <w:szCs w:val="28"/>
                          <w:rtl w:val="0"/>
                          <w:lang w:val="en-US"/>
                        </w:rPr>
                        <w:t>ACCA 5034</w:t>
                      </w:r>
                    </w:p>
                    <w:p>
                      <w:pPr>
                        <w:pStyle w:val="Body A"/>
                        <w:rPr>
                          <w:rFonts w:ascii="Aptos" w:cs="Aptos" w:hAnsi="Aptos" w:eastAsia="Aptos"/>
                          <w:i w:val="1"/>
                          <w:iCs w:val="1"/>
                          <w:sz w:val="28"/>
                          <w:szCs w:val="28"/>
                        </w:rPr>
                      </w:pPr>
                      <w:r>
                        <w:rPr>
                          <w:rFonts w:ascii="Aptos" w:cs="Aptos" w:hAnsi="Aptos" w:eastAsia="Aptos"/>
                          <w:b w:val="1"/>
                          <w:bCs w:val="1"/>
                          <w:sz w:val="34"/>
                          <w:szCs w:val="34"/>
                          <w:rtl w:val="0"/>
                          <w:lang w:val="de-DE"/>
                        </w:rPr>
                        <w:t xml:space="preserve">Student Name: </w:t>
                      </w:r>
                      <w:r>
                        <w:rPr>
                          <w:rFonts w:ascii="Aptos" w:cs="Aptos" w:hAnsi="Aptos" w:eastAsia="Aptos"/>
                          <w:i w:val="1"/>
                          <w:iCs w:val="1"/>
                          <w:sz w:val="28"/>
                          <w:szCs w:val="28"/>
                          <w:rtl w:val="0"/>
                          <w:lang w:val="en-US"/>
                        </w:rPr>
                        <w:t>Mohamad Bagher Ghotbi Karimi</w:t>
                      </w:r>
                    </w:p>
                    <w:p>
                      <w:pPr>
                        <w:pStyle w:val="Body A"/>
                        <w:rPr>
                          <w:rFonts w:ascii="Aptos" w:cs="Aptos" w:hAnsi="Aptos" w:eastAsia="Aptos"/>
                          <w:b w:val="1"/>
                          <w:bCs w:val="1"/>
                          <w:i w:val="1"/>
                          <w:iCs w:val="1"/>
                          <w:sz w:val="28"/>
                          <w:szCs w:val="28"/>
                        </w:rPr>
                      </w:pPr>
                      <w:r>
                        <w:rPr>
                          <w:rFonts w:ascii="Aptos" w:cs="Aptos" w:hAnsi="Aptos" w:eastAsia="Aptos"/>
                          <w:b w:val="1"/>
                          <w:bCs w:val="1"/>
                          <w:sz w:val="34"/>
                          <w:szCs w:val="34"/>
                          <w:rtl w:val="0"/>
                          <w:lang w:val="en-US"/>
                        </w:rPr>
                        <w:t>Student ID:</w:t>
                      </w:r>
                      <w:r>
                        <w:rPr>
                          <w:rFonts w:ascii="Aptos" w:cs="Aptos" w:hAnsi="Aptos" w:eastAsia="Aptos"/>
                          <w:b w:val="1"/>
                          <w:bCs w:val="1"/>
                          <w:i w:val="1"/>
                          <w:iCs w:val="1"/>
                          <w:sz w:val="28"/>
                          <w:szCs w:val="28"/>
                          <w:rtl w:val="0"/>
                          <w:lang w:val="en-US"/>
                        </w:rPr>
                        <w:t xml:space="preserve"> 2422377</w:t>
                      </w:r>
                    </w:p>
                    <w:p>
                      <w:pPr>
                        <w:pStyle w:val="Body A"/>
                      </w:pPr>
                      <w:r>
                        <w:rPr>
                          <w:rFonts w:ascii="Aptos" w:cs="Aptos" w:hAnsi="Aptos" w:eastAsia="Aptos"/>
                          <w:b w:val="1"/>
                          <w:bCs w:val="1"/>
                          <w:sz w:val="34"/>
                          <w:szCs w:val="34"/>
                          <w:rtl w:val="0"/>
                          <w:lang w:val="fr-FR"/>
                        </w:rPr>
                        <w:t>Lecturer</w:t>
                      </w:r>
                      <w:r>
                        <w:rPr>
                          <w:rFonts w:ascii="Aptos" w:cs="Aptos" w:hAnsi="Aptos" w:eastAsia="Aptos"/>
                          <w:b w:val="1"/>
                          <w:bCs w:val="1"/>
                          <w:sz w:val="34"/>
                          <w:szCs w:val="34"/>
                          <w:rtl w:val="1"/>
                        </w:rPr>
                        <w:t>’</w:t>
                      </w:r>
                      <w:r>
                        <w:rPr>
                          <w:rFonts w:ascii="Aptos" w:cs="Aptos" w:hAnsi="Aptos" w:eastAsia="Aptos"/>
                          <w:b w:val="1"/>
                          <w:bCs w:val="1"/>
                          <w:sz w:val="34"/>
                          <w:szCs w:val="34"/>
                          <w:rtl w:val="0"/>
                          <w:lang w:val="de-DE"/>
                        </w:rPr>
                        <w:t>s Name:</w:t>
                      </w:r>
                      <w:r>
                        <w:rPr>
                          <w:rtl w:val="0"/>
                          <w:lang w:val="de-DE"/>
                        </w:rPr>
                        <w:t xml:space="preserve"> </w:t>
                      </w:r>
                      <w:r>
                        <w:rPr>
                          <w:rFonts w:ascii="Aptos" w:cs="Aptos" w:hAnsi="Aptos" w:eastAsia="Aptos"/>
                          <w:i w:val="1"/>
                          <w:iCs w:val="1"/>
                          <w:sz w:val="28"/>
                          <w:szCs w:val="28"/>
                          <w:rtl w:val="0"/>
                          <w:lang w:val="en-US"/>
                        </w:rPr>
                        <w:t>Ayman El Hajjar</w:t>
                      </w:r>
                    </w:p>
                  </w:txbxContent>
                </v:textbox>
                <w10:wrap type="square" side="bothSides" anchorx="page" anchory="page"/>
              </v:shape>
            </w:pict>
          </mc:Fallback>
        </mc:AlternateContent>
      </w:r>
    </w:p>
    <w:p>
      <w:pPr>
        <w:pStyle w:val="Body A"/>
        <w:jc w:val="both"/>
        <w:rPr>
          <w:rFonts w:ascii="Arial" w:cs="Arial" w:hAnsi="Arial" w:eastAsia="Arial"/>
        </w:rPr>
      </w:pPr>
    </w:p>
    <w:p>
      <w:pPr>
        <w:pStyle w:val="Body A"/>
        <w:spacing w:line="360" w:lineRule="auto"/>
        <w:jc w:val="both"/>
      </w:pPr>
      <w:r>
        <w:rPr>
          <w:rFonts w:ascii="Arial" w:cs="Arial" w:hAnsi="Arial" w:eastAsia="Arial"/>
        </w:rPr>
        <mc:AlternateContent>
          <mc:Choice Requires="wps">
            <w:drawing xmlns:a="http://schemas.openxmlformats.org/drawingml/2006/main">
              <wp:anchor distT="152400" distB="152400" distL="152400" distR="152400" simplePos="0" relativeHeight="251668480" behindDoc="0" locked="0" layoutInCell="1" allowOverlap="1">
                <wp:simplePos x="0" y="0"/>
                <wp:positionH relativeFrom="page">
                  <wp:posOffset>640715</wp:posOffset>
                </wp:positionH>
                <wp:positionV relativeFrom="line">
                  <wp:posOffset>299923</wp:posOffset>
                </wp:positionV>
                <wp:extent cx="1659216" cy="439779"/>
                <wp:effectExtent l="0" t="0" r="0" b="0"/>
                <wp:wrapThrough wrapText="bothSides" distL="152400" distR="152400">
                  <wp:wrapPolygon edited="1">
                    <wp:start x="0" y="0"/>
                    <wp:lineTo x="21600" y="0"/>
                    <wp:lineTo x="21600" y="21600"/>
                    <wp:lineTo x="0" y="21600"/>
                    <wp:lineTo x="0" y="0"/>
                  </wp:wrapPolygon>
                </wp:wrapThrough>
                <wp:docPr id="1073741857" name="officeArt object" descr="09 - Aug - 2026"/>
                <wp:cNvGraphicFramePr/>
                <a:graphic xmlns:a="http://schemas.openxmlformats.org/drawingml/2006/main">
                  <a:graphicData uri="http://schemas.microsoft.com/office/word/2010/wordprocessingShape">
                    <wps:wsp>
                      <wps:cNvSpPr txBox="1"/>
                      <wps:spPr>
                        <a:xfrm>
                          <a:off x="0" y="0"/>
                          <a:ext cx="1659216" cy="439779"/>
                        </a:xfrm>
                        <a:prstGeom prst="rect">
                          <a:avLst/>
                        </a:prstGeom>
                        <a:noFill/>
                        <a:ln w="12700" cap="flat">
                          <a:noFill/>
                          <a:miter lim="400000"/>
                        </a:ln>
                        <a:effectLst/>
                      </wps:spPr>
                      <wps:txbx>
                        <w:txbxContent>
                          <w:p>
                            <w:pPr>
                              <w:pStyle w:val="Caption A"/>
                              <w:shd w:val="clear" w:color="auto" w:fill="104c68"/>
                              <w:tabs>
                                <w:tab w:val="left" w:pos="1440"/>
                              </w:tabs>
                            </w:pPr>
                            <w:r>
                              <w:rPr>
                                <w:rFonts w:ascii="Impact" w:hAnsi="Impact"/>
                                <w:outline w:val="0"/>
                                <w:color w:val="ffffff"/>
                                <w:u w:color="ffffff"/>
                                <w:rtl w:val="0"/>
                                <w:lang w:val="en-US"/>
                                <w14:textFill>
                                  <w14:solidFill>
                                    <w14:srgbClr w14:val="FFFFFF"/>
                                  </w14:solidFill>
                                </w14:textFill>
                              </w:rPr>
                              <w:t>09 - Aug - 2026</w:t>
                            </w:r>
                          </w:p>
                        </w:txbxContent>
                      </wps:txbx>
                      <wps:bodyPr wrap="square" lIns="45718" tIns="45718" rIns="45718" bIns="45718" numCol="1" anchor="t">
                        <a:noAutofit/>
                      </wps:bodyPr>
                    </wps:wsp>
                  </a:graphicData>
                </a:graphic>
              </wp:anchor>
            </w:drawing>
          </mc:Choice>
          <mc:Fallback>
            <w:pict>
              <v:shape id="_x0000_s1059" type="#_x0000_t202" style="visibility:visible;position:absolute;margin-left:50.5pt;margin-top:23.6pt;width:130.6pt;height:34.6pt;z-index:251668480;mso-position-horizontal:absolute;mso-position-horizontal-relative:page;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Caption A"/>
                        <w:shd w:val="clear" w:color="auto" w:fill="104c68"/>
                        <w:tabs>
                          <w:tab w:val="left" w:pos="1440"/>
                        </w:tabs>
                      </w:pPr>
                      <w:r>
                        <w:rPr>
                          <w:rFonts w:ascii="Impact" w:hAnsi="Impact"/>
                          <w:outline w:val="0"/>
                          <w:color w:val="ffffff"/>
                          <w:u w:color="ffffff"/>
                          <w:rtl w:val="0"/>
                          <w:lang w:val="en-US"/>
                          <w14:textFill>
                            <w14:solidFill>
                              <w14:srgbClr w14:val="FFFFFF"/>
                            </w14:solidFill>
                          </w14:textFill>
                        </w:rPr>
                        <w:t>09 - Aug - 2026</w:t>
                      </w:r>
                    </w:p>
                  </w:txbxContent>
                </v:textbox>
                <w10:wrap type="through" side="bothSides" anchorx="page"/>
              </v:shape>
            </w:pict>
          </mc:Fallback>
        </mc:AlternateContent>
      </w:r>
      <w:r>
        <w:rPr>
          <w:rFonts w:ascii="Arial" w:cs="Arial" w:hAnsi="Arial" w:eastAsia="Arial"/>
        </w:rPr>
        <mc:AlternateContent>
          <mc:Choice Requires="wps">
            <w:drawing xmlns:a="http://schemas.openxmlformats.org/drawingml/2006/main">
              <wp:anchor distT="0" distB="0" distL="0" distR="0" simplePos="0" relativeHeight="251659264" behindDoc="0" locked="0" layoutInCell="1" allowOverlap="1">
                <wp:simplePos x="0" y="0"/>
                <wp:positionH relativeFrom="page">
                  <wp:posOffset>2778658</wp:posOffset>
                </wp:positionH>
                <wp:positionV relativeFrom="line">
                  <wp:posOffset>452323</wp:posOffset>
                </wp:positionV>
                <wp:extent cx="4368800" cy="1298894"/>
                <wp:effectExtent l="0" t="0" r="0" b="0"/>
                <wp:wrapNone/>
                <wp:docPr id="1073741858" name="officeArt object" descr="Text Box 30"/>
                <wp:cNvGraphicFramePr/>
                <a:graphic xmlns:a="http://schemas.openxmlformats.org/drawingml/2006/main">
                  <a:graphicData uri="http://schemas.microsoft.com/office/word/2010/wordprocessingShape">
                    <wps:wsp>
                      <wps:cNvSpPr txBox="1"/>
                      <wps:spPr>
                        <a:xfrm>
                          <a:off x="0" y="0"/>
                          <a:ext cx="4368800" cy="1298894"/>
                        </a:xfrm>
                        <a:prstGeom prst="rect">
                          <a:avLst/>
                        </a:prstGeom>
                        <a:noFill/>
                        <a:ln w="12700" cap="flat">
                          <a:noFill/>
                          <a:miter lim="400000"/>
                        </a:ln>
                        <a:effectLst/>
                      </wps:spPr>
                      <wps:txbx>
                        <w:txbxContent>
                          <w:p>
                            <w:pPr>
                              <w:pStyle w:val="No Spacing"/>
                            </w:pPr>
                            <w:r>
                              <w:rPr>
                                <w:rFonts w:ascii="Aptos Display" w:cs="Aptos Display" w:hAnsi="Aptos Display" w:eastAsia="Aptos Display"/>
                                <w:outline w:val="0"/>
                                <w:color w:val="262626"/>
                                <w:sz w:val="88"/>
                                <w:szCs w:val="88"/>
                                <w:u w:color="262626"/>
                                <w:rtl w:val="0"/>
                                <w:lang w:val="en-US"/>
                                <w14:textFill>
                                  <w14:solidFill>
                                    <w14:srgbClr w14:val="262626"/>
                                  </w14:solidFill>
                                </w14:textFill>
                              </w:rPr>
                              <w:t xml:space="preserve">    </w:t>
                            </w:r>
                            <w:r>
                              <w:rPr>
                                <w:rFonts w:ascii="Impact" w:hAnsi="Impact"/>
                                <w:outline w:val="0"/>
                                <w:color w:val="156082"/>
                                <w:sz w:val="88"/>
                                <w:szCs w:val="88"/>
                                <w:u w:color="262626"/>
                                <w:rtl w:val="0"/>
                                <w:lang w:val="en-US"/>
                                <w14:textFill>
                                  <w14:solidFill>
                                    <w14:srgbClr w14:val="156082"/>
                                  </w14:solidFill>
                                </w14:textFill>
                              </w:rPr>
                              <w:t>Assignment</w:t>
                            </w:r>
                            <w:r>
                              <w:rPr>
                                <w:rFonts w:ascii="Aptos Display" w:cs="Aptos Display" w:hAnsi="Aptos Display" w:eastAsia="Aptos Display"/>
                                <w:b w:val="1"/>
                                <w:bCs w:val="1"/>
                                <w:outline w:val="0"/>
                                <w:color w:val="262626"/>
                                <w:sz w:val="88"/>
                                <w:szCs w:val="88"/>
                                <w:u w:color="262626"/>
                                <w:rtl w:val="0"/>
                                <w:lang w:val="en-US"/>
                                <w14:textFill>
                                  <w14:solidFill>
                                    <w14:srgbClr w14:val="262626"/>
                                  </w14:solidFill>
                                </w14:textFill>
                              </w:rPr>
                              <w:t xml:space="preserve"> </w:t>
                            </w:r>
                          </w:p>
                        </w:txbxContent>
                      </wps:txbx>
                      <wps:bodyPr wrap="square" lIns="0" tIns="0" rIns="0" bIns="0" numCol="1" anchor="t">
                        <a:noAutofit/>
                      </wps:bodyPr>
                    </wps:wsp>
                  </a:graphicData>
                </a:graphic>
              </wp:anchor>
            </w:drawing>
          </mc:Choice>
          <mc:Fallback>
            <w:pict>
              <v:shape id="_x0000_s1060" type="#_x0000_t202" style="visibility:visible;position:absolute;margin-left:218.8pt;margin-top:35.6pt;width:344.0pt;height:102.3pt;z-index:251659264;mso-position-horizontal:absolute;mso-position-horizontal-relative:page;mso-position-vertical:absolute;mso-position-vertical-relative:line;mso-wrap-distance-left:0.0pt;mso-wrap-distance-top:0.0pt;mso-wrap-distance-right:0.0pt;mso-wrap-distance-bottom:0.0pt;">
                <v:fill on="f"/>
                <v:stroke on="f" weight="1.0pt" dashstyle="solid" endcap="flat" miterlimit="400.0%" joinstyle="miter" linestyle="single" startarrow="none" startarrowwidth="medium" startarrowlength="medium" endarrow="none" endarrowwidth="medium" endarrowlength="medium"/>
                <v:textbox>
                  <w:txbxContent>
                    <w:p>
                      <w:pPr>
                        <w:pStyle w:val="No Spacing"/>
                      </w:pPr>
                      <w:r>
                        <w:rPr>
                          <w:rFonts w:ascii="Aptos Display" w:cs="Aptos Display" w:hAnsi="Aptos Display" w:eastAsia="Aptos Display"/>
                          <w:outline w:val="0"/>
                          <w:color w:val="262626"/>
                          <w:sz w:val="88"/>
                          <w:szCs w:val="88"/>
                          <w:u w:color="262626"/>
                          <w:rtl w:val="0"/>
                          <w:lang w:val="en-US"/>
                          <w14:textFill>
                            <w14:solidFill>
                              <w14:srgbClr w14:val="262626"/>
                            </w14:solidFill>
                          </w14:textFill>
                        </w:rPr>
                        <w:t xml:space="preserve">    </w:t>
                      </w:r>
                      <w:r>
                        <w:rPr>
                          <w:rFonts w:ascii="Impact" w:hAnsi="Impact"/>
                          <w:outline w:val="0"/>
                          <w:color w:val="156082"/>
                          <w:sz w:val="88"/>
                          <w:szCs w:val="88"/>
                          <w:u w:color="262626"/>
                          <w:rtl w:val="0"/>
                          <w:lang w:val="en-US"/>
                          <w14:textFill>
                            <w14:solidFill>
                              <w14:srgbClr w14:val="156082"/>
                            </w14:solidFill>
                          </w14:textFill>
                        </w:rPr>
                        <w:t>Assignment</w:t>
                      </w:r>
                      <w:r>
                        <w:rPr>
                          <w:rFonts w:ascii="Aptos Display" w:cs="Aptos Display" w:hAnsi="Aptos Display" w:eastAsia="Aptos Display"/>
                          <w:b w:val="1"/>
                          <w:bCs w:val="1"/>
                          <w:outline w:val="0"/>
                          <w:color w:val="262626"/>
                          <w:sz w:val="88"/>
                          <w:szCs w:val="88"/>
                          <w:u w:color="262626"/>
                          <w:rtl w:val="0"/>
                          <w:lang w:val="en-US"/>
                          <w14:textFill>
                            <w14:solidFill>
                              <w14:srgbClr w14:val="262626"/>
                            </w14:solidFill>
                          </w14:textFill>
                        </w:rPr>
                        <w:t xml:space="preserve"> </w:t>
                      </w:r>
                    </w:p>
                  </w:txbxContent>
                </v:textbox>
                <w10:wrap type="none" side="bothSides" anchorx="page"/>
              </v:shape>
            </w:pict>
          </mc:Fallback>
        </mc:AlternateContent>
      </w:r>
      <w:r>
        <w:rPr>
          <w:rFonts w:ascii="Arial Unicode MS" w:cs="Arial Unicode MS" w:hAnsi="Arial Unicode MS" w:eastAsia="Arial Unicode MS"/>
          <w:b w:val="0"/>
          <w:bCs w:val="0"/>
          <w:i w:val="0"/>
          <w:iCs w:val="0"/>
        </w:rPr>
        <w:br w:type="page"/>
      </w:r>
    </w:p>
    <w:p>
      <w:pPr>
        <w:pStyle w:val="Heading"/>
        <w:jc w:val="both"/>
        <w:rPr>
          <w:rFonts w:ascii="Arial" w:cs="Arial" w:hAnsi="Arial" w:eastAsia="Arial"/>
          <w:b w:val="1"/>
          <w:bCs w:val="1"/>
          <w:sz w:val="50"/>
          <w:szCs w:val="50"/>
          <w:lang w:val="fr-FR"/>
        </w:rPr>
      </w:pPr>
      <w:r>
        <w:rPr>
          <w:rFonts w:ascii="Arial" w:hAnsi="Arial"/>
          <w:b w:val="1"/>
          <w:bCs w:val="1"/>
          <w:sz w:val="50"/>
          <w:szCs w:val="50"/>
          <w:rtl w:val="0"/>
          <w:lang w:val="fr-FR"/>
        </w:rPr>
        <w:t xml:space="preserve">                            Task 1</w:t>
      </w:r>
    </w:p>
    <w:p>
      <w:pPr>
        <w:pStyle w:val="Body A"/>
        <w:jc w:val="both"/>
        <w:rPr>
          <w:rFonts w:ascii="Arial" w:cs="Arial" w:hAnsi="Arial" w:eastAsia="Arial"/>
          <w:b w:val="1"/>
          <w:bCs w:val="1"/>
          <w:sz w:val="50"/>
          <w:szCs w:val="50"/>
          <w:lang w:val="fr-FR"/>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r>
        <w:rPr>
          <w:rFonts w:ascii="Arial" w:hAnsi="Arial"/>
          <w:b w:val="1"/>
          <w:bCs w:val="1"/>
          <w:sz w:val="50"/>
          <w:szCs w:val="50"/>
          <w:rtl w:val="0"/>
          <w:lang w:val="fr-FR"/>
        </w:rPr>
        <w:t xml:space="preserve">                   </w:t>
      </w:r>
      <w:r>
        <w:rPr>
          <w:rFonts w:ascii="Arial" w:hAnsi="Arial"/>
          <w:b w:val="1"/>
          <w:bCs w:val="1"/>
          <w:outline w:val="0"/>
          <w:color w:val="5088a1"/>
          <w:sz w:val="30"/>
          <w:szCs w:val="30"/>
          <w:u w:color="5088a1"/>
          <w:rtl w:val="0"/>
          <w:lang w:val="en-US"/>
          <w14:textFill>
            <w14:solidFill>
              <w14:srgbClr w14:val="5088A1"/>
            </w14:solidFill>
          </w14:textFill>
        </w:rPr>
        <w:t>The Zero Trust Architecture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i w:val="1"/>
          <w:iCs w:val="1"/>
          <w:outline w:val="0"/>
          <w:color w:val="8ab0c1"/>
          <w:sz w:val="26"/>
          <w:szCs w:val="26"/>
          <w:u w:color="8ab0c1"/>
          <w14:textFill>
            <w14:solidFill>
              <w14:srgbClr w14:val="8AB0C1"/>
            </w14:solidFill>
          </w14:textFill>
        </w:rPr>
      </w:pPr>
      <w:r>
        <w:rPr>
          <w:rFonts w:ascii="Arial" w:hAnsi="Arial"/>
          <w:i w:val="1"/>
          <w:iCs w:val="1"/>
          <w:outline w:val="0"/>
          <w:color w:val="8ab0c1"/>
          <w:sz w:val="26"/>
          <w:szCs w:val="26"/>
          <w:u w:color="8ab0c1"/>
          <w:rtl w:val="0"/>
          <w:lang w:val="en-US"/>
          <w14:textFill>
            <w14:solidFill>
              <w14:srgbClr w14:val="8AB0C1"/>
            </w14:solidFill>
          </w14:textFill>
        </w:rPr>
        <w:t>A Critical Analysis of its Principles, Implementation Challenges, and Efficacy Compared to Traditional Models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i w:val="1"/>
          <w:iCs w:val="1"/>
          <w:outline w:val="0"/>
          <w:color w:val="8ab0c1"/>
          <w:sz w:val="26"/>
          <w:szCs w:val="26"/>
          <w:u w:color="8ab0c1"/>
          <w14:textFill>
            <w14:solidFill>
              <w14:srgbClr w14:val="8AB0C1"/>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b w:val="1"/>
          <w:bCs w:val="1"/>
          <w:outline w:val="0"/>
          <w:color w:val="156082"/>
          <w:sz w:val="32"/>
          <w:szCs w:val="32"/>
          <w:u w:color="156082"/>
          <w14:textFill>
            <w14:solidFill>
              <w14:srgbClr w14:val="156082"/>
            </w14:solidFill>
          </w14:textFill>
        </w:rPr>
      </w:pPr>
      <w:r>
        <w:rPr>
          <w:rFonts w:ascii="Arial" w:hAnsi="Arial"/>
          <w:b w:val="1"/>
          <w:bCs w:val="1"/>
          <w:outline w:val="0"/>
          <w:color w:val="156082"/>
          <w:sz w:val="32"/>
          <w:szCs w:val="32"/>
          <w:u w:color="156082"/>
          <w:rtl w:val="0"/>
          <w:lang w:val="en-US"/>
          <w14:textFill>
            <w14:solidFill>
              <w14:srgbClr w14:val="156082"/>
            </w14:solidFill>
          </w14:textFill>
        </w:rPr>
        <w:t>Introduction:</w:t>
      </w:r>
    </w:p>
    <w:p>
      <w:pPr>
        <w:pStyle w:val="Default"/>
        <w:suppressAutoHyphens w:val="1"/>
        <w:spacing w:before="0" w:after="240" w:line="240" w:lineRule="auto"/>
        <w:jc w:val="both"/>
        <w:rPr>
          <w:rFonts w:ascii="Arial" w:cs="Arial" w:hAnsi="Arial" w:eastAsia="Arial"/>
          <w:outline w:val="0"/>
          <w:color w:val="000000"/>
          <w:sz w:val="26"/>
          <w:szCs w:val="26"/>
          <w:u w:color="000000"/>
          <w14:textFill>
            <w14:solidFill>
              <w14:srgbClr w14:val="000000"/>
            </w14:solidFill>
          </w14:textFill>
        </w:rPr>
      </w:pPr>
      <w:r>
        <w:rPr>
          <w:rFonts w:ascii="Arial" w:hAnsi="Arial"/>
          <w:outline w:val="0"/>
          <w:color w:val="000000"/>
          <w:sz w:val="26"/>
          <w:szCs w:val="26"/>
          <w:u w:color="000000"/>
          <w:rtl w:val="0"/>
          <w:lang w:val="en-US"/>
          <w14:textFill>
            <w14:solidFill>
              <w14:srgbClr w14:val="000000"/>
            </w14:solidFill>
          </w14:textFill>
        </w:rPr>
        <w:t>The increasing use of cloud services, remote working, mobile devices, and interconnected systems has reduced the effectiveness of traditional perimeter-based security models. These models generally focus on protecting a trusted internal network, but modern organisations increasingly operate beyond fixed network boundaries [2], [9].</w:t>
      </w:r>
    </w:p>
    <w:p>
      <w:pPr>
        <w:pStyle w:val="Default"/>
        <w:suppressAutoHyphens w:val="1"/>
        <w:spacing w:before="0" w:after="240" w:line="240" w:lineRule="auto"/>
        <w:jc w:val="both"/>
        <w:rPr>
          <w:rFonts w:ascii="Arial" w:cs="Arial" w:hAnsi="Arial" w:eastAsia="Arial"/>
          <w:outline w:val="0"/>
          <w:color w:val="000000"/>
          <w:sz w:val="26"/>
          <w:szCs w:val="26"/>
          <w:u w:color="000000"/>
          <w14:textFill>
            <w14:solidFill>
              <w14:srgbClr w14:val="000000"/>
            </w14:solidFill>
          </w14:textFill>
        </w:rPr>
      </w:pPr>
      <w:r>
        <w:rPr>
          <w:rFonts w:ascii="Arial" w:hAnsi="Arial"/>
          <w:outline w:val="0"/>
          <w:color w:val="000000"/>
          <w:sz w:val="26"/>
          <w:szCs w:val="26"/>
          <w:u w:color="000000"/>
          <w:rtl w:val="0"/>
          <w:lang w:val="en-US"/>
          <w14:textFill>
            <w14:solidFill>
              <w14:srgbClr w14:val="000000"/>
            </w14:solidFill>
          </w14:textFill>
        </w:rPr>
        <w:t>Zero Trust Architecture (ZTA) addresses this challenge by removing implicit trust based on network location. Instead, access to organisational resources is continuously evaluated according to factors such as user identity, device status, and contextual information [1]. Principles including continuous verification, least privilege, and network segmentation can therefore reduce unauthorised access and restrict lateral movement following a compromise.</w:t>
      </w:r>
    </w:p>
    <w:p>
      <w:pPr>
        <w:pStyle w:val="Default"/>
        <w:suppressAutoHyphens w:val="1"/>
        <w:spacing w:before="0" w:after="240" w:line="240" w:lineRule="auto"/>
        <w:jc w:val="both"/>
        <w:rPr>
          <w:rFonts w:ascii="Arial" w:cs="Arial" w:hAnsi="Arial" w:eastAsia="Arial"/>
          <w:outline w:val="0"/>
          <w:color w:val="000000"/>
          <w:sz w:val="26"/>
          <w:szCs w:val="26"/>
          <w:u w:color="000000"/>
          <w14:textFill>
            <w14:solidFill>
              <w14:srgbClr w14:val="000000"/>
            </w14:solidFill>
          </w14:textFill>
        </w:rPr>
      </w:pPr>
      <w:r>
        <w:rPr>
          <w:rFonts w:ascii="Arial" w:hAnsi="Arial"/>
          <w:outline w:val="0"/>
          <w:color w:val="000000"/>
          <w:sz w:val="26"/>
          <w:szCs w:val="26"/>
          <w:u w:color="000000"/>
          <w:rtl w:val="0"/>
          <w:lang w:val="en-US"/>
          <w14:textFill>
            <w14:solidFill>
              <w14:srgbClr w14:val="000000"/>
            </w14:solidFill>
          </w14:textFill>
        </w:rPr>
        <w:t>This report critically evaluates the principles, benefits, and implementation challenges of Zero Trust and compares the approach with traditional security models. The 2017 WannaCry attack on the NHS is used to examine how Zero Trust principles could have limited the impact of ransomware while also demonstrating why fundamental controls such as vulnerability management and software patching remain necessary [16], [17].</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b w:val="1"/>
          <w:bCs w:val="1"/>
          <w:outline w:val="0"/>
          <w:color w:val="156082"/>
          <w:sz w:val="32"/>
          <w:szCs w:val="32"/>
          <w:u w:color="156082"/>
          <w14:textFill>
            <w14:solidFill>
              <w14:srgbClr w14:val="156082"/>
            </w14:solidFill>
          </w14:textFill>
        </w:rPr>
      </w:pPr>
      <w:r>
        <w:rPr>
          <w:rFonts w:ascii="Arial" w:hAnsi="Arial"/>
          <w:b w:val="1"/>
          <w:bCs w:val="1"/>
          <w:outline w:val="0"/>
          <w:color w:val="156082"/>
          <w:sz w:val="32"/>
          <w:szCs w:val="32"/>
          <w:u w:color="156082"/>
          <w:rtl w:val="0"/>
          <w:lang w:val="en-US"/>
          <w14:textFill>
            <w14:solidFill>
              <w14:srgbClr w14:val="156082"/>
            </w14:solidFill>
          </w14:textFill>
        </w:rPr>
        <w:t>Principles of Zero Trust Architecture:</w:t>
      </w:r>
    </w:p>
    <w:p>
      <w:pPr>
        <w:pStyle w:val="Default"/>
        <w:suppressAutoHyphens w:val="1"/>
        <w:spacing w:before="0" w:after="240" w:line="240" w:lineRule="auto"/>
        <w:jc w:val="both"/>
        <w:rPr>
          <w:rFonts w:ascii="Arial" w:cs="Arial" w:hAnsi="Arial" w:eastAsia="Arial"/>
          <w:sz w:val="26"/>
          <w:szCs w:val="26"/>
        </w:rPr>
      </w:pPr>
      <w:r>
        <w:rPr>
          <w:rFonts w:ascii="Arial" w:hAnsi="Arial"/>
          <w:sz w:val="26"/>
          <w:szCs w:val="26"/>
          <w:rtl w:val="0"/>
          <w:lang w:val="en-US"/>
        </w:rPr>
        <w:t>Zero Trust Architecture is based on the principle that no user, device, application, or network connection should be automatically trusted. Instead, access decisions are based on factors such as identity, device condition, user behaviour, and contextual information rather than network location alone [1].</w:t>
      </w:r>
    </w:p>
    <w:p>
      <w:pPr>
        <w:pStyle w:val="Default"/>
        <w:suppressAutoHyphens w:val="1"/>
        <w:spacing w:before="0" w:after="240" w:line="240" w:lineRule="auto"/>
        <w:jc w:val="both"/>
        <w:rPr>
          <w:rFonts w:ascii="Arial" w:cs="Arial" w:hAnsi="Arial" w:eastAsia="Arial"/>
          <w:sz w:val="26"/>
          <w:szCs w:val="26"/>
        </w:rPr>
      </w:pPr>
      <w:r>
        <w:rPr>
          <w:rFonts w:ascii="Arial" w:hAnsi="Arial"/>
          <w:b w:val="1"/>
          <w:bCs w:val="1"/>
          <w:outline w:val="0"/>
          <w:color w:val="4f87a1"/>
          <w:sz w:val="26"/>
          <w:szCs w:val="26"/>
          <w:rtl w:val="0"/>
          <w:lang w:val="en-US"/>
          <w14:textFill>
            <w14:solidFill>
              <w14:srgbClr w14:val="5088A1"/>
            </w14:solidFill>
          </w14:textFill>
        </w:rPr>
        <w:t>Continuous authentication and authorisation</w:t>
      </w:r>
      <w:r>
        <w:rPr>
          <w:rFonts w:ascii="Arial" w:hAnsi="Arial"/>
          <w:sz w:val="26"/>
          <w:szCs w:val="26"/>
          <w:rtl w:val="0"/>
          <w:lang w:val="en-US"/>
        </w:rPr>
        <w:t xml:space="preserve"> require access to be evaluated throughout a user session rather than relying only on initial login. Suspicious behaviour can trigger additional verification or access restrictions, reducing the risk associated with compromised credentials [1], [6].</w:t>
      </w:r>
    </w:p>
    <w:p>
      <w:pPr>
        <w:pStyle w:val="Default"/>
        <w:suppressAutoHyphens w:val="1"/>
        <w:spacing w:before="0" w:after="240" w:line="240" w:lineRule="auto"/>
        <w:jc w:val="both"/>
        <w:rPr>
          <w:rFonts w:ascii="Arial" w:cs="Arial" w:hAnsi="Arial" w:eastAsia="Arial"/>
          <w:sz w:val="26"/>
          <w:szCs w:val="26"/>
        </w:rPr>
      </w:pPr>
      <w:r>
        <w:rPr>
          <w:rFonts w:ascii="Arial" w:hAnsi="Arial"/>
          <w:b w:val="1"/>
          <w:bCs w:val="1"/>
          <w:outline w:val="0"/>
          <w:color w:val="4f87a1"/>
          <w:sz w:val="26"/>
          <w:szCs w:val="26"/>
          <w:rtl w:val="0"/>
          <w:lang w:val="en-US"/>
          <w14:textFill>
            <w14:solidFill>
              <w14:srgbClr w14:val="5088A1"/>
            </w14:solidFill>
          </w14:textFill>
        </w:rPr>
        <w:t>Least privilege</w:t>
      </w:r>
      <w:r>
        <w:rPr>
          <w:rFonts w:ascii="Arial" w:hAnsi="Arial"/>
          <w:sz w:val="26"/>
          <w:szCs w:val="26"/>
          <w:rtl w:val="0"/>
          <w:lang w:val="en-US"/>
        </w:rPr>
        <w:t xml:space="preserve"> limits users and systems to the minimum permissions required for their responsibilities. This reduces the potential impact of compromised accounts and insider threats, although permissions must be regularly reviewed as organisational roles change [3], [9].</w:t>
      </w:r>
    </w:p>
    <w:p>
      <w:pPr>
        <w:pStyle w:val="Default"/>
        <w:suppressAutoHyphens w:val="1"/>
        <w:spacing w:before="0" w:after="240" w:line="240" w:lineRule="auto"/>
        <w:jc w:val="both"/>
        <w:rPr>
          <w:rFonts w:ascii="Arial" w:cs="Arial" w:hAnsi="Arial" w:eastAsia="Arial"/>
          <w:sz w:val="26"/>
          <w:szCs w:val="26"/>
        </w:rPr>
      </w:pPr>
      <w:r>
        <w:rPr>
          <w:rFonts w:ascii="Arial" w:hAnsi="Arial"/>
          <w:b w:val="1"/>
          <w:bCs w:val="1"/>
          <w:outline w:val="0"/>
          <w:color w:val="4f87a1"/>
          <w:sz w:val="26"/>
          <w:szCs w:val="26"/>
          <w:rtl w:val="0"/>
          <w:lang w:val="en-US"/>
          <w14:textFill>
            <w14:solidFill>
              <w14:srgbClr w14:val="5088A1"/>
            </w14:solidFill>
          </w14:textFill>
        </w:rPr>
        <w:t>Micro-segmentation</w:t>
      </w:r>
      <w:r>
        <w:rPr>
          <w:rFonts w:ascii="Arial" w:hAnsi="Arial"/>
          <w:outline w:val="0"/>
          <w:color w:val="4f87a1"/>
          <w:sz w:val="26"/>
          <w:szCs w:val="26"/>
          <w:rtl w:val="0"/>
          <w:lang w:val="en-US"/>
          <w14:textFill>
            <w14:solidFill>
              <w14:srgbClr w14:val="5088A1"/>
            </w14:solidFill>
          </w14:textFill>
        </w:rPr>
        <w:t xml:space="preserve"> </w:t>
      </w:r>
      <w:r>
        <w:rPr>
          <w:rFonts w:ascii="Arial" w:hAnsi="Arial"/>
          <w:sz w:val="26"/>
          <w:szCs w:val="26"/>
          <w:rtl w:val="0"/>
          <w:lang w:val="en-US"/>
        </w:rPr>
        <w:t>divides networks into smaller security zones and restricts unnecessary communication between systems. If one system is compromised, segmentation can reduce lateral movement and limit an attacker's ability to reach other sensitive resources [1], [8].</w:t>
      </w:r>
    </w:p>
    <w:p>
      <w:pPr>
        <w:pStyle w:val="Default"/>
        <w:suppressAutoHyphens w:val="1"/>
        <w:spacing w:before="0" w:after="240" w:line="240" w:lineRule="auto"/>
        <w:jc w:val="both"/>
        <w:rPr>
          <w:rFonts w:ascii="Arial" w:cs="Arial" w:hAnsi="Arial" w:eastAsia="Arial"/>
          <w:sz w:val="26"/>
          <w:szCs w:val="26"/>
        </w:rPr>
      </w:pPr>
      <w:r>
        <w:rPr>
          <w:rFonts w:ascii="Arial" w:hAnsi="Arial"/>
          <w:b w:val="1"/>
          <w:bCs w:val="1"/>
          <w:outline w:val="0"/>
          <w:color w:val="4f87a1"/>
          <w:sz w:val="26"/>
          <w:szCs w:val="26"/>
          <w:rtl w:val="0"/>
          <w:lang w:val="en-US"/>
          <w14:textFill>
            <w14:solidFill>
              <w14:srgbClr w14:val="5088A1"/>
            </w14:solidFill>
          </w14:textFill>
        </w:rPr>
        <w:t>Continuous monitoring</w:t>
      </w:r>
      <w:r>
        <w:rPr>
          <w:rFonts w:ascii="Arial" w:hAnsi="Arial"/>
          <w:outline w:val="0"/>
          <w:color w:val="4f87a1"/>
          <w:sz w:val="26"/>
          <w:szCs w:val="26"/>
          <w:rtl w:val="0"/>
          <w:lang w:val="en-US"/>
          <w14:textFill>
            <w14:solidFill>
              <w14:srgbClr w14:val="5088A1"/>
            </w14:solidFill>
          </w14:textFill>
        </w:rPr>
        <w:t xml:space="preserve"> </w:t>
      </w:r>
      <w:r>
        <w:rPr>
          <w:rFonts w:ascii="Arial" w:hAnsi="Arial"/>
          <w:sz w:val="26"/>
          <w:szCs w:val="26"/>
          <w:rtl w:val="0"/>
          <w:lang w:val="en-US"/>
        </w:rPr>
        <w:t>supports Zero Trust by analysing user, endpoint, and network activity for suspicious behaviour. This improves threat detection but requires appropriate security technologies and skilled personnel [7], [11].</w:t>
      </w:r>
    </w:p>
    <w:p>
      <w:pPr>
        <w:pStyle w:val="Default"/>
        <w:suppressAutoHyphens w:val="1"/>
        <w:spacing w:before="0" w:after="240" w:line="240" w:lineRule="auto"/>
        <w:jc w:val="both"/>
        <w:rPr>
          <w:rFonts w:ascii="Arial" w:cs="Arial" w:hAnsi="Arial" w:eastAsia="Arial"/>
          <w:sz w:val="26"/>
          <w:szCs w:val="26"/>
        </w:rPr>
      </w:pPr>
      <w:r>
        <w:rPr>
          <w:rFonts w:ascii="Arial" w:hAnsi="Arial"/>
          <w:sz w:val="26"/>
          <w:szCs w:val="26"/>
          <w:rtl w:val="0"/>
          <w:lang w:val="en-US"/>
        </w:rPr>
        <w:t xml:space="preserve">Finally, Zero Trust follows an </w:t>
      </w:r>
      <w:r>
        <w:rPr>
          <w:rFonts w:ascii="Arial" w:hAnsi="Arial"/>
          <w:b w:val="1"/>
          <w:bCs w:val="1"/>
          <w:outline w:val="0"/>
          <w:color w:val="4f87a1"/>
          <w:sz w:val="26"/>
          <w:szCs w:val="26"/>
          <w:rtl w:val="0"/>
          <w:lang w:val="en-US"/>
          <w14:textFill>
            <w14:solidFill>
              <w14:srgbClr w14:val="5088A1"/>
            </w14:solidFill>
          </w14:textFill>
        </w:rPr>
        <w:t>assume-breach</w:t>
      </w:r>
      <w:r>
        <w:rPr>
          <w:rFonts w:ascii="Arial" w:hAnsi="Arial"/>
          <w:sz w:val="26"/>
          <w:szCs w:val="26"/>
          <w:rtl w:val="0"/>
          <w:lang w:val="en-US"/>
        </w:rPr>
        <w:t xml:space="preserve"> approach. Organisations recognise that attacks cannot always be prevented and therefore focus on limiting access, detecting malicious activity, containing incidents, and reducing their operational impact [10]. These principles are relevant to the NHS WannaCry incident because weaknesses in patching and network segmentation contributed to the rapid spread of ransomware [16]. Least privilege and segmentation could have limited lateral movement, although Zero Trust would not have removed the need for effective vulnerability and patch management [14], [17].</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r>
        <w:rPr>
          <w:rFonts w:ascii="Arial" w:hAnsi="Arial"/>
          <w:b w:val="1"/>
          <w:bCs w:val="1"/>
          <w:outline w:val="0"/>
          <w:color w:val="156082"/>
          <w:sz w:val="30"/>
          <w:szCs w:val="30"/>
          <w:u w:color="156082"/>
          <w:rtl w:val="0"/>
          <w:lang w:val="en-US"/>
          <w14:textFill>
            <w14:solidFill>
              <w14:srgbClr w14:val="156082"/>
            </w14:solidFill>
          </w14:textFill>
        </w:rPr>
        <w:t>Benefits of Zero Trust Architecture</w:t>
      </w:r>
    </w:p>
    <w:p>
      <w:pPr>
        <w:pStyle w:val="Default"/>
        <w:suppressAutoHyphens w:val="1"/>
        <w:spacing w:before="0" w:after="240" w:line="240" w:lineRule="auto"/>
        <w:jc w:val="both"/>
        <w:rPr>
          <w:rFonts w:ascii="Arial" w:cs="Arial" w:hAnsi="Arial" w:eastAsia="Arial"/>
          <w:outline w:val="0"/>
          <w:color w:val="000000"/>
          <w:sz w:val="26"/>
          <w:szCs w:val="26"/>
          <w:u w:color="000000"/>
          <w14:textFill>
            <w14:solidFill>
              <w14:srgbClr w14:val="000000"/>
            </w14:solidFill>
          </w14:textFill>
        </w:rPr>
      </w:pPr>
      <w:r>
        <w:rPr>
          <w:rFonts w:ascii="Arial" w:hAnsi="Arial"/>
          <w:outline w:val="0"/>
          <w:color w:val="000000"/>
          <w:sz w:val="26"/>
          <w:szCs w:val="26"/>
          <w:u w:color="000000"/>
          <w:rtl w:val="0"/>
          <w:lang w:val="en-US"/>
          <w14:textFill>
            <w14:solidFill>
              <w14:srgbClr w14:val="000000"/>
            </w14:solidFill>
          </w14:textFill>
        </w:rPr>
        <w:t>Zero Trust can strengthen organisational security by removing implicit trust and applying access controls according to identity, device status, and risk [1], [3]. Least-privilege access and micro-segmentation can reduce lateral movement and limit the impact of compromised accounts or devices, while continuous verification and monitoring can improve the detection of suspicious activity [1], [6].</w:t>
      </w:r>
    </w:p>
    <w:p>
      <w:pPr>
        <w:pStyle w:val="Default"/>
        <w:suppressAutoHyphens w:val="1"/>
        <w:spacing w:before="0" w:after="240" w:line="240" w:lineRule="auto"/>
        <w:jc w:val="both"/>
        <w:rPr>
          <w:rFonts w:ascii="Arial" w:cs="Arial" w:hAnsi="Arial" w:eastAsia="Arial"/>
          <w:outline w:val="0"/>
          <w:color w:val="000000"/>
          <w:sz w:val="26"/>
          <w:szCs w:val="26"/>
          <w:u w:color="000000"/>
          <w14:textFill>
            <w14:solidFill>
              <w14:srgbClr w14:val="000000"/>
            </w14:solidFill>
          </w14:textFill>
        </w:rPr>
      </w:pPr>
      <w:r>
        <w:rPr>
          <w:rFonts w:ascii="Arial" w:hAnsi="Arial"/>
          <w:outline w:val="0"/>
          <w:color w:val="000000"/>
          <w:sz w:val="26"/>
          <w:szCs w:val="26"/>
          <w:u w:color="000000"/>
          <w:rtl w:val="0"/>
          <w:lang w:val="en-US"/>
          <w14:textFill>
            <w14:solidFill>
              <w14:srgbClr w14:val="000000"/>
            </w14:solidFill>
          </w14:textFill>
        </w:rPr>
        <w:t>Zero Trust is also better suited to modern environments where employees, cloud services, applications, and devices operate beyond a traditional network perimeter [2], [9]. However, these benefits depend on effective implementation, accurate asset visibility, identity management, and continuous monitoring. Zero Trust should therefore be considered a risk-reduction strategy rather than a complete replacement for other cybersecurity controls [3], [9].</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b w:val="1"/>
          <w:bCs w:val="1"/>
          <w:outline w:val="0"/>
          <w:color w:val="156082"/>
          <w:sz w:val="30"/>
          <w:szCs w:val="30"/>
          <w:u w:color="156082"/>
          <w14:textFill>
            <w14:solidFill>
              <w14:srgbClr w14:val="156082"/>
            </w14:solidFill>
          </w14:textFill>
        </w:rPr>
      </w:pPr>
      <w:r>
        <w:rPr>
          <w:rFonts w:ascii="Arial" w:hAnsi="Arial"/>
          <w:b w:val="1"/>
          <w:bCs w:val="1"/>
          <w:outline w:val="0"/>
          <w:color w:val="156082"/>
          <w:sz w:val="30"/>
          <w:szCs w:val="30"/>
          <w:u w:color="156082"/>
          <w:rtl w:val="0"/>
          <w:lang w:val="en-US"/>
          <w14:textFill>
            <w14:solidFill>
              <w14:srgbClr w14:val="156082"/>
            </w14:solidFill>
          </w14:textFill>
        </w:rPr>
        <w:t>Challenges of Implementing Zero Trust Architecture</w:t>
      </w:r>
    </w:p>
    <w:p>
      <w:pPr>
        <w:pStyle w:val="Default"/>
        <w:suppressAutoHyphens w:val="1"/>
        <w:spacing w:before="0" w:after="240" w:line="240" w:lineRule="auto"/>
        <w:jc w:val="both"/>
        <w:rPr>
          <w:rFonts w:ascii="Arial" w:cs="Arial" w:hAnsi="Arial" w:eastAsia="Arial"/>
          <w:outline w:val="0"/>
          <w:color w:val="000000"/>
          <w:sz w:val="26"/>
          <w:szCs w:val="26"/>
          <w:u w:color="000000"/>
          <w14:textFill>
            <w14:solidFill>
              <w14:srgbClr w14:val="000000"/>
            </w14:solidFill>
          </w14:textFill>
        </w:rPr>
      </w:pPr>
      <w:r>
        <w:rPr>
          <w:rFonts w:ascii="Arial" w:hAnsi="Arial"/>
          <w:outline w:val="0"/>
          <w:color w:val="000000"/>
          <w:sz w:val="26"/>
          <w:szCs w:val="26"/>
          <w:u w:color="000000"/>
          <w:rtl w:val="0"/>
          <w:lang w:val="en-US"/>
          <w14:textFill>
            <w14:solidFill>
              <w14:srgbClr w14:val="000000"/>
            </w14:solidFill>
          </w14:textFill>
        </w:rPr>
        <w:t>Implementing Zero Trust presents technical, financial, and organisational challenges. Legacy systems may not support modern controls such as Multi-Factor Authentication (MFA), Identity and Access Management (IAM), and continuous authentication, requiring costly upgrades or replacement [3], [7]. Implementation also requires investment in identity management, endpoint security, monitoring technologies, employee training, and skilled cybersecurity staff, which can be particularly challenging for organisations with limited resources [9], [11].</w:t>
      </w:r>
    </w:p>
    <w:p>
      <w:pPr>
        <w:pStyle w:val="Default"/>
        <w:suppressAutoHyphens w:val="1"/>
        <w:spacing w:before="0" w:after="240" w:line="240" w:lineRule="auto"/>
        <w:jc w:val="both"/>
        <w:rPr>
          <w:rFonts w:ascii="Arial" w:cs="Arial" w:hAnsi="Arial" w:eastAsia="Arial"/>
          <w:outline w:val="0"/>
          <w:color w:val="000000"/>
          <w:sz w:val="26"/>
          <w:szCs w:val="26"/>
          <w:u w:color="000000"/>
          <w14:textFill>
            <w14:solidFill>
              <w14:srgbClr w14:val="000000"/>
            </w14:solidFill>
          </w14:textFill>
        </w:rPr>
      </w:pPr>
      <w:r>
        <w:rPr>
          <w:rFonts w:ascii="Arial" w:hAnsi="Arial"/>
          <w:outline w:val="0"/>
          <w:color w:val="000000"/>
          <w:sz w:val="26"/>
          <w:szCs w:val="26"/>
          <w:u w:color="000000"/>
          <w:rtl w:val="0"/>
          <w:lang w:val="en-US"/>
          <w14:textFill>
            <w14:solidFill>
              <w14:srgbClr w14:val="000000"/>
            </w14:solidFill>
          </w14:textFill>
        </w:rPr>
        <w:t>Identity and access management is another challenge because Zero Trust requires organisations to maintain accurate information about users, devices, applications, and permissions. As cloud and third-party services increase, maintaining least-privilege access becomes more complex, and excessive permissions can weaken the effectiveness of the model [1], [6].</w:t>
      </w:r>
    </w:p>
    <w:p>
      <w:pPr>
        <w:pStyle w:val="Default"/>
        <w:suppressAutoHyphens w:val="1"/>
        <w:spacing w:before="0" w:after="240" w:line="240" w:lineRule="auto"/>
        <w:jc w:val="both"/>
        <w:rPr>
          <w:rFonts w:ascii="Arial" w:cs="Arial" w:hAnsi="Arial" w:eastAsia="Arial"/>
          <w:outline w:val="0"/>
          <w:color w:val="000000"/>
          <w:sz w:val="26"/>
          <w:szCs w:val="26"/>
          <w:u w:color="000000"/>
          <w14:textFill>
            <w14:solidFill>
              <w14:srgbClr w14:val="000000"/>
            </w14:solidFill>
          </w14:textFill>
        </w:rPr>
      </w:pPr>
      <w:r>
        <w:rPr>
          <w:rFonts w:ascii="Arial" w:hAnsi="Arial"/>
          <w:outline w:val="0"/>
          <w:color w:val="000000"/>
          <w:sz w:val="26"/>
          <w:szCs w:val="26"/>
          <w:u w:color="000000"/>
          <w:rtl w:val="0"/>
          <w:lang w:val="en-US"/>
          <w14:textFill>
            <w14:solidFill>
              <w14:srgbClr w14:val="000000"/>
            </w14:solidFill>
          </w14:textFill>
        </w:rPr>
        <w:t>Zero Trust can also affect usability and organisational culture. Additional authentication and device-verification requirements may be viewed as inconvenient by employees, making communication, training, and management support important for successful adoption [10]. Continuous monitoring also creates privacy considerations because organisations collect information about user, device, and network activity. Monitoring should therefore be managed in accordance with data-protection requirements such as GDPR [20].</w:t>
      </w:r>
    </w:p>
    <w:p>
      <w:pPr>
        <w:pStyle w:val="Default"/>
        <w:suppressAutoHyphens w:val="1"/>
        <w:spacing w:before="0" w:after="240" w:line="240" w:lineRule="auto"/>
        <w:jc w:val="both"/>
        <w:rPr>
          <w:rFonts w:ascii="Arial" w:cs="Arial" w:hAnsi="Arial" w:eastAsia="Arial"/>
          <w:outline w:val="0"/>
          <w:color w:val="000000"/>
          <w:sz w:val="26"/>
          <w:szCs w:val="26"/>
          <w:u w:color="000000"/>
          <w14:textFill>
            <w14:solidFill>
              <w14:srgbClr w14:val="000000"/>
            </w14:solidFill>
          </w14:textFill>
        </w:rPr>
      </w:pPr>
      <w:r>
        <w:rPr>
          <w:rFonts w:ascii="Arial" w:hAnsi="Arial"/>
          <w:outline w:val="0"/>
          <w:color w:val="000000"/>
          <w:sz w:val="26"/>
          <w:szCs w:val="26"/>
          <w:u w:color="000000"/>
          <w:rtl w:val="0"/>
          <w:lang w:val="en-US"/>
          <w14:textFill>
            <w14:solidFill>
              <w14:srgbClr w14:val="000000"/>
            </w14:solidFill>
          </w14:textFill>
        </w:rPr>
        <w:t>Zero Trust should not replace fundamental cybersecurity practices. Vulnerability management, patching, security awareness, business continuity, and incident response remain necessary [2], [10]. This is particularly relevant to WannaCry, where outdated systems and inconsistent patch management contributed to the impact on NHS organisations [16]. Zero Trust controls such as segmentation and least privilege could have limited ransomware propagation, but they would not have removed the need to patch vulnerable systems [14], [17].</w:t>
      </w:r>
    </w:p>
    <w:p>
      <w:pPr>
        <w:pStyle w:val="Default"/>
        <w:suppressAutoHyphens w:val="1"/>
        <w:spacing w:before="0" w:after="240" w:line="240" w:lineRule="auto"/>
        <w:jc w:val="both"/>
        <w:rPr>
          <w:rFonts w:ascii="Arial" w:cs="Arial" w:hAnsi="Arial" w:eastAsia="Arial"/>
          <w:outline w:val="0"/>
          <w:color w:val="000000"/>
          <w:sz w:val="26"/>
          <w:szCs w:val="26"/>
          <w:u w:color="000000"/>
          <w14:textFill>
            <w14:solidFill>
              <w14:srgbClr w14:val="000000"/>
            </w14:solidFill>
          </w14:textFill>
        </w:rPr>
      </w:pPr>
      <w:r>
        <w:rPr>
          <w:rFonts w:ascii="Arial" w:hAnsi="Arial"/>
          <w:outline w:val="0"/>
          <w:color w:val="000000"/>
          <w:sz w:val="26"/>
          <w:szCs w:val="26"/>
          <w:u w:color="000000"/>
          <w:rtl w:val="0"/>
          <w:lang w:val="en-US"/>
          <w14:textFill>
            <w14:solidFill>
              <w14:srgbClr w14:val="000000"/>
            </w14:solidFill>
          </w14:textFill>
        </w:rPr>
        <w:t>Overall, Zero Trust should be treated as a long-term security strategy rather than a single technology project. Its effectiveness depends on an organisation's ability to manage technology, people, identity, and security processes together [3], [6].</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r>
        <w:rPr>
          <w:rFonts w:ascii="Arial" w:hAnsi="Arial"/>
          <w:b w:val="1"/>
          <w:bCs w:val="1"/>
          <w:outline w:val="0"/>
          <w:color w:val="156082"/>
          <w:sz w:val="30"/>
          <w:szCs w:val="30"/>
          <w:u w:color="156082"/>
          <w:rtl w:val="0"/>
          <w:lang w:val="en-US"/>
          <w14:textFill>
            <w14:solidFill>
              <w14:srgbClr w14:val="156082"/>
            </w14:solidFill>
          </w14:textFill>
        </w:rPr>
        <w:t>Zero Trust Architecture versus Traditional Security Models:</w:t>
      </w:r>
      <w:r>
        <w:rPr>
          <w:rFonts w:ascii="Arial" w:hAnsi="Arial"/>
          <w:outline w:val="0"/>
          <w:color w:val="000000"/>
          <w:sz w:val="26"/>
          <w:szCs w:val="26"/>
          <w:u w:color="000000"/>
          <w:rtl w:val="0"/>
          <w:lang w:val="en-US"/>
          <w14:textFill>
            <w14:solidFill>
              <w14:srgbClr w14:val="000000"/>
            </w14:solidFill>
          </w14:textFill>
        </w:rPr>
        <w:t xml:space="preserve"> </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i w:val="1"/>
          <w:iCs w:val="1"/>
          <w:outline w:val="0"/>
          <w:color w:val="5088a1"/>
          <w:sz w:val="26"/>
          <w:szCs w:val="26"/>
          <w:u w:color="5088a1"/>
          <w14:textFill>
            <w14:solidFill>
              <w14:srgbClr w14:val="5088A1"/>
            </w14:solidFill>
          </w14:textFill>
        </w:rPr>
      </w:pPr>
      <w:r>
        <w:rPr>
          <w:rFonts w:ascii="Arial" w:hAnsi="Arial"/>
          <w:i w:val="1"/>
          <w:iCs w:val="1"/>
          <w:outline w:val="0"/>
          <w:color w:val="5088a1"/>
          <w:sz w:val="26"/>
          <w:szCs w:val="26"/>
          <w:u w:color="5088a1"/>
          <w:rtl w:val="0"/>
          <w:lang w:val="en-US"/>
          <w14:textFill>
            <w14:solidFill>
              <w14:srgbClr w14:val="5088A1"/>
            </w14:solidFill>
          </w14:textFill>
        </w:rPr>
        <w:t>A Critical Evaluation</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sz w:val="26"/>
          <w:szCs w:val="26"/>
          <w:u w:color="5088a1"/>
        </w:rPr>
      </w:pPr>
    </w:p>
    <w:p>
      <w:pPr>
        <w:pStyle w:val="Default"/>
        <w:suppressAutoHyphens w:val="1"/>
        <w:spacing w:before="0" w:after="240" w:line="240" w:lineRule="auto"/>
        <w:jc w:val="both"/>
        <w:rPr>
          <w:rFonts w:ascii="Arial" w:cs="Arial" w:hAnsi="Arial" w:eastAsia="Arial"/>
          <w:sz w:val="26"/>
          <w:szCs w:val="26"/>
          <w:u w:color="5088a1"/>
        </w:rPr>
      </w:pPr>
      <w:r>
        <w:rPr>
          <w:rFonts w:ascii="Arial" w:hAnsi="Arial"/>
          <w:sz w:val="26"/>
          <w:szCs w:val="26"/>
          <w:u w:color="5088a1"/>
          <w:rtl w:val="0"/>
          <w:lang w:val="en-US"/>
        </w:rPr>
        <w:t>Traditional security models mainly protect a trusted internal network using controls such as firewalls, VPNs, and intrusion prevention systems. This approach was more suitable when users, applications, and devices were largely located within controlled organisational networks [2]. However, cloud services, hybrid working, mobile devices, and third-party services have reduced the relevance of a clearly defined network perimeter [9], [11].</w:t>
      </w:r>
    </w:p>
    <w:p>
      <w:pPr>
        <w:pStyle w:val="Default"/>
        <w:suppressAutoHyphens w:val="1"/>
        <w:spacing w:before="0" w:after="240" w:line="240" w:lineRule="auto"/>
        <w:jc w:val="both"/>
        <w:rPr>
          <w:rFonts w:ascii="Arial" w:cs="Arial" w:hAnsi="Arial" w:eastAsia="Arial"/>
          <w:sz w:val="26"/>
          <w:szCs w:val="26"/>
          <w:u w:color="5088a1"/>
        </w:rPr>
      </w:pPr>
      <w:r>
        <w:rPr>
          <w:rFonts w:ascii="Arial" w:hAnsi="Arial"/>
          <w:sz w:val="26"/>
          <w:szCs w:val="26"/>
          <w:u w:color="5088a1"/>
          <w:rtl w:val="0"/>
          <w:lang w:val="en-US"/>
        </w:rPr>
        <w:t>Zero Trust addresses this limitation by removing implicit trust based on network location. Access decisions instead consider factors such as identity, device status, behaviour, and resource sensitivity [1]. Least-privilege access reduces unnecessary permissions, while micro-segmentation restricts communication between resources and can limit lateral movement following a compromise [1], [3], [8]. Continuous monitoring can also support earlier detection of suspicious user, device, and network activity [7], [11].</w:t>
      </w:r>
    </w:p>
    <w:p>
      <w:pPr>
        <w:pStyle w:val="Default"/>
        <w:suppressAutoHyphens w:val="1"/>
        <w:spacing w:before="0" w:after="240" w:line="240" w:lineRule="auto"/>
        <w:jc w:val="both"/>
        <w:rPr>
          <w:rFonts w:ascii="Arial" w:cs="Arial" w:hAnsi="Arial" w:eastAsia="Arial"/>
          <w:sz w:val="26"/>
          <w:szCs w:val="26"/>
          <w:u w:color="5088a1"/>
        </w:rPr>
      </w:pPr>
      <w:r>
        <w:rPr>
          <w:rFonts w:ascii="Arial" w:hAnsi="Arial"/>
          <w:sz w:val="26"/>
          <w:szCs w:val="26"/>
          <w:u w:color="5088a1"/>
          <w:rtl w:val="0"/>
          <w:lang w:val="en-US"/>
        </w:rPr>
        <w:t>A significant difference between the two approaches is therefore how trust is established and maintained. Traditional models can provide greater trust to users and devices once they are operating within the protected network, whereas Zero Trust requires access decisions to consider identity, device condition, context, and the sensitivity of the requested resource [1], [2]. This can provide an important advantage when user credentials or devices are compromised. Successfully passing one security boundary should not automatically provide broad access to internal resources. Least-privilege policies and segmentation can restrict the resources available to a compromised account and reduce opportunities for lateral movement [1], [8].</w:t>
      </w:r>
    </w:p>
    <w:p>
      <w:pPr>
        <w:pStyle w:val="Default"/>
        <w:suppressAutoHyphens w:val="1"/>
        <w:spacing w:before="0" w:after="240" w:line="240" w:lineRule="auto"/>
        <w:jc w:val="both"/>
        <w:rPr>
          <w:rFonts w:ascii="Arial" w:cs="Arial" w:hAnsi="Arial" w:eastAsia="Arial"/>
          <w:sz w:val="26"/>
          <w:szCs w:val="26"/>
          <w:u w:color="5088a1"/>
        </w:rPr>
      </w:pPr>
      <w:r>
        <w:rPr>
          <w:rFonts w:ascii="Arial" w:hAnsi="Arial"/>
          <w:sz w:val="26"/>
          <w:szCs w:val="26"/>
          <w:u w:color="5088a1"/>
          <w:rtl w:val="0"/>
          <w:lang w:val="en-US"/>
        </w:rPr>
        <w:t>The effectiveness of Zero Trust is particularly relevant to cloud and hybrid environments. Traditional perimeter controls remain valuable for filtering traffic and protecting network boundaries, but they are less able to represent a modern organisation in which employees, applications, cloud services, and third parties may operate from different locations [2], [9]. Zero Trust addresses this problem by focusing security decisions on access to individual resources rather than assuming that network location itself provides sufficient evidence of trust [1]. However, this advantage depends on accurate identity, device, and asset information. Poor asset visibility or incorrectly configured permissions can reduce the effectiveness of Zero Trust access decisions [3], [7].</w:t>
      </w:r>
    </w:p>
    <w:p>
      <w:pPr>
        <w:pStyle w:val="Default"/>
        <w:suppressAutoHyphens w:val="1"/>
        <w:spacing w:before="0" w:after="240" w:line="240" w:lineRule="auto"/>
        <w:jc w:val="both"/>
        <w:rPr>
          <w:rFonts w:ascii="Arial" w:cs="Arial" w:hAnsi="Arial" w:eastAsia="Arial"/>
          <w:sz w:val="26"/>
          <w:szCs w:val="26"/>
          <w:u w:color="5088a1"/>
        </w:rPr>
      </w:pPr>
      <w:r>
        <w:rPr>
          <w:rFonts w:ascii="Arial" w:hAnsi="Arial"/>
          <w:sz w:val="26"/>
          <w:szCs w:val="26"/>
          <w:u w:color="5088a1"/>
          <w:rtl w:val="0"/>
          <w:lang w:val="en-US"/>
        </w:rPr>
        <w:t>However, Zero Trust is not automatically superior in every environment. Implementation can require significant changes to identity management, monitoring, network architecture, legacy systems, and organisational processes, increasing cost and complexity [3], [9]. Continuous verification, MFA, monitoring, and granular access policies can strengthen security but may also increase administrative workload and user friction [3], [7]. Traditional security controls may therefore remain more practical for some legacy systems that cannot easily support modern identity-based controls. A gradual and risk-based transition can be more realistic than attempting to immediately replace an organisation's existing security architecture [9].</w:t>
      </w:r>
    </w:p>
    <w:p>
      <w:pPr>
        <w:pStyle w:val="Default"/>
        <w:suppressAutoHyphens w:val="1"/>
        <w:spacing w:before="0" w:after="240" w:line="240" w:lineRule="auto"/>
        <w:jc w:val="both"/>
        <w:rPr>
          <w:rFonts w:ascii="Arial" w:cs="Arial" w:hAnsi="Arial" w:eastAsia="Arial"/>
          <w:sz w:val="26"/>
          <w:szCs w:val="26"/>
          <w:u w:color="5088a1"/>
        </w:rPr>
      </w:pPr>
      <w:r>
        <w:rPr>
          <w:rFonts w:ascii="Arial" w:hAnsi="Arial"/>
          <w:sz w:val="26"/>
          <w:szCs w:val="26"/>
          <w:u w:color="5088a1"/>
          <w:rtl w:val="0"/>
          <w:lang w:val="en-US"/>
        </w:rPr>
        <w:t>Traditional security controls also remain necessary after Zero Trust adoption. Firewalls, endpoint protection, vulnerability management, software patching, and incident response address risks that identity-based access controls cannot eliminate. Zero Trust should therefore strengthen defence-in-depth rather than completely replace traditional security [1], [9]. This is important because an organisation could implement strong authentication and segmentation while remaining vulnerable if critical software weaknesses are not identified and remediated.</w:t>
      </w:r>
    </w:p>
    <w:p>
      <w:pPr>
        <w:pStyle w:val="Default"/>
        <w:suppressAutoHyphens w:val="1"/>
        <w:spacing w:before="0" w:after="240" w:line="240" w:lineRule="auto"/>
        <w:jc w:val="both"/>
        <w:rPr>
          <w:rFonts w:ascii="Arial" w:cs="Arial" w:hAnsi="Arial" w:eastAsia="Arial"/>
          <w:sz w:val="26"/>
          <w:szCs w:val="26"/>
          <w:u w:color="5088a1"/>
        </w:rPr>
      </w:pPr>
      <w:r>
        <w:rPr>
          <w:rFonts w:ascii="Arial" w:hAnsi="Arial"/>
          <w:sz w:val="26"/>
          <w:szCs w:val="26"/>
          <w:u w:color="5088a1"/>
          <w:rtl w:val="0"/>
          <w:lang w:val="en-US"/>
        </w:rPr>
        <w:t>WannaCry demonstrates this distinction. Patch-management weaknesses and outdated systems contributed to the impact on NHS organisations [16]. Stronger segmentation and least-privilege controls could have restricted ransomware propagation, but Zero Trust would not have removed the underlying software vulnerability or the need for timely patching [14], [17]. The value of Zero Trust in this situation would therefore have been primarily in reducing the consequences of compromise rather than eliminating the original vulnerability. This demonstrates why its effectiveness should be evaluated alongside vulnerability management, endpoint protection, monitoring, and incident response rather than as an isolated security solution [1], [9].</w:t>
      </w:r>
    </w:p>
    <w:p>
      <w:pPr>
        <w:pStyle w:val="Default"/>
        <w:suppressAutoHyphens w:val="1"/>
        <w:spacing w:before="0" w:after="240" w:line="240" w:lineRule="auto"/>
        <w:jc w:val="both"/>
        <w:rPr>
          <w:rFonts w:ascii="Arial" w:cs="Arial" w:hAnsi="Arial" w:eastAsia="Arial"/>
          <w:sz w:val="26"/>
          <w:szCs w:val="26"/>
          <w:u w:color="5088a1"/>
        </w:rPr>
      </w:pPr>
      <w:r>
        <w:rPr>
          <w:rFonts w:ascii="Arial" w:hAnsi="Arial"/>
          <w:sz w:val="26"/>
          <w:szCs w:val="26"/>
          <w:u w:color="5088a1"/>
          <w:rtl w:val="0"/>
          <w:lang w:val="en-US"/>
        </w:rPr>
        <w:t>Overall, Zero Trust is better suited to modern distributed environments because it reduces reliance on network location as evidence of trust and provides more granular control over access to organisational resources. Nevertheless, its effectiveness depends on organisational maturity, system visibility, identity management, monitoring, and fundamental cybersecurity controls. Traditional security remains valuable, particularly for perimeter protection and systems that cannot fully support Zero Trust mechanisms. A layered approach that integrates Zero Trust with appropriate traditional controls therefore provides a more practical and resilient security strategy than treating either model as a complete solution [1], [9].</w:t>
      </w:r>
    </w:p>
    <w:p>
      <w:pPr>
        <w:pStyle w:val="Default"/>
        <w:suppressAutoHyphens w:val="1"/>
        <w:spacing w:before="0" w:after="240" w:line="240" w:lineRule="auto"/>
        <w:rPr>
          <w:rFonts w:ascii="Arial" w:cs="Arial" w:hAnsi="Arial" w:eastAsia="Arial"/>
          <w:outline w:val="0"/>
          <w:color w:val="000000"/>
          <w:u w:color="000000"/>
          <w14:textFill>
            <w14:solidFill>
              <w14:srgbClr w14:val="000000"/>
            </w14:solidFill>
          </w14:textFill>
        </w:rPr>
      </w:pPr>
      <w:r>
        <w:rPr>
          <w:rFonts w:ascii="Arial" w:cs="Arial" w:hAnsi="Arial" w:eastAsia="Arial"/>
          <w:i w:val="1"/>
          <w:iCs w:val="1"/>
          <w:outline w:val="0"/>
          <w:color w:val="5088a1"/>
          <w:sz w:val="26"/>
          <w:szCs w:val="26"/>
          <w:u w:color="5088a1"/>
          <w14:textFill>
            <w14:solidFill>
              <w14:srgbClr w14:val="5088A1"/>
            </w14:solidFill>
          </w14:textFill>
        </w:rPr>
        <w:drawing xmlns:a="http://schemas.openxmlformats.org/drawingml/2006/main">
          <wp:anchor distT="152400" distB="152400" distL="152400" distR="152400" simplePos="0" relativeHeight="251663360" behindDoc="0" locked="0" layoutInCell="1" allowOverlap="1">
            <wp:simplePos x="0" y="0"/>
            <wp:positionH relativeFrom="page">
              <wp:posOffset>908050</wp:posOffset>
            </wp:positionH>
            <wp:positionV relativeFrom="line">
              <wp:posOffset>190500</wp:posOffset>
            </wp:positionV>
            <wp:extent cx="5727700" cy="1904177"/>
            <wp:effectExtent l="0" t="0" r="0" b="0"/>
            <wp:wrapTopAndBottom distT="152400" distB="152400"/>
            <wp:docPr id="1073741860" name="officeArt object" descr="Crop 01.jpg"/>
            <wp:cNvGraphicFramePr/>
            <a:graphic xmlns:a="http://schemas.openxmlformats.org/drawingml/2006/main">
              <a:graphicData uri="http://schemas.openxmlformats.org/drawingml/2006/picture">
                <pic:pic xmlns:pic="http://schemas.openxmlformats.org/drawingml/2006/picture">
                  <pic:nvPicPr>
                    <pic:cNvPr id="1073741860" name="Crop 01.jpg" descr="Crop 01.jpg"/>
                    <pic:cNvPicPr>
                      <a:picLocks noChangeAspect="1"/>
                    </pic:cNvPicPr>
                  </pic:nvPicPr>
                  <pic:blipFill>
                    <a:blip r:embed="rId4">
                      <a:extLst/>
                    </a:blip>
                    <a:stretch>
                      <a:fillRect/>
                    </a:stretch>
                  </pic:blipFill>
                  <pic:spPr>
                    <a:xfrm>
                      <a:off x="0" y="0"/>
                      <a:ext cx="5727700" cy="1904177"/>
                    </a:xfrm>
                    <a:prstGeom prst="rect">
                      <a:avLst/>
                    </a:prstGeom>
                    <a:ln w="12700" cap="flat">
                      <a:noFill/>
                      <a:miter lim="400000"/>
                    </a:ln>
                    <a:effectLst>
                      <a:outerShdw sx="100000" sy="100000" kx="0" ky="0" algn="b" rotWithShape="0" blurRad="254000" dist="127000" dir="16200000">
                        <a:srgbClr val="000000">
                          <a:alpha val="70000"/>
                        </a:srgbClr>
                      </a:outerShdw>
                    </a:effectLst>
                  </pic:spPr>
                </pic:pic>
              </a:graphicData>
            </a:graphic>
          </wp:anchor>
        </w:drawing>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b w:val="1"/>
          <w:bCs w:val="1"/>
          <w:outline w:val="0"/>
          <w:color w:val="156082"/>
          <w:sz w:val="30"/>
          <w:szCs w:val="30"/>
          <w:u w:color="156082"/>
          <w14:textFill>
            <w14:solidFill>
              <w14:srgbClr w14:val="156082"/>
            </w14:solidFill>
          </w14:textFill>
        </w:rPr>
      </w:pPr>
      <w:r>
        <w:rPr>
          <w:rFonts w:ascii="Arial" w:hAnsi="Arial"/>
          <w:b w:val="1"/>
          <w:bCs w:val="1"/>
          <w:outline w:val="0"/>
          <w:color w:val="156082"/>
          <w:sz w:val="30"/>
          <w:szCs w:val="30"/>
          <w:u w:color="156082"/>
          <w:rtl w:val="0"/>
          <w:lang w:val="en-US"/>
          <w14:textFill>
            <w14:solidFill>
              <w14:srgbClr w14:val="156082"/>
            </w14:solidFill>
          </w14:textFill>
        </w:rPr>
        <w:t>Conclusion:</w:t>
      </w:r>
    </w:p>
    <w:p>
      <w:pPr>
        <w:pStyle w:val="Default"/>
        <w:suppressAutoHyphens w:val="1"/>
        <w:spacing w:before="0" w:after="240" w:line="240" w:lineRule="auto"/>
        <w:jc w:val="both"/>
        <w:rPr>
          <w:rFonts w:ascii="Arial" w:cs="Arial" w:hAnsi="Arial" w:eastAsia="Arial"/>
          <w:sz w:val="26"/>
          <w:szCs w:val="26"/>
          <w:u w:color="156082"/>
        </w:rPr>
      </w:pPr>
      <w:r>
        <w:rPr>
          <w:rFonts w:ascii="Arial" w:hAnsi="Arial"/>
          <w:sz w:val="26"/>
          <w:szCs w:val="26"/>
          <w:u w:color="156082"/>
          <w:rtl w:val="0"/>
          <w:lang w:val="en-US"/>
        </w:rPr>
        <w:t>Zero Trust Architecture provides a more suitable security model for modern environments where cloud services, remote working, mobile devices, and interconnected systems have reduced the effectiveness of traditional network boundaries [1], [2]. Continuous verification, least privilege, micro-segmentation, and monitoring can reduce unauthorised access, restrict lateral movement, and improve the detection of suspicious activity.</w:t>
      </w:r>
    </w:p>
    <w:p>
      <w:pPr>
        <w:pStyle w:val="Default"/>
        <w:suppressAutoHyphens w:val="1"/>
        <w:spacing w:before="0" w:after="240" w:line="240" w:lineRule="auto"/>
        <w:jc w:val="both"/>
        <w:rPr>
          <w:rFonts w:ascii="Arial" w:cs="Arial" w:hAnsi="Arial" w:eastAsia="Arial"/>
          <w:sz w:val="26"/>
          <w:szCs w:val="26"/>
          <w:u w:color="156082"/>
        </w:rPr>
      </w:pPr>
      <w:r>
        <w:rPr>
          <w:rFonts w:ascii="Arial" w:hAnsi="Arial"/>
          <w:sz w:val="26"/>
          <w:szCs w:val="26"/>
          <w:u w:color="156082"/>
          <w:rtl w:val="0"/>
          <w:lang w:val="en-US"/>
        </w:rPr>
        <w:t>However, Zero Trust is not a complete cybersecurity solution. The WannaCry incident demonstrates that segmentation and least-privilege controls could have reduced ransomware propagation, but effective vulnerability management and timely patching would still have been essential [14], [16], [17]. Implementation also requires investment in identity management, monitoring, governance, skilled personnel, and organisational change [9], [10].</w:t>
      </w:r>
    </w:p>
    <w:p>
      <w:pPr>
        <w:pStyle w:val="Default"/>
        <w:suppressAutoHyphens w:val="1"/>
        <w:spacing w:before="0" w:after="240" w:line="240" w:lineRule="auto"/>
        <w:jc w:val="both"/>
        <w:rPr>
          <w:rFonts w:ascii="Arial" w:cs="Arial" w:hAnsi="Arial" w:eastAsia="Arial"/>
          <w:b w:val="1"/>
          <w:bCs w:val="1"/>
          <w:outline w:val="0"/>
          <w:color w:val="156082"/>
          <w:sz w:val="30"/>
          <w:szCs w:val="30"/>
          <w:u w:color="156082"/>
          <w14:textFill>
            <w14:solidFill>
              <w14:srgbClr w14:val="156082"/>
            </w14:solidFill>
          </w14:textFill>
        </w:rPr>
      </w:pPr>
      <w:r>
        <w:rPr>
          <w:rFonts w:ascii="Arial" w:hAnsi="Arial"/>
          <w:sz w:val="26"/>
          <w:szCs w:val="26"/>
          <w:u w:color="156082"/>
          <w:rtl w:val="0"/>
          <w:lang w:val="en-US"/>
        </w:rPr>
        <w:t>Therefore, organisations should not treat Zero Trust as a replacement for traditional security controls. Firewalls, endpoint protection, patch management, and incident response remain important components of defence-in-depth. The most effective approach is to integrate Zero Trust principles with these established controls as part of a layered and risk-based cybersecurity strategy [1], [9]. This provides stronger protection while recognising the operational and financial limitations associated with Zero Trust implementation.</w:t>
      </w:r>
    </w:p>
    <w:p>
      <w:pPr>
        <w:pStyle w:val="Default"/>
        <w:suppressAutoHyphens w:val="1"/>
        <w:spacing w:before="0" w:after="240" w:line="240" w:lineRule="auto"/>
        <w:jc w:val="both"/>
        <w:rPr>
          <w:rFonts w:ascii="Arial" w:cs="Arial" w:hAnsi="Arial" w:eastAsia="Arial"/>
          <w:outline w:val="0"/>
          <w:color w:val="000000"/>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b w:val="1"/>
          <w:bCs w:val="1"/>
          <w:outline w:val="0"/>
          <w:color w:val="114d68"/>
          <w:sz w:val="50"/>
          <w:szCs w:val="50"/>
          <w:u w:color="114d68"/>
          <w14:textFill>
            <w14:solidFill>
              <w14:srgbClr w14:val="114D68"/>
            </w14:solidFill>
          </w14:textFill>
        </w:rPr>
      </w:pPr>
      <w:r>
        <w:rPr>
          <w:rFonts w:ascii="Arial" w:hAnsi="Arial"/>
          <w:outline w:val="0"/>
          <w:color w:val="000000"/>
          <w:sz w:val="26"/>
          <w:szCs w:val="26"/>
          <w:u w:color="000000"/>
          <w:rtl w:val="0"/>
          <w:lang w:val="en-US"/>
          <w14:textFill>
            <w14:solidFill>
              <w14:srgbClr w14:val="000000"/>
            </w14:solidFill>
          </w14:textFill>
        </w:rPr>
        <w:t xml:space="preserve">                                                 </w:t>
      </w:r>
      <w:r>
        <w:rPr>
          <w:rFonts w:ascii="Arial" w:hAnsi="Arial"/>
          <w:b w:val="1"/>
          <w:bCs w:val="1"/>
          <w:outline w:val="0"/>
          <w:color w:val="114d68"/>
          <w:sz w:val="50"/>
          <w:szCs w:val="50"/>
          <w:u w:color="114d68"/>
          <w:rtl w:val="0"/>
          <w:lang w:val="en-US"/>
          <w14:textFill>
            <w14:solidFill>
              <w14:srgbClr w14:val="114D68"/>
            </w14:solidFill>
          </w14:textFill>
        </w:rPr>
        <w:t>Task 2</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b w:val="1"/>
          <w:bCs w:val="1"/>
          <w:outline w:val="0"/>
          <w:color w:val="114d68"/>
          <w:sz w:val="50"/>
          <w:szCs w:val="50"/>
          <w:u w:color="114d68"/>
          <w14:textFill>
            <w14:solidFill>
              <w14:srgbClr w14:val="114D68"/>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114d68"/>
          <w:sz w:val="50"/>
          <w:szCs w:val="50"/>
          <w:u w:color="114d68"/>
          <w14:textFill>
            <w14:solidFill>
              <w14:srgbClr w14:val="114D68"/>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r>
        <w:rPr>
          <w:rFonts w:ascii="Arial" w:hAnsi="Arial"/>
          <w:outline w:val="0"/>
          <w:color w:val="114d68"/>
          <w:u w:color="114d68"/>
          <w:rtl w:val="0"/>
          <w:lang w:val="en-US"/>
          <w14:textFill>
            <w14:solidFill>
              <w14:srgbClr w14:val="114D68"/>
            </w14:solidFill>
          </w14:textFill>
        </w:rPr>
        <w:t xml:space="preserve">                     </w:t>
      </w:r>
      <w:r>
        <w:rPr>
          <w:rFonts w:ascii="Arial" w:hAnsi="Arial"/>
          <w:b w:val="1"/>
          <w:bCs w:val="1"/>
          <w:outline w:val="0"/>
          <w:color w:val="156082"/>
          <w:sz w:val="30"/>
          <w:szCs w:val="30"/>
          <w:u w:color="156082"/>
          <w:rtl w:val="0"/>
          <w:lang w:val="en-US"/>
          <w14:textFill>
            <w14:solidFill>
              <w14:srgbClr w14:val="156082"/>
            </w14:solidFill>
          </w14:textFill>
        </w:rPr>
        <w:t>Developing a Cybersecurity Programme:</w:t>
      </w:r>
      <w:r>
        <w:rPr>
          <w:rFonts w:ascii="Arial" w:hAnsi="Arial"/>
          <w:outline w:val="0"/>
          <w:color w:val="000000"/>
          <w:sz w:val="26"/>
          <w:szCs w:val="26"/>
          <w:u w:color="000000"/>
          <w:rtl w:val="0"/>
          <w:lang w:val="en-US"/>
          <w14:textFill>
            <w14:solidFill>
              <w14:srgbClr w14:val="000000"/>
            </w14:solidFill>
          </w14:textFill>
        </w:rPr>
        <w:t xml:space="preserve"> </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i w:val="1"/>
          <w:iCs w:val="1"/>
          <w:outline w:val="0"/>
          <w:color w:val="8ab0c1"/>
          <w:sz w:val="26"/>
          <w:szCs w:val="26"/>
          <w:u w:color="8ab0c1"/>
          <w14:textFill>
            <w14:solidFill>
              <w14:srgbClr w14:val="8AB0C1"/>
            </w14:solidFill>
          </w14:textFill>
        </w:rPr>
      </w:pPr>
      <w:r>
        <w:rPr>
          <w:rFonts w:ascii="Arial" w:hAnsi="Arial"/>
          <w:outline w:val="0"/>
          <w:color w:val="000000"/>
          <w:sz w:val="26"/>
          <w:szCs w:val="26"/>
          <w:u w:color="000000"/>
          <w:rtl w:val="0"/>
          <w:lang w:val="en-US"/>
          <w14:textFill>
            <w14:solidFill>
              <w14:srgbClr w14:val="000000"/>
            </w14:solidFill>
          </w14:textFill>
        </w:rPr>
        <w:t xml:space="preserve">                        </w:t>
      </w:r>
      <w:r>
        <w:rPr>
          <w:rFonts w:ascii="Arial" w:hAnsi="Arial"/>
          <w:i w:val="1"/>
          <w:iCs w:val="1"/>
          <w:outline w:val="0"/>
          <w:color w:val="8ab0c1"/>
          <w:sz w:val="26"/>
          <w:szCs w:val="26"/>
          <w:u w:color="8ab0c1"/>
          <w:rtl w:val="0"/>
          <w:lang w:val="en-US"/>
          <w14:textFill>
            <w14:solidFill>
              <w14:srgbClr w14:val="8AB0C1"/>
            </w14:solidFill>
          </w14:textFill>
        </w:rPr>
        <w:t>A Case Study of the Equifax Data Breach</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b w:val="1"/>
          <w:bCs w:val="1"/>
          <w:outline w:val="0"/>
          <w:color w:val="156082"/>
          <w:sz w:val="30"/>
          <w:szCs w:val="30"/>
          <w:u w:color="156082"/>
          <w14:textFill>
            <w14:solidFill>
              <w14:srgbClr w14:val="156082"/>
            </w14:solidFill>
          </w14:textFill>
        </w:rPr>
      </w:pPr>
      <w:r>
        <w:rPr>
          <w:rFonts w:ascii="Arial" w:hAnsi="Arial"/>
          <w:b w:val="1"/>
          <w:bCs w:val="1"/>
          <w:outline w:val="0"/>
          <w:color w:val="156082"/>
          <w:sz w:val="30"/>
          <w:szCs w:val="30"/>
          <w:u w:color="156082"/>
          <w:rtl w:val="0"/>
          <w:lang w:val="en-US"/>
          <w14:textFill>
            <w14:solidFill>
              <w14:srgbClr w14:val="156082"/>
            </w14:solidFill>
          </w14:textFill>
        </w:rPr>
        <w:t>Introduction:</w:t>
      </w:r>
    </w:p>
    <w:p>
      <w:pPr>
        <w:pStyle w:val="Default"/>
        <w:suppressAutoHyphens w:val="1"/>
        <w:spacing w:before="0" w:after="240" w:line="240" w:lineRule="auto"/>
        <w:jc w:val="both"/>
        <w:rPr>
          <w:rFonts w:ascii="Arial" w:cs="Arial" w:hAnsi="Arial" w:eastAsia="Arial"/>
          <w:outline w:val="0"/>
          <w:color w:val="000000"/>
          <w:sz w:val="26"/>
          <w:szCs w:val="26"/>
          <w:u w:color="000000"/>
          <w14:textFill>
            <w14:solidFill>
              <w14:srgbClr w14:val="000000"/>
            </w14:solidFill>
          </w14:textFill>
        </w:rPr>
      </w:pPr>
      <w:r>
        <w:rPr>
          <w:rFonts w:ascii="Arial" w:hAnsi="Arial"/>
          <w:outline w:val="0"/>
          <w:color w:val="000000"/>
          <w:sz w:val="26"/>
          <w:szCs w:val="26"/>
          <w:u w:color="000000"/>
          <w:rtl w:val="0"/>
          <w:lang w:val="en-US"/>
          <w14:textFill>
            <w14:solidFill>
              <w14:srgbClr w14:val="000000"/>
            </w14:solidFill>
          </w14:textFill>
        </w:rPr>
        <w:t>Cybersecurity is a strategic business responsibility because security incidents can create financial, operational, regulatory, and reputational consequences. Effective cybersecurity therefore requires organisations to combine technical controls with governance, risk management, incident response, and continuous improvement [10], [11].</w:t>
      </w:r>
    </w:p>
    <w:p>
      <w:pPr>
        <w:pStyle w:val="Default"/>
        <w:suppressAutoHyphens w:val="1"/>
        <w:spacing w:before="0" w:after="240" w:line="240" w:lineRule="auto"/>
        <w:jc w:val="both"/>
        <w:rPr>
          <w:rFonts w:ascii="Arial" w:cs="Arial" w:hAnsi="Arial" w:eastAsia="Arial"/>
          <w:outline w:val="0"/>
          <w:color w:val="000000"/>
          <w:sz w:val="26"/>
          <w:szCs w:val="26"/>
          <w:u w:color="000000"/>
          <w14:textFill>
            <w14:solidFill>
              <w14:srgbClr w14:val="000000"/>
            </w14:solidFill>
          </w14:textFill>
        </w:rPr>
      </w:pPr>
      <w:r>
        <w:rPr>
          <w:rFonts w:ascii="Arial" w:hAnsi="Arial"/>
          <w:outline w:val="0"/>
          <w:color w:val="000000"/>
          <w:sz w:val="26"/>
          <w:szCs w:val="26"/>
          <w:u w:color="000000"/>
          <w:rtl w:val="0"/>
          <w:lang w:val="en-US"/>
          <w14:textFill>
            <w14:solidFill>
              <w14:srgbClr w14:val="000000"/>
            </w14:solidFill>
          </w14:textFill>
        </w:rPr>
        <w:t>The 2017 Equifax data breach demonstrates the consequences of weaknesses in these areas. The incident involved failures in vulnerability remediation, asset visibility, monitoring, and organisational oversight, showing that major breaches can result from weaknesses in both technology and management [13].</w:t>
      </w:r>
    </w:p>
    <w:p>
      <w:pPr>
        <w:pStyle w:val="Default"/>
        <w:suppressAutoHyphens w:val="1"/>
        <w:spacing w:before="0" w:after="240" w:line="240" w:lineRule="auto"/>
        <w:jc w:val="both"/>
        <w:rPr>
          <w:rFonts w:ascii="Arial" w:cs="Arial" w:hAnsi="Arial" w:eastAsia="Arial"/>
          <w:outline w:val="0"/>
          <w:color w:val="000000"/>
          <w:sz w:val="26"/>
          <w:szCs w:val="26"/>
          <w:u w:color="000000"/>
          <w14:textFill>
            <w14:solidFill>
              <w14:srgbClr w14:val="000000"/>
            </w14:solidFill>
          </w14:textFill>
        </w:rPr>
      </w:pPr>
      <w:r>
        <w:rPr>
          <w:rFonts w:ascii="Arial" w:hAnsi="Arial"/>
          <w:outline w:val="0"/>
          <w:color w:val="000000"/>
          <w:sz w:val="26"/>
          <w:szCs w:val="26"/>
          <w:u w:color="000000"/>
          <w:rtl w:val="0"/>
          <w:lang w:val="en-US"/>
          <w14:textFill>
            <w14:solidFill>
              <w14:srgbClr w14:val="000000"/>
            </w14:solidFill>
          </w14:textFill>
        </w:rPr>
        <w:t>This report analyses the Equifax breach and proposes a cybersecurity programme based on clear organisational accountability, measurable security policies, risk management, NIST CSF 2.0, incident response, and appropriate preventive and detective controls. Relevant Zero Trust principles are also considered where they can reduce unauthorised access and lateral movement [1], [10].</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b w:val="1"/>
          <w:bCs w:val="1"/>
          <w:outline w:val="0"/>
          <w:color w:val="156082"/>
          <w:sz w:val="30"/>
          <w:szCs w:val="30"/>
          <w:u w:color="156082"/>
          <w14:textFill>
            <w14:solidFill>
              <w14:srgbClr w14:val="156082"/>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b w:val="1"/>
          <w:bCs w:val="1"/>
          <w:outline w:val="0"/>
          <w:color w:val="156082"/>
          <w:sz w:val="30"/>
          <w:szCs w:val="30"/>
          <w:u w:color="156082"/>
          <w14:textFill>
            <w14:solidFill>
              <w14:srgbClr w14:val="156082"/>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b w:val="1"/>
          <w:bCs w:val="1"/>
          <w:outline w:val="0"/>
          <w:color w:val="156082"/>
          <w:sz w:val="30"/>
          <w:szCs w:val="30"/>
          <w:u w:color="156082"/>
          <w14:textFill>
            <w14:solidFill>
              <w14:srgbClr w14:val="156082"/>
            </w14:solidFill>
          </w14:textFill>
        </w:rPr>
      </w:pPr>
      <w:r>
        <w:rPr>
          <w:rFonts w:ascii="Arial" w:hAnsi="Arial"/>
          <w:b w:val="1"/>
          <w:bCs w:val="1"/>
          <w:outline w:val="0"/>
          <w:color w:val="156082"/>
          <w:sz w:val="30"/>
          <w:szCs w:val="30"/>
          <w:u w:color="156082"/>
          <w:rtl w:val="0"/>
          <w:lang w:val="en-US"/>
          <w14:textFill>
            <w14:solidFill>
              <w14:srgbClr w14:val="156082"/>
            </w14:solidFill>
          </w14:textFill>
        </w:rPr>
        <w:t>Overview of the Equifax Data Breach:</w:t>
      </w:r>
    </w:p>
    <w:p>
      <w:pPr>
        <w:pStyle w:val="Default"/>
        <w:suppressAutoHyphens w:val="1"/>
        <w:spacing w:before="0" w:after="240" w:line="240" w:lineRule="auto"/>
        <w:jc w:val="both"/>
        <w:rPr>
          <w:rFonts w:ascii="Arial" w:cs="Arial" w:hAnsi="Arial" w:eastAsia="Arial"/>
          <w:sz w:val="26"/>
          <w:szCs w:val="26"/>
          <w:u w:color="156082"/>
        </w:rPr>
      </w:pPr>
      <w:r>
        <w:rPr>
          <w:rFonts w:ascii="Arial" w:hAnsi="Arial"/>
          <w:sz w:val="26"/>
          <w:szCs w:val="26"/>
          <w:u w:color="156082"/>
          <w:rtl w:val="0"/>
          <w:lang w:val="en-US"/>
        </w:rPr>
        <w:t>Equifax is a major U.S. consumer credit reporting agency that stores large amounts of sensitive financial and personal information. In 2017, attackers gained unauthorised access to its systems and compromised the personal information of approximately 147 million individuals. The exposed data included names, dates of birth, Social Security numbers, addresses, driving licence information and, in some cases, credit card details [13], [18].</w:t>
      </w:r>
    </w:p>
    <w:p>
      <w:pPr>
        <w:pStyle w:val="Default"/>
        <w:suppressAutoHyphens w:val="1"/>
        <w:spacing w:before="0" w:after="240" w:line="240" w:lineRule="auto"/>
        <w:jc w:val="both"/>
        <w:rPr>
          <w:rFonts w:ascii="Arial" w:cs="Arial" w:hAnsi="Arial" w:eastAsia="Arial"/>
          <w:sz w:val="26"/>
          <w:szCs w:val="26"/>
          <w:u w:color="156082"/>
        </w:rPr>
      </w:pPr>
      <w:r>
        <w:rPr>
          <w:rFonts w:ascii="Arial" w:hAnsi="Arial"/>
          <w:sz w:val="26"/>
          <w:szCs w:val="26"/>
          <w:u w:color="156082"/>
          <w:rtl w:val="0"/>
          <w:lang w:val="en-US"/>
        </w:rPr>
        <w:t>The attackers exploited a known vulnerability in the Apache Struts web application framework. Although a security patch was available before the attack, Equifax failed to apply it to a vulnerable internet-facing application. Attackers were therefore able to access the network and remain undetected for several weeks while collecting sensitive information [13].</w:t>
      </w:r>
    </w:p>
    <w:p>
      <w:pPr>
        <w:pStyle w:val="Default"/>
        <w:suppressAutoHyphens w:val="1"/>
        <w:spacing w:before="0" w:after="240" w:line="240" w:lineRule="auto"/>
        <w:jc w:val="both"/>
        <w:rPr>
          <w:rFonts w:ascii="Arial" w:cs="Arial" w:hAnsi="Arial" w:eastAsia="Arial"/>
          <w:sz w:val="26"/>
          <w:szCs w:val="26"/>
          <w:u w:color="156082"/>
        </w:rPr>
      </w:pPr>
      <w:r>
        <w:rPr>
          <w:rFonts w:ascii="Arial" w:hAnsi="Arial"/>
          <w:sz w:val="26"/>
          <w:szCs w:val="26"/>
          <w:u w:color="156082"/>
          <w:rtl w:val="0"/>
          <w:lang w:val="en-US"/>
        </w:rPr>
        <w:t>The incident resulted in financial, regulatory, and reputational consequences and demonstrated weaknesses beyond the original software vulnerability [11], [13]. Governance, asset visibility, vulnerability management, and security monitoring were also important factors in the scale of the breach. The Equifax case therefore demonstrates how failures in both technical controls and organisational processes can transform a known vulnerability into a major data breach [13].</w:t>
      </w:r>
    </w:p>
    <w:p>
      <w:pPr>
        <w:pStyle w:val="Default"/>
        <w:suppressAutoHyphens w:val="1"/>
        <w:spacing w:before="0" w:after="240" w:line="240" w:lineRule="auto"/>
        <w:jc w:val="both"/>
        <w:rPr>
          <w:rFonts w:ascii="Arial" w:cs="Arial" w:hAnsi="Arial" w:eastAsia="Arial"/>
          <w:outline w:val="0"/>
          <w:color w:val="000000"/>
          <w:u w:color="000000"/>
          <w14:textFill>
            <w14:solidFill>
              <w14:srgbClr w14:val="000000"/>
            </w14:solidFill>
          </w14:textFill>
        </w:rPr>
      </w:pPr>
    </w:p>
    <w:p>
      <w:pPr>
        <w:pStyle w:val="Default"/>
        <w:suppressAutoHyphens w:val="1"/>
        <w:spacing w:before="0" w:after="328" w:line="240" w:lineRule="auto"/>
        <w:jc w:val="both"/>
        <w:rPr>
          <w:rFonts w:ascii="Arial" w:cs="Arial" w:hAnsi="Arial" w:eastAsia="Arial"/>
          <w:b w:val="1"/>
          <w:bCs w:val="1"/>
          <w:outline w:val="0"/>
          <w:color w:val="000000"/>
          <w:sz w:val="33"/>
          <w:szCs w:val="33"/>
          <w:u w:color="000000"/>
          <w14:textFill>
            <w14:solidFill>
              <w14:srgbClr w14:val="000000"/>
            </w14:solidFill>
          </w14:textFill>
        </w:rPr>
      </w:pPr>
    </w:p>
    <w:p>
      <w:pPr>
        <w:pStyle w:val="Default"/>
        <w:suppressAutoHyphens w:val="1"/>
        <w:spacing w:before="0" w:line="240" w:lineRule="auto"/>
        <w:jc w:val="both"/>
        <w:rPr>
          <w:rFonts w:ascii="Arial" w:cs="Arial" w:hAnsi="Arial" w:eastAsia="Arial"/>
          <w:b w:val="1"/>
          <w:bCs w:val="1"/>
          <w:outline w:val="0"/>
          <w:color w:val="156082"/>
          <w:sz w:val="30"/>
          <w:szCs w:val="30"/>
          <w:u w:color="156082"/>
          <w14:textFill>
            <w14:solidFill>
              <w14:srgbClr w14:val="156082"/>
            </w14:solidFill>
          </w14:textFill>
        </w:rPr>
      </w:pPr>
      <w:r>
        <w:rPr>
          <w:rFonts w:ascii="Arial" w:hAnsi="Arial"/>
          <w:b w:val="1"/>
          <w:bCs w:val="1"/>
          <w:outline w:val="0"/>
          <w:color w:val="156082"/>
          <w:sz w:val="30"/>
          <w:szCs w:val="30"/>
          <w:u w:color="156082"/>
          <w:rtl w:val="0"/>
          <w:lang w:val="en-US"/>
          <w14:textFill>
            <w14:solidFill>
              <w14:srgbClr w14:val="156082"/>
            </w14:solidFill>
          </w14:textFill>
        </w:rPr>
        <w:t>2.1 Organisational Structure and Accountability:</w:t>
      </w:r>
    </w:p>
    <w:p>
      <w:pPr>
        <w:pStyle w:val="Default"/>
        <w:suppressAutoHyphens w:val="1"/>
        <w:spacing w:before="0" w:line="240" w:lineRule="auto"/>
        <w:jc w:val="both"/>
        <w:rPr>
          <w:rFonts w:ascii="Arial" w:cs="Arial" w:hAnsi="Arial" w:eastAsia="Arial"/>
          <w:b w:val="1"/>
          <w:bCs w:val="1"/>
          <w:i w:val="1"/>
          <w:iCs w:val="1"/>
          <w:outline w:val="0"/>
          <w:color w:val="156082"/>
          <w:sz w:val="30"/>
          <w:szCs w:val="30"/>
          <w:u w:color="156082"/>
          <w14:textFill>
            <w14:solidFill>
              <w14:srgbClr w14:val="156082"/>
            </w14:solidFill>
          </w14:textFill>
        </w:rPr>
      </w:pPr>
    </w:p>
    <w:p>
      <w:pPr>
        <w:pStyle w:val="Default"/>
        <w:suppressAutoHyphens w:val="1"/>
        <w:spacing w:before="0" w:after="328" w:line="240" w:lineRule="auto"/>
        <w:jc w:val="both"/>
        <w:rPr>
          <w:rFonts w:ascii="Arial" w:cs="Arial" w:hAnsi="Arial" w:eastAsia="Arial"/>
          <w:b w:val="1"/>
          <w:bCs w:val="1"/>
          <w:outline w:val="0"/>
          <w:color w:val="156082"/>
          <w:sz w:val="30"/>
          <w:szCs w:val="30"/>
          <w:u w:color="156082"/>
          <w14:textFill>
            <w14:solidFill>
              <w14:srgbClr w14:val="156082"/>
            </w14:solidFill>
          </w14:textFill>
        </w:rPr>
      </w:pPr>
    </w:p>
    <w:p>
      <w:pPr>
        <w:pStyle w:val="Default"/>
        <w:suppressAutoHyphens w:val="1"/>
        <w:spacing w:before="0" w:line="240" w:lineRule="auto"/>
        <w:jc w:val="both"/>
        <w:rPr>
          <w:rFonts w:ascii="Arial" w:cs="Arial" w:hAnsi="Arial" w:eastAsia="Arial"/>
          <w:sz w:val="28"/>
          <w:szCs w:val="28"/>
        </w:rPr>
      </w:pPr>
      <w:r>
        <w:rPr>
          <w:rFonts w:ascii="Arial" w:hAnsi="Arial"/>
          <w:sz w:val="28"/>
          <w:szCs w:val="28"/>
          <w:rtl w:val="0"/>
          <w:lang w:val="en-US"/>
        </w:rPr>
        <w:t>The Equifax breach demonstrated that cybersecurity failures can result from weaknesses in governance and accountability as well as technical controls [13]. The proposed structure therefore establishes clear responsibilities from Board level to operational security teams and aligns with the governance principles of NIST CSF 2.0 [10].</w:t>
      </w:r>
      <w:r>
        <w:rPr>
          <w:rFonts w:ascii="Arial" w:cs="Arial" w:hAnsi="Arial" w:eastAsia="Arial"/>
          <w:sz w:val="28"/>
          <w:szCs w:val="28"/>
        </w:rPr>
        <w:drawing xmlns:a="http://schemas.openxmlformats.org/drawingml/2006/main">
          <wp:anchor distT="152400" distB="152400" distL="152400" distR="152400" simplePos="0" relativeHeight="251669504" behindDoc="0" locked="0" layoutInCell="1" allowOverlap="1">
            <wp:simplePos x="0" y="0"/>
            <wp:positionH relativeFrom="page">
              <wp:posOffset>419499</wp:posOffset>
            </wp:positionH>
            <wp:positionV relativeFrom="line">
              <wp:posOffset>322846</wp:posOffset>
            </wp:positionV>
            <wp:extent cx="6704801" cy="4469868"/>
            <wp:effectExtent l="0" t="0" r="0" b="0"/>
            <wp:wrapTopAndBottom distT="152400" distB="152400"/>
            <wp:docPr id="1073741861" name="officeArt object" descr="ChatGPT Image Aug 11, 2026 at 11_35_57 AM.png"/>
            <wp:cNvGraphicFramePr/>
            <a:graphic xmlns:a="http://schemas.openxmlformats.org/drawingml/2006/main">
              <a:graphicData uri="http://schemas.openxmlformats.org/drawingml/2006/picture">
                <pic:pic xmlns:pic="http://schemas.openxmlformats.org/drawingml/2006/picture">
                  <pic:nvPicPr>
                    <pic:cNvPr id="1073741861" name="ChatGPT Image Aug 11, 2026 at 11_35_57 AM.png" descr="ChatGPT Image Aug 11, 2026 at 11_35_57 AM.png"/>
                    <pic:cNvPicPr>
                      <a:picLocks noChangeAspect="1"/>
                    </pic:cNvPicPr>
                  </pic:nvPicPr>
                  <pic:blipFill>
                    <a:blip r:embed="rId5">
                      <a:extLst/>
                    </a:blip>
                    <a:stretch>
                      <a:fillRect/>
                    </a:stretch>
                  </pic:blipFill>
                  <pic:spPr>
                    <a:xfrm>
                      <a:off x="0" y="0"/>
                      <a:ext cx="6704801" cy="4469868"/>
                    </a:xfrm>
                    <a:prstGeom prst="rect">
                      <a:avLst/>
                    </a:prstGeom>
                    <a:ln w="12700" cap="flat">
                      <a:noFill/>
                      <a:miter lim="400000"/>
                    </a:ln>
                    <a:effectLst/>
                  </pic:spPr>
                </pic:pic>
              </a:graphicData>
            </a:graphic>
          </wp:anchor>
        </w:drawing>
      </w:r>
    </w:p>
    <w:p>
      <w:pPr>
        <w:pStyle w:val="Default"/>
        <w:suppressAutoHyphens w:val="1"/>
        <w:spacing w:before="0" w:after="240" w:line="240" w:lineRule="auto"/>
        <w:jc w:val="both"/>
        <w:rPr>
          <w:rFonts w:ascii="Arial" w:cs="Arial" w:hAnsi="Arial" w:eastAsia="Arial"/>
          <w:b w:val="1"/>
          <w:bCs w:val="1"/>
          <w:outline w:val="0"/>
          <w:color w:val="5088a1"/>
          <w:sz w:val="26"/>
          <w:szCs w:val="26"/>
          <w:u w:color="5088a1"/>
          <w14:textFill>
            <w14:solidFill>
              <w14:srgbClr w14:val="5088A1"/>
            </w14:solidFill>
          </w14:textFill>
        </w:rPr>
      </w:pPr>
    </w:p>
    <w:p>
      <w:pPr>
        <w:pStyle w:val="Default"/>
        <w:suppressAutoHyphens w:val="1"/>
        <w:spacing w:before="0" w:after="240" w:line="240" w:lineRule="auto"/>
        <w:jc w:val="both"/>
        <w:rPr>
          <w:rFonts w:ascii="Arial" w:cs="Arial" w:hAnsi="Arial" w:eastAsia="Arial"/>
          <w:sz w:val="26"/>
          <w:szCs w:val="26"/>
        </w:rPr>
      </w:pPr>
    </w:p>
    <w:p>
      <w:pPr>
        <w:pStyle w:val="Default"/>
        <w:suppressAutoHyphens w:val="1"/>
        <w:spacing w:before="0" w:after="240" w:line="240" w:lineRule="auto"/>
        <w:jc w:val="both"/>
        <w:rPr>
          <w:rFonts w:ascii="Arial" w:cs="Arial" w:hAnsi="Arial" w:eastAsia="Arial"/>
          <w:sz w:val="26"/>
          <w:szCs w:val="26"/>
        </w:rPr>
      </w:pPr>
      <w:r>
        <w:rPr>
          <w:rFonts w:ascii="Arial" w:hAnsi="Arial"/>
          <w:b w:val="1"/>
          <w:bCs w:val="1"/>
          <w:outline w:val="0"/>
          <w:color w:val="4f87a1"/>
          <w:sz w:val="26"/>
          <w:szCs w:val="26"/>
          <w:rtl w:val="0"/>
          <w:lang w:val="en-US"/>
          <w14:textFill>
            <w14:solidFill>
              <w14:srgbClr w14:val="5088A1"/>
            </w14:solidFill>
          </w14:textFill>
        </w:rPr>
        <w:t>Board of Directors</w:t>
      </w:r>
      <w:r>
        <w:rPr>
          <w:rFonts w:ascii="Arial" w:cs="Arial" w:hAnsi="Arial" w:eastAsia="Arial"/>
          <w:sz w:val="26"/>
          <w:szCs w:val="26"/>
        </w:rPr>
        <w:br w:type="textWrapping"/>
      </w:r>
      <w:r>
        <w:rPr>
          <w:rFonts w:ascii="Arial" w:hAnsi="Arial"/>
          <w:sz w:val="26"/>
          <w:szCs w:val="26"/>
          <w:rtl w:val="0"/>
          <w:lang w:val="en-US"/>
        </w:rPr>
        <w:t>The Board should provide strategic oversight and regularly review major cyber risks, critical vulnerabilities, significant incidents, and unresolved security issues. Treating cybersecurity as an enterprise risk ensures that its potential effects on business continuity, compliance, financial performance, and customer trust receive appropriate management attention [10].</w:t>
      </w:r>
    </w:p>
    <w:p>
      <w:pPr>
        <w:pStyle w:val="Default"/>
        <w:suppressAutoHyphens w:val="1"/>
        <w:spacing w:before="0" w:after="240" w:line="240" w:lineRule="auto"/>
        <w:jc w:val="both"/>
        <w:rPr>
          <w:rFonts w:ascii="Arial" w:cs="Arial" w:hAnsi="Arial" w:eastAsia="Arial"/>
          <w:sz w:val="26"/>
          <w:szCs w:val="26"/>
        </w:rPr>
      </w:pPr>
      <w:r>
        <w:rPr>
          <w:rFonts w:ascii="Arial" w:hAnsi="Arial"/>
          <w:b w:val="1"/>
          <w:bCs w:val="1"/>
          <w:outline w:val="0"/>
          <w:color w:val="4f87a1"/>
          <w:sz w:val="26"/>
          <w:szCs w:val="26"/>
          <w:rtl w:val="0"/>
          <w:lang w:val="en-US"/>
          <w14:textFill>
            <w14:solidFill>
              <w14:srgbClr w14:val="5088A1"/>
            </w14:solidFill>
          </w14:textFill>
        </w:rPr>
        <w:t>Chief Information Security Officer (CISO)</w:t>
      </w:r>
      <w:r>
        <w:rPr>
          <w:rFonts w:ascii="Arial" w:cs="Arial" w:hAnsi="Arial" w:eastAsia="Arial"/>
          <w:sz w:val="26"/>
          <w:szCs w:val="26"/>
        </w:rPr>
        <w:br w:type="textWrapping"/>
      </w:r>
      <w:r>
        <w:rPr>
          <w:rFonts w:ascii="Arial" w:hAnsi="Arial"/>
          <w:sz w:val="26"/>
          <w:szCs w:val="26"/>
          <w:rtl w:val="0"/>
          <w:lang w:val="en-US"/>
        </w:rPr>
        <w:t>The CISO should lead the cybersecurity programme, report significant risks to senior management and the Board, monitor security-control effectiveness, and ensure that unresolved critical issues are escalated. Stronger senior-level visibility could have supported earlier attention to weaknesses associated with the Equifax breach [10], [13].</w:t>
      </w:r>
    </w:p>
    <w:p>
      <w:pPr>
        <w:pStyle w:val="Default"/>
        <w:suppressAutoHyphens w:val="1"/>
        <w:spacing w:before="0" w:after="240" w:line="240" w:lineRule="auto"/>
        <w:jc w:val="both"/>
        <w:rPr>
          <w:rFonts w:ascii="Arial" w:cs="Arial" w:hAnsi="Arial" w:eastAsia="Arial"/>
          <w:sz w:val="26"/>
          <w:szCs w:val="26"/>
        </w:rPr>
      </w:pPr>
      <w:r>
        <w:rPr>
          <w:rFonts w:ascii="Arial" w:hAnsi="Arial"/>
          <w:b w:val="1"/>
          <w:bCs w:val="1"/>
          <w:outline w:val="0"/>
          <w:color w:val="4f87a1"/>
          <w:sz w:val="26"/>
          <w:szCs w:val="26"/>
          <w:rtl w:val="0"/>
          <w:lang w:val="en-US"/>
          <w14:textFill>
            <w14:solidFill>
              <w14:srgbClr w14:val="5088A1"/>
            </w14:solidFill>
          </w14:textFill>
        </w:rPr>
        <w:t>Security Architect</w:t>
      </w:r>
      <w:r>
        <w:rPr>
          <w:rFonts w:ascii="Arial" w:cs="Arial" w:hAnsi="Arial" w:eastAsia="Arial"/>
          <w:sz w:val="26"/>
          <w:szCs w:val="26"/>
        </w:rPr>
        <w:br w:type="textWrapping"/>
      </w:r>
      <w:r>
        <w:rPr>
          <w:rFonts w:ascii="Arial" w:hAnsi="Arial"/>
          <w:sz w:val="26"/>
          <w:szCs w:val="26"/>
          <w:rtl w:val="0"/>
          <w:lang w:val="en-US"/>
        </w:rPr>
        <w:t>The Security Architect should ensure that security requirements are incorporated into system and network design. The role should support controls such as least privilege and segmentation and work with vulnerability and development teams to address security weaknesses [1].</w:t>
      </w:r>
    </w:p>
    <w:p>
      <w:pPr>
        <w:pStyle w:val="Default"/>
        <w:suppressAutoHyphens w:val="1"/>
        <w:spacing w:before="0" w:after="240" w:line="240" w:lineRule="auto"/>
        <w:jc w:val="both"/>
        <w:rPr>
          <w:rFonts w:ascii="Arial" w:cs="Arial" w:hAnsi="Arial" w:eastAsia="Arial"/>
          <w:sz w:val="26"/>
          <w:szCs w:val="26"/>
        </w:rPr>
      </w:pPr>
      <w:r>
        <w:rPr>
          <w:rFonts w:ascii="Arial" w:hAnsi="Arial"/>
          <w:b w:val="1"/>
          <w:bCs w:val="1"/>
          <w:outline w:val="0"/>
          <w:color w:val="4f87a1"/>
          <w:sz w:val="26"/>
          <w:szCs w:val="26"/>
          <w:rtl w:val="0"/>
          <w:lang w:val="en-US"/>
          <w14:textFill>
            <w14:solidFill>
              <w14:srgbClr w14:val="5088A1"/>
            </w14:solidFill>
          </w14:textFill>
        </w:rPr>
        <w:t>Vulnerability Manager</w:t>
      </w:r>
      <w:r>
        <w:rPr>
          <w:rFonts w:ascii="Arial" w:cs="Arial" w:hAnsi="Arial" w:eastAsia="Arial"/>
          <w:sz w:val="26"/>
          <w:szCs w:val="26"/>
        </w:rPr>
        <w:br w:type="textWrapping"/>
      </w:r>
      <w:r>
        <w:rPr>
          <w:rFonts w:ascii="Arial" w:hAnsi="Arial"/>
          <w:sz w:val="26"/>
          <w:szCs w:val="26"/>
          <w:rtl w:val="0"/>
          <w:lang w:val="en-US"/>
        </w:rPr>
        <w:t>The Vulnerability Manager should oversee vulnerability scanning, patch management, remediation tracking, and escalation of unresolved vulnerabilities. Critical vulnerabilities should have defined owners and remediation deadlines, directly addressing the failure to remediate the known Apache Struts vulnerability involved in the Equifax breach [13].</w:t>
      </w:r>
    </w:p>
    <w:p>
      <w:pPr>
        <w:pStyle w:val="Default"/>
        <w:suppressAutoHyphens w:val="1"/>
        <w:spacing w:before="0" w:after="240" w:line="240" w:lineRule="auto"/>
        <w:jc w:val="both"/>
        <w:rPr>
          <w:rFonts w:ascii="Arial" w:cs="Arial" w:hAnsi="Arial" w:eastAsia="Arial"/>
          <w:sz w:val="26"/>
          <w:szCs w:val="26"/>
        </w:rPr>
      </w:pPr>
      <w:r>
        <w:rPr>
          <w:rFonts w:ascii="Arial" w:hAnsi="Arial"/>
          <w:b w:val="1"/>
          <w:bCs w:val="1"/>
          <w:outline w:val="0"/>
          <w:color w:val="4f87a1"/>
          <w:sz w:val="26"/>
          <w:szCs w:val="26"/>
          <w:rtl w:val="0"/>
          <w:lang w:val="en-US"/>
          <w14:textFill>
            <w14:solidFill>
              <w14:srgbClr w14:val="5088A1"/>
            </w14:solidFill>
          </w14:textFill>
        </w:rPr>
        <w:t>Secure Development Manager</w:t>
      </w:r>
      <w:r>
        <w:rPr>
          <w:rFonts w:ascii="Arial" w:cs="Arial" w:hAnsi="Arial" w:eastAsia="Arial"/>
          <w:sz w:val="26"/>
          <w:szCs w:val="26"/>
        </w:rPr>
        <w:br w:type="textWrapping"/>
      </w:r>
      <w:r>
        <w:rPr>
          <w:rFonts w:ascii="Arial" w:hAnsi="Arial"/>
          <w:sz w:val="26"/>
          <w:szCs w:val="26"/>
          <w:rtl w:val="0"/>
          <w:lang w:val="en-US"/>
        </w:rPr>
        <w:t>The Secure Development Manager should integrate security into the software development lifecycle through secure coding, testing, vulnerability assessment, and pre-deployment review. Identified weaknesses should be recorded, prioritised, and addressed with the Security Architect and Vulnerability Manager.</w:t>
      </w:r>
    </w:p>
    <w:p>
      <w:pPr>
        <w:pStyle w:val="Default"/>
        <w:suppressAutoHyphens w:val="1"/>
        <w:spacing w:before="0" w:after="240" w:line="240" w:lineRule="auto"/>
        <w:jc w:val="both"/>
        <w:rPr>
          <w:rFonts w:ascii="Arial" w:cs="Arial" w:hAnsi="Arial" w:eastAsia="Arial"/>
          <w:sz w:val="26"/>
          <w:szCs w:val="26"/>
        </w:rPr>
      </w:pPr>
      <w:r>
        <w:rPr>
          <w:rFonts w:ascii="Arial" w:hAnsi="Arial"/>
          <w:b w:val="1"/>
          <w:bCs w:val="1"/>
          <w:outline w:val="0"/>
          <w:color w:val="4f87a1"/>
          <w:sz w:val="26"/>
          <w:szCs w:val="26"/>
          <w:rtl w:val="0"/>
          <w:lang w:val="en-US"/>
          <w14:textFill>
            <w14:solidFill>
              <w14:srgbClr w14:val="5088A1"/>
            </w14:solidFill>
          </w14:textFill>
        </w:rPr>
        <w:t>Security Operations Centre (SOC) Manager</w:t>
      </w:r>
      <w:r>
        <w:rPr>
          <w:rFonts w:ascii="Arial" w:cs="Arial" w:hAnsi="Arial" w:eastAsia="Arial"/>
          <w:outline w:val="0"/>
          <w:color w:val="4f87a1"/>
          <w:sz w:val="26"/>
          <w:szCs w:val="26"/>
          <w14:textFill>
            <w14:solidFill>
              <w14:srgbClr w14:val="5088A1"/>
            </w14:solidFill>
          </w14:textFill>
        </w:rPr>
        <w:br w:type="textWrapping"/>
      </w:r>
      <w:r>
        <w:rPr>
          <w:rFonts w:ascii="Arial" w:hAnsi="Arial"/>
          <w:sz w:val="26"/>
          <w:szCs w:val="26"/>
          <w:rtl w:val="0"/>
          <w:lang w:val="en-US"/>
        </w:rPr>
        <w:t>The SOC Manager should oversee continuous monitoring, threat detection, incident investigation, and escalation. SIEM and EDR technologies can improve visibility, while serious incidents should be rapidly escalated to the CISO. This is particularly relevant because delayed detection increased attacker access during the Equifax breach [13].</w:t>
      </w:r>
    </w:p>
    <w:p>
      <w:pPr>
        <w:pStyle w:val="Default"/>
        <w:suppressAutoHyphens w:val="1"/>
        <w:spacing w:before="0" w:after="240" w:line="240" w:lineRule="auto"/>
        <w:jc w:val="both"/>
        <w:rPr>
          <w:rFonts w:ascii="Arial" w:cs="Arial" w:hAnsi="Arial" w:eastAsia="Arial"/>
          <w:sz w:val="26"/>
          <w:szCs w:val="26"/>
        </w:rPr>
      </w:pPr>
      <w:r>
        <w:rPr>
          <w:rFonts w:ascii="Arial" w:hAnsi="Arial"/>
          <w:sz w:val="26"/>
          <w:szCs w:val="26"/>
          <w:rtl w:val="0"/>
          <w:lang w:val="en-US"/>
        </w:rPr>
        <w:t>Overall, this structure establishes clear ownership, reporting, and escalation from operational teams to senior management. This supports NIST CSF 2.0 by defining cybersecurity roles, responsibilities, and oversight [10].</w:t>
      </w:r>
    </w:p>
    <w:p>
      <w:pPr>
        <w:pStyle w:val="Default"/>
        <w:suppressAutoHyphens w:val="1"/>
        <w:spacing w:before="0" w:after="240" w:line="240" w:lineRule="auto"/>
        <w:jc w:val="both"/>
        <w:rPr>
          <w:rFonts w:ascii="Times Roman" w:cs="Times Roman" w:hAnsi="Times Roman" w:eastAsia="Times Roman"/>
        </w:rPr>
      </w:pPr>
    </w:p>
    <w:p>
      <w:pPr>
        <w:pStyle w:val="Default"/>
        <w:suppressAutoHyphens w:val="1"/>
        <w:spacing w:before="0" w:after="240" w:line="240" w:lineRule="auto"/>
        <w:jc w:val="both"/>
        <w:rPr>
          <w:rFonts w:ascii="Arial" w:cs="Arial" w:hAnsi="Arial" w:eastAsia="Arial"/>
          <w:outline w:val="0"/>
          <w:color w:val="000000"/>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suppressAutoHyphens w:val="1"/>
        <w:spacing w:before="0" w:line="240" w:lineRule="auto"/>
        <w:jc w:val="both"/>
        <w:rPr>
          <w:rFonts w:ascii="Arial" w:cs="Arial" w:hAnsi="Arial" w:eastAsia="Arial"/>
          <w:b w:val="1"/>
          <w:bCs w:val="1"/>
          <w:outline w:val="0"/>
          <w:color w:val="156082"/>
          <w:sz w:val="30"/>
          <w:szCs w:val="30"/>
          <w:u w:color="156082"/>
          <w14:textFill>
            <w14:solidFill>
              <w14:srgbClr w14:val="156082"/>
            </w14:solidFill>
          </w14:textFill>
        </w:rPr>
      </w:pPr>
      <w:r>
        <w:rPr>
          <w:rFonts w:ascii="Arial" w:hAnsi="Arial"/>
          <w:b w:val="1"/>
          <w:bCs w:val="1"/>
          <w:outline w:val="0"/>
          <w:color w:val="156082"/>
          <w:sz w:val="30"/>
          <w:szCs w:val="30"/>
          <w:u w:color="156082"/>
          <w:rtl w:val="0"/>
          <w:lang w:val="en-US"/>
          <w14:textFill>
            <w14:solidFill>
              <w14:srgbClr w14:val="156082"/>
            </w14:solidFill>
          </w14:textFill>
        </w:rPr>
        <w:t>2.2 Policies and Procedures:</w:t>
      </w:r>
    </w:p>
    <w:p>
      <w:pPr>
        <w:pStyle w:val="Default"/>
        <w:suppressAutoHyphens w:val="1"/>
        <w:spacing w:before="0" w:line="240" w:lineRule="auto"/>
        <w:jc w:val="both"/>
        <w:rPr>
          <w:rFonts w:ascii="Arial" w:cs="Arial" w:hAnsi="Arial" w:eastAsia="Arial"/>
          <w:b w:val="1"/>
          <w:bCs w:val="1"/>
          <w:outline w:val="0"/>
          <w:color w:val="156082"/>
          <w:sz w:val="30"/>
          <w:szCs w:val="30"/>
          <w:u w:color="156082"/>
          <w14:textFill>
            <w14:solidFill>
              <w14:srgbClr w14:val="156082"/>
            </w14:solidFill>
          </w14:textFill>
        </w:rPr>
      </w:pPr>
    </w:p>
    <w:p>
      <w:pPr>
        <w:pStyle w:val="Default"/>
        <w:suppressAutoHyphens w:val="1"/>
        <w:spacing w:before="0" w:after="240" w:line="240" w:lineRule="auto"/>
        <w:jc w:val="both"/>
        <w:rPr>
          <w:rFonts w:ascii="Arial" w:cs="Arial" w:hAnsi="Arial" w:eastAsia="Arial"/>
          <w:b w:val="1"/>
          <w:bCs w:val="1"/>
          <w:outline w:val="0"/>
          <w:color w:val="156082"/>
          <w:sz w:val="30"/>
          <w:szCs w:val="30"/>
          <w:u w:color="156082"/>
          <w14:textFill>
            <w14:solidFill>
              <w14:srgbClr w14:val="156082"/>
            </w14:solidFill>
          </w14:textFill>
        </w:rPr>
      </w:pPr>
      <w:r>
        <w:rPr>
          <w:rFonts w:ascii="Arial" w:hAnsi="Arial"/>
          <w:sz w:val="26"/>
          <w:szCs w:val="26"/>
          <w:u w:color="156082"/>
          <w:rtl w:val="0"/>
          <w:lang w:val="en-US"/>
        </w:rPr>
        <w:t>The Equifax breach demonstrated that security technologies are ineffective if policies are not consistently implemented and monitored. Failure to remediate the Apache Struts vulnerability exposed weaknesses in vulnerability management, patching, asset visibility, and oversight [13], [18]. The proposed programme should therefore establish measurable and auditable policies in these areas.</w:t>
      </w:r>
    </w:p>
    <w:p>
      <w:pPr>
        <w:pStyle w:val="Default"/>
        <w:suppressAutoHyphens w:val="1"/>
        <w:spacing w:before="0" w:line="240" w:lineRule="auto"/>
        <w:jc w:val="both"/>
        <w:rPr>
          <w:rFonts w:ascii="Arial" w:cs="Arial" w:hAnsi="Arial" w:eastAsia="Arial"/>
          <w:b w:val="1"/>
          <w:bCs w:val="1"/>
          <w:outline w:val="0"/>
          <w:color w:val="156082"/>
          <w:sz w:val="30"/>
          <w:szCs w:val="30"/>
          <w:u w:color="156082"/>
          <w14:textFill>
            <w14:solidFill>
              <w14:srgbClr w14:val="156082"/>
            </w14:solidFill>
          </w14:textFill>
        </w:rPr>
      </w:pPr>
    </w:p>
    <w:p>
      <w:pPr>
        <w:pStyle w:val="Default"/>
        <w:suppressAutoHyphens w:val="1"/>
        <w:spacing w:before="0" w:line="240" w:lineRule="auto"/>
        <w:jc w:val="both"/>
        <w:rPr>
          <w:rFonts w:ascii="Arial" w:cs="Arial" w:hAnsi="Arial" w:eastAsia="Arial"/>
          <w:b w:val="1"/>
          <w:bCs w:val="1"/>
          <w:outline w:val="0"/>
          <w:color w:val="156082"/>
          <w:sz w:val="30"/>
          <w:szCs w:val="30"/>
          <w:u w:color="156082"/>
          <w14:textFill>
            <w14:solidFill>
              <w14:srgbClr w14:val="156082"/>
            </w14:solidFill>
          </w14:textFill>
        </w:rPr>
      </w:pPr>
    </w:p>
    <w:p>
      <w:pPr>
        <w:pStyle w:val="Default"/>
        <w:suppressAutoHyphens w:val="1"/>
        <w:spacing w:before="0" w:line="240" w:lineRule="auto"/>
        <w:jc w:val="both"/>
        <w:rPr>
          <w:rFonts w:ascii="Arial" w:cs="Arial" w:hAnsi="Arial" w:eastAsia="Arial"/>
          <w:outline w:val="0"/>
          <w:color w:val="000000"/>
          <w:sz w:val="28"/>
          <w:szCs w:val="28"/>
          <w:u w:color="000000"/>
          <w14:textFill>
            <w14:solidFill>
              <w14:srgbClr w14:val="000000"/>
            </w14:solidFill>
          </w14:textFill>
        </w:rPr>
      </w:pPr>
      <w:r>
        <w:rPr>
          <w:rFonts w:ascii="Arial" w:cs="Arial" w:hAnsi="Arial" w:eastAsia="Arial"/>
          <w:sz w:val="28"/>
          <w:szCs w:val="28"/>
        </w:rPr>
        <w:drawing xmlns:a="http://schemas.openxmlformats.org/drawingml/2006/main">
          <wp:anchor distT="152400" distB="152400" distL="152400" distR="152400" simplePos="0" relativeHeight="251662336" behindDoc="0" locked="0" layoutInCell="1" allowOverlap="1">
            <wp:simplePos x="0" y="0"/>
            <wp:positionH relativeFrom="page">
              <wp:posOffset>908050</wp:posOffset>
            </wp:positionH>
            <wp:positionV relativeFrom="line">
              <wp:posOffset>203200</wp:posOffset>
            </wp:positionV>
            <wp:extent cx="5727700" cy="2856274"/>
            <wp:effectExtent l="0" t="0" r="0" b="0"/>
            <wp:wrapTopAndBottom distT="152400" distB="152400"/>
            <wp:docPr id="1073741862" name="officeArt object" descr="Crop 2.jpg"/>
            <wp:cNvGraphicFramePr/>
            <a:graphic xmlns:a="http://schemas.openxmlformats.org/drawingml/2006/main">
              <a:graphicData uri="http://schemas.openxmlformats.org/drawingml/2006/picture">
                <pic:pic xmlns:pic="http://schemas.openxmlformats.org/drawingml/2006/picture">
                  <pic:nvPicPr>
                    <pic:cNvPr id="1073741862" name="Crop 2.jpg" descr="Crop 2.jpg"/>
                    <pic:cNvPicPr>
                      <a:picLocks noChangeAspect="1"/>
                    </pic:cNvPicPr>
                  </pic:nvPicPr>
                  <pic:blipFill>
                    <a:blip r:embed="rId6">
                      <a:extLst/>
                    </a:blip>
                    <a:stretch>
                      <a:fillRect/>
                    </a:stretch>
                  </pic:blipFill>
                  <pic:spPr>
                    <a:xfrm>
                      <a:off x="0" y="0"/>
                      <a:ext cx="5727700" cy="2856274"/>
                    </a:xfrm>
                    <a:prstGeom prst="rect">
                      <a:avLst/>
                    </a:prstGeom>
                    <a:ln w="12700" cap="flat">
                      <a:noFill/>
                      <a:miter lim="400000"/>
                    </a:ln>
                    <a:effectLst>
                      <a:outerShdw sx="100000" sy="100000" kx="0" ky="0" algn="b" rotWithShape="0" blurRad="254000" dist="127000" dir="16200000">
                        <a:srgbClr val="000000">
                          <a:alpha val="70000"/>
                        </a:srgbClr>
                      </a:outerShdw>
                    </a:effectLst>
                  </pic:spPr>
                </pic:pic>
              </a:graphicData>
            </a:graphic>
          </wp:anchor>
        </w:drawing>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suppressAutoHyphens w:val="1"/>
        <w:spacing w:before="0" w:line="240" w:lineRule="auto"/>
        <w:jc w:val="both"/>
        <w:rPr>
          <w:rFonts w:ascii="Arial" w:cs="Arial" w:hAnsi="Arial" w:eastAsia="Arial"/>
          <w:sz w:val="28"/>
          <w:szCs w:val="28"/>
        </w:rPr>
      </w:pPr>
    </w:p>
    <w:p>
      <w:pPr>
        <w:pStyle w:val="Default"/>
        <w:suppressAutoHyphens w:val="1"/>
        <w:spacing w:before="0" w:line="240" w:lineRule="auto"/>
        <w:jc w:val="both"/>
        <w:rPr>
          <w:rFonts w:ascii="Arial" w:cs="Arial" w:hAnsi="Arial" w:eastAsia="Arial"/>
          <w:sz w:val="28"/>
          <w:szCs w:val="28"/>
        </w:rPr>
      </w:pPr>
    </w:p>
    <w:p>
      <w:pPr>
        <w:pStyle w:val="Default"/>
        <w:suppressAutoHyphens w:val="1"/>
        <w:spacing w:before="0" w:after="240" w:line="240" w:lineRule="auto"/>
        <w:jc w:val="both"/>
        <w:rPr>
          <w:rFonts w:ascii="Arial" w:cs="Arial" w:hAnsi="Arial" w:eastAsia="Arial"/>
          <w:sz w:val="26"/>
          <w:szCs w:val="26"/>
        </w:rPr>
      </w:pPr>
    </w:p>
    <w:p>
      <w:pPr>
        <w:pStyle w:val="Default"/>
        <w:suppressAutoHyphens w:val="1"/>
        <w:spacing w:before="0" w:after="240" w:line="240" w:lineRule="auto"/>
        <w:jc w:val="both"/>
        <w:rPr>
          <w:rFonts w:ascii="Arial" w:cs="Arial" w:hAnsi="Arial" w:eastAsia="Arial"/>
          <w:sz w:val="26"/>
          <w:szCs w:val="26"/>
        </w:rPr>
      </w:pPr>
      <w:r>
        <w:rPr>
          <w:rFonts w:ascii="Arial" w:hAnsi="Arial"/>
          <w:b w:val="1"/>
          <w:bCs w:val="1"/>
          <w:outline w:val="0"/>
          <w:color w:val="4f87a1"/>
          <w:sz w:val="26"/>
          <w:szCs w:val="26"/>
          <w:rtl w:val="0"/>
          <w:lang w:val="en-US"/>
          <w14:textFill>
            <w14:solidFill>
              <w14:srgbClr w14:val="5088A1"/>
            </w14:solidFill>
          </w14:textFill>
        </w:rPr>
        <w:t>Vulnerability and Patch Management</w:t>
      </w:r>
      <w:r>
        <w:rPr>
          <w:rFonts w:ascii="Arial" w:cs="Arial" w:hAnsi="Arial" w:eastAsia="Arial"/>
          <w:sz w:val="26"/>
          <w:szCs w:val="26"/>
        </w:rPr>
        <w:br w:type="textWrapping"/>
      </w:r>
      <w:r>
        <w:rPr>
          <w:rFonts w:ascii="Arial" w:hAnsi="Arial"/>
          <w:sz w:val="26"/>
          <w:szCs w:val="26"/>
          <w:rtl w:val="0"/>
          <w:lang w:val="en-US"/>
        </w:rPr>
        <w:t>Regular vulnerability scanning should cover internal, cloud, application, and particularly internet-facing assets. Vulnerabilities should be prioritised according to severity, exposure, data sensitivity, and business impact, with an assigned owner and remediation deadline. Critical vulnerabilities should be escalated when deadlines are missed [13], [18]. Patch management should follow the same risk-based approach. Where a critical patch cannot be deployed on time, the exception, accepted risk, and temporary controls should be documented and approved.</w:t>
      </w:r>
    </w:p>
    <w:p>
      <w:pPr>
        <w:pStyle w:val="Default"/>
        <w:suppressAutoHyphens w:val="1"/>
        <w:spacing w:before="0" w:after="240" w:line="240" w:lineRule="auto"/>
        <w:jc w:val="both"/>
        <w:rPr>
          <w:rFonts w:ascii="Arial" w:cs="Arial" w:hAnsi="Arial" w:eastAsia="Arial"/>
          <w:sz w:val="26"/>
          <w:szCs w:val="26"/>
        </w:rPr>
      </w:pPr>
      <w:r>
        <w:rPr>
          <w:rFonts w:ascii="Arial" w:hAnsi="Arial"/>
          <w:b w:val="1"/>
          <w:bCs w:val="1"/>
          <w:outline w:val="0"/>
          <w:color w:val="4f87a1"/>
          <w:sz w:val="26"/>
          <w:szCs w:val="26"/>
          <w:rtl w:val="0"/>
          <w:lang w:val="en-US"/>
          <w14:textFill>
            <w14:solidFill>
              <w14:srgbClr w14:val="5088A1"/>
            </w14:solidFill>
          </w14:textFill>
        </w:rPr>
        <w:t>Secure Software Development</w:t>
      </w:r>
      <w:r>
        <w:rPr>
          <w:rFonts w:ascii="Arial" w:cs="Arial" w:hAnsi="Arial" w:eastAsia="Arial"/>
          <w:sz w:val="26"/>
          <w:szCs w:val="26"/>
        </w:rPr>
        <w:br w:type="textWrapping"/>
      </w:r>
      <w:r>
        <w:rPr>
          <w:rFonts w:ascii="Arial" w:hAnsi="Arial"/>
          <w:sz w:val="26"/>
          <w:szCs w:val="26"/>
          <w:rtl w:val="0"/>
          <w:lang w:val="en-US"/>
        </w:rPr>
        <w:t>Security should be integrated throughout the Software Development Lifecycle (SDLC), including design, coding, testing, and deployment. Security testing and review should identify weaknesses before production, while vulnerabilities discovered during development should be recorded, prioritised, and remediated.</w:t>
      </w:r>
    </w:p>
    <w:p>
      <w:pPr>
        <w:pStyle w:val="Default"/>
        <w:suppressAutoHyphens w:val="1"/>
        <w:spacing w:before="0" w:after="240" w:line="240" w:lineRule="auto"/>
        <w:jc w:val="both"/>
        <w:rPr>
          <w:rFonts w:ascii="Arial" w:cs="Arial" w:hAnsi="Arial" w:eastAsia="Arial"/>
          <w:sz w:val="26"/>
          <w:szCs w:val="26"/>
        </w:rPr>
      </w:pPr>
      <w:r>
        <w:rPr>
          <w:rFonts w:ascii="Arial" w:hAnsi="Arial"/>
          <w:b w:val="1"/>
          <w:bCs w:val="1"/>
          <w:outline w:val="0"/>
          <w:color w:val="4f87a1"/>
          <w:sz w:val="26"/>
          <w:szCs w:val="26"/>
          <w:rtl w:val="0"/>
          <w:lang w:val="en-US"/>
          <w14:textFill>
            <w14:solidFill>
              <w14:srgbClr w14:val="5088A1"/>
            </w14:solidFill>
          </w14:textFill>
        </w:rPr>
        <w:t>Asset Visibility and Management</w:t>
      </w:r>
      <w:r>
        <w:rPr>
          <w:rFonts w:ascii="Arial" w:cs="Arial" w:hAnsi="Arial" w:eastAsia="Arial"/>
          <w:sz w:val="26"/>
          <w:szCs w:val="26"/>
        </w:rPr>
        <w:br w:type="textWrapping"/>
      </w:r>
      <w:r>
        <w:rPr>
          <w:rFonts w:ascii="Arial" w:hAnsi="Arial"/>
          <w:sz w:val="26"/>
          <w:szCs w:val="26"/>
          <w:rtl w:val="0"/>
          <w:lang w:val="en-US"/>
        </w:rPr>
        <w:t>Equifax should maintain an accurate inventory of hardware, software, applications, cloud services, and internet-facing systems. Each important asset should have an owner and information about its purpose, software version, and security status. Connecting asset inventories with vulnerability scanning would reduce the risk of systems being missed during patching [13].</w:t>
      </w:r>
    </w:p>
    <w:p>
      <w:pPr>
        <w:pStyle w:val="Default"/>
        <w:suppressAutoHyphens w:val="1"/>
        <w:spacing w:before="0" w:after="240" w:line="240" w:lineRule="auto"/>
        <w:jc w:val="both"/>
        <w:rPr>
          <w:rFonts w:ascii="Arial" w:cs="Arial" w:hAnsi="Arial" w:eastAsia="Arial"/>
          <w:sz w:val="26"/>
          <w:szCs w:val="26"/>
        </w:rPr>
      </w:pPr>
      <w:r>
        <w:rPr>
          <w:rFonts w:ascii="Arial" w:hAnsi="Arial"/>
          <w:b w:val="1"/>
          <w:bCs w:val="1"/>
          <w:outline w:val="0"/>
          <w:color w:val="4f87a1"/>
          <w:sz w:val="26"/>
          <w:szCs w:val="26"/>
          <w:rtl w:val="0"/>
          <w:lang w:val="en-US"/>
          <w14:textFill>
            <w14:solidFill>
              <w14:srgbClr w14:val="5088A1"/>
            </w14:solidFill>
          </w14:textFill>
        </w:rPr>
        <w:t>Continuous Monitoring</w:t>
      </w:r>
      <w:r>
        <w:rPr>
          <w:rFonts w:ascii="Arial" w:cs="Arial" w:hAnsi="Arial" w:eastAsia="Arial"/>
          <w:sz w:val="26"/>
          <w:szCs w:val="26"/>
        </w:rPr>
        <w:br w:type="textWrapping"/>
      </w:r>
      <w:r>
        <w:rPr>
          <w:rFonts w:ascii="Arial" w:hAnsi="Arial"/>
          <w:sz w:val="26"/>
          <w:szCs w:val="26"/>
          <w:rtl w:val="0"/>
          <w:lang w:val="en-US"/>
        </w:rPr>
        <w:t>Security logs from critical systems, applications, endpoints, and network devices should be centrally monitored. SIEM and EDR technologies can support detection and investigation of suspicious activity [1], [11]. High-risk alerts should have defined investigation and escalation procedures so that serious incidents rapidly reach the SOC Manager and CISO.</w:t>
      </w:r>
    </w:p>
    <w:p>
      <w:pPr>
        <w:pStyle w:val="Default"/>
        <w:suppressAutoHyphens w:val="1"/>
        <w:spacing w:before="0" w:after="240" w:line="240" w:lineRule="auto"/>
        <w:jc w:val="both"/>
        <w:rPr>
          <w:rFonts w:ascii="Arial" w:cs="Arial" w:hAnsi="Arial" w:eastAsia="Arial"/>
          <w:sz w:val="26"/>
          <w:szCs w:val="26"/>
        </w:rPr>
      </w:pPr>
      <w:r>
        <w:rPr>
          <w:rFonts w:ascii="Arial" w:hAnsi="Arial"/>
          <w:b w:val="1"/>
          <w:bCs w:val="1"/>
          <w:outline w:val="0"/>
          <w:color w:val="4f87a1"/>
          <w:sz w:val="26"/>
          <w:szCs w:val="26"/>
          <w:rtl w:val="0"/>
          <w:lang w:val="en-US"/>
          <w14:textFill>
            <w14:solidFill>
              <w14:srgbClr w14:val="5088A1"/>
            </w14:solidFill>
          </w14:textFill>
        </w:rPr>
        <w:t>Data Protection and Access Control</w:t>
      </w:r>
      <w:r>
        <w:rPr>
          <w:rFonts w:ascii="Arial" w:cs="Arial" w:hAnsi="Arial" w:eastAsia="Arial"/>
          <w:sz w:val="26"/>
          <w:szCs w:val="26"/>
        </w:rPr>
        <w:br w:type="textWrapping"/>
      </w:r>
      <w:r>
        <w:rPr>
          <w:rFonts w:ascii="Arial" w:hAnsi="Arial"/>
          <w:sz w:val="26"/>
          <w:szCs w:val="26"/>
          <w:rtl w:val="0"/>
          <w:lang w:val="en-US"/>
        </w:rPr>
        <w:t>Sensitive personal and financial information should be classified and protected according to its risk. Access should follow least-privilege principles, with MFA for important accounts, appropriate encryption, and regular reviews of user permissions [1]. These controls can reduce unnecessary access if an account is compromised.</w:t>
      </w:r>
    </w:p>
    <w:p>
      <w:pPr>
        <w:pStyle w:val="Default"/>
        <w:suppressAutoHyphens w:val="1"/>
        <w:spacing w:before="0" w:after="240" w:line="240" w:lineRule="auto"/>
        <w:jc w:val="both"/>
        <w:rPr>
          <w:rFonts w:ascii="Arial" w:cs="Arial" w:hAnsi="Arial" w:eastAsia="Arial"/>
          <w:sz w:val="26"/>
          <w:szCs w:val="26"/>
        </w:rPr>
      </w:pPr>
      <w:r>
        <w:rPr>
          <w:rFonts w:ascii="Arial" w:hAnsi="Arial"/>
          <w:b w:val="1"/>
          <w:bCs w:val="1"/>
          <w:outline w:val="0"/>
          <w:color w:val="4f87a1"/>
          <w:sz w:val="26"/>
          <w:szCs w:val="26"/>
          <w:rtl w:val="0"/>
          <w:lang w:val="en-US"/>
          <w14:textFill>
            <w14:solidFill>
              <w14:srgbClr w14:val="5088A1"/>
            </w14:solidFill>
          </w14:textFill>
        </w:rPr>
        <w:t>Measurement and Accountability</w:t>
      </w:r>
      <w:r>
        <w:rPr>
          <w:rFonts w:ascii="Arial" w:cs="Arial" w:hAnsi="Arial" w:eastAsia="Arial"/>
          <w:sz w:val="26"/>
          <w:szCs w:val="26"/>
        </w:rPr>
        <w:br w:type="textWrapping"/>
      </w:r>
      <w:r>
        <w:rPr>
          <w:rFonts w:ascii="Arial" w:hAnsi="Arial"/>
          <w:sz w:val="26"/>
          <w:szCs w:val="26"/>
          <w:rtl w:val="0"/>
          <w:lang w:val="en-US"/>
        </w:rPr>
        <w:t>Policies should be measured through indicators such as unresolved critical vulnerabilities, patch compliance, asset-inventory coverage, alert investigation, and completion of access reviews. Audit records should provide evidence of compliance, while serious or repeated failures should be escalated to the CISO. This supports the governance and continuous-improvement principles of NIST CSF 2.0 [10].</w:t>
      </w:r>
    </w:p>
    <w:p>
      <w:pPr>
        <w:pStyle w:val="Default"/>
        <w:suppressAutoHyphens w:val="1"/>
        <w:spacing w:before="0" w:after="240" w:line="240" w:lineRule="auto"/>
        <w:jc w:val="both"/>
        <w:rPr>
          <w:rFonts w:ascii="Arial" w:cs="Arial" w:hAnsi="Arial" w:eastAsia="Arial"/>
          <w:sz w:val="26"/>
          <w:szCs w:val="26"/>
        </w:rPr>
      </w:pPr>
      <w:r>
        <w:rPr>
          <w:rFonts w:ascii="Arial" w:hAnsi="Arial"/>
          <w:sz w:val="26"/>
          <w:szCs w:val="26"/>
          <w:rtl w:val="0"/>
          <w:lang w:val="en-US"/>
        </w:rPr>
        <w:t>Overall, these policies connect technical controls with clear ownership, measurement, and escalation. This directly addresses the combination of patching, asset-management, monitoring, and governance weaknesses demonstrated by the Equifax breach [13], [18].</w:t>
      </w:r>
    </w:p>
    <w:p>
      <w:pPr>
        <w:pStyle w:val="Default"/>
        <w:suppressAutoHyphens w:val="1"/>
        <w:spacing w:before="0" w:after="240" w:line="240" w:lineRule="auto"/>
        <w:jc w:val="both"/>
        <w:rPr>
          <w:rFonts w:ascii="Arial" w:cs="Arial" w:hAnsi="Arial" w:eastAsia="Arial"/>
          <w:outline w:val="0"/>
          <w:color w:val="000000"/>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suppressAutoHyphens w:val="1"/>
        <w:spacing w:before="0" w:line="240" w:lineRule="auto"/>
        <w:jc w:val="both"/>
        <w:rPr>
          <w:rFonts w:ascii="Arial" w:cs="Arial" w:hAnsi="Arial" w:eastAsia="Arial"/>
          <w:b w:val="1"/>
          <w:bCs w:val="1"/>
          <w:outline w:val="0"/>
          <w:color w:val="156082"/>
          <w:sz w:val="30"/>
          <w:szCs w:val="30"/>
          <w:u w:color="156082"/>
          <w14:textFill>
            <w14:solidFill>
              <w14:srgbClr w14:val="156082"/>
            </w14:solidFill>
          </w14:textFill>
        </w:rPr>
      </w:pPr>
      <w:r>
        <w:rPr>
          <w:rFonts w:ascii="Arial" w:hAnsi="Arial"/>
          <w:b w:val="1"/>
          <w:bCs w:val="1"/>
          <w:outline w:val="0"/>
          <w:color w:val="156082"/>
          <w:sz w:val="30"/>
          <w:szCs w:val="30"/>
          <w:u w:color="156082"/>
          <w:rtl w:val="0"/>
          <w:lang w:val="en-US"/>
          <w14:textFill>
            <w14:solidFill>
              <w14:srgbClr w14:val="156082"/>
            </w14:solidFill>
          </w14:textFill>
        </w:rPr>
        <w:t>2.3 Governance and Strategic Alignment:</w:t>
      </w:r>
    </w:p>
    <w:p>
      <w:pPr>
        <w:pStyle w:val="Default"/>
        <w:suppressAutoHyphens w:val="1"/>
        <w:spacing w:before="0" w:line="240" w:lineRule="auto"/>
        <w:jc w:val="both"/>
        <w:rPr>
          <w:rFonts w:ascii="Arial" w:cs="Arial" w:hAnsi="Arial" w:eastAsia="Arial"/>
          <w:b w:val="1"/>
          <w:bCs w:val="1"/>
          <w:outline w:val="0"/>
          <w:color w:val="156082"/>
          <w:sz w:val="30"/>
          <w:szCs w:val="30"/>
          <w:u w:color="156082"/>
          <w14:textFill>
            <w14:solidFill>
              <w14:srgbClr w14:val="156082"/>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sz w:val="26"/>
          <w:szCs w:val="26"/>
        </w:rPr>
      </w:pPr>
      <w:r>
        <w:rPr>
          <w:rFonts w:ascii="Arial" w:hAnsi="Arial"/>
          <w:sz w:val="26"/>
          <w:szCs w:val="26"/>
          <w:rtl w:val="0"/>
          <w:lang w:val="en-US"/>
        </w:rPr>
        <w:t>Cybersecurity governance should connect security decisions with organisational objectives and enterprise risk. The Equifax breach demonstrated that weaknesses in governance and operational security can create financial, legal, and reputational consequences [13], [18]. Senior management should therefore understand major cyber risks and ensure that responsibilities, resources, and controls are appropriate.</w:t>
      </w:r>
    </w:p>
    <w:p>
      <w:pPr>
        <w:pStyle w:val="Default"/>
        <w:suppressAutoHyphens w:val="1"/>
        <w:spacing w:before="0" w:after="240" w:line="240" w:lineRule="auto"/>
        <w:jc w:val="both"/>
        <w:rPr>
          <w:rFonts w:ascii="Arial" w:cs="Arial" w:hAnsi="Arial" w:eastAsia="Arial"/>
          <w:outline w:val="0"/>
          <w:color w:val="000000"/>
          <w:u w:color="000000"/>
          <w14:textFill>
            <w14:solidFill>
              <w14:srgbClr w14:val="000000"/>
            </w14:solidFill>
          </w14:textFill>
        </w:rPr>
      </w:pPr>
      <w:r>
        <w:rPr>
          <w:rFonts w:ascii="Arial" w:hAnsi="Arial"/>
          <w:rtl w:val="0"/>
          <w:lang w:val="en-US"/>
        </w:rPr>
        <w:t xml:space="preserve">The proposed programme aligns with NIST Cybersecurity Framework (CSF 2.0), which organises cybersecurity risk management around six functions: </w:t>
      </w:r>
      <w:r>
        <w:rPr>
          <w:rFonts w:ascii="Arial" w:hAnsi="Arial"/>
          <w:b w:val="1"/>
          <w:bCs w:val="1"/>
          <w:rtl w:val="0"/>
          <w:lang w:val="en-US"/>
        </w:rPr>
        <w:t>Govern, Identify, Protect, Detect, Respond, and Recover</w:t>
      </w:r>
      <w:r>
        <w:rPr>
          <w:rFonts w:ascii="Arial" w:hAnsi="Arial"/>
          <w:rtl w:val="0"/>
          <w:lang w:val="en-US"/>
        </w:rPr>
        <w:t xml:space="preserve"> [10].</w:t>
      </w:r>
    </w:p>
    <w:p>
      <w:pPr>
        <w:pStyle w:val="Default"/>
        <w:suppressAutoHyphens w:val="1"/>
        <w:spacing w:before="0" w:line="240" w:lineRule="auto"/>
        <w:jc w:val="both"/>
        <w:rPr>
          <w:rFonts w:ascii="Arial" w:cs="Arial" w:hAnsi="Arial" w:eastAsia="Arial"/>
          <w:outline w:val="0"/>
          <w:color w:val="000000"/>
          <w:sz w:val="28"/>
          <w:szCs w:val="28"/>
          <w:u w:color="000000"/>
          <w14:textFill>
            <w14:solidFill>
              <w14:srgbClr w14:val="000000"/>
            </w14:solidFill>
          </w14:textFill>
        </w:rPr>
      </w:pPr>
    </w:p>
    <w:p>
      <w:pPr>
        <w:pStyle w:val="Default"/>
        <w:suppressAutoHyphens w:val="1"/>
        <w:spacing w:before="0" w:line="240" w:lineRule="auto"/>
        <w:jc w:val="both"/>
        <w:rPr>
          <w:rFonts w:ascii="Arial" w:cs="Arial" w:hAnsi="Arial" w:eastAsia="Arial"/>
          <w:outline w:val="0"/>
          <w:color w:val="000000"/>
          <w:sz w:val="28"/>
          <w:szCs w:val="28"/>
          <w:u w:color="000000"/>
          <w14:textFill>
            <w14:solidFill>
              <w14:srgbClr w14:val="000000"/>
            </w14:solidFill>
          </w14:textFill>
        </w:rPr>
      </w:pPr>
    </w:p>
    <w:p>
      <w:pPr>
        <w:pStyle w:val="Default"/>
        <w:suppressAutoHyphens w:val="1"/>
        <w:spacing w:before="0" w:line="240" w:lineRule="auto"/>
        <w:jc w:val="both"/>
        <w:rPr>
          <w:rFonts w:ascii="Arial" w:cs="Arial" w:hAnsi="Arial" w:eastAsia="Arial"/>
          <w:outline w:val="0"/>
          <w:color w:val="000000"/>
          <w:sz w:val="28"/>
          <w:szCs w:val="28"/>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r>
        <w:rPr>
          <w:rFonts w:ascii="Arial" w:cs="Arial" w:hAnsi="Arial" w:eastAsia="Arial"/>
          <w:outline w:val="0"/>
          <w:color w:val="000000"/>
          <w:sz w:val="26"/>
          <w:szCs w:val="26"/>
          <w:u w:color="000000"/>
          <w14:textFill>
            <w14:solidFill>
              <w14:srgbClr w14:val="000000"/>
            </w14:solidFill>
          </w14:textFill>
        </w:rPr>
        <w:drawing xmlns:a="http://schemas.openxmlformats.org/drawingml/2006/main">
          <wp:anchor distT="152400" distB="152400" distL="152400" distR="152400" simplePos="0" relativeHeight="251664384" behindDoc="0" locked="0" layoutInCell="1" allowOverlap="1">
            <wp:simplePos x="0" y="0"/>
            <wp:positionH relativeFrom="page">
              <wp:posOffset>908050</wp:posOffset>
            </wp:positionH>
            <wp:positionV relativeFrom="line">
              <wp:posOffset>0</wp:posOffset>
            </wp:positionV>
            <wp:extent cx="5727700" cy="2280680"/>
            <wp:effectExtent l="0" t="0" r="0" b="0"/>
            <wp:wrapTopAndBottom distT="152400" distB="152400"/>
            <wp:docPr id="1073741863" name="officeArt object" descr="Crop 3.jpg"/>
            <wp:cNvGraphicFramePr/>
            <a:graphic xmlns:a="http://schemas.openxmlformats.org/drawingml/2006/main">
              <a:graphicData uri="http://schemas.openxmlformats.org/drawingml/2006/picture">
                <pic:pic xmlns:pic="http://schemas.openxmlformats.org/drawingml/2006/picture">
                  <pic:nvPicPr>
                    <pic:cNvPr id="1073741863" name="Crop 3.jpg" descr="Crop 3.jpg"/>
                    <pic:cNvPicPr>
                      <a:picLocks noChangeAspect="1"/>
                    </pic:cNvPicPr>
                  </pic:nvPicPr>
                  <pic:blipFill>
                    <a:blip r:embed="rId7">
                      <a:extLst/>
                    </a:blip>
                    <a:stretch>
                      <a:fillRect/>
                    </a:stretch>
                  </pic:blipFill>
                  <pic:spPr>
                    <a:xfrm>
                      <a:off x="0" y="0"/>
                      <a:ext cx="5727700" cy="2280680"/>
                    </a:xfrm>
                    <a:prstGeom prst="rect">
                      <a:avLst/>
                    </a:prstGeom>
                    <a:ln w="12700" cap="flat">
                      <a:noFill/>
                      <a:miter lim="400000"/>
                    </a:ln>
                    <a:effectLst>
                      <a:outerShdw sx="100000" sy="100000" kx="0" ky="0" algn="b" rotWithShape="0" blurRad="254000" dist="127000" dir="16200000">
                        <a:srgbClr val="000000">
                          <a:alpha val="70000"/>
                        </a:srgbClr>
                      </a:outerShdw>
                    </a:effectLst>
                  </pic:spPr>
                </pic:pic>
              </a:graphicData>
            </a:graphic>
          </wp:anchor>
        </w:drawing>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suppressAutoHyphens w:val="1"/>
        <w:spacing w:before="0" w:line="240" w:lineRule="auto"/>
        <w:jc w:val="both"/>
        <w:rPr>
          <w:rFonts w:ascii="Arial" w:cs="Arial" w:hAnsi="Arial" w:eastAsia="Arial"/>
          <w:outline w:val="0"/>
          <w:color w:val="000000"/>
          <w:sz w:val="28"/>
          <w:szCs w:val="28"/>
          <w:u w:color="000000"/>
          <w14:textFill>
            <w14:solidFill>
              <w14:srgbClr w14:val="000000"/>
            </w14:solidFill>
          </w14:textFill>
        </w:rPr>
      </w:pPr>
    </w:p>
    <w:p>
      <w:pPr>
        <w:pStyle w:val="Default"/>
        <w:suppressAutoHyphens w:val="1"/>
        <w:spacing w:before="0" w:after="240" w:line="240" w:lineRule="auto"/>
        <w:jc w:val="both"/>
        <w:rPr>
          <w:rFonts w:ascii="Arial" w:cs="Arial" w:hAnsi="Arial" w:eastAsia="Arial"/>
        </w:rPr>
      </w:pPr>
    </w:p>
    <w:p>
      <w:pPr>
        <w:pStyle w:val="Default"/>
        <w:suppressAutoHyphens w:val="1"/>
        <w:spacing w:before="0" w:after="240" w:line="240" w:lineRule="auto"/>
        <w:jc w:val="both"/>
        <w:rPr>
          <w:rFonts w:ascii="Arial" w:cs="Arial" w:hAnsi="Arial" w:eastAsia="Arial"/>
        </w:rPr>
      </w:pPr>
      <w:r>
        <w:rPr>
          <w:rFonts w:ascii="Arial" w:hAnsi="Arial"/>
          <w:b w:val="1"/>
          <w:bCs w:val="1"/>
          <w:i w:val="1"/>
          <w:iCs w:val="1"/>
          <w:outline w:val="0"/>
          <w:color w:val="0c7eaa"/>
          <w:rtl w:val="0"/>
          <w:lang w:val="en-US"/>
          <w14:textFill>
            <w14:solidFill>
              <w14:srgbClr w14:val="0C7EAA"/>
            </w14:solidFill>
          </w14:textFill>
        </w:rPr>
        <w:t>Govern</w:t>
      </w:r>
      <w:r>
        <w:rPr>
          <w:rFonts w:ascii="Arial" w:hAnsi="Arial"/>
          <w:rtl w:val="0"/>
          <w:lang w:val="en-US"/>
        </w:rPr>
        <w:t xml:space="preserve"> establishes accountability, policies, risk oversight, and management responsibilities. For Equifax, the Board and CISO should ensure that significant vulnerabilities and security risks are identified, reported, and escalated [10].</w:t>
      </w:r>
    </w:p>
    <w:p>
      <w:pPr>
        <w:pStyle w:val="Default"/>
        <w:suppressAutoHyphens w:val="1"/>
        <w:spacing w:before="0" w:after="240" w:line="240" w:lineRule="auto"/>
        <w:jc w:val="both"/>
        <w:rPr>
          <w:rFonts w:ascii="Arial" w:cs="Arial" w:hAnsi="Arial" w:eastAsia="Arial"/>
        </w:rPr>
      </w:pPr>
      <w:r>
        <w:rPr>
          <w:rFonts w:ascii="Arial" w:hAnsi="Arial"/>
          <w:b w:val="1"/>
          <w:bCs w:val="1"/>
          <w:i w:val="1"/>
          <w:iCs w:val="1"/>
          <w:outline w:val="0"/>
          <w:color w:val="0c7eaa"/>
          <w:rtl w:val="0"/>
          <w:lang w:val="en-US"/>
          <w14:textFill>
            <w14:solidFill>
              <w14:srgbClr w14:val="0C7EAA"/>
            </w14:solidFill>
          </w14:textFill>
        </w:rPr>
        <w:t>Identify</w:t>
      </w:r>
      <w:r>
        <w:rPr>
          <w:rFonts w:ascii="Arial" w:hAnsi="Arial"/>
          <w:i w:val="1"/>
          <w:iCs w:val="1"/>
          <w:outline w:val="0"/>
          <w:color w:val="0c7eaa"/>
          <w:rtl w:val="0"/>
          <w:lang w:val="en-US"/>
          <w14:textFill>
            <w14:solidFill>
              <w14:srgbClr w14:val="0C7EAA"/>
            </w14:solidFill>
          </w14:textFill>
        </w:rPr>
        <w:t xml:space="preserve"> </w:t>
      </w:r>
      <w:r>
        <w:rPr>
          <w:rFonts w:ascii="Arial" w:hAnsi="Arial"/>
          <w:rtl w:val="0"/>
          <w:lang w:val="en-US"/>
        </w:rPr>
        <w:t>focuses on understanding assets, vulnerabilities, threats, and risks. Accurate asset inventories and regular vulnerability assessments are particularly important because the Equifax breach involved a vulnerable internet-facing application [13], [18].</w:t>
      </w:r>
    </w:p>
    <w:p>
      <w:pPr>
        <w:pStyle w:val="Default"/>
        <w:suppressAutoHyphens w:val="1"/>
        <w:spacing w:before="0" w:after="240" w:line="240" w:lineRule="auto"/>
        <w:jc w:val="both"/>
        <w:rPr>
          <w:rFonts w:ascii="Arial" w:cs="Arial" w:hAnsi="Arial" w:eastAsia="Arial"/>
        </w:rPr>
      </w:pPr>
      <w:r>
        <w:rPr>
          <w:rFonts w:ascii="Arial" w:hAnsi="Arial"/>
          <w:b w:val="1"/>
          <w:bCs w:val="1"/>
          <w:i w:val="1"/>
          <w:iCs w:val="1"/>
          <w:outline w:val="0"/>
          <w:color w:val="0c7eaa"/>
          <w:rtl w:val="0"/>
          <w:lang w:val="en-US"/>
          <w14:textFill>
            <w14:solidFill>
              <w14:srgbClr w14:val="0C7EAA"/>
            </w14:solidFill>
          </w14:textFill>
        </w:rPr>
        <w:t>Protect</w:t>
      </w:r>
      <w:r>
        <w:rPr>
          <w:rFonts w:ascii="Arial" w:hAnsi="Arial"/>
          <w:i w:val="1"/>
          <w:iCs w:val="1"/>
          <w:outline w:val="0"/>
          <w:color w:val="0c7eaa"/>
          <w:rtl w:val="0"/>
          <w:lang w:val="en-US"/>
          <w14:textFill>
            <w14:solidFill>
              <w14:srgbClr w14:val="0C7EAA"/>
            </w14:solidFill>
          </w14:textFill>
        </w:rPr>
        <w:t xml:space="preserve"> </w:t>
      </w:r>
      <w:r>
        <w:rPr>
          <w:rFonts w:ascii="Arial" w:hAnsi="Arial"/>
          <w:rtl w:val="0"/>
          <w:lang w:val="en-US"/>
        </w:rPr>
        <w:t>applies safeguards such as patch management, MFA, least privilege, encryption, awareness, and network segmentation to reduce the likelihood and impact of incidents [10].</w:t>
      </w:r>
    </w:p>
    <w:p>
      <w:pPr>
        <w:pStyle w:val="Default"/>
        <w:suppressAutoHyphens w:val="1"/>
        <w:spacing w:before="0" w:after="240" w:line="240" w:lineRule="auto"/>
        <w:jc w:val="both"/>
        <w:rPr>
          <w:rFonts w:ascii="Arial" w:cs="Arial" w:hAnsi="Arial" w:eastAsia="Arial"/>
        </w:rPr>
      </w:pPr>
      <w:r>
        <w:rPr>
          <w:rFonts w:ascii="Arial" w:hAnsi="Arial"/>
          <w:b w:val="1"/>
          <w:bCs w:val="1"/>
          <w:i w:val="1"/>
          <w:iCs w:val="1"/>
          <w:outline w:val="0"/>
          <w:color w:val="0c7eaa"/>
          <w:rtl w:val="0"/>
          <w:lang w:val="en-US"/>
          <w14:textFill>
            <w14:solidFill>
              <w14:srgbClr w14:val="0C7EAA"/>
            </w14:solidFill>
          </w14:textFill>
        </w:rPr>
        <w:t>Detect</w:t>
      </w:r>
      <w:r>
        <w:rPr>
          <w:rFonts w:ascii="Arial" w:hAnsi="Arial"/>
          <w:i w:val="1"/>
          <w:iCs w:val="1"/>
          <w:outline w:val="0"/>
          <w:color w:val="0c7eaa"/>
          <w:rtl w:val="0"/>
          <w:lang w:val="en-US"/>
          <w14:textFill>
            <w14:solidFill>
              <w14:srgbClr w14:val="0C7EAA"/>
            </w14:solidFill>
          </w14:textFill>
        </w:rPr>
        <w:t xml:space="preserve"> </w:t>
      </w:r>
      <w:r>
        <w:rPr>
          <w:rFonts w:ascii="Arial" w:hAnsi="Arial"/>
          <w:rtl w:val="0"/>
          <w:lang w:val="en-US"/>
        </w:rPr>
        <w:t>uses monitoring, logging, SIEM, and EDR to identify suspicious activity. Stronger detection could have reduced the time malicious activity remained unnoticed during the Equifax breach [13].</w:t>
      </w:r>
    </w:p>
    <w:p>
      <w:pPr>
        <w:pStyle w:val="Default"/>
        <w:suppressAutoHyphens w:val="1"/>
        <w:spacing w:before="0" w:after="240" w:line="240" w:lineRule="auto"/>
        <w:jc w:val="both"/>
        <w:rPr>
          <w:rFonts w:ascii="Arial" w:cs="Arial" w:hAnsi="Arial" w:eastAsia="Arial"/>
        </w:rPr>
      </w:pPr>
      <w:r>
        <w:rPr>
          <w:rFonts w:ascii="Arial" w:hAnsi="Arial"/>
          <w:b w:val="1"/>
          <w:bCs w:val="1"/>
          <w:i w:val="1"/>
          <w:iCs w:val="1"/>
          <w:outline w:val="0"/>
          <w:color w:val="0c7eaa"/>
          <w:rtl w:val="0"/>
          <w:lang w:val="en-US"/>
          <w14:textFill>
            <w14:solidFill>
              <w14:srgbClr w14:val="0C7EAA"/>
            </w14:solidFill>
          </w14:textFill>
        </w:rPr>
        <w:t>Respond</w:t>
      </w:r>
      <w:r>
        <w:rPr>
          <w:rFonts w:ascii="Arial" w:hAnsi="Arial"/>
          <w:i w:val="1"/>
          <w:iCs w:val="1"/>
          <w:outline w:val="0"/>
          <w:color w:val="0c7eaa"/>
          <w:rtl w:val="0"/>
          <w:lang w:val="en-US"/>
          <w14:textFill>
            <w14:solidFill>
              <w14:srgbClr w14:val="0C7EAA"/>
            </w14:solidFill>
          </w14:textFill>
        </w:rPr>
        <w:t xml:space="preserve"> </w:t>
      </w:r>
      <w:r>
        <w:rPr>
          <w:rFonts w:ascii="Arial" w:hAnsi="Arial"/>
          <w:rtl w:val="0"/>
          <w:lang w:val="en-US"/>
        </w:rPr>
        <w:t>requires documented procedures for escalation, containment, investigation, communication, and notification. Clear responsibilities can help the organisation make faster decisions and reduce operational and reputational damage [10].</w:t>
      </w:r>
    </w:p>
    <w:p>
      <w:pPr>
        <w:pStyle w:val="Default"/>
        <w:suppressAutoHyphens w:val="1"/>
        <w:spacing w:before="0" w:after="240" w:line="240" w:lineRule="auto"/>
        <w:jc w:val="both"/>
        <w:rPr>
          <w:rFonts w:ascii="Arial" w:cs="Arial" w:hAnsi="Arial" w:eastAsia="Arial"/>
        </w:rPr>
      </w:pPr>
      <w:r>
        <w:rPr>
          <w:rFonts w:ascii="Arial" w:hAnsi="Arial"/>
          <w:b w:val="1"/>
          <w:bCs w:val="1"/>
          <w:i w:val="1"/>
          <w:iCs w:val="1"/>
          <w:outline w:val="0"/>
          <w:color w:val="0c7eaa"/>
          <w:rtl w:val="0"/>
          <w:lang w:val="en-US"/>
          <w14:textFill>
            <w14:solidFill>
              <w14:srgbClr w14:val="0C7EAA"/>
            </w14:solidFill>
          </w14:textFill>
        </w:rPr>
        <w:t>Recover</w:t>
      </w:r>
      <w:r>
        <w:rPr>
          <w:rFonts w:ascii="Arial" w:hAnsi="Arial"/>
          <w:b w:val="1"/>
          <w:bCs w:val="1"/>
          <w:i w:val="1"/>
          <w:iCs w:val="1"/>
          <w:outline w:val="0"/>
          <w:color w:val="0c7eaa"/>
          <w:rtl w:val="0"/>
          <w:lang w:val="en-US"/>
          <w14:textFill>
            <w14:solidFill>
              <w14:srgbClr w14:val="0C7EAA"/>
            </w14:solidFill>
          </w14:textFill>
        </w:rPr>
        <w:t xml:space="preserve"> </w:t>
      </w:r>
      <w:r>
        <w:rPr>
          <w:rFonts w:ascii="Arial" w:hAnsi="Arial"/>
          <w:rtl w:val="0"/>
          <w:lang w:val="en-US"/>
        </w:rPr>
        <w:t>supports restoration of systems and business operations through tested backups, disaster recovery, business continuity, and lessons learned after incidents [10].</w:t>
      </w:r>
    </w:p>
    <w:p>
      <w:pPr>
        <w:pStyle w:val="Default"/>
        <w:suppressAutoHyphens w:val="1"/>
        <w:spacing w:before="0" w:after="240" w:line="240" w:lineRule="auto"/>
        <w:jc w:val="both"/>
        <w:rPr>
          <w:rFonts w:ascii="Arial" w:cs="Arial" w:hAnsi="Arial" w:eastAsia="Arial"/>
        </w:rPr>
      </w:pPr>
      <w:r>
        <w:rPr>
          <w:rFonts w:ascii="Arial" w:hAnsi="Arial"/>
          <w:rtl w:val="0"/>
          <w:lang w:val="en-US"/>
        </w:rPr>
        <w:t>Together, these functions connect cybersecurity with business continuity, customer trust, regulatory responsibilities, and organisational resilience. However, adopting NIST CSF 2.0 does not automatically create effective security. Its value depends on implementation, accountability, and continuous review. The Equifax breach illustrates this limitation because the availability of a security patch did not prevent compromise when the vulnerable system remained unpatched [13], [18].</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sz w:val="26"/>
          <w:szCs w:val="26"/>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suppressAutoHyphens w:val="1"/>
        <w:spacing w:before="0" w:line="240" w:lineRule="auto"/>
        <w:jc w:val="both"/>
        <w:rPr>
          <w:rFonts w:ascii="Arial" w:cs="Arial" w:hAnsi="Arial" w:eastAsia="Arial"/>
          <w:b w:val="1"/>
          <w:bCs w:val="1"/>
          <w:outline w:val="0"/>
          <w:color w:val="156082"/>
          <w:sz w:val="30"/>
          <w:szCs w:val="30"/>
          <w:u w:color="156082"/>
          <w14:textFill>
            <w14:solidFill>
              <w14:srgbClr w14:val="156082"/>
            </w14:solidFill>
          </w14:textFill>
        </w:rPr>
      </w:pPr>
      <w:r>
        <w:rPr>
          <w:rFonts w:ascii="Arial" w:hAnsi="Arial"/>
          <w:b w:val="1"/>
          <w:bCs w:val="1"/>
          <w:outline w:val="0"/>
          <w:color w:val="156082"/>
          <w:sz w:val="30"/>
          <w:szCs w:val="30"/>
          <w:u w:color="156082"/>
          <w:rtl w:val="0"/>
          <w:lang w:val="en-US"/>
          <w14:textFill>
            <w14:solidFill>
              <w14:srgbClr w14:val="156082"/>
            </w14:solidFill>
          </w14:textFill>
        </w:rPr>
        <w:t>2.4 Risk Management and Assessment:</w:t>
      </w:r>
    </w:p>
    <w:p>
      <w:pPr>
        <w:pStyle w:val="Default"/>
        <w:suppressAutoHyphens w:val="1"/>
        <w:spacing w:before="0" w:line="240" w:lineRule="auto"/>
        <w:jc w:val="both"/>
        <w:rPr>
          <w:rFonts w:ascii="Arial" w:cs="Arial" w:hAnsi="Arial" w:eastAsia="Arial"/>
          <w:b w:val="1"/>
          <w:bCs w:val="1"/>
          <w:outline w:val="0"/>
          <w:color w:val="156082"/>
          <w:sz w:val="30"/>
          <w:szCs w:val="30"/>
          <w:u w:color="156082"/>
          <w14:textFill>
            <w14:solidFill>
              <w14:srgbClr w14:val="156082"/>
            </w14:solidFill>
          </w14:textFill>
        </w:rPr>
      </w:pPr>
    </w:p>
    <w:p>
      <w:pPr>
        <w:pStyle w:val="Default"/>
        <w:suppressAutoHyphens w:val="1"/>
        <w:spacing w:before="0" w:after="240" w:line="240" w:lineRule="auto"/>
        <w:jc w:val="both"/>
        <w:rPr>
          <w:rFonts w:ascii="Arial" w:cs="Arial" w:hAnsi="Arial" w:eastAsia="Arial"/>
          <w:sz w:val="26"/>
          <w:szCs w:val="26"/>
          <w:u w:color="156082"/>
        </w:rPr>
      </w:pPr>
      <w:r>
        <w:rPr>
          <w:rFonts w:ascii="Arial" w:hAnsi="Arial"/>
          <w:sz w:val="26"/>
          <w:szCs w:val="26"/>
          <w:u w:color="156082"/>
          <w:rtl w:val="0"/>
          <w:lang w:val="en-US"/>
        </w:rPr>
        <w:t>Effective risk management requires organisations to identify important assets, assess threats and vulnerabilities, and prioritise security actions according to likelihood and business impact [10]. The Equifax breach demonstrates the importance of this process because attackers exploited a known vulnerability in an internet-facing application, while weaknesses in patch management and asset visibility increased exposure [13], [18].</w:t>
      </w:r>
    </w:p>
    <w:p>
      <w:pPr>
        <w:pStyle w:val="Default"/>
        <w:suppressAutoHyphens w:val="1"/>
        <w:spacing w:before="0" w:after="240" w:line="240" w:lineRule="auto"/>
        <w:jc w:val="both"/>
        <w:rPr>
          <w:rFonts w:ascii="Arial" w:cs="Arial" w:hAnsi="Arial" w:eastAsia="Arial"/>
          <w:sz w:val="26"/>
          <w:szCs w:val="26"/>
          <w:u w:color="156082"/>
        </w:rPr>
      </w:pPr>
    </w:p>
    <w:p>
      <w:pPr>
        <w:pStyle w:val="Default"/>
        <w:suppressAutoHyphens w:val="1"/>
        <w:spacing w:before="0" w:after="240" w:line="240" w:lineRule="auto"/>
        <w:jc w:val="both"/>
        <w:rPr>
          <w:rFonts w:ascii="Arial" w:cs="Arial" w:hAnsi="Arial" w:eastAsia="Arial"/>
          <w:b w:val="1"/>
          <w:bCs w:val="1"/>
          <w:outline w:val="0"/>
          <w:color w:val="156082"/>
          <w:sz w:val="30"/>
          <w:szCs w:val="30"/>
          <w:u w:color="156082"/>
          <w14:textFill>
            <w14:solidFill>
              <w14:srgbClr w14:val="156082"/>
            </w14:solidFill>
          </w14:textFill>
        </w:rPr>
      </w:pPr>
      <w:r>
        <w:rPr>
          <w:rFonts w:ascii="Arial" w:cs="Arial" w:hAnsi="Arial" w:eastAsia="Arial"/>
          <w:b w:val="1"/>
          <w:bCs w:val="1"/>
          <w:outline w:val="0"/>
          <w:color w:val="156082"/>
          <w:sz w:val="30"/>
          <w:szCs w:val="30"/>
          <w:u w:color="156082"/>
          <w14:textFill>
            <w14:solidFill>
              <w14:srgbClr w14:val="156082"/>
            </w14:solidFill>
          </w14:textFill>
        </w:rPr>
        <w:drawing xmlns:a="http://schemas.openxmlformats.org/drawingml/2006/main">
          <wp:anchor distT="152400" distB="152400" distL="152400" distR="152400" simplePos="0" relativeHeight="251665408" behindDoc="0" locked="0" layoutInCell="1" allowOverlap="1">
            <wp:simplePos x="0" y="0"/>
            <wp:positionH relativeFrom="page">
              <wp:posOffset>666137</wp:posOffset>
            </wp:positionH>
            <wp:positionV relativeFrom="line">
              <wp:posOffset>253394</wp:posOffset>
            </wp:positionV>
            <wp:extent cx="6211524" cy="2094772"/>
            <wp:effectExtent l="0" t="0" r="0" b="0"/>
            <wp:wrapTopAndBottom distT="152400" distB="152400"/>
            <wp:docPr id="1073741864" name="officeArt object" descr="Crop 4.jpg"/>
            <wp:cNvGraphicFramePr/>
            <a:graphic xmlns:a="http://schemas.openxmlformats.org/drawingml/2006/main">
              <a:graphicData uri="http://schemas.openxmlformats.org/drawingml/2006/picture">
                <pic:pic xmlns:pic="http://schemas.openxmlformats.org/drawingml/2006/picture">
                  <pic:nvPicPr>
                    <pic:cNvPr id="1073741864" name="Crop 4.jpg" descr="Crop 4.jpg"/>
                    <pic:cNvPicPr>
                      <a:picLocks noChangeAspect="1"/>
                    </pic:cNvPicPr>
                  </pic:nvPicPr>
                  <pic:blipFill>
                    <a:blip r:embed="rId8">
                      <a:extLst/>
                    </a:blip>
                    <a:stretch>
                      <a:fillRect/>
                    </a:stretch>
                  </pic:blipFill>
                  <pic:spPr>
                    <a:xfrm>
                      <a:off x="0" y="0"/>
                      <a:ext cx="6211524" cy="2094772"/>
                    </a:xfrm>
                    <a:prstGeom prst="rect">
                      <a:avLst/>
                    </a:prstGeom>
                    <a:ln w="12700" cap="flat">
                      <a:noFill/>
                      <a:miter lim="400000"/>
                    </a:ln>
                    <a:effectLst>
                      <a:outerShdw sx="100000" sy="100000" kx="0" ky="0" algn="b" rotWithShape="0" blurRad="254000" dist="127000" dir="16200000">
                        <a:srgbClr val="000000">
                          <a:alpha val="70000"/>
                        </a:srgbClr>
                      </a:outerShdw>
                    </a:effectLst>
                  </pic:spPr>
                </pic:pic>
              </a:graphicData>
            </a:graphic>
          </wp:anchor>
        </w:drawing>
      </w:r>
    </w:p>
    <w:p>
      <w:pPr>
        <w:pStyle w:val="Default"/>
        <w:suppressAutoHyphens w:val="1"/>
        <w:spacing w:before="0" w:after="240" w:line="240" w:lineRule="auto"/>
        <w:jc w:val="both"/>
        <w:rPr>
          <w:rFonts w:ascii="Arial" w:cs="Arial" w:hAnsi="Arial" w:eastAsia="Arial"/>
          <w:sz w:val="26"/>
          <w:szCs w:val="26"/>
        </w:rPr>
      </w:pPr>
    </w:p>
    <w:p>
      <w:pPr>
        <w:pStyle w:val="Default"/>
        <w:suppressAutoHyphens w:val="1"/>
        <w:spacing w:before="0" w:after="240" w:line="240" w:lineRule="auto"/>
        <w:jc w:val="both"/>
        <w:rPr>
          <w:rFonts w:ascii="Arial" w:cs="Arial" w:hAnsi="Arial" w:eastAsia="Arial"/>
          <w:sz w:val="26"/>
          <w:szCs w:val="26"/>
        </w:rPr>
      </w:pPr>
      <w:r>
        <w:rPr>
          <w:rFonts w:ascii="Arial" w:hAnsi="Arial"/>
          <w:b w:val="1"/>
          <w:bCs w:val="1"/>
          <w:outline w:val="0"/>
          <w:color w:val="0c7eaa"/>
          <w:sz w:val="26"/>
          <w:szCs w:val="26"/>
          <w:rtl w:val="0"/>
          <w:lang w:val="en-US"/>
          <w14:textFill>
            <w14:solidFill>
              <w14:srgbClr w14:val="0C7EAA"/>
            </w14:solidFill>
          </w14:textFill>
        </w:rPr>
        <w:t>Internet-Facing Assets and Patch Management</w:t>
      </w:r>
      <w:r>
        <w:rPr>
          <w:rFonts w:ascii="Arial" w:cs="Arial" w:hAnsi="Arial" w:eastAsia="Arial"/>
          <w:sz w:val="26"/>
          <w:szCs w:val="26"/>
        </w:rPr>
        <w:br w:type="textWrapping"/>
      </w:r>
      <w:r>
        <w:rPr>
          <w:rFonts w:ascii="Arial" w:hAnsi="Arial"/>
          <w:sz w:val="26"/>
          <w:szCs w:val="26"/>
          <w:rtl w:val="0"/>
          <w:lang w:val="en-US"/>
        </w:rPr>
        <w:t>Internet-facing systems should receive high priority because they are directly exposed to external threats. Equifax should maintain an accurate inventory of these systems and continuously assess them for vulnerabilities. Critical vulnerabilities should have defined remediation deadlines, and patch deployment should be verified rather than assumed to be successful [13], [18]. Where immediate remediation is not possible, the risk and temporary controls should be formally documented.</w:t>
      </w:r>
    </w:p>
    <w:p>
      <w:pPr>
        <w:pStyle w:val="Default"/>
        <w:suppressAutoHyphens w:val="1"/>
        <w:spacing w:before="0" w:after="240" w:line="240" w:lineRule="auto"/>
        <w:jc w:val="both"/>
        <w:rPr>
          <w:rFonts w:ascii="Arial" w:cs="Arial" w:hAnsi="Arial" w:eastAsia="Arial"/>
          <w:sz w:val="26"/>
          <w:szCs w:val="26"/>
        </w:rPr>
      </w:pPr>
      <w:r>
        <w:rPr>
          <w:rFonts w:ascii="Arial" w:hAnsi="Arial"/>
          <w:b w:val="1"/>
          <w:bCs w:val="1"/>
          <w:outline w:val="0"/>
          <w:color w:val="0c7eaa"/>
          <w:sz w:val="26"/>
          <w:szCs w:val="26"/>
          <w:rtl w:val="0"/>
          <w:lang w:val="en-US"/>
          <w14:textFill>
            <w14:solidFill>
              <w14:srgbClr w14:val="0C7EAA"/>
            </w14:solidFill>
          </w14:textFill>
        </w:rPr>
        <w:t>Third-Party and Supply-Chain Risk</w:t>
      </w:r>
      <w:r>
        <w:rPr>
          <w:rFonts w:ascii="Arial" w:cs="Arial" w:hAnsi="Arial" w:eastAsia="Arial"/>
          <w:sz w:val="26"/>
          <w:szCs w:val="26"/>
        </w:rPr>
        <w:br w:type="textWrapping"/>
      </w:r>
      <w:r>
        <w:rPr>
          <w:rFonts w:ascii="Arial" w:hAnsi="Arial"/>
          <w:sz w:val="26"/>
          <w:szCs w:val="26"/>
          <w:rtl w:val="0"/>
          <w:lang w:val="en-US"/>
        </w:rPr>
        <w:t>Third-party software, suppliers, and external services should also be included in risk assessments. Important dependencies should be identified, relevant security advisories monitored, and supplier access to sensitive systems controlled. Supply-chain compromise was not established as the direct cause of the Equifax breach; it is included here as an additional risk within the proposed programme.</w:t>
      </w:r>
    </w:p>
    <w:p>
      <w:pPr>
        <w:pStyle w:val="Default"/>
        <w:suppressAutoHyphens w:val="1"/>
        <w:spacing w:before="0" w:after="240" w:line="240" w:lineRule="auto"/>
        <w:jc w:val="both"/>
        <w:rPr>
          <w:rFonts w:ascii="Arial" w:cs="Arial" w:hAnsi="Arial" w:eastAsia="Arial"/>
          <w:sz w:val="26"/>
          <w:szCs w:val="26"/>
        </w:rPr>
      </w:pPr>
      <w:r>
        <w:rPr>
          <w:rFonts w:ascii="Arial" w:hAnsi="Arial"/>
          <w:b w:val="1"/>
          <w:bCs w:val="1"/>
          <w:outline w:val="0"/>
          <w:color w:val="0c7eaa"/>
          <w:sz w:val="26"/>
          <w:szCs w:val="26"/>
          <w:rtl w:val="0"/>
          <w:lang w:val="en-US"/>
          <w14:textFill>
            <w14:solidFill>
              <w14:srgbClr w14:val="0C7EAA"/>
            </w14:solidFill>
          </w14:textFill>
        </w:rPr>
        <w:t>Network Segmentation</w:t>
      </w:r>
      <w:r>
        <w:rPr>
          <w:rFonts w:ascii="Arial" w:cs="Arial" w:hAnsi="Arial" w:eastAsia="Arial"/>
          <w:sz w:val="26"/>
          <w:szCs w:val="26"/>
        </w:rPr>
        <w:br w:type="textWrapping"/>
      </w:r>
      <w:r>
        <w:rPr>
          <w:rFonts w:ascii="Arial" w:hAnsi="Arial"/>
          <w:sz w:val="26"/>
          <w:szCs w:val="26"/>
          <w:rtl w:val="0"/>
          <w:lang w:val="en-US"/>
        </w:rPr>
        <w:t>Network segmentation and least-privilege access can reduce the impact of a successful compromise by restricting unnecessary communication and lateral movement [1]. However, segmentation should complement rather than replace effective vulnerability and patch management.</w:t>
      </w:r>
    </w:p>
    <w:p>
      <w:pPr>
        <w:pStyle w:val="Default"/>
        <w:suppressAutoHyphens w:val="1"/>
        <w:spacing w:before="0" w:after="240" w:line="240" w:lineRule="auto"/>
        <w:jc w:val="both"/>
        <w:rPr>
          <w:rFonts w:ascii="Arial" w:cs="Arial" w:hAnsi="Arial" w:eastAsia="Arial"/>
          <w:sz w:val="26"/>
          <w:szCs w:val="26"/>
        </w:rPr>
      </w:pPr>
      <w:r>
        <w:rPr>
          <w:rFonts w:ascii="Arial" w:hAnsi="Arial"/>
          <w:b w:val="1"/>
          <w:bCs w:val="1"/>
          <w:outline w:val="0"/>
          <w:color w:val="0c7eaa"/>
          <w:sz w:val="26"/>
          <w:szCs w:val="26"/>
          <w:rtl w:val="0"/>
          <w:lang w:val="en-US"/>
          <w14:textFill>
            <w14:solidFill>
              <w14:srgbClr w14:val="0C7EAA"/>
            </w14:solidFill>
          </w14:textFill>
        </w:rPr>
        <w:t>Risk Prioritisation and Mitigation</w:t>
      </w:r>
      <w:r>
        <w:rPr>
          <w:rFonts w:ascii="Arial" w:cs="Arial" w:hAnsi="Arial" w:eastAsia="Arial"/>
          <w:sz w:val="26"/>
          <w:szCs w:val="26"/>
        </w:rPr>
        <w:br w:type="textWrapping"/>
      </w:r>
      <w:r>
        <w:rPr>
          <w:rFonts w:ascii="Arial" w:hAnsi="Arial"/>
          <w:sz w:val="26"/>
          <w:szCs w:val="26"/>
          <w:rtl w:val="0"/>
          <w:lang w:val="en-US"/>
        </w:rPr>
        <w:t>Risks should be prioritised according to likelihood, business impact, system exposure, data sensitivity, and existing controls [10]. For Equifax, an unpatched critical vulnerability affecting an internet-facing application containing sensitive information should therefore receive the highest priority [13], [18].</w:t>
      </w:r>
      <w:r>
        <w:rPr>
          <w:rFonts w:ascii="Arial" w:cs="Arial" w:hAnsi="Arial" w:eastAsia="Arial"/>
          <w:b w:val="1"/>
          <w:bCs w:val="1"/>
          <w:sz w:val="26"/>
          <w:szCs w:val="26"/>
        </w:rPr>
        <w:drawing xmlns:a="http://schemas.openxmlformats.org/drawingml/2006/main">
          <wp:anchor distT="152400" distB="152400" distL="152400" distR="152400" simplePos="0" relativeHeight="251670528" behindDoc="0" locked="0" layoutInCell="1" allowOverlap="1">
            <wp:simplePos x="0" y="0"/>
            <wp:positionH relativeFrom="page">
              <wp:posOffset>635865</wp:posOffset>
            </wp:positionH>
            <wp:positionV relativeFrom="line">
              <wp:posOffset>300763</wp:posOffset>
            </wp:positionV>
            <wp:extent cx="6471383" cy="4314255"/>
            <wp:effectExtent l="0" t="0" r="0" b="0"/>
            <wp:wrapTopAndBottom distT="152400" distB="152400"/>
            <wp:docPr id="1073741865" name="officeArt object" descr="ChatGPT Image Aug 11, 2026 at 10_38_48 AM.png"/>
            <wp:cNvGraphicFramePr/>
            <a:graphic xmlns:a="http://schemas.openxmlformats.org/drawingml/2006/main">
              <a:graphicData uri="http://schemas.openxmlformats.org/drawingml/2006/picture">
                <pic:pic xmlns:pic="http://schemas.openxmlformats.org/drawingml/2006/picture">
                  <pic:nvPicPr>
                    <pic:cNvPr id="1073741865" name="ChatGPT Image Aug 11, 2026 at 10_38_48 AM.png" descr="ChatGPT Image Aug 11, 2026 at 10_38_48 AM.png"/>
                    <pic:cNvPicPr>
                      <a:picLocks noChangeAspect="1"/>
                    </pic:cNvPicPr>
                  </pic:nvPicPr>
                  <pic:blipFill>
                    <a:blip r:embed="rId9">
                      <a:extLst/>
                    </a:blip>
                    <a:stretch>
                      <a:fillRect/>
                    </a:stretch>
                  </pic:blipFill>
                  <pic:spPr>
                    <a:xfrm>
                      <a:off x="0" y="0"/>
                      <a:ext cx="6471383" cy="4314255"/>
                    </a:xfrm>
                    <a:prstGeom prst="rect">
                      <a:avLst/>
                    </a:prstGeom>
                    <a:ln w="12700" cap="flat">
                      <a:noFill/>
                      <a:miter lim="400000"/>
                    </a:ln>
                    <a:effectLst/>
                  </pic:spPr>
                </pic:pic>
              </a:graphicData>
            </a:graphic>
          </wp:anchor>
        </w:drawing>
      </w:r>
    </w:p>
    <w:p>
      <w:pPr>
        <w:pStyle w:val="Default"/>
        <w:suppressAutoHyphens w:val="1"/>
        <w:spacing w:before="0" w:after="240" w:line="240" w:lineRule="auto"/>
        <w:jc w:val="both"/>
        <w:rPr>
          <w:rFonts w:ascii="Arial" w:cs="Arial" w:hAnsi="Arial" w:eastAsia="Arial"/>
          <w:sz w:val="26"/>
          <w:szCs w:val="26"/>
        </w:rPr>
      </w:pPr>
      <w:r>
        <w:rPr>
          <w:rFonts w:ascii="Arial" w:hAnsi="Arial"/>
          <w:sz w:val="26"/>
          <w:szCs w:val="26"/>
          <w:rtl w:val="0"/>
          <w:lang w:val="en-US"/>
        </w:rPr>
        <w:t xml:space="preserve">The matrix represents a </w:t>
      </w:r>
      <w:r>
        <w:rPr>
          <w:rFonts w:ascii="Arial" w:hAnsi="Arial"/>
          <w:b w:val="1"/>
          <w:bCs w:val="1"/>
          <w:sz w:val="26"/>
          <w:szCs w:val="26"/>
          <w:rtl w:val="0"/>
          <w:lang w:val="en-US"/>
        </w:rPr>
        <w:t>proposed risk assessment</w:t>
      </w:r>
      <w:r>
        <w:rPr>
          <w:rFonts w:ascii="Arial" w:hAnsi="Arial"/>
          <w:sz w:val="26"/>
          <w:szCs w:val="26"/>
          <w:rtl w:val="0"/>
          <w:lang w:val="en-US"/>
        </w:rPr>
        <w:t>, rather than historical ratings assigned by Equifax. It demonstrates how security resources could be prioritised towards risks with the greatest likelihood and potential business impact.</w:t>
      </w:r>
    </w:p>
    <w:p>
      <w:pPr>
        <w:pStyle w:val="Default"/>
        <w:suppressAutoHyphens w:val="1"/>
        <w:spacing w:before="0" w:after="240" w:line="240" w:lineRule="auto"/>
        <w:jc w:val="both"/>
        <w:rPr>
          <w:rFonts w:ascii="Arial" w:cs="Arial" w:hAnsi="Arial" w:eastAsia="Arial"/>
          <w:sz w:val="26"/>
          <w:szCs w:val="26"/>
        </w:rPr>
      </w:pPr>
      <w:r>
        <w:rPr>
          <w:rFonts w:ascii="Arial" w:hAnsi="Arial"/>
          <w:sz w:val="26"/>
          <w:szCs w:val="26"/>
          <w:rtl w:val="0"/>
          <w:lang w:val="en-US"/>
        </w:rPr>
        <w:t>Risk management should be continuous because changes in systems, vulnerabilities, suppliers, and threats can alter organisational exposure. Regular assessment, clear risk ownership, vulnerability monitoring, and management review can help Equifax identify significant risks earlier and prioritise appropriate mitigation [10], [13], [18].</w:t>
      </w:r>
    </w:p>
    <w:p>
      <w:pPr>
        <w:pStyle w:val="Default"/>
        <w:suppressAutoHyphens w:val="1"/>
        <w:spacing w:before="0" w:line="240" w:lineRule="auto"/>
        <w:jc w:val="both"/>
        <w:rPr>
          <w:rFonts w:ascii="Arial" w:cs="Arial" w:hAnsi="Arial" w:eastAsia="Arial"/>
          <w:b w:val="1"/>
          <w:bCs w:val="1"/>
          <w:outline w:val="0"/>
          <w:color w:val="156082"/>
          <w:sz w:val="30"/>
          <w:szCs w:val="30"/>
          <w:u w:color="156082"/>
          <w14:textFill>
            <w14:solidFill>
              <w14:srgbClr w14:val="156082"/>
            </w14:solidFill>
          </w14:textFill>
        </w:rPr>
      </w:pPr>
    </w:p>
    <w:p>
      <w:pPr>
        <w:pStyle w:val="Default"/>
        <w:suppressAutoHyphens w:val="1"/>
        <w:spacing w:before="0" w:line="240" w:lineRule="auto"/>
        <w:jc w:val="both"/>
        <w:rPr>
          <w:rFonts w:ascii="Arial" w:cs="Arial" w:hAnsi="Arial" w:eastAsia="Arial"/>
          <w:b w:val="1"/>
          <w:bCs w:val="1"/>
          <w:outline w:val="0"/>
          <w:color w:val="156082"/>
          <w:sz w:val="30"/>
          <w:szCs w:val="30"/>
          <w:u w:color="156082"/>
          <w14:textFill>
            <w14:solidFill>
              <w14:srgbClr w14:val="156082"/>
            </w14:solidFill>
          </w14:textFill>
        </w:rPr>
      </w:pPr>
    </w:p>
    <w:p>
      <w:pPr>
        <w:pStyle w:val="Default"/>
        <w:suppressAutoHyphens w:val="1"/>
        <w:spacing w:before="0" w:after="375" w:line="240" w:lineRule="auto"/>
        <w:jc w:val="both"/>
        <w:rPr>
          <w:rFonts w:ascii="Arial" w:cs="Arial" w:hAnsi="Arial" w:eastAsia="Arial"/>
          <w:b w:val="1"/>
          <w:bCs w:val="1"/>
          <w:i w:val="1"/>
          <w:iCs w:val="1"/>
          <w:outline w:val="0"/>
          <w:color w:val="8ab0c1"/>
          <w:sz w:val="30"/>
          <w:szCs w:val="30"/>
          <w:u w:color="8ab0c1"/>
          <w14:textFill>
            <w14:solidFill>
              <w14:srgbClr w14:val="8AB0C1"/>
            </w14:solidFill>
          </w14:textFill>
        </w:rPr>
      </w:pPr>
      <w:r>
        <w:rPr>
          <w:rFonts w:ascii="Arial" w:hAnsi="Arial"/>
          <w:b w:val="1"/>
          <w:bCs w:val="1"/>
          <w:outline w:val="0"/>
          <w:color w:val="156082"/>
          <w:sz w:val="30"/>
          <w:szCs w:val="30"/>
          <w:u w:color="156082"/>
          <w:rtl w:val="0"/>
          <w:lang w:val="en-US"/>
          <w14:textFill>
            <w14:solidFill>
              <w14:srgbClr w14:val="156082"/>
            </w14:solidFill>
          </w14:textFill>
        </w:rPr>
        <w:t xml:space="preserve">2.5 </w:t>
      </w:r>
      <w:r>
        <w:rPr>
          <w:rFonts w:ascii="Arial" w:hAnsi="Arial"/>
          <w:b w:val="1"/>
          <w:bCs w:val="1"/>
          <w:outline w:val="0"/>
          <w:color w:val="114d68"/>
          <w:sz w:val="30"/>
          <w:szCs w:val="30"/>
          <w:u w:color="114d68"/>
          <w:rtl w:val="0"/>
          <w:lang w:val="en-US"/>
          <w14:textFill>
            <w14:solidFill>
              <w14:srgbClr w14:val="114D68"/>
            </w14:solidFill>
          </w14:textFill>
        </w:rPr>
        <w:t>Compliance, Incident Response and Protection Controls</w:t>
      </w:r>
    </w:p>
    <w:p>
      <w:pPr>
        <w:pStyle w:val="Default"/>
        <w:suppressAutoHyphens w:val="1"/>
        <w:spacing w:before="0" w:after="240" w:line="240" w:lineRule="auto"/>
        <w:jc w:val="both"/>
        <w:rPr>
          <w:rFonts w:ascii="Arial" w:cs="Arial" w:hAnsi="Arial" w:eastAsia="Arial"/>
          <w:sz w:val="26"/>
          <w:szCs w:val="26"/>
        </w:rPr>
      </w:pPr>
      <w:r>
        <w:rPr>
          <w:rFonts w:ascii="Arial" w:hAnsi="Arial"/>
          <w:b w:val="1"/>
          <w:bCs w:val="1"/>
          <w:outline w:val="0"/>
          <w:color w:val="4f87a1"/>
          <w:sz w:val="26"/>
          <w:szCs w:val="26"/>
          <w:rtl w:val="0"/>
          <w:lang w:val="en-US"/>
          <w14:textFill>
            <w14:solidFill>
              <w14:srgbClr w14:val="5088A1"/>
            </w14:solidFill>
          </w14:textFill>
        </w:rPr>
        <w:t>Compliance and Assurance</w:t>
      </w:r>
      <w:r>
        <w:rPr>
          <w:rFonts w:ascii="Arial" w:cs="Arial" w:hAnsi="Arial" w:eastAsia="Arial"/>
          <w:sz w:val="26"/>
          <w:szCs w:val="26"/>
        </w:rPr>
        <w:br w:type="textWrapping"/>
      </w:r>
      <w:r>
        <w:rPr>
          <w:rFonts w:ascii="Arial" w:hAnsi="Arial"/>
          <w:sz w:val="26"/>
          <w:szCs w:val="26"/>
          <w:rtl w:val="0"/>
          <w:lang w:val="en-US"/>
        </w:rPr>
        <w:t>Compliance should be treated as an ongoing governance activity rather than a one-time exercise. Equifax should maintain evidence of vulnerability assessments, patching, access reviews, monitoring, incidents, and risk assessments so that security performance can be demonstrated through internal and external audits. Significant compliance failures and unresolved high-risk issues should be escalated to the CISO and senior management, supporting the governance principles of NIST CSF 2.0 [10]. This is particularly important because the Equifax breach demonstrated the consequences of ineffective vulnerability remediation and oversight [13], [18].</w:t>
      </w:r>
    </w:p>
    <w:p>
      <w:pPr>
        <w:pStyle w:val="Default"/>
        <w:suppressAutoHyphens w:val="1"/>
        <w:spacing w:before="0" w:after="240" w:line="240" w:lineRule="auto"/>
        <w:jc w:val="both"/>
        <w:rPr>
          <w:rFonts w:ascii="Arial" w:cs="Arial" w:hAnsi="Arial" w:eastAsia="Arial"/>
          <w:sz w:val="26"/>
          <w:szCs w:val="26"/>
        </w:rPr>
      </w:pPr>
      <w:r>
        <w:rPr>
          <w:rFonts w:ascii="Arial" w:cs="Arial" w:hAnsi="Arial" w:eastAsia="Arial"/>
          <w:sz w:val="26"/>
          <w:szCs w:val="26"/>
        </w:rPr>
        <w:drawing xmlns:a="http://schemas.openxmlformats.org/drawingml/2006/main">
          <wp:anchor distT="152400" distB="152400" distL="152400" distR="152400" simplePos="0" relativeHeight="251671552" behindDoc="0" locked="0" layoutInCell="1" allowOverlap="1">
            <wp:simplePos x="0" y="0"/>
            <wp:positionH relativeFrom="margin">
              <wp:posOffset>3984424</wp:posOffset>
            </wp:positionH>
            <wp:positionV relativeFrom="line">
              <wp:posOffset>-58598</wp:posOffset>
            </wp:positionV>
            <wp:extent cx="2104660" cy="3488846"/>
            <wp:effectExtent l="0" t="0" r="0" b="0"/>
            <wp:wrapThrough wrapText="bothSides" distL="152400" distR="152400">
              <wp:wrapPolygon edited="1">
                <wp:start x="0" y="1"/>
                <wp:lineTo x="0" y="21599"/>
                <wp:lineTo x="21600" y="21599"/>
                <wp:lineTo x="21600" y="1"/>
                <wp:lineTo x="0" y="1"/>
              </wp:wrapPolygon>
            </wp:wrapThrough>
            <wp:docPr id="1073741866" name="officeArt object" descr="ChatGPT Image Aug 9, 2026 at 01_03_24 PM.png"/>
            <wp:cNvGraphicFramePr/>
            <a:graphic xmlns:a="http://schemas.openxmlformats.org/drawingml/2006/main">
              <a:graphicData uri="http://schemas.openxmlformats.org/drawingml/2006/picture">
                <pic:pic xmlns:pic="http://schemas.openxmlformats.org/drawingml/2006/picture">
                  <pic:nvPicPr>
                    <pic:cNvPr id="1073741866" name="ChatGPT Image Aug 9, 2026 at 01_03_24 PM.png" descr="ChatGPT Image Aug 9, 2026 at 01_03_24 PM.png"/>
                    <pic:cNvPicPr>
                      <a:picLocks noChangeAspect="1"/>
                    </pic:cNvPicPr>
                  </pic:nvPicPr>
                  <pic:blipFill>
                    <a:blip r:embed="rId10">
                      <a:extLst/>
                    </a:blip>
                    <a:srcRect l="9511" t="0" r="0" b="0"/>
                    <a:stretch>
                      <a:fillRect/>
                    </a:stretch>
                  </pic:blipFill>
                  <pic:spPr>
                    <a:xfrm>
                      <a:off x="0" y="0"/>
                      <a:ext cx="2104660" cy="3488846"/>
                    </a:xfrm>
                    <a:prstGeom prst="rect">
                      <a:avLst/>
                    </a:prstGeom>
                    <a:ln w="12700" cap="flat">
                      <a:noFill/>
                      <a:miter lim="400000"/>
                    </a:ln>
                    <a:effectLst/>
                  </pic:spPr>
                </pic:pic>
              </a:graphicData>
            </a:graphic>
          </wp:anchor>
        </w:drawing>
      </w:r>
    </w:p>
    <w:p>
      <w:pPr>
        <w:pStyle w:val="Default"/>
        <w:suppressAutoHyphens w:val="1"/>
        <w:spacing w:before="0" w:after="240" w:line="240" w:lineRule="auto"/>
        <w:jc w:val="both"/>
        <w:rPr>
          <w:rFonts w:ascii="Arial" w:cs="Arial" w:hAnsi="Arial" w:eastAsia="Arial"/>
          <w:sz w:val="26"/>
          <w:szCs w:val="26"/>
        </w:rPr>
      </w:pPr>
      <w:r>
        <w:rPr>
          <w:rFonts w:ascii="Arial" w:hAnsi="Arial"/>
          <w:b w:val="1"/>
          <w:bCs w:val="1"/>
          <w:outline w:val="0"/>
          <w:color w:val="4f87a1"/>
          <w:sz w:val="26"/>
          <w:szCs w:val="26"/>
          <w:rtl w:val="0"/>
          <w:lang w:val="en-US"/>
          <w14:textFill>
            <w14:solidFill>
              <w14:srgbClr w14:val="5088A1"/>
            </w14:solidFill>
          </w14:textFill>
        </w:rPr>
        <w:t xml:space="preserve">Incident Response.   </w:t>
      </w:r>
      <w:r>
        <w:rPr>
          <w:rFonts w:ascii="Arial" w:hAnsi="Arial"/>
          <w:b w:val="1"/>
          <w:bCs w:val="1"/>
          <w:sz w:val="26"/>
          <w:szCs w:val="26"/>
          <w:rtl w:val="0"/>
          <w:lang w:val="en-US"/>
        </w:rPr>
        <w:t xml:space="preserve">                                      </w:t>
      </w:r>
      <w:r>
        <w:rPr>
          <w:rFonts w:ascii="Arial" w:cs="Arial" w:hAnsi="Arial" w:eastAsia="Arial"/>
          <w:sz w:val="26"/>
          <w:szCs w:val="26"/>
        </w:rPr>
        <w:br w:type="textWrapping"/>
      </w:r>
      <w:r>
        <w:rPr>
          <w:rFonts w:ascii="Arial" w:hAnsi="Arial"/>
          <w:sz w:val="26"/>
          <w:szCs w:val="26"/>
          <w:rtl w:val="0"/>
          <w:lang w:val="en-US"/>
        </w:rPr>
        <w:t xml:space="preserve">A documented incident-response process should define responsibilities and escalation across six stages: </w:t>
      </w:r>
      <w:r>
        <w:rPr>
          <w:rFonts w:ascii="Arial" w:hAnsi="Arial"/>
          <w:b w:val="1"/>
          <w:bCs w:val="1"/>
          <w:i w:val="1"/>
          <w:iCs w:val="1"/>
          <w:outline w:val="0"/>
          <w:color w:val="52905a"/>
          <w:sz w:val="26"/>
          <w:szCs w:val="26"/>
          <w:rtl w:val="0"/>
          <w:lang w:val="en-US"/>
          <w14:textFill>
            <w14:solidFill>
              <w14:srgbClr w14:val="53905B"/>
            </w14:solidFill>
          </w14:textFill>
        </w:rPr>
        <w:t>Preparation, Detection and Analysis</w:t>
      </w:r>
      <w:r>
        <w:rPr>
          <w:rFonts w:ascii="Arial" w:hAnsi="Arial"/>
          <w:b w:val="1"/>
          <w:bCs w:val="1"/>
          <w:i w:val="1"/>
          <w:iCs w:val="1"/>
          <w:outline w:val="0"/>
          <w:color w:val="87ceea"/>
          <w:sz w:val="26"/>
          <w:szCs w:val="26"/>
          <w:rtl w:val="0"/>
          <w:lang w:val="en-US"/>
          <w14:textFill>
            <w14:solidFill>
              <w14:srgbClr w14:val="87CFEA"/>
            </w14:solidFill>
          </w14:textFill>
        </w:rPr>
        <w:t xml:space="preserve">, </w:t>
      </w:r>
      <w:r>
        <w:rPr>
          <w:rFonts w:ascii="Arial" w:hAnsi="Arial"/>
          <w:b w:val="1"/>
          <w:bCs w:val="1"/>
          <w:i w:val="1"/>
          <w:iCs w:val="1"/>
          <w:outline w:val="0"/>
          <w:color w:val="52905a"/>
          <w:sz w:val="26"/>
          <w:szCs w:val="26"/>
          <w:rtl w:val="0"/>
          <w:lang w:val="en-US"/>
          <w14:textFill>
            <w14:solidFill>
              <w14:srgbClr w14:val="53905B"/>
            </w14:solidFill>
          </w14:textFill>
        </w:rPr>
        <w:t>Containment, Eradication, Recovery, and</w:t>
      </w:r>
      <w:r>
        <w:rPr>
          <w:rFonts w:ascii="Arial" w:hAnsi="Arial"/>
          <w:b w:val="1"/>
          <w:bCs w:val="1"/>
          <w:i w:val="1"/>
          <w:iCs w:val="1"/>
          <w:outline w:val="0"/>
          <w:color w:val="87ceea"/>
          <w:sz w:val="26"/>
          <w:szCs w:val="26"/>
          <w:rtl w:val="0"/>
          <w:lang w:val="en-US"/>
          <w14:textFill>
            <w14:solidFill>
              <w14:srgbClr w14:val="87CFEA"/>
            </w14:solidFill>
          </w14:textFill>
        </w:rPr>
        <w:t xml:space="preserve"> </w:t>
      </w:r>
      <w:r>
        <w:rPr>
          <w:rFonts w:ascii="Arial" w:hAnsi="Arial"/>
          <w:b w:val="1"/>
          <w:bCs w:val="1"/>
          <w:i w:val="1"/>
          <w:iCs w:val="1"/>
          <w:outline w:val="0"/>
          <w:color w:val="52905a"/>
          <w:sz w:val="26"/>
          <w:szCs w:val="26"/>
          <w:rtl w:val="0"/>
          <w:lang w:val="en-US"/>
          <w14:textFill>
            <w14:solidFill>
              <w14:srgbClr w14:val="53905B"/>
            </w14:solidFill>
          </w14:textFill>
        </w:rPr>
        <w:t>Lessons Learned</w:t>
      </w:r>
      <w:r>
        <w:rPr>
          <w:rFonts w:ascii="Arial" w:hAnsi="Arial"/>
          <w:i w:val="1"/>
          <w:iCs w:val="1"/>
          <w:outline w:val="0"/>
          <w:color w:val="87ceea"/>
          <w:sz w:val="26"/>
          <w:szCs w:val="26"/>
          <w:rtl w:val="0"/>
          <w:lang w:val="en-US"/>
          <w14:textFill>
            <w14:solidFill>
              <w14:srgbClr w14:val="87CFEA"/>
            </w14:solidFill>
          </w14:textFill>
        </w:rPr>
        <w:t>.</w:t>
      </w:r>
      <w:r>
        <w:rPr>
          <w:rFonts w:ascii="Arial" w:hAnsi="Arial"/>
          <w:sz w:val="26"/>
          <w:szCs w:val="26"/>
          <w:rtl w:val="0"/>
          <w:lang w:val="en-US"/>
        </w:rPr>
        <w:t xml:space="preserve"> Preparation should establish plans, roles, tools, and training; detection should use monitoring, SIEM, and EDR to assess suspicious activity; containment should isolate affected accounts, devices, or systems; eradication should remove malicious activity and remediate vulnerabilities; recovery should safely restore operations; and lessons learned should improve policies, controls, and future risk assessments [10]. Serious incidents involving sensitive information or significant business disruption should be escalated from the SOC Manager to the CISO and senior management.</w:t>
      </w:r>
    </w:p>
    <w:p>
      <w:pPr>
        <w:pStyle w:val="Default"/>
        <w:suppressAutoHyphens w:val="1"/>
        <w:spacing w:before="0" w:after="240" w:line="240" w:lineRule="auto"/>
        <w:jc w:val="both"/>
        <w:rPr>
          <w:rFonts w:ascii="Arial" w:cs="Arial" w:hAnsi="Arial" w:eastAsia="Arial"/>
          <w:sz w:val="26"/>
          <w:szCs w:val="26"/>
        </w:rPr>
      </w:pPr>
    </w:p>
    <w:p>
      <w:pPr>
        <w:pStyle w:val="Default"/>
        <w:suppressAutoHyphens w:val="1"/>
        <w:spacing w:before="0" w:after="240" w:line="240" w:lineRule="auto"/>
        <w:jc w:val="both"/>
        <w:rPr>
          <w:rFonts w:ascii="Arial" w:cs="Arial" w:hAnsi="Arial" w:eastAsia="Arial"/>
          <w:sz w:val="26"/>
          <w:szCs w:val="26"/>
        </w:rPr>
      </w:pPr>
    </w:p>
    <w:p>
      <w:pPr>
        <w:pStyle w:val="Default"/>
        <w:suppressAutoHyphens w:val="1"/>
        <w:spacing w:before="0" w:after="240" w:line="240" w:lineRule="auto"/>
        <w:jc w:val="both"/>
        <w:rPr>
          <w:rFonts w:ascii="Arial" w:cs="Arial" w:hAnsi="Arial" w:eastAsia="Arial"/>
          <w:sz w:val="26"/>
          <w:szCs w:val="26"/>
        </w:rPr>
      </w:pPr>
    </w:p>
    <w:p>
      <w:pPr>
        <w:pStyle w:val="Default"/>
        <w:suppressAutoHyphens w:val="1"/>
        <w:spacing w:before="0" w:after="240" w:line="240" w:lineRule="auto"/>
        <w:jc w:val="both"/>
        <w:rPr>
          <w:rFonts w:ascii="Arial" w:cs="Arial" w:hAnsi="Arial" w:eastAsia="Arial"/>
          <w:sz w:val="26"/>
          <w:szCs w:val="26"/>
        </w:rPr>
      </w:pPr>
      <w:r>
        <w:rPr>
          <w:rFonts w:ascii="Arial" w:hAnsi="Arial"/>
          <w:b w:val="1"/>
          <w:bCs w:val="1"/>
          <w:outline w:val="0"/>
          <w:color w:val="4f87a1"/>
          <w:sz w:val="26"/>
          <w:szCs w:val="26"/>
          <w:rtl w:val="0"/>
          <w:lang w:val="en-US"/>
          <w14:textFill>
            <w14:solidFill>
              <w14:srgbClr w14:val="5088A1"/>
            </w14:solidFill>
          </w14:textFill>
        </w:rPr>
        <w:t>Preventive and Detective Controls</w:t>
      </w:r>
      <w:r>
        <w:rPr>
          <w:rFonts w:ascii="Arial" w:cs="Arial" w:hAnsi="Arial" w:eastAsia="Arial"/>
          <w:sz w:val="26"/>
          <w:szCs w:val="26"/>
        </w:rPr>
        <w:br w:type="textWrapping"/>
      </w:r>
      <w:r>
        <w:rPr>
          <w:rFonts w:ascii="Arial" w:hAnsi="Arial"/>
          <w:sz w:val="26"/>
          <w:szCs w:val="26"/>
          <w:rtl w:val="0"/>
          <w:lang w:val="en-US"/>
        </w:rPr>
        <w:t>Preventive controls should include MFA, least privilege, patch management, secure configuration, network segmentation, encryption, and secure software development. Patch management is particularly important because the Equifax breach involved exploitation of a known vulnerability [13], [18]. Detective controls such as centralised logging, SIEM, EDR, vulnerability scanning, and network monitoring should identify suspicious activity and high-risk events for rapid investigation.Centralised monitoring, SIEM, and EDR can reduce attacker dwell time by detecting suspicious activity earlier, while rapid containment can limit data exposure and organisational impact.</w:t>
      </w:r>
    </w:p>
    <w:p>
      <w:pPr>
        <w:pStyle w:val="Default"/>
        <w:suppressAutoHyphens w:val="1"/>
        <w:spacing w:before="0" w:after="240" w:line="240" w:lineRule="auto"/>
        <w:jc w:val="both"/>
        <w:rPr>
          <w:rFonts w:ascii="Arial" w:cs="Arial" w:hAnsi="Arial" w:eastAsia="Arial"/>
          <w:sz w:val="26"/>
          <w:szCs w:val="26"/>
        </w:rPr>
      </w:pPr>
      <w:r>
        <w:rPr>
          <w:rFonts w:ascii="Arial" w:hAnsi="Arial"/>
          <w:b w:val="1"/>
          <w:bCs w:val="1"/>
          <w:sz w:val="26"/>
          <w:szCs w:val="26"/>
          <w:rtl w:val="0"/>
          <w:lang w:val="en-US"/>
        </w:rPr>
        <w:t>Responsive and Automated Controls</w:t>
      </w:r>
      <w:r>
        <w:rPr>
          <w:rFonts w:ascii="Arial" w:cs="Arial" w:hAnsi="Arial" w:eastAsia="Arial"/>
          <w:sz w:val="26"/>
          <w:szCs w:val="26"/>
        </w:rPr>
        <w:br w:type="textWrapping"/>
      </w:r>
      <w:r>
        <w:rPr>
          <w:rFonts w:ascii="Arial" w:hAnsi="Arial"/>
          <w:sz w:val="26"/>
          <w:szCs w:val="26"/>
          <w:rtl w:val="0"/>
          <w:lang w:val="en-US"/>
        </w:rPr>
        <w:t>Automated responses can improve speed by restricting suspicious accounts, isolating compromised endpoints, blocking malicious activity, and escalating critical alerts. However, high-impact automation should use defined conditions, logging, and human oversight because incorrect actions could disrupt legitimate business operations.</w:t>
      </w:r>
    </w:p>
    <w:p>
      <w:pPr>
        <w:pStyle w:val="Default"/>
        <w:suppressAutoHyphens w:val="1"/>
        <w:spacing w:before="0" w:after="240" w:line="240" w:lineRule="auto"/>
        <w:jc w:val="both"/>
        <w:rPr>
          <w:rFonts w:ascii="Arial" w:cs="Arial" w:hAnsi="Arial" w:eastAsia="Arial"/>
          <w:sz w:val="26"/>
          <w:szCs w:val="26"/>
        </w:rPr>
      </w:pPr>
      <w:r>
        <w:rPr>
          <w:rFonts w:ascii="Arial" w:hAnsi="Arial"/>
          <w:sz w:val="26"/>
          <w:szCs w:val="26"/>
          <w:rtl w:val="0"/>
          <w:lang w:val="en-US"/>
        </w:rPr>
        <w:t>These controls should be linked to identified risks rather than implemented without justification. Vulnerability scanning and patching reduce exposure to known weaknesses; asset management improves visibility; segmentation and least privilege restrict lateral movement; monitoring supports detection; and incident response reduces the impact of successful compromise. This risk-based approach is consistent with NIST CSF 2.0 [10].</w:t>
      </w:r>
    </w:p>
    <w:p>
      <w:pPr>
        <w:pStyle w:val="Default"/>
        <w:suppressAutoHyphens w:val="1"/>
        <w:spacing w:before="0" w:after="240" w:line="240" w:lineRule="auto"/>
        <w:jc w:val="both"/>
        <w:rPr>
          <w:rFonts w:ascii="Arial" w:cs="Arial" w:hAnsi="Arial" w:eastAsia="Arial"/>
          <w:sz w:val="26"/>
          <w:szCs w:val="26"/>
        </w:rPr>
      </w:pPr>
      <w:r>
        <w:rPr>
          <w:rFonts w:ascii="Arial" w:hAnsi="Arial"/>
          <w:sz w:val="26"/>
          <w:szCs w:val="26"/>
          <w:rtl w:val="0"/>
          <w:lang w:val="en-US"/>
        </w:rPr>
        <w:t>Overall, compliance, incident response, and technical controls should operate as connected components of the cybersecurity programme. The Equifax breach demonstrates that individual controls are insufficient when vulnerability remediation, monitoring, and governance processes fail [13], [18].</w:t>
      </w:r>
    </w:p>
    <w:p>
      <w:pPr>
        <w:pStyle w:val="Default"/>
        <w:suppressAutoHyphens w:val="1"/>
        <w:spacing w:before="0" w:after="240" w:line="240" w:lineRule="auto"/>
        <w:jc w:val="both"/>
        <w:rPr>
          <w:rFonts w:ascii="Arial" w:cs="Arial" w:hAnsi="Arial" w:eastAsia="Arial"/>
          <w:b w:val="1"/>
          <w:bCs w:val="1"/>
          <w:i w:val="1"/>
          <w:iCs w:val="1"/>
          <w:outline w:val="0"/>
          <w:color w:val="8ab0c1"/>
          <w:sz w:val="30"/>
          <w:szCs w:val="30"/>
          <w:u w:color="8ab0c1"/>
          <w14:textFill>
            <w14:solidFill>
              <w14:srgbClr w14:val="8AB0C1"/>
            </w14:solidFill>
          </w14:textFill>
        </w:rPr>
      </w:pPr>
      <w:r>
        <w:rPr>
          <w:rFonts w:ascii="Times Roman" w:cs="Times Roman" w:hAnsi="Times Roman" w:eastAsia="Times Roman"/>
        </w:rPr>
        <w:drawing xmlns:a="http://schemas.openxmlformats.org/drawingml/2006/main">
          <wp:anchor distT="152400" distB="152400" distL="152400" distR="152400" simplePos="0" relativeHeight="251666432" behindDoc="0" locked="0" layoutInCell="1" allowOverlap="1">
            <wp:simplePos x="0" y="0"/>
            <wp:positionH relativeFrom="page">
              <wp:posOffset>908050</wp:posOffset>
            </wp:positionH>
            <wp:positionV relativeFrom="line">
              <wp:posOffset>493394</wp:posOffset>
            </wp:positionV>
            <wp:extent cx="5970286" cy="2641307"/>
            <wp:effectExtent l="0" t="0" r="0" b="0"/>
            <wp:wrapTopAndBottom distT="152400" distB="152400"/>
            <wp:docPr id="1073741867" name="officeArt object" descr="Crop 5.jpg"/>
            <wp:cNvGraphicFramePr/>
            <a:graphic xmlns:a="http://schemas.openxmlformats.org/drawingml/2006/main">
              <a:graphicData uri="http://schemas.openxmlformats.org/drawingml/2006/picture">
                <pic:pic xmlns:pic="http://schemas.openxmlformats.org/drawingml/2006/picture">
                  <pic:nvPicPr>
                    <pic:cNvPr id="1073741867" name="Crop 5.jpg" descr="Crop 5.jpg"/>
                    <pic:cNvPicPr>
                      <a:picLocks noChangeAspect="1"/>
                    </pic:cNvPicPr>
                  </pic:nvPicPr>
                  <pic:blipFill>
                    <a:blip r:embed="rId11">
                      <a:extLst/>
                    </a:blip>
                    <a:stretch>
                      <a:fillRect/>
                    </a:stretch>
                  </pic:blipFill>
                  <pic:spPr>
                    <a:xfrm>
                      <a:off x="0" y="0"/>
                      <a:ext cx="5970286" cy="2641307"/>
                    </a:xfrm>
                    <a:prstGeom prst="rect">
                      <a:avLst/>
                    </a:prstGeom>
                    <a:ln w="12700" cap="flat">
                      <a:noFill/>
                      <a:miter lim="400000"/>
                    </a:ln>
                    <a:effectLst>
                      <a:outerShdw sx="100000" sy="100000" kx="0" ky="0" algn="b" rotWithShape="0" blurRad="254000" dist="127000" dir="16200000">
                        <a:srgbClr val="000000">
                          <a:alpha val="70000"/>
                        </a:srgbClr>
                      </a:outerShdw>
                    </a:effectLst>
                  </pic:spPr>
                </pic:pic>
              </a:graphicData>
            </a:graphic>
          </wp:anchor>
        </w:drawing>
      </w:r>
    </w:p>
    <w:p>
      <w:pPr>
        <w:pStyle w:val="Default"/>
        <w:suppressAutoHyphens w:val="1"/>
        <w:spacing w:before="0" w:line="240" w:lineRule="auto"/>
        <w:jc w:val="both"/>
        <w:rPr>
          <w:rFonts w:ascii="Arial" w:cs="Arial" w:hAnsi="Arial" w:eastAsia="Arial"/>
          <w:sz w:val="28"/>
          <w:szCs w:val="28"/>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b w:val="1"/>
          <w:bCs w:val="1"/>
          <w:outline w:val="0"/>
          <w:color w:val="156082"/>
          <w:sz w:val="30"/>
          <w:szCs w:val="30"/>
          <w:u w:color="156082"/>
          <w14:textFill>
            <w14:solidFill>
              <w14:srgbClr w14:val="156082"/>
            </w14:solidFill>
          </w14:textFill>
        </w:rPr>
      </w:pPr>
      <w:r>
        <w:rPr>
          <w:rFonts w:ascii="Arial" w:hAnsi="Arial"/>
          <w:b w:val="1"/>
          <w:bCs w:val="1"/>
          <w:outline w:val="0"/>
          <w:color w:val="156082"/>
          <w:sz w:val="30"/>
          <w:szCs w:val="30"/>
          <w:u w:color="156082"/>
          <w:rtl w:val="0"/>
          <w:lang w:val="en-US"/>
          <w14:textFill>
            <w14:solidFill>
              <w14:srgbClr w14:val="156082"/>
            </w14:solidFill>
          </w14:textFill>
        </w:rPr>
        <w:t>Analysis of the Security Failures: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suppressAutoHyphens w:val="1"/>
        <w:spacing w:before="0" w:after="240" w:line="240" w:lineRule="auto"/>
        <w:jc w:val="both"/>
        <w:rPr>
          <w:rFonts w:ascii="Arial" w:cs="Arial" w:hAnsi="Arial" w:eastAsia="Arial"/>
          <w:outline w:val="0"/>
          <w:color w:val="000000"/>
          <w:sz w:val="26"/>
          <w:szCs w:val="26"/>
          <w:u w:color="000000"/>
          <w14:textFill>
            <w14:solidFill>
              <w14:srgbClr w14:val="000000"/>
            </w14:solidFill>
          </w14:textFill>
        </w:rPr>
      </w:pPr>
      <w:r>
        <w:rPr>
          <w:rFonts w:ascii="Arial" w:hAnsi="Arial"/>
          <w:outline w:val="0"/>
          <w:color w:val="000000"/>
          <w:sz w:val="26"/>
          <w:szCs w:val="26"/>
          <w:u w:color="000000"/>
          <w:rtl w:val="0"/>
          <w:lang w:val="en-US"/>
          <w14:textFill>
            <w14:solidFill>
              <w14:srgbClr w14:val="000000"/>
            </w14:solidFill>
          </w14:textFill>
        </w:rPr>
        <w:t>The Equifax breach was not caused by a single technical failure. Although attackers exploited a known Apache Struts vulnerability, the scale of the incident reflected weaknesses in patch management, asset visibility, monitoring, governance, and risk management [13].</w:t>
      </w:r>
    </w:p>
    <w:p>
      <w:pPr>
        <w:pStyle w:val="Default"/>
        <w:suppressAutoHyphens w:val="1"/>
        <w:spacing w:before="0" w:after="240" w:line="240" w:lineRule="auto"/>
        <w:jc w:val="both"/>
        <w:rPr>
          <w:rFonts w:ascii="Arial" w:cs="Arial" w:hAnsi="Arial" w:eastAsia="Arial"/>
          <w:outline w:val="0"/>
          <w:color w:val="000000"/>
          <w:sz w:val="26"/>
          <w:szCs w:val="26"/>
          <w:u w:color="000000"/>
          <w14:textFill>
            <w14:solidFill>
              <w14:srgbClr w14:val="000000"/>
            </w14:solidFill>
          </w14:textFill>
        </w:rPr>
      </w:pPr>
      <w:r>
        <w:rPr>
          <w:rFonts w:ascii="Arial" w:hAnsi="Arial"/>
          <w:outline w:val="0"/>
          <w:color w:val="000000"/>
          <w:sz w:val="26"/>
          <w:szCs w:val="26"/>
          <w:u w:color="000000"/>
          <w:rtl w:val="0"/>
          <w:lang w:val="en-US"/>
          <w14:textFill>
            <w14:solidFill>
              <w14:srgbClr w14:val="000000"/>
            </w14:solidFill>
          </w14:textFill>
        </w:rPr>
        <w:t>The most significant failure was not the absence of a technical solution, because a security patch was already available. Instead, Equifax failed to ensure that the vulnerable internet-facing system was successfully remediated [13]. This indicates a wider process and accountability problem: identifying a vulnerability provides limited protection if responsibility, remediation deadlines, verification, and escalation are ineffective.</w:t>
      </w:r>
    </w:p>
    <w:p>
      <w:pPr>
        <w:pStyle w:val="Default"/>
        <w:suppressAutoHyphens w:val="1"/>
        <w:spacing w:before="0" w:after="240" w:line="240" w:lineRule="auto"/>
        <w:jc w:val="both"/>
        <w:rPr>
          <w:rFonts w:ascii="Arial" w:cs="Arial" w:hAnsi="Arial" w:eastAsia="Arial"/>
          <w:outline w:val="0"/>
          <w:color w:val="000000"/>
          <w:sz w:val="26"/>
          <w:szCs w:val="26"/>
          <w:u w:color="000000"/>
          <w14:textFill>
            <w14:solidFill>
              <w14:srgbClr w14:val="000000"/>
            </w14:solidFill>
          </w14:textFill>
        </w:rPr>
      </w:pPr>
      <w:r>
        <w:rPr>
          <w:rFonts w:ascii="Arial" w:hAnsi="Arial"/>
          <w:outline w:val="0"/>
          <w:color w:val="000000"/>
          <w:sz w:val="26"/>
          <w:szCs w:val="26"/>
          <w:u w:color="000000"/>
          <w:rtl w:val="0"/>
          <w:lang w:val="en-US"/>
          <w14:textFill>
            <w14:solidFill>
              <w14:srgbClr w14:val="000000"/>
            </w14:solidFill>
          </w14:textFill>
        </w:rPr>
        <w:t>Asset visibility and monitoring weaknesses increased this risk. Organisations cannot reliably patch or protect systems they do not accurately identify, while ineffective monitoring can allow attackers to remain undetected after initial compromise. In the Equifax case, malicious activity continued for several weeks before detection [13].</w:t>
      </w:r>
    </w:p>
    <w:p>
      <w:pPr>
        <w:pStyle w:val="Default"/>
        <w:suppressAutoHyphens w:val="1"/>
        <w:spacing w:before="0" w:after="240" w:line="240" w:lineRule="auto"/>
        <w:jc w:val="both"/>
        <w:rPr>
          <w:rFonts w:ascii="Arial" w:cs="Arial" w:hAnsi="Arial" w:eastAsia="Arial"/>
          <w:outline w:val="0"/>
          <w:color w:val="000000"/>
          <w:sz w:val="26"/>
          <w:szCs w:val="26"/>
          <w:u w:color="000000"/>
          <w14:textFill>
            <w14:solidFill>
              <w14:srgbClr w14:val="000000"/>
            </w14:solidFill>
          </w14:textFill>
        </w:rPr>
      </w:pPr>
      <w:r>
        <w:rPr>
          <w:rFonts w:ascii="Arial" w:hAnsi="Arial"/>
          <w:outline w:val="0"/>
          <w:color w:val="000000"/>
          <w:sz w:val="26"/>
          <w:szCs w:val="26"/>
          <w:u w:color="000000"/>
          <w:rtl w:val="0"/>
          <w:lang w:val="en-US"/>
          <w14:textFill>
            <w14:solidFill>
              <w14:srgbClr w14:val="000000"/>
            </w14:solidFill>
          </w14:textFill>
        </w:rPr>
        <w:t>These failures were therefore interconnected rather than independent. Weak asset visibility affected vulnerability management; ineffective remediation left the application exposed; limited monitoring increased the time available to attackers; and governance weaknesses reduced assurance that critical risks had been addressed [10], [13]. The breach demonstrates why cybersecurity requires coordinated technical controls, clear ownership, verification, and management oversight rather than reliance on individual security technologies.</w:t>
      </w:r>
    </w:p>
    <w:p>
      <w:pPr>
        <w:pStyle w:val="Default"/>
        <w:suppressAutoHyphens w:val="1"/>
        <w:spacing w:before="0" w:after="240" w:line="240" w:lineRule="auto"/>
        <w:jc w:val="both"/>
        <w:rPr>
          <w:rFonts w:ascii="Arial" w:cs="Arial" w:hAnsi="Arial" w:eastAsia="Arial"/>
          <w:outline w:val="0"/>
          <w:color w:val="000000"/>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r>
        <w:rPr>
          <w:rFonts w:ascii="Arial" w:hAnsi="Arial"/>
          <w:b w:val="1"/>
          <w:bCs w:val="1"/>
          <w:outline w:val="0"/>
          <w:color w:val="156082"/>
          <w:sz w:val="30"/>
          <w:szCs w:val="30"/>
          <w:u w:color="156082"/>
          <w:rtl w:val="0"/>
          <w:lang w:val="en-US"/>
          <w14:textFill>
            <w14:solidFill>
              <w14:srgbClr w14:val="156082"/>
            </w14:solidFill>
          </w14:textFill>
        </w:rPr>
        <w:t>Critical Evaluation:</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sz w:val="26"/>
          <w:szCs w:val="26"/>
        </w:rPr>
      </w:pPr>
      <w:r>
        <w:rPr>
          <w:rFonts w:ascii="Arial" w:hAnsi="Arial"/>
          <w:sz w:val="26"/>
          <w:szCs w:val="26"/>
          <w:rtl w:val="0"/>
          <w:lang w:val="en-US"/>
        </w:rPr>
        <w:t>The proposed cybersecurity programme could reduce Equifax's exposure to similar incidents, but no framework or technology can eliminate cyber risk. Its effectiveness therefore depends on how consistently security controls are implemented, monitored, and improved.</w:t>
      </w:r>
    </w:p>
    <w:p>
      <w:pPr>
        <w:pStyle w:val="Default"/>
        <w:suppressAutoHyphens w:val="1"/>
        <w:spacing w:before="0" w:after="240" w:line="240" w:lineRule="auto"/>
        <w:jc w:val="both"/>
        <w:rPr>
          <w:rFonts w:ascii="Arial" w:cs="Arial" w:hAnsi="Arial" w:eastAsia="Arial"/>
          <w:outline w:val="0"/>
          <w:color w:val="000000"/>
          <w:sz w:val="26"/>
          <w:szCs w:val="26"/>
          <w:u w:color="000000"/>
          <w14:textFill>
            <w14:solidFill>
              <w14:srgbClr w14:val="000000"/>
            </w14:solidFill>
          </w14:textFill>
        </w:rPr>
      </w:pPr>
      <w:r>
        <w:rPr>
          <w:rFonts w:ascii="Arial" w:hAnsi="Arial"/>
          <w:outline w:val="0"/>
          <w:color w:val="000000"/>
          <w:sz w:val="26"/>
          <w:szCs w:val="26"/>
          <w:u w:color="000000"/>
          <w:rtl w:val="0"/>
          <w:lang w:val="en-US"/>
          <w14:textFill>
            <w14:solidFill>
              <w14:srgbClr w14:val="000000"/>
            </w14:solidFill>
          </w14:textFill>
        </w:rPr>
        <w:t>NIST CSF 2.0 provides a useful structure for governance, risk identification, protection, detection, response, and recovery [10]. Its risk-based approach allows cybersecurity activities to be aligned with organisational priorities. However, adopting a framework does not guarantee effective security. The Equifax breach demonstrates this limitation because a security patch was available, but operational and management processes failed to ensure that the vulnerable system was successfully remediated [13].</w:t>
      </w:r>
    </w:p>
    <w:p>
      <w:pPr>
        <w:pStyle w:val="Default"/>
        <w:suppressAutoHyphens w:val="1"/>
        <w:spacing w:before="0" w:after="240" w:line="240" w:lineRule="auto"/>
        <w:jc w:val="both"/>
        <w:rPr>
          <w:rFonts w:ascii="Arial" w:cs="Arial" w:hAnsi="Arial" w:eastAsia="Arial"/>
          <w:outline w:val="0"/>
          <w:color w:val="000000"/>
          <w:sz w:val="26"/>
          <w:szCs w:val="26"/>
          <w:u w:color="000000"/>
          <w14:textFill>
            <w14:solidFill>
              <w14:srgbClr w14:val="000000"/>
            </w14:solidFill>
          </w14:textFill>
        </w:rPr>
      </w:pPr>
      <w:r>
        <w:rPr>
          <w:rFonts w:ascii="Arial" w:hAnsi="Arial"/>
          <w:outline w:val="0"/>
          <w:color w:val="000000"/>
          <w:sz w:val="26"/>
          <w:szCs w:val="26"/>
          <w:u w:color="000000"/>
          <w:rtl w:val="0"/>
          <w:lang w:val="en-US"/>
          <w14:textFill>
            <w14:solidFill>
              <w14:srgbClr w14:val="000000"/>
            </w14:solidFill>
          </w14:textFill>
        </w:rPr>
        <w:t>Zero Trust can strengthen this approach through continuous verification, least privilege, and segmentation, which can reduce unauthorised access and lateral movement [1], [9]. However, Zero Trust cannot compensate for weaknesses in fundamental practices such as vulnerability and patch management. It can also increase cost and complexity, particularly where organisations operate legacy systems or lack skilled cybersecurity personnel [9], [11].</w:t>
      </w:r>
    </w:p>
    <w:p>
      <w:pPr>
        <w:pStyle w:val="Default"/>
        <w:suppressAutoHyphens w:val="1"/>
        <w:spacing w:before="0" w:after="240" w:line="240" w:lineRule="auto"/>
        <w:jc w:val="both"/>
        <w:rPr>
          <w:rFonts w:ascii="Arial" w:cs="Arial" w:hAnsi="Arial" w:eastAsia="Arial"/>
          <w:outline w:val="0"/>
          <w:color w:val="000000"/>
          <w:sz w:val="26"/>
          <w:szCs w:val="26"/>
          <w:u w:color="000000"/>
          <w14:textFill>
            <w14:solidFill>
              <w14:srgbClr w14:val="000000"/>
            </w14:solidFill>
          </w14:textFill>
        </w:rPr>
      </w:pPr>
      <w:r>
        <w:rPr>
          <w:rFonts w:ascii="Arial" w:hAnsi="Arial"/>
          <w:outline w:val="0"/>
          <w:color w:val="000000"/>
          <w:sz w:val="26"/>
          <w:szCs w:val="26"/>
          <w:u w:color="000000"/>
          <w:rtl w:val="0"/>
          <w:lang w:val="en-US"/>
          <w14:textFill>
            <w14:solidFill>
              <w14:srgbClr w14:val="000000"/>
            </w14:solidFill>
          </w14:textFill>
        </w:rPr>
        <w:t>Therefore, the strongest approach is not to rely on a single framework or technology. Effective cybersecurity requires NIST-based governance and risk management, selected Zero Trust controls, and fundamental practices such as patching, monitoring, and incident response. Continuous management oversight is necessary to ensure that documented security requirements operate effectively in practice.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sz w:val="26"/>
          <w:szCs w:val="26"/>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r>
        <w:rPr>
          <w:rFonts w:ascii="Arial" w:hAnsi="Arial"/>
          <w:b w:val="1"/>
          <w:bCs w:val="1"/>
          <w:outline w:val="0"/>
          <w:color w:val="156082"/>
          <w:sz w:val="30"/>
          <w:szCs w:val="30"/>
          <w:u w:color="156082"/>
          <w:rtl w:val="0"/>
          <w:lang w:val="en-US"/>
          <w14:textFill>
            <w14:solidFill>
              <w14:srgbClr w14:val="156082"/>
            </w14:solidFill>
          </w14:textFill>
        </w:rPr>
        <w:t>Recommended Cybersecurity Framework for Equifax:</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suppressAutoHyphens w:val="1"/>
        <w:spacing w:before="0" w:after="240" w:line="240" w:lineRule="auto"/>
        <w:jc w:val="both"/>
        <w:rPr>
          <w:rFonts w:ascii="Arial" w:cs="Arial" w:hAnsi="Arial" w:eastAsia="Arial"/>
          <w:sz w:val="26"/>
          <w:szCs w:val="26"/>
        </w:rPr>
      </w:pPr>
      <w:r>
        <w:rPr>
          <w:rFonts w:ascii="Arial" w:hAnsi="Arial"/>
          <w:sz w:val="26"/>
          <w:szCs w:val="26"/>
          <w:rtl w:val="0"/>
          <w:lang w:val="en-US"/>
        </w:rPr>
        <w:t xml:space="preserve">Based on the weaknesses identified in the Equifax breach, the recommended approach is to combine </w:t>
      </w:r>
      <w:r>
        <w:rPr>
          <w:rFonts w:ascii="Arial" w:hAnsi="Arial"/>
          <w:b w:val="1"/>
          <w:bCs w:val="1"/>
          <w:sz w:val="26"/>
          <w:szCs w:val="26"/>
          <w:rtl w:val="0"/>
          <w:lang w:val="en-US"/>
        </w:rPr>
        <w:t>NIST CSF 2.0 with selected Zero Trust principles</w:t>
      </w:r>
      <w:r>
        <w:rPr>
          <w:rFonts w:ascii="Arial" w:hAnsi="Arial"/>
          <w:sz w:val="26"/>
          <w:szCs w:val="26"/>
          <w:rtl w:val="0"/>
          <w:lang w:val="en-US"/>
        </w:rPr>
        <w:t>. NIST CSF 2.0 provides the overall structure for governance, risk management, protection, detection, response, and recovery, while Zero Trust strengthens access control through continuous verification, least privilege, and segmentation [1], [10].</w:t>
      </w:r>
    </w:p>
    <w:p>
      <w:pPr>
        <w:pStyle w:val="Default"/>
        <w:suppressAutoHyphens w:val="1"/>
        <w:spacing w:before="0" w:after="240" w:line="240" w:lineRule="auto"/>
        <w:jc w:val="both"/>
        <w:rPr>
          <w:rFonts w:ascii="Arial" w:cs="Arial" w:hAnsi="Arial" w:eastAsia="Arial"/>
          <w:sz w:val="26"/>
          <w:szCs w:val="26"/>
        </w:rPr>
      </w:pPr>
      <w:r>
        <w:rPr>
          <w:rFonts w:ascii="Arial" w:cs="Arial" w:hAnsi="Arial" w:eastAsia="Arial"/>
          <w:sz w:val="26"/>
          <w:szCs w:val="26"/>
        </w:rPr>
        <w:drawing xmlns:a="http://schemas.openxmlformats.org/drawingml/2006/main">
          <wp:anchor distT="152400" distB="152400" distL="152400" distR="152400" simplePos="0" relativeHeight="251667456" behindDoc="0" locked="0" layoutInCell="1" allowOverlap="1">
            <wp:simplePos x="0" y="0"/>
            <wp:positionH relativeFrom="page">
              <wp:posOffset>640532</wp:posOffset>
            </wp:positionH>
            <wp:positionV relativeFrom="line">
              <wp:posOffset>353327</wp:posOffset>
            </wp:positionV>
            <wp:extent cx="6262736" cy="3299193"/>
            <wp:effectExtent l="0" t="0" r="0" b="0"/>
            <wp:wrapTopAndBottom distT="152400" distB="152400"/>
            <wp:docPr id="1073741868" name="officeArt object" descr="Crop 6.jpg"/>
            <wp:cNvGraphicFramePr/>
            <a:graphic xmlns:a="http://schemas.openxmlformats.org/drawingml/2006/main">
              <a:graphicData uri="http://schemas.openxmlformats.org/drawingml/2006/picture">
                <pic:pic xmlns:pic="http://schemas.openxmlformats.org/drawingml/2006/picture">
                  <pic:nvPicPr>
                    <pic:cNvPr id="1073741868" name="Crop 6.jpg" descr="Crop 6.jpg"/>
                    <pic:cNvPicPr>
                      <a:picLocks noChangeAspect="1"/>
                    </pic:cNvPicPr>
                  </pic:nvPicPr>
                  <pic:blipFill>
                    <a:blip r:embed="rId12">
                      <a:extLst/>
                    </a:blip>
                    <a:stretch>
                      <a:fillRect/>
                    </a:stretch>
                  </pic:blipFill>
                  <pic:spPr>
                    <a:xfrm>
                      <a:off x="0" y="0"/>
                      <a:ext cx="6262736" cy="3299193"/>
                    </a:xfrm>
                    <a:prstGeom prst="rect">
                      <a:avLst/>
                    </a:prstGeom>
                    <a:ln w="12700" cap="flat">
                      <a:noFill/>
                      <a:miter lim="400000"/>
                    </a:ln>
                    <a:effectLst>
                      <a:outerShdw sx="100000" sy="100000" kx="0" ky="0" algn="b" rotWithShape="0" blurRad="254000" dist="127000" dir="16200000">
                        <a:srgbClr val="000000">
                          <a:alpha val="70000"/>
                        </a:srgbClr>
                      </a:outerShdw>
                    </a:effectLst>
                  </pic:spPr>
                </pic:pic>
              </a:graphicData>
            </a:graphic>
          </wp:anchor>
        </w:drawing>
      </w:r>
    </w:p>
    <w:p>
      <w:pPr>
        <w:pStyle w:val="Default"/>
        <w:suppressAutoHyphens w:val="1"/>
        <w:spacing w:before="0" w:after="240" w:line="240" w:lineRule="auto"/>
        <w:jc w:val="both"/>
        <w:rPr>
          <w:rFonts w:ascii="Arial" w:cs="Arial" w:hAnsi="Arial" w:eastAsia="Arial"/>
          <w:sz w:val="26"/>
          <w:szCs w:val="26"/>
        </w:rPr>
      </w:pPr>
    </w:p>
    <w:p>
      <w:pPr>
        <w:pStyle w:val="Default"/>
        <w:suppressAutoHyphens w:val="1"/>
        <w:spacing w:before="0" w:after="240" w:line="240" w:lineRule="auto"/>
        <w:jc w:val="both"/>
        <w:rPr>
          <w:rFonts w:ascii="Arial" w:cs="Arial" w:hAnsi="Arial" w:eastAsia="Arial"/>
          <w:sz w:val="26"/>
          <w:szCs w:val="26"/>
        </w:rPr>
      </w:pPr>
      <w:r>
        <w:rPr>
          <w:rFonts w:ascii="Arial" w:hAnsi="Arial"/>
          <w:sz w:val="26"/>
          <w:szCs w:val="26"/>
          <w:rtl w:val="0"/>
          <w:lang w:val="en-US"/>
        </w:rPr>
        <w:t>This combination addresses both organisational and technical weaknesses. NIST CSF 2.0 can improve accountability, risk management, asset visibility, and incident response, while Zero Trust can reduce unauthorised access and lateral movement following compromise [1], [9], [10]. However, Zero Trust would not have prevented exploitation of the unpatched Apache Struts vulnerability and must therefore complement effective vulnerability and patch management [13].</w:t>
      </w:r>
    </w:p>
    <w:p>
      <w:pPr>
        <w:pStyle w:val="Default"/>
        <w:suppressAutoHyphens w:val="1"/>
        <w:spacing w:before="0" w:after="240" w:line="240" w:lineRule="auto"/>
        <w:jc w:val="both"/>
        <w:rPr>
          <w:rFonts w:ascii="Arial" w:cs="Arial" w:hAnsi="Arial" w:eastAsia="Arial"/>
          <w:sz w:val="26"/>
          <w:szCs w:val="26"/>
        </w:rPr>
      </w:pPr>
      <w:r>
        <w:rPr>
          <w:rFonts w:ascii="Arial" w:hAnsi="Arial"/>
          <w:sz w:val="26"/>
          <w:szCs w:val="26"/>
          <w:rtl w:val="0"/>
          <w:lang w:val="en-US"/>
        </w:rPr>
        <w:t>Overall, this combined approach provides a balanced response to the governance, operational, and technical weaknesses identified in the Equifax case. Its effectiveness depends on continuous implementation, monitoring, and management oversight rather than simply adopting documented frameworks.</w:t>
      </w:r>
    </w:p>
    <w:p>
      <w:pPr>
        <w:pStyle w:val="Default"/>
        <w:suppressAutoHyphens w:val="1"/>
        <w:spacing w:before="0" w:after="24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suppressAutoHyphens w:val="1"/>
        <w:spacing w:before="0" w:line="240" w:lineRule="auto"/>
        <w:jc w:val="both"/>
        <w:rPr>
          <w:rFonts w:ascii="Arial" w:cs="Arial" w:hAnsi="Arial" w:eastAsia="Arial"/>
          <w:outline w:val="0"/>
          <w:color w:val="000000"/>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r>
        <w:rPr>
          <w:rFonts w:ascii="Arial" w:hAnsi="Arial"/>
          <w:b w:val="1"/>
          <w:bCs w:val="1"/>
          <w:outline w:val="0"/>
          <w:color w:val="156082"/>
          <w:sz w:val="30"/>
          <w:szCs w:val="30"/>
          <w:u w:color="156082"/>
          <w:rtl w:val="0"/>
          <w:lang w:val="en-US"/>
          <w14:textFill>
            <w14:solidFill>
              <w14:srgbClr w14:val="156082"/>
            </w14:solidFill>
          </w14:textFill>
        </w:rPr>
        <w:t>Conclusion:</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suppressAutoHyphens w:val="1"/>
        <w:spacing w:before="0" w:after="240" w:line="240" w:lineRule="auto"/>
        <w:jc w:val="both"/>
        <w:rPr>
          <w:rFonts w:ascii="Arial" w:cs="Arial" w:hAnsi="Arial" w:eastAsia="Arial"/>
          <w:sz w:val="26"/>
          <w:szCs w:val="26"/>
        </w:rPr>
      </w:pPr>
      <w:r>
        <w:rPr>
          <w:rFonts w:ascii="Arial" w:hAnsi="Arial"/>
          <w:sz w:val="26"/>
          <w:szCs w:val="26"/>
          <w:rtl w:val="0"/>
          <w:lang w:val="en-US"/>
        </w:rPr>
        <w:t>The Equifax breach demonstrates that major cybersecurity incidents can result from interconnected technical and organisational failures. Weaknesses in vulnerability management, patching, asset visibility, monitoring, and governance allowed a known vulnerability to contribute to a major data breach [13], [18].</w:t>
      </w:r>
    </w:p>
    <w:p>
      <w:pPr>
        <w:pStyle w:val="Default"/>
        <w:suppressAutoHyphens w:val="1"/>
        <w:spacing w:before="0" w:after="240" w:line="240" w:lineRule="auto"/>
        <w:jc w:val="both"/>
        <w:rPr>
          <w:rFonts w:ascii="Arial" w:cs="Arial" w:hAnsi="Arial" w:eastAsia="Arial"/>
          <w:sz w:val="26"/>
          <w:szCs w:val="26"/>
        </w:rPr>
      </w:pPr>
      <w:r>
        <w:rPr>
          <w:rFonts w:ascii="Arial" w:hAnsi="Arial"/>
          <w:sz w:val="26"/>
          <w:szCs w:val="26"/>
          <w:rtl w:val="0"/>
          <w:lang w:val="en-US"/>
        </w:rPr>
        <w:t>The proposed cybersecurity programme addresses these weaknesses through clearer accountability, measurable security policies, continuous risk assessment, monitoring, and structured incident response. NIST CSF 2.0 provides an appropriate framework for integrating governance, identification, protection, detection, response, and recovery activities [10]. Selected Zero Trust principles, particularly least privilege and segmentation, can further reduce unauthorised access and lateral movement [1].</w:t>
      </w:r>
    </w:p>
    <w:p>
      <w:pPr>
        <w:pStyle w:val="Default"/>
        <w:suppressAutoHyphens w:val="1"/>
        <w:spacing w:before="0" w:after="240" w:line="240" w:lineRule="auto"/>
        <w:jc w:val="both"/>
        <w:rPr>
          <w:rFonts w:ascii="Arial" w:cs="Arial" w:hAnsi="Arial" w:eastAsia="Arial"/>
          <w:sz w:val="26"/>
          <w:szCs w:val="26"/>
        </w:rPr>
      </w:pPr>
      <w:r>
        <w:rPr>
          <w:rFonts w:ascii="Arial" w:hAnsi="Arial"/>
          <w:sz w:val="26"/>
          <w:szCs w:val="26"/>
          <w:rtl w:val="0"/>
          <w:lang w:val="en-US"/>
        </w:rPr>
        <w:t xml:space="preserve">However, frameworks and technologies are only effective when they are consistently implemented and reviewed. The main lesson from the Equifax case is therefore that cybersecurity depends on the integration of </w:t>
      </w:r>
      <w:r>
        <w:rPr>
          <w:rFonts w:ascii="Arial" w:hAnsi="Arial"/>
          <w:b w:val="1"/>
          <w:bCs w:val="1"/>
          <w:sz w:val="26"/>
          <w:szCs w:val="26"/>
          <w:rtl w:val="0"/>
          <w:lang w:val="en-US"/>
        </w:rPr>
        <w:t>people, processes, governance, and technology</w:t>
      </w:r>
      <w:r>
        <w:rPr>
          <w:rFonts w:ascii="Arial" w:hAnsi="Arial"/>
          <w:sz w:val="26"/>
          <w:szCs w:val="26"/>
          <w:rtl w:val="0"/>
          <w:lang w:val="en-US"/>
        </w:rPr>
        <w:t>, supported by continuous monitoring and improvement [10], [13]. This combined approach can strengthen organisational resilience and reduce the likelihood and impact of similar incidents.</w:t>
      </w:r>
    </w:p>
    <w:p>
      <w:pPr>
        <w:pStyle w:val="Default"/>
        <w:suppressAutoHyphens w:val="1"/>
        <w:spacing w:before="0" w:after="240" w:line="240" w:lineRule="auto"/>
        <w:jc w:val="both"/>
        <w:rPr>
          <w:rFonts w:ascii="Arial" w:cs="Arial" w:hAnsi="Arial" w:eastAsia="Arial"/>
          <w:outline w:val="0"/>
          <w:color w:val="000000"/>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outline w:val="0"/>
          <w:color w:val="000000"/>
          <w:sz w:val="26"/>
          <w:szCs w:val="26"/>
          <w:u w:color="000000"/>
          <w14:textFill>
            <w14:solidFill>
              <w14:srgbClr w14:val="0000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b w:val="1"/>
          <w:bCs w:val="1"/>
          <w:i w:val="1"/>
          <w:iCs w:val="1"/>
          <w:outline w:val="0"/>
          <w:color w:val="ff2600"/>
          <w:sz w:val="40"/>
          <w:szCs w:val="40"/>
          <w:u w:color="ff2600"/>
          <w14:textFill>
            <w14:solidFill>
              <w14:srgbClr w14:val="FF2600"/>
            </w14:solidFill>
          </w14:textFill>
        </w:rPr>
      </w:pPr>
      <w:r>
        <w:rPr>
          <w:rFonts w:ascii="Arial" w:hAnsi="Arial"/>
          <w:b w:val="1"/>
          <w:bCs w:val="1"/>
          <w:i w:val="1"/>
          <w:iCs w:val="1"/>
          <w:outline w:val="0"/>
          <w:color w:val="ff2600"/>
          <w:sz w:val="40"/>
          <w:szCs w:val="40"/>
          <w:u w:color="ff2600"/>
          <w:rtl w:val="0"/>
          <w:lang w:val="en-US"/>
          <w14:textFill>
            <w14:solidFill>
              <w14:srgbClr w14:val="FF2600"/>
            </w14:solidFill>
          </w14:textFill>
        </w:rPr>
        <w:t>References: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Arial" w:cs="Arial" w:hAnsi="Arial" w:eastAsia="Arial"/>
          <w:b w:val="1"/>
          <w:bCs w:val="1"/>
          <w:i w:val="1"/>
          <w:iCs w:val="1"/>
          <w:outline w:val="0"/>
          <w:color w:val="ff2600"/>
          <w:sz w:val="40"/>
          <w:szCs w:val="40"/>
          <w:u w:color="ff2600"/>
          <w14:textFill>
            <w14:solidFill>
              <w14:srgbClr w14:val="FF2600"/>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Times New Roman" w:cs="Times New Roman" w:hAnsi="Times New Roman" w:eastAsia="Times New Roman"/>
          <w:b w:val="1"/>
          <w:bCs w:val="1"/>
          <w:i w:val="1"/>
          <w:iCs w:val="1"/>
          <w:outline w:val="0"/>
          <w:color w:val="535353"/>
          <w:sz w:val="22"/>
          <w:szCs w:val="22"/>
          <w:u w:color="535353"/>
          <w14:textFill>
            <w14:solidFill>
              <w14:srgbClr w14:val="535353"/>
            </w14:solidFill>
          </w14:textFill>
        </w:rPr>
      </w:pPr>
      <w:r>
        <w:rPr>
          <w:rFonts w:ascii="Times New Roman" w:hAnsi="Times New Roman"/>
          <w:b w:val="1"/>
          <w:bCs w:val="1"/>
          <w:i w:val="1"/>
          <w:iCs w:val="1"/>
          <w:outline w:val="0"/>
          <w:color w:val="535353"/>
          <w:sz w:val="22"/>
          <w:szCs w:val="22"/>
          <w:u w:color="535353"/>
          <w:rtl w:val="0"/>
          <w:lang w:val="en-US"/>
          <w14:textFill>
            <w14:solidFill>
              <w14:srgbClr w14:val="535353"/>
            </w14:solidFill>
          </w14:textFill>
        </w:rPr>
        <w:t>[1] S. Rose, O. Borchert, S. Mitchell, and S. Connelly, Zero Trust Architecture, NIST Special Publication 800-207. Gaithersburg, MD, USA: National Institute of Standards and Technology (NIST), Aug. 2020.</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Times New Roman" w:cs="Times New Roman" w:hAnsi="Times New Roman" w:eastAsia="Times New Roman"/>
          <w:b w:val="1"/>
          <w:bCs w:val="1"/>
          <w:i w:val="1"/>
          <w:iCs w:val="1"/>
          <w:outline w:val="0"/>
          <w:color w:val="535353"/>
          <w:sz w:val="22"/>
          <w:szCs w:val="22"/>
          <w:u w:color="535353"/>
          <w14:textFill>
            <w14:solidFill>
              <w14:srgbClr w14:val="535353"/>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Times New Roman" w:cs="Times New Roman" w:hAnsi="Times New Roman" w:eastAsia="Times New Roman"/>
          <w:b w:val="1"/>
          <w:bCs w:val="1"/>
          <w:i w:val="1"/>
          <w:iCs w:val="1"/>
          <w:outline w:val="0"/>
          <w:color w:val="535353"/>
          <w:sz w:val="22"/>
          <w:szCs w:val="22"/>
          <w:u w:color="535353"/>
          <w14:textFill>
            <w14:solidFill>
              <w14:srgbClr w14:val="535353"/>
            </w14:solidFill>
          </w14:textFill>
        </w:rPr>
      </w:pPr>
      <w:r>
        <w:rPr>
          <w:rFonts w:ascii="Times New Roman" w:hAnsi="Times New Roman"/>
          <w:b w:val="1"/>
          <w:bCs w:val="1"/>
          <w:i w:val="1"/>
          <w:iCs w:val="1"/>
          <w:outline w:val="0"/>
          <w:color w:val="535353"/>
          <w:sz w:val="22"/>
          <w:szCs w:val="22"/>
          <w:u w:color="535353"/>
          <w:rtl w:val="0"/>
          <w:lang w:val="en-US"/>
          <w14:textFill>
            <w14:solidFill>
              <w14:srgbClr w14:val="535353"/>
            </w14:solidFill>
          </w14:textFill>
        </w:rPr>
        <w:t>[2] N. Nahar, K. Andersson, O. Schel</w:t>
      </w:r>
      <w:r>
        <w:rPr>
          <w:rFonts w:ascii="Times New Roman" w:hAnsi="Times New Roman" w:hint="default"/>
          <w:b w:val="1"/>
          <w:bCs w:val="1"/>
          <w:i w:val="1"/>
          <w:iCs w:val="1"/>
          <w:outline w:val="0"/>
          <w:color w:val="535353"/>
          <w:sz w:val="22"/>
          <w:szCs w:val="22"/>
          <w:u w:color="535353"/>
          <w:rtl w:val="0"/>
          <w:lang w:val="en-US"/>
          <w14:textFill>
            <w14:solidFill>
              <w14:srgbClr w14:val="535353"/>
            </w14:solidFill>
          </w14:textFill>
        </w:rPr>
        <w:t>é</w:t>
      </w:r>
      <w:r>
        <w:rPr>
          <w:rFonts w:ascii="Times New Roman" w:hAnsi="Times New Roman"/>
          <w:b w:val="1"/>
          <w:bCs w:val="1"/>
          <w:i w:val="1"/>
          <w:iCs w:val="1"/>
          <w:outline w:val="0"/>
          <w:color w:val="535353"/>
          <w:sz w:val="22"/>
          <w:szCs w:val="22"/>
          <w:u w:color="535353"/>
          <w:rtl w:val="0"/>
          <w:lang w:val="en-US"/>
          <w14:textFill>
            <w14:solidFill>
              <w14:srgbClr w14:val="535353"/>
            </w14:solidFill>
          </w14:textFill>
        </w:rPr>
        <w:t>n, and S. Saguna, "Zero Trust Architecture: A Comprehensive Review of Challenges and Applications," IEEE Access, vol. 12, 2024.</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Times New Roman" w:cs="Times New Roman" w:hAnsi="Times New Roman" w:eastAsia="Times New Roman"/>
          <w:b w:val="1"/>
          <w:bCs w:val="1"/>
          <w:i w:val="1"/>
          <w:iCs w:val="1"/>
          <w:outline w:val="0"/>
          <w:color w:val="535353"/>
          <w:sz w:val="22"/>
          <w:szCs w:val="22"/>
          <w:u w:color="535353"/>
          <w14:textFill>
            <w14:solidFill>
              <w14:srgbClr w14:val="535353"/>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Times New Roman" w:cs="Times New Roman" w:hAnsi="Times New Roman" w:eastAsia="Times New Roman"/>
          <w:b w:val="1"/>
          <w:bCs w:val="1"/>
          <w:i w:val="1"/>
          <w:iCs w:val="1"/>
          <w:outline w:val="0"/>
          <w:color w:val="535353"/>
          <w:sz w:val="22"/>
          <w:szCs w:val="22"/>
          <w:u w:color="535353"/>
          <w14:textFill>
            <w14:solidFill>
              <w14:srgbClr w14:val="535353"/>
            </w14:solidFill>
          </w14:textFill>
        </w:rPr>
      </w:pPr>
      <w:r>
        <w:rPr>
          <w:rFonts w:ascii="Times New Roman" w:hAnsi="Times New Roman"/>
          <w:b w:val="1"/>
          <w:bCs w:val="1"/>
          <w:i w:val="1"/>
          <w:iCs w:val="1"/>
          <w:outline w:val="0"/>
          <w:color w:val="535353"/>
          <w:sz w:val="22"/>
          <w:szCs w:val="22"/>
          <w:u w:color="535353"/>
          <w:rtl w:val="0"/>
          <w:lang w:val="en-US"/>
          <w14:textFill>
            <w14:solidFill>
              <w14:srgbClr w14:val="535353"/>
            </w14:solidFill>
          </w14:textFill>
        </w:rPr>
        <w:t>[3] C. Itodo and M. Ozer, "Zero Trust Security Models: Opportunities and Challenges for Modern Organisations," Computers &amp; Security, vol. 139, 2024.</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Times New Roman" w:cs="Times New Roman" w:hAnsi="Times New Roman" w:eastAsia="Times New Roman"/>
          <w:b w:val="1"/>
          <w:bCs w:val="1"/>
          <w:i w:val="1"/>
          <w:iCs w:val="1"/>
          <w:outline w:val="0"/>
          <w:color w:val="535353"/>
          <w:sz w:val="22"/>
          <w:szCs w:val="22"/>
          <w:u w:color="535353"/>
          <w14:textFill>
            <w14:solidFill>
              <w14:srgbClr w14:val="535353"/>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Times New Roman" w:cs="Times New Roman" w:hAnsi="Times New Roman" w:eastAsia="Times New Roman"/>
          <w:b w:val="1"/>
          <w:bCs w:val="1"/>
          <w:i w:val="1"/>
          <w:iCs w:val="1"/>
          <w:outline w:val="0"/>
          <w:color w:val="535353"/>
          <w:sz w:val="22"/>
          <w:szCs w:val="22"/>
          <w:u w:color="535353"/>
          <w14:textFill>
            <w14:solidFill>
              <w14:srgbClr w14:val="535353"/>
            </w14:solidFill>
          </w14:textFill>
        </w:rPr>
      </w:pPr>
      <w:r>
        <w:rPr>
          <w:rFonts w:ascii="Times New Roman" w:hAnsi="Times New Roman"/>
          <w:b w:val="1"/>
          <w:bCs w:val="1"/>
          <w:i w:val="1"/>
          <w:iCs w:val="1"/>
          <w:outline w:val="0"/>
          <w:color w:val="535353"/>
          <w:sz w:val="22"/>
          <w:szCs w:val="22"/>
          <w:u w:color="535353"/>
          <w:rtl w:val="0"/>
          <w:lang w:val="en-US"/>
          <w14:textFill>
            <w14:solidFill>
              <w14:srgbClr w14:val="535353"/>
            </w14:solidFill>
          </w14:textFill>
        </w:rPr>
        <w:t>[4] Z. Adhami, A. W. Malik, and Z. Anwar, "Security Analysis and Implementation Considerations of Zero Trust Architecture," Computers &amp; Security, vol. 116, 2022.</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Times New Roman" w:cs="Times New Roman" w:hAnsi="Times New Roman" w:eastAsia="Times New Roman"/>
          <w:b w:val="1"/>
          <w:bCs w:val="1"/>
          <w:i w:val="1"/>
          <w:iCs w:val="1"/>
          <w:outline w:val="0"/>
          <w:color w:val="535353"/>
          <w:sz w:val="22"/>
          <w:szCs w:val="22"/>
          <w:u w:color="535353"/>
          <w14:textFill>
            <w14:solidFill>
              <w14:srgbClr w14:val="535353"/>
            </w14:solidFill>
          </w14:textFill>
        </w:rPr>
      </w:pPr>
    </w:p>
    <w:p>
      <w:pPr>
        <w:pStyle w:val="Default"/>
        <w:suppressAutoHyphens w:val="1"/>
        <w:spacing w:before="0" w:line="240" w:lineRule="auto"/>
        <w:jc w:val="both"/>
        <w:rPr>
          <w:rFonts w:ascii="Times New Roman" w:cs="Times New Roman" w:hAnsi="Times New Roman" w:eastAsia="Times New Roman"/>
          <w:b w:val="1"/>
          <w:bCs w:val="1"/>
          <w:i w:val="1"/>
          <w:iCs w:val="1"/>
          <w:outline w:val="0"/>
          <w:color w:val="535353"/>
          <w:sz w:val="22"/>
          <w:szCs w:val="22"/>
          <w:u w:color="535353"/>
          <w14:textFill>
            <w14:solidFill>
              <w14:srgbClr w14:val="535353"/>
            </w14:solidFill>
          </w14:textFill>
        </w:rPr>
      </w:pPr>
      <w:r>
        <w:rPr>
          <w:rFonts w:ascii="Times New Roman" w:hAnsi="Times New Roman"/>
          <w:b w:val="1"/>
          <w:bCs w:val="1"/>
          <w:i w:val="1"/>
          <w:iCs w:val="1"/>
          <w:outline w:val="0"/>
          <w:color w:val="535353"/>
          <w:sz w:val="22"/>
          <w:szCs w:val="22"/>
          <w:u w:color="535353"/>
          <w:rtl w:val="0"/>
          <w:lang w:val="en-US"/>
          <w14:textFill>
            <w14:solidFill>
              <w14:srgbClr w14:val="535353"/>
            </w14:solidFill>
          </w14:textFill>
        </w:rPr>
        <w:t xml:space="preserve">[5] J. Kindervag, </w:t>
      </w:r>
      <w:r>
        <w:rPr>
          <w:rFonts w:ascii="Times New Roman" w:hAnsi="Times New Roman" w:hint="default"/>
          <w:b w:val="1"/>
          <w:bCs w:val="1"/>
          <w:i w:val="1"/>
          <w:iCs w:val="1"/>
          <w:outline w:val="0"/>
          <w:color w:val="535353"/>
          <w:sz w:val="22"/>
          <w:szCs w:val="22"/>
          <w:u w:color="535353"/>
          <w:rtl w:val="0"/>
          <w:lang w:val="en-US"/>
          <w14:textFill>
            <w14:solidFill>
              <w14:srgbClr w14:val="535353"/>
            </w14:solidFill>
          </w14:textFill>
        </w:rPr>
        <w:t>“</w:t>
      </w:r>
      <w:r>
        <w:rPr>
          <w:rFonts w:ascii="Times New Roman" w:hAnsi="Times New Roman"/>
          <w:b w:val="1"/>
          <w:bCs w:val="1"/>
          <w:i w:val="1"/>
          <w:iCs w:val="1"/>
          <w:outline w:val="0"/>
          <w:color w:val="535353"/>
          <w:sz w:val="22"/>
          <w:szCs w:val="22"/>
          <w:u w:color="535353"/>
          <w:rtl w:val="0"/>
          <w:lang w:val="en-US"/>
          <w14:textFill>
            <w14:solidFill>
              <w14:srgbClr w14:val="535353"/>
            </w14:solidFill>
          </w14:textFill>
        </w:rPr>
        <w:t>No More Chewy Centers: The Zero Trust Model of Information Security,</w:t>
      </w:r>
      <w:r>
        <w:rPr>
          <w:rFonts w:ascii="Times New Roman" w:hAnsi="Times New Roman" w:hint="default"/>
          <w:b w:val="1"/>
          <w:bCs w:val="1"/>
          <w:i w:val="1"/>
          <w:iCs w:val="1"/>
          <w:outline w:val="0"/>
          <w:color w:val="535353"/>
          <w:sz w:val="22"/>
          <w:szCs w:val="22"/>
          <w:u w:color="535353"/>
          <w:rtl w:val="0"/>
          <w:lang w:val="en-US"/>
          <w14:textFill>
            <w14:solidFill>
              <w14:srgbClr w14:val="535353"/>
            </w14:solidFill>
          </w14:textFill>
        </w:rPr>
        <w:t xml:space="preserve">” </w:t>
      </w:r>
      <w:r>
        <w:rPr>
          <w:rFonts w:ascii="Times New Roman" w:hAnsi="Times New Roman"/>
          <w:b w:val="1"/>
          <w:bCs w:val="1"/>
          <w:i w:val="1"/>
          <w:iCs w:val="1"/>
          <w:outline w:val="0"/>
          <w:color w:val="535353"/>
          <w:sz w:val="22"/>
          <w:szCs w:val="22"/>
          <w:u w:color="535353"/>
          <w:rtl w:val="0"/>
          <w:lang w:val="en-US"/>
          <w14:textFill>
            <w14:solidFill>
              <w14:srgbClr w14:val="535353"/>
            </w14:solidFill>
          </w14:textFill>
        </w:rPr>
        <w:t>Forrester Research, Cambridge, MA, USA, 2010.</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Times New Roman" w:cs="Times New Roman" w:hAnsi="Times New Roman" w:eastAsia="Times New Roman"/>
          <w:b w:val="1"/>
          <w:bCs w:val="1"/>
          <w:i w:val="1"/>
          <w:iCs w:val="1"/>
          <w:outline w:val="0"/>
          <w:color w:val="535353"/>
          <w:sz w:val="22"/>
          <w:szCs w:val="22"/>
          <w:u w:color="535353"/>
          <w14:textFill>
            <w14:solidFill>
              <w14:srgbClr w14:val="535353"/>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Times New Roman" w:cs="Times New Roman" w:hAnsi="Times New Roman" w:eastAsia="Times New Roman"/>
          <w:b w:val="1"/>
          <w:bCs w:val="1"/>
          <w:i w:val="1"/>
          <w:iCs w:val="1"/>
          <w:outline w:val="0"/>
          <w:color w:val="535353"/>
          <w:sz w:val="22"/>
          <w:szCs w:val="22"/>
          <w:u w:color="535353"/>
          <w14:textFill>
            <w14:solidFill>
              <w14:srgbClr w14:val="535353"/>
            </w14:solidFill>
          </w14:textFill>
        </w:rPr>
      </w:pPr>
      <w:r>
        <w:rPr>
          <w:rFonts w:ascii="Times New Roman" w:hAnsi="Times New Roman"/>
          <w:b w:val="1"/>
          <w:bCs w:val="1"/>
          <w:i w:val="1"/>
          <w:iCs w:val="1"/>
          <w:outline w:val="0"/>
          <w:color w:val="535353"/>
          <w:sz w:val="22"/>
          <w:szCs w:val="22"/>
          <w:u w:color="535353"/>
          <w:rtl w:val="0"/>
          <w:lang w:val="en-US"/>
          <w14:textFill>
            <w14:solidFill>
              <w14:srgbClr w14:val="535353"/>
            </w14:solidFill>
          </w14:textFill>
        </w:rPr>
        <w:t>[6] H. Kang, G. Liu, Q. Wang, L. Meng, and J. Liu, "Research on Zero Trust Security Architecture and Its Applications," Entropy, vol. 25, no. 9, 2023.</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Times New Roman" w:cs="Times New Roman" w:hAnsi="Times New Roman" w:eastAsia="Times New Roman"/>
          <w:b w:val="1"/>
          <w:bCs w:val="1"/>
          <w:i w:val="1"/>
          <w:iCs w:val="1"/>
          <w:outline w:val="0"/>
          <w:color w:val="535353"/>
          <w:sz w:val="22"/>
          <w:szCs w:val="22"/>
          <w:u w:color="535353"/>
          <w14:textFill>
            <w14:solidFill>
              <w14:srgbClr w14:val="535353"/>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Times New Roman" w:cs="Times New Roman" w:hAnsi="Times New Roman" w:eastAsia="Times New Roman"/>
          <w:b w:val="1"/>
          <w:bCs w:val="1"/>
          <w:i w:val="1"/>
          <w:iCs w:val="1"/>
          <w:outline w:val="0"/>
          <w:color w:val="535353"/>
          <w:sz w:val="22"/>
          <w:szCs w:val="22"/>
          <w:u w:color="535353"/>
          <w14:textFill>
            <w14:solidFill>
              <w14:srgbClr w14:val="535353"/>
            </w14:solidFill>
          </w14:textFill>
        </w:rPr>
      </w:pPr>
      <w:r>
        <w:rPr>
          <w:rFonts w:ascii="Times New Roman" w:hAnsi="Times New Roman"/>
          <w:b w:val="1"/>
          <w:bCs w:val="1"/>
          <w:i w:val="1"/>
          <w:iCs w:val="1"/>
          <w:outline w:val="0"/>
          <w:color w:val="535353"/>
          <w:sz w:val="22"/>
          <w:szCs w:val="22"/>
          <w:u w:color="535353"/>
          <w:rtl w:val="0"/>
          <w:lang w:val="en-US"/>
          <w14:textFill>
            <w14:solidFill>
              <w14:srgbClr w14:val="535353"/>
            </w14:solidFill>
          </w14:textFill>
        </w:rPr>
        <w:t>[7] S. M. Zohaib, S. M. Sajjad, Z. Iqbal, M. Yousaf, and M. Haseeb, "Advances and Challenges in Zero Trust Architecture," Information, vol. 15, no. 3, 2024.</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Times New Roman" w:cs="Times New Roman" w:hAnsi="Times New Roman" w:eastAsia="Times New Roman"/>
          <w:b w:val="1"/>
          <w:bCs w:val="1"/>
          <w:i w:val="1"/>
          <w:iCs w:val="1"/>
          <w:outline w:val="0"/>
          <w:color w:val="535353"/>
          <w:sz w:val="22"/>
          <w:szCs w:val="22"/>
          <w:u w:color="535353"/>
          <w14:textFill>
            <w14:solidFill>
              <w14:srgbClr w14:val="535353"/>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Times New Roman" w:cs="Times New Roman" w:hAnsi="Times New Roman" w:eastAsia="Times New Roman"/>
          <w:b w:val="1"/>
          <w:bCs w:val="1"/>
          <w:i w:val="1"/>
          <w:iCs w:val="1"/>
          <w:outline w:val="0"/>
          <w:color w:val="535353"/>
          <w:sz w:val="22"/>
          <w:szCs w:val="22"/>
          <w:u w:color="535353"/>
          <w14:textFill>
            <w14:solidFill>
              <w14:srgbClr w14:val="535353"/>
            </w14:solidFill>
          </w14:textFill>
        </w:rPr>
      </w:pPr>
      <w:r>
        <w:rPr>
          <w:rFonts w:ascii="Times New Roman" w:hAnsi="Times New Roman"/>
          <w:b w:val="1"/>
          <w:bCs w:val="1"/>
          <w:i w:val="1"/>
          <w:iCs w:val="1"/>
          <w:outline w:val="0"/>
          <w:color w:val="535353"/>
          <w:sz w:val="22"/>
          <w:szCs w:val="22"/>
          <w:u w:color="535353"/>
          <w:rtl w:val="0"/>
          <w:lang w:val="en-US"/>
          <w14:textFill>
            <w14:solidFill>
              <w14:srgbClr w14:val="535353"/>
            </w14:solidFill>
          </w14:textFill>
        </w:rPr>
        <w:t>[8] Y. He, D. Huang, L. Chen, and Y. Ni, "Comparative Analysis of Traditional and Zero Trust Security Models," Security and Communication Networks, 2022.</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Times New Roman" w:cs="Times New Roman" w:hAnsi="Times New Roman" w:eastAsia="Times New Roman"/>
          <w:b w:val="1"/>
          <w:bCs w:val="1"/>
          <w:i w:val="1"/>
          <w:iCs w:val="1"/>
          <w:outline w:val="0"/>
          <w:color w:val="535353"/>
          <w:sz w:val="22"/>
          <w:szCs w:val="22"/>
          <w:u w:color="535353"/>
          <w14:textFill>
            <w14:solidFill>
              <w14:srgbClr w14:val="535353"/>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Times New Roman" w:cs="Times New Roman" w:hAnsi="Times New Roman" w:eastAsia="Times New Roman"/>
          <w:b w:val="1"/>
          <w:bCs w:val="1"/>
          <w:i w:val="1"/>
          <w:iCs w:val="1"/>
          <w:outline w:val="0"/>
          <w:color w:val="535353"/>
          <w:sz w:val="22"/>
          <w:szCs w:val="22"/>
          <w:u w:color="535353"/>
          <w14:textFill>
            <w14:solidFill>
              <w14:srgbClr w14:val="535353"/>
            </w14:solidFill>
          </w14:textFill>
        </w:rPr>
      </w:pPr>
      <w:r>
        <w:rPr>
          <w:rFonts w:ascii="Times New Roman" w:hAnsi="Times New Roman"/>
          <w:b w:val="1"/>
          <w:bCs w:val="1"/>
          <w:i w:val="1"/>
          <w:iCs w:val="1"/>
          <w:outline w:val="0"/>
          <w:color w:val="535353"/>
          <w:sz w:val="22"/>
          <w:szCs w:val="22"/>
          <w:u w:color="535353"/>
          <w:rtl w:val="0"/>
          <w:lang w:val="en-US"/>
          <w14:textFill>
            <w14:solidFill>
              <w14:srgbClr w14:val="535353"/>
            </w14:solidFill>
          </w14:textFill>
        </w:rPr>
        <w:t>[9] J. Garbis and J. W. Chapman, Zero Trust Security: An Enterprise Guide. Berkeley, CA, USA: Apress, 2021.</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Times New Roman" w:cs="Times New Roman" w:hAnsi="Times New Roman" w:eastAsia="Times New Roman"/>
          <w:b w:val="1"/>
          <w:bCs w:val="1"/>
          <w:i w:val="1"/>
          <w:iCs w:val="1"/>
          <w:outline w:val="0"/>
          <w:color w:val="535353"/>
          <w:sz w:val="22"/>
          <w:szCs w:val="22"/>
          <w:u w:color="535353"/>
          <w14:textFill>
            <w14:solidFill>
              <w14:srgbClr w14:val="535353"/>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Times New Roman" w:cs="Times New Roman" w:hAnsi="Times New Roman" w:eastAsia="Times New Roman"/>
          <w:b w:val="1"/>
          <w:bCs w:val="1"/>
          <w:i w:val="1"/>
          <w:iCs w:val="1"/>
          <w:outline w:val="0"/>
          <w:color w:val="535353"/>
          <w:sz w:val="22"/>
          <w:szCs w:val="22"/>
          <w:u w:color="535353"/>
          <w14:textFill>
            <w14:solidFill>
              <w14:srgbClr w14:val="535353"/>
            </w14:solidFill>
          </w14:textFill>
        </w:rPr>
      </w:pPr>
      <w:r>
        <w:rPr>
          <w:rFonts w:ascii="Times New Roman" w:hAnsi="Times New Roman"/>
          <w:b w:val="1"/>
          <w:bCs w:val="1"/>
          <w:i w:val="1"/>
          <w:iCs w:val="1"/>
          <w:outline w:val="0"/>
          <w:color w:val="535353"/>
          <w:sz w:val="22"/>
          <w:szCs w:val="22"/>
          <w:u w:color="535353"/>
          <w:rtl w:val="0"/>
          <w:lang w:val="en-US"/>
          <w14:textFill>
            <w14:solidFill>
              <w14:srgbClr w14:val="535353"/>
            </w14:solidFill>
          </w14:textFill>
        </w:rPr>
        <w:t>[10] National Institute of Standards and Technology (NIST), Cybersecurity Framework (CSF) 2.0. Gaithersburg, MD, USA: NIST, 2024.</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Times New Roman" w:cs="Times New Roman" w:hAnsi="Times New Roman" w:eastAsia="Times New Roman"/>
          <w:b w:val="1"/>
          <w:bCs w:val="1"/>
          <w:i w:val="1"/>
          <w:iCs w:val="1"/>
          <w:outline w:val="0"/>
          <w:color w:val="535353"/>
          <w:sz w:val="22"/>
          <w:szCs w:val="22"/>
          <w:u w:color="535353"/>
          <w14:textFill>
            <w14:solidFill>
              <w14:srgbClr w14:val="535353"/>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Times New Roman" w:cs="Times New Roman" w:hAnsi="Times New Roman" w:eastAsia="Times New Roman"/>
          <w:b w:val="1"/>
          <w:bCs w:val="1"/>
          <w:i w:val="1"/>
          <w:iCs w:val="1"/>
          <w:outline w:val="0"/>
          <w:color w:val="535353"/>
          <w:sz w:val="22"/>
          <w:szCs w:val="22"/>
          <w:u w:color="535353"/>
          <w14:textFill>
            <w14:solidFill>
              <w14:srgbClr w14:val="535353"/>
            </w14:solidFill>
          </w14:textFill>
        </w:rPr>
      </w:pPr>
      <w:r>
        <w:rPr>
          <w:rFonts w:ascii="Times New Roman" w:hAnsi="Times New Roman"/>
          <w:b w:val="1"/>
          <w:bCs w:val="1"/>
          <w:i w:val="1"/>
          <w:iCs w:val="1"/>
          <w:outline w:val="0"/>
          <w:color w:val="535353"/>
          <w:sz w:val="22"/>
          <w:szCs w:val="22"/>
          <w:u w:color="535353"/>
          <w:rtl w:val="0"/>
          <w:lang w:val="en-US"/>
          <w14:textFill>
            <w14:solidFill>
              <w14:srgbClr w14:val="535353"/>
            </w14:solidFill>
          </w14:textFill>
        </w:rPr>
        <w:t>[11] IBM Security, Cost of a Data Breach Report 2024. Armonk, NY, USA: IBM Corporation, 2024.</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Times New Roman" w:cs="Times New Roman" w:hAnsi="Times New Roman" w:eastAsia="Times New Roman"/>
          <w:b w:val="1"/>
          <w:bCs w:val="1"/>
          <w:i w:val="1"/>
          <w:iCs w:val="1"/>
          <w:outline w:val="0"/>
          <w:color w:val="535353"/>
          <w:sz w:val="22"/>
          <w:szCs w:val="22"/>
          <w:u w:color="535353"/>
          <w14:textFill>
            <w14:solidFill>
              <w14:srgbClr w14:val="535353"/>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Times New Roman" w:cs="Times New Roman" w:hAnsi="Times New Roman" w:eastAsia="Times New Roman"/>
          <w:b w:val="1"/>
          <w:bCs w:val="1"/>
          <w:i w:val="1"/>
          <w:iCs w:val="1"/>
          <w:outline w:val="0"/>
          <w:color w:val="535353"/>
          <w:sz w:val="22"/>
          <w:szCs w:val="22"/>
          <w:u w:color="535353"/>
          <w14:textFill>
            <w14:solidFill>
              <w14:srgbClr w14:val="535353"/>
            </w14:solidFill>
          </w14:textFill>
        </w:rPr>
      </w:pPr>
      <w:r>
        <w:rPr>
          <w:rFonts w:ascii="Times New Roman" w:hAnsi="Times New Roman"/>
          <w:b w:val="1"/>
          <w:bCs w:val="1"/>
          <w:i w:val="1"/>
          <w:iCs w:val="1"/>
          <w:outline w:val="0"/>
          <w:color w:val="535353"/>
          <w:sz w:val="22"/>
          <w:szCs w:val="22"/>
          <w:u w:color="535353"/>
          <w:rtl w:val="0"/>
          <w:lang w:val="en-US"/>
          <w14:textFill>
            <w14:solidFill>
              <w14:srgbClr w14:val="535353"/>
            </w14:solidFill>
          </w14:textFill>
        </w:rPr>
        <w:t>[12] E. Grass, C. Pagel, S. Crowe, and S. Ghafur, "Cyber Resilience in Healthcare Organisations," Journal of the Operational Research Society, 2025.</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Times New Roman" w:cs="Times New Roman" w:hAnsi="Times New Roman" w:eastAsia="Times New Roman"/>
          <w:b w:val="1"/>
          <w:bCs w:val="1"/>
          <w:i w:val="1"/>
          <w:iCs w:val="1"/>
          <w:outline w:val="0"/>
          <w:color w:val="535353"/>
          <w:sz w:val="22"/>
          <w:szCs w:val="22"/>
          <w:u w:color="535353"/>
          <w14:textFill>
            <w14:solidFill>
              <w14:srgbClr w14:val="535353"/>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Times New Roman" w:cs="Times New Roman" w:hAnsi="Times New Roman" w:eastAsia="Times New Roman"/>
          <w:b w:val="1"/>
          <w:bCs w:val="1"/>
          <w:i w:val="1"/>
          <w:iCs w:val="1"/>
          <w:outline w:val="0"/>
          <w:color w:val="535353"/>
          <w:sz w:val="22"/>
          <w:szCs w:val="22"/>
          <w:u w:color="535353"/>
          <w14:textFill>
            <w14:solidFill>
              <w14:srgbClr w14:val="535353"/>
            </w14:solidFill>
          </w14:textFill>
        </w:rPr>
      </w:pPr>
      <w:r>
        <w:rPr>
          <w:rFonts w:ascii="Times New Roman" w:hAnsi="Times New Roman"/>
          <w:b w:val="1"/>
          <w:bCs w:val="1"/>
          <w:i w:val="1"/>
          <w:iCs w:val="1"/>
          <w:outline w:val="0"/>
          <w:color w:val="535353"/>
          <w:sz w:val="22"/>
          <w:szCs w:val="22"/>
          <w:u w:color="535353"/>
          <w:rtl w:val="0"/>
          <w:lang w:val="en-US"/>
          <w14:textFill>
            <w14:solidFill>
              <w14:srgbClr w14:val="535353"/>
            </w14:solidFill>
          </w14:textFill>
        </w:rPr>
        <w:t>[13] U.S. Government Accountability Office, Data Protection: Actions Taken by Equifax and Federal Agencies in Response to the 2017 Breach, GAO-18-559. Washington, DC, USA: U.S. Government Accountability Office, 2018.</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Times New Roman" w:cs="Times New Roman" w:hAnsi="Times New Roman" w:eastAsia="Times New Roman"/>
          <w:b w:val="1"/>
          <w:bCs w:val="1"/>
          <w:i w:val="1"/>
          <w:iCs w:val="1"/>
          <w:outline w:val="0"/>
          <w:color w:val="535353"/>
          <w:sz w:val="22"/>
          <w:szCs w:val="22"/>
          <w:u w:color="535353"/>
          <w14:textFill>
            <w14:solidFill>
              <w14:srgbClr w14:val="535353"/>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Times New Roman" w:cs="Times New Roman" w:hAnsi="Times New Roman" w:eastAsia="Times New Roman"/>
          <w:outline w:val="0"/>
          <w:color w:val="535353"/>
          <w:u w:color="535353"/>
          <w14:textFill>
            <w14:solidFill>
              <w14:srgbClr w14:val="535353"/>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Times New Roman" w:cs="Times New Roman" w:hAnsi="Times New Roman" w:eastAsia="Times New Roman"/>
          <w:b w:val="1"/>
          <w:bCs w:val="1"/>
          <w:i w:val="1"/>
          <w:iCs w:val="1"/>
          <w:outline w:val="0"/>
          <w:color w:val="535353"/>
          <w:sz w:val="22"/>
          <w:szCs w:val="22"/>
          <w:u w:color="535353"/>
          <w14:textFill>
            <w14:solidFill>
              <w14:srgbClr w14:val="535353"/>
            </w14:solidFill>
          </w14:textFill>
        </w:rPr>
      </w:pPr>
      <w:r>
        <w:rPr>
          <w:rFonts w:ascii="Times New Roman" w:hAnsi="Times New Roman"/>
          <w:b w:val="1"/>
          <w:bCs w:val="1"/>
          <w:i w:val="1"/>
          <w:iCs w:val="1"/>
          <w:outline w:val="0"/>
          <w:color w:val="535353"/>
          <w:sz w:val="22"/>
          <w:szCs w:val="22"/>
          <w:u w:color="535353"/>
          <w:rtl w:val="0"/>
          <w:lang w:val="en-US"/>
          <w14:textFill>
            <w14:solidFill>
              <w14:srgbClr w14:val="535353"/>
            </w14:solidFill>
          </w14:textFill>
        </w:rPr>
        <w:t>[14] K. Rajput, A. Darzi, and S. Ghafur, "Digital Health Security and Cyber Resilience in Healthcare Organisations," The Lancet Digital Health, vol. 7, no. 2, 2025.</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Times New Roman" w:cs="Times New Roman" w:hAnsi="Times New Roman" w:eastAsia="Times New Roman"/>
          <w:b w:val="1"/>
          <w:bCs w:val="1"/>
          <w:i w:val="1"/>
          <w:iCs w:val="1"/>
          <w:outline w:val="0"/>
          <w:color w:val="535353"/>
          <w:sz w:val="22"/>
          <w:szCs w:val="22"/>
          <w:u w:color="535353"/>
          <w14:textFill>
            <w14:solidFill>
              <w14:srgbClr w14:val="535353"/>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Times New Roman" w:cs="Times New Roman" w:hAnsi="Times New Roman" w:eastAsia="Times New Roman"/>
          <w:b w:val="1"/>
          <w:bCs w:val="1"/>
          <w:i w:val="1"/>
          <w:iCs w:val="1"/>
          <w:outline w:val="0"/>
          <w:color w:val="535353"/>
          <w:sz w:val="22"/>
          <w:szCs w:val="22"/>
          <w:u w:color="535353"/>
          <w14:textFill>
            <w14:solidFill>
              <w14:srgbClr w14:val="535353"/>
            </w14:solidFill>
          </w14:textFill>
        </w:rPr>
      </w:pPr>
      <w:r>
        <w:rPr>
          <w:rFonts w:ascii="Times New Roman" w:hAnsi="Times New Roman"/>
          <w:b w:val="1"/>
          <w:bCs w:val="1"/>
          <w:i w:val="1"/>
          <w:iCs w:val="1"/>
          <w:outline w:val="0"/>
          <w:color w:val="535353"/>
          <w:sz w:val="22"/>
          <w:szCs w:val="22"/>
          <w:u w:color="535353"/>
          <w:rtl w:val="0"/>
          <w:lang w:val="en-US"/>
          <w14:textFill>
            <w14:solidFill>
              <w14:srgbClr w14:val="535353"/>
            </w14:solidFill>
          </w14:textFill>
        </w:rPr>
        <w:t>[15] National Audit Office (NAO), Investigation: WannaCry Cyber Attack and the NHS. London, UK: National Audit Office, 2017.</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Times New Roman" w:cs="Times New Roman" w:hAnsi="Times New Roman" w:eastAsia="Times New Roman"/>
          <w:b w:val="1"/>
          <w:bCs w:val="1"/>
          <w:i w:val="1"/>
          <w:iCs w:val="1"/>
          <w:outline w:val="0"/>
          <w:color w:val="535353"/>
          <w:sz w:val="22"/>
          <w:szCs w:val="22"/>
          <w:u w:color="535353"/>
          <w14:textFill>
            <w14:solidFill>
              <w14:srgbClr w14:val="535353"/>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Times New Roman" w:cs="Times New Roman" w:hAnsi="Times New Roman" w:eastAsia="Times New Roman"/>
          <w:b w:val="1"/>
          <w:bCs w:val="1"/>
          <w:i w:val="1"/>
          <w:iCs w:val="1"/>
          <w:outline w:val="0"/>
          <w:color w:val="535353"/>
          <w:sz w:val="22"/>
          <w:szCs w:val="22"/>
          <w:u w:color="535353"/>
          <w14:textFill>
            <w14:solidFill>
              <w14:srgbClr w14:val="535353"/>
            </w14:solidFill>
          </w14:textFill>
        </w:rPr>
      </w:pPr>
      <w:r>
        <w:rPr>
          <w:rFonts w:ascii="Times New Roman" w:hAnsi="Times New Roman"/>
          <w:b w:val="1"/>
          <w:bCs w:val="1"/>
          <w:i w:val="1"/>
          <w:iCs w:val="1"/>
          <w:outline w:val="0"/>
          <w:color w:val="535353"/>
          <w:sz w:val="22"/>
          <w:szCs w:val="22"/>
          <w:u w:color="535353"/>
          <w:rtl w:val="0"/>
          <w:lang w:val="en-US"/>
          <w14:textFill>
            <w14:solidFill>
              <w14:srgbClr w14:val="535353"/>
            </w14:solidFill>
          </w14:textFill>
        </w:rPr>
        <w:t>[16] NHS England, Cyber Security Strategy for Health and Social Care. London, UK: NHS England, 2024.</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Times New Roman" w:cs="Times New Roman" w:hAnsi="Times New Roman" w:eastAsia="Times New Roman"/>
          <w:b w:val="1"/>
          <w:bCs w:val="1"/>
          <w:i w:val="1"/>
          <w:iCs w:val="1"/>
          <w:outline w:val="0"/>
          <w:color w:val="535353"/>
          <w:sz w:val="22"/>
          <w:szCs w:val="22"/>
          <w:u w:color="535353"/>
          <w14:textFill>
            <w14:solidFill>
              <w14:srgbClr w14:val="535353"/>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Times New Roman" w:cs="Times New Roman" w:hAnsi="Times New Roman" w:eastAsia="Times New Roman"/>
          <w:b w:val="1"/>
          <w:bCs w:val="1"/>
          <w:i w:val="1"/>
          <w:iCs w:val="1"/>
          <w:outline w:val="0"/>
          <w:color w:val="535353"/>
          <w:sz w:val="22"/>
          <w:szCs w:val="22"/>
          <w:u w:color="535353"/>
          <w14:textFill>
            <w14:solidFill>
              <w14:srgbClr w14:val="535353"/>
            </w14:solidFill>
          </w14:textFill>
        </w:rPr>
      </w:pPr>
      <w:r>
        <w:rPr>
          <w:rFonts w:ascii="Times New Roman" w:hAnsi="Times New Roman"/>
          <w:b w:val="1"/>
          <w:bCs w:val="1"/>
          <w:i w:val="1"/>
          <w:iCs w:val="1"/>
          <w:outline w:val="0"/>
          <w:color w:val="535353"/>
          <w:sz w:val="22"/>
          <w:szCs w:val="22"/>
          <w:u w:color="535353"/>
          <w:rtl w:val="0"/>
          <w:lang w:val="en-US"/>
          <w14:textFill>
            <w14:solidFill>
              <w14:srgbClr w14:val="535353"/>
            </w14:solidFill>
          </w14:textFill>
        </w:rPr>
        <w:t>[17] National Cyber Security Centre (NCSC), Zero Trust Architecture Design Principles. London, UK: NCSC, 2023.</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spacing w:before="0" w:line="240" w:lineRule="auto"/>
        <w:jc w:val="both"/>
        <w:rPr>
          <w:rFonts w:ascii="Times New Roman" w:cs="Times New Roman" w:hAnsi="Times New Roman" w:eastAsia="Times New Roman"/>
          <w:b w:val="1"/>
          <w:bCs w:val="1"/>
          <w:i w:val="1"/>
          <w:iCs w:val="1"/>
          <w:outline w:val="0"/>
          <w:color w:val="535353"/>
          <w:sz w:val="22"/>
          <w:szCs w:val="22"/>
          <w:u w:color="535353"/>
          <w14:textFill>
            <w14:solidFill>
              <w14:srgbClr w14:val="535353"/>
            </w14:solidFill>
          </w14:textFill>
        </w:rPr>
      </w:pPr>
      <w:r>
        <w:rPr>
          <w:rFonts w:ascii="Times New Roman" w:hAnsi="Times New Roman"/>
          <w:b w:val="1"/>
          <w:bCs w:val="1"/>
          <w:i w:val="1"/>
          <w:iCs w:val="1"/>
          <w:outline w:val="0"/>
          <w:color w:val="535353"/>
          <w:sz w:val="22"/>
          <w:szCs w:val="22"/>
          <w:u w:color="535353"/>
          <w:rtl w:val="0"/>
          <w:lang w:val="en-US"/>
          <w14:textFill>
            <w14:solidFill>
              <w14:srgbClr w14:val="535353"/>
            </w14:solidFill>
          </w14:textFill>
        </w:rPr>
        <w:t xml:space="preserve"> </w:t>
      </w:r>
    </w:p>
    <w:p>
      <w:pPr>
        <w:pStyle w:val="Default"/>
        <w:suppressAutoHyphens w:val="1"/>
        <w:spacing w:before="0" w:line="240" w:lineRule="auto"/>
        <w:jc w:val="both"/>
        <w:rPr>
          <w:rFonts w:ascii="Times New Roman" w:cs="Times New Roman" w:hAnsi="Times New Roman" w:eastAsia="Times New Roman"/>
          <w:b w:val="1"/>
          <w:bCs w:val="1"/>
          <w:i w:val="1"/>
          <w:iCs w:val="1"/>
          <w:outline w:val="0"/>
          <w:color w:val="535353"/>
          <w:sz w:val="22"/>
          <w:szCs w:val="22"/>
          <w:u w:color="535353"/>
          <w14:textFill>
            <w14:solidFill>
              <w14:srgbClr w14:val="535353"/>
            </w14:solidFill>
          </w14:textFill>
        </w:rPr>
      </w:pPr>
      <w:r>
        <w:rPr>
          <w:rFonts w:ascii="Times New Roman" w:hAnsi="Times New Roman"/>
          <w:b w:val="1"/>
          <w:bCs w:val="1"/>
          <w:i w:val="1"/>
          <w:iCs w:val="1"/>
          <w:outline w:val="0"/>
          <w:color w:val="535353"/>
          <w:sz w:val="22"/>
          <w:szCs w:val="22"/>
          <w:u w:color="535353"/>
          <w:rtl w:val="0"/>
          <w:lang w:val="en-US"/>
          <w14:textFill>
            <w14:solidFill>
              <w14:srgbClr w14:val="535353"/>
            </w14:solidFill>
          </w14:textFill>
        </w:rPr>
        <w:t>[18] U.S. House Committee on Oversight and Government Reform, The Equifax Data Breach: Majority Staff Report. Washington, DC, USA: U.S. House of Representatives, 2018.</w:t>
      </w:r>
    </w:p>
    <w:p>
      <w:pPr>
        <w:pStyle w:val="Default"/>
        <w:suppressAutoHyphens w:val="1"/>
        <w:spacing w:before="0" w:line="240" w:lineRule="auto"/>
        <w:jc w:val="both"/>
        <w:rPr>
          <w:rFonts w:ascii="Times New Roman" w:cs="Times New Roman" w:hAnsi="Times New Roman" w:eastAsia="Times New Roman"/>
          <w:b w:val="1"/>
          <w:bCs w:val="1"/>
          <w:i w:val="1"/>
          <w:iCs w:val="1"/>
          <w:outline w:val="0"/>
          <w:color w:val="535353"/>
          <w:sz w:val="22"/>
          <w:szCs w:val="22"/>
          <w:u w:color="535353"/>
          <w14:textFill>
            <w14:solidFill>
              <w14:srgbClr w14:val="535353"/>
            </w14:solidFill>
          </w14:textFill>
        </w:rPr>
      </w:pPr>
      <w:r>
        <w:rPr>
          <w:rFonts w:ascii="Times New Roman" w:hAnsi="Times New Roman" w:hint="default"/>
          <w:b w:val="1"/>
          <w:bCs w:val="1"/>
          <w:i w:val="1"/>
          <w:iCs w:val="1"/>
          <w:outline w:val="0"/>
          <w:color w:val="535353"/>
          <w:sz w:val="22"/>
          <w:szCs w:val="22"/>
          <w:u w:color="535353"/>
          <w:rtl w:val="0"/>
          <w:lang w:val="en-US"/>
          <w14:textFill>
            <w14:solidFill>
              <w14:srgbClr w14:val="535353"/>
            </w14:solidFill>
          </w14:textFill>
        </w:rPr>
        <w:t> </w:t>
      </w:r>
    </w:p>
    <w:p>
      <w:pPr>
        <w:pStyle w:val="Default"/>
        <w:suppressAutoHyphens w:val="1"/>
        <w:spacing w:before="0" w:line="240" w:lineRule="auto"/>
        <w:jc w:val="both"/>
        <w:rPr>
          <w:rStyle w:val="None"/>
          <w:rFonts w:ascii="Times New Roman" w:cs="Times New Roman" w:hAnsi="Times New Roman" w:eastAsia="Times New Roman"/>
          <w:b w:val="1"/>
          <w:bCs w:val="1"/>
          <w:i w:val="1"/>
          <w:iCs w:val="1"/>
          <w:outline w:val="0"/>
          <w:color w:val="535353"/>
          <w:sz w:val="22"/>
          <w:szCs w:val="22"/>
          <w:u w:color="535353"/>
          <w14:textFill>
            <w14:solidFill>
              <w14:srgbClr w14:val="535353"/>
            </w14:solidFill>
          </w14:textFill>
        </w:rPr>
      </w:pPr>
      <w:r>
        <w:rPr>
          <w:rFonts w:ascii="Times New Roman" w:hAnsi="Times New Roman"/>
          <w:b w:val="1"/>
          <w:bCs w:val="1"/>
          <w:i w:val="1"/>
          <w:iCs w:val="1"/>
          <w:outline w:val="0"/>
          <w:color w:val="535353"/>
          <w:sz w:val="22"/>
          <w:szCs w:val="22"/>
          <w:u w:color="535353"/>
          <w:rtl w:val="0"/>
          <w:lang w:val="en-US"/>
          <w14:textFill>
            <w14:solidFill>
              <w14:srgbClr w14:val="535353"/>
            </w14:solidFill>
          </w14:textFill>
        </w:rPr>
        <w:t xml:space="preserve">[19] Federal Trade Commission, Equifax Data Breach Settlement. Washington, DC, USA: Federal Trade Commission, 2019. [Online]. Available: </w:t>
      </w:r>
      <w:r>
        <w:rPr>
          <w:rStyle w:val="Hyperlink.0"/>
        </w:rPr>
        <w:fldChar w:fldCharType="begin" w:fldLock="0"/>
      </w:r>
      <w:r>
        <w:rPr>
          <w:rStyle w:val="Hyperlink.0"/>
        </w:rPr>
        <w:instrText xml:space="preserve"> HYPERLINK "https://www.ftc.gov"</w:instrText>
      </w:r>
      <w:r>
        <w:rPr>
          <w:rStyle w:val="Hyperlink.0"/>
        </w:rPr>
        <w:fldChar w:fldCharType="separate" w:fldLock="0"/>
      </w:r>
      <w:r>
        <w:rPr>
          <w:rStyle w:val="Hyperlink.0"/>
          <w:rtl w:val="0"/>
          <w:lang w:val="en-US"/>
        </w:rPr>
        <w:t>https://www.ftc.gov</w:t>
      </w:r>
      <w:r>
        <w:rPr/>
        <w:fldChar w:fldCharType="end" w:fldLock="0"/>
      </w:r>
    </w:p>
    <w:p>
      <w:pPr>
        <w:pStyle w:val="Default"/>
        <w:suppressAutoHyphens w:val="1"/>
        <w:spacing w:before="0" w:line="240" w:lineRule="auto"/>
        <w:jc w:val="both"/>
        <w:rPr>
          <w:rStyle w:val="None"/>
          <w:rFonts w:ascii="Times New Roman" w:cs="Times New Roman" w:hAnsi="Times New Roman" w:eastAsia="Times New Roman"/>
          <w:b w:val="1"/>
          <w:bCs w:val="1"/>
          <w:i w:val="1"/>
          <w:iCs w:val="1"/>
          <w:outline w:val="0"/>
          <w:color w:val="535353"/>
          <w:sz w:val="22"/>
          <w:szCs w:val="22"/>
          <w:u w:color="535353"/>
          <w14:textFill>
            <w14:solidFill>
              <w14:srgbClr w14:val="535353"/>
            </w14:solidFill>
          </w14:textFill>
        </w:rPr>
      </w:pPr>
    </w:p>
    <w:p>
      <w:pPr>
        <w:pStyle w:val="Default"/>
        <w:suppressAutoHyphens w:val="1"/>
        <w:spacing w:before="0" w:line="240" w:lineRule="auto"/>
        <w:jc w:val="both"/>
        <w:rPr>
          <w:rStyle w:val="None"/>
          <w:rFonts w:ascii="Times New Roman" w:cs="Times New Roman" w:hAnsi="Times New Roman" w:eastAsia="Times New Roman"/>
          <w:b w:val="1"/>
          <w:bCs w:val="1"/>
          <w:i w:val="1"/>
          <w:iCs w:val="1"/>
          <w:outline w:val="0"/>
          <w:color w:val="535353"/>
          <w:sz w:val="22"/>
          <w:szCs w:val="22"/>
          <w:u w:color="535353"/>
          <w14:textFill>
            <w14:solidFill>
              <w14:srgbClr w14:val="535353"/>
            </w14:solidFill>
          </w14:textFill>
        </w:rPr>
      </w:pPr>
      <w:r>
        <w:rPr>
          <w:rStyle w:val="None"/>
          <w:rFonts w:ascii="Times New Roman" w:hAnsi="Times New Roman"/>
          <w:b w:val="1"/>
          <w:bCs w:val="1"/>
          <w:i w:val="1"/>
          <w:iCs w:val="1"/>
          <w:outline w:val="0"/>
          <w:color w:val="535353"/>
          <w:sz w:val="22"/>
          <w:szCs w:val="22"/>
          <w:u w:color="535353"/>
          <w:rtl w:val="0"/>
          <w:lang w:val="en-US"/>
          <w14:textFill>
            <w14:solidFill>
              <w14:srgbClr w14:val="535353"/>
            </w14:solidFill>
          </w14:textFill>
        </w:rPr>
        <w:t xml:space="preserve">[20] European Parliament and Council of the European Union, </w:t>
      </w:r>
      <w:r>
        <w:rPr>
          <w:rStyle w:val="None"/>
          <w:rFonts w:ascii="Times New Roman" w:hAnsi="Times New Roman" w:hint="default"/>
          <w:b w:val="1"/>
          <w:bCs w:val="1"/>
          <w:i w:val="1"/>
          <w:iCs w:val="1"/>
          <w:outline w:val="0"/>
          <w:color w:val="535353"/>
          <w:sz w:val="22"/>
          <w:szCs w:val="22"/>
          <w:u w:color="535353"/>
          <w:rtl w:val="0"/>
          <w:lang w:val="en-US"/>
          <w14:textFill>
            <w14:solidFill>
              <w14:srgbClr w14:val="535353"/>
            </w14:solidFill>
          </w14:textFill>
        </w:rPr>
        <w:t>“</w:t>
      </w:r>
      <w:r>
        <w:rPr>
          <w:rStyle w:val="None"/>
          <w:rFonts w:ascii="Times New Roman" w:hAnsi="Times New Roman"/>
          <w:b w:val="1"/>
          <w:bCs w:val="1"/>
          <w:i w:val="1"/>
          <w:iCs w:val="1"/>
          <w:outline w:val="0"/>
          <w:color w:val="535353"/>
          <w:sz w:val="22"/>
          <w:szCs w:val="22"/>
          <w:u w:color="535353"/>
          <w:rtl w:val="0"/>
          <w:lang w:val="en-US"/>
          <w14:textFill>
            <w14:solidFill>
              <w14:srgbClr w14:val="535353"/>
            </w14:solidFill>
          </w14:textFill>
        </w:rPr>
        <w:t xml:space="preserve">Regulation </w:t>
      </w:r>
      <w:r>
        <w:rPr>
          <w:rStyle w:val="None"/>
          <w:rFonts w:ascii="Times New Roman" w:hAnsi="Times New Roman"/>
          <w:b w:val="1"/>
          <w:bCs w:val="1"/>
          <w:i w:val="1"/>
          <w:iCs w:val="1"/>
          <w:sz w:val="22"/>
          <w:szCs w:val="22"/>
          <w:rtl w:val="0"/>
          <w:lang w:val="en-US"/>
        </w:rPr>
        <w:t>(</w:t>
      </w:r>
      <w:r>
        <w:rPr>
          <w:rStyle w:val="None"/>
          <w:rFonts w:ascii="Times New Roman" w:hAnsi="Times New Roman"/>
          <w:b w:val="1"/>
          <w:bCs w:val="1"/>
          <w:i w:val="1"/>
          <w:iCs w:val="1"/>
          <w:outline w:val="0"/>
          <w:color w:val="a7a7a7"/>
          <w:sz w:val="22"/>
          <w:szCs w:val="22"/>
          <w:u w:color="a7a7a7"/>
          <w:rtl w:val="0"/>
          <w:lang w:val="en-US"/>
          <w14:textFill>
            <w14:solidFill>
              <w14:srgbClr w14:val="A7A7A7"/>
            </w14:solidFill>
          </w14:textFill>
        </w:rPr>
        <w:t>EU</w:t>
      </w:r>
      <w:r>
        <w:rPr>
          <w:rStyle w:val="None"/>
          <w:rFonts w:ascii="Times New Roman" w:hAnsi="Times New Roman"/>
          <w:b w:val="1"/>
          <w:bCs w:val="1"/>
          <w:i w:val="1"/>
          <w:iCs w:val="1"/>
          <w:sz w:val="22"/>
          <w:szCs w:val="22"/>
          <w:rtl w:val="0"/>
          <w:lang w:val="en-US"/>
        </w:rPr>
        <w:t xml:space="preserve">) 2016/679 of 27 </w:t>
      </w:r>
      <w:r>
        <w:rPr>
          <w:rStyle w:val="None"/>
          <w:rFonts w:ascii="Times New Roman" w:hAnsi="Times New Roman"/>
          <w:b w:val="1"/>
          <w:bCs w:val="1"/>
          <w:i w:val="1"/>
          <w:iCs w:val="1"/>
          <w:outline w:val="0"/>
          <w:color w:val="535353"/>
          <w:sz w:val="22"/>
          <w:szCs w:val="22"/>
          <w:u w:color="535353"/>
          <w:rtl w:val="0"/>
          <w:lang w:val="en-US"/>
          <w14:textFill>
            <w14:solidFill>
              <w14:srgbClr w14:val="535353"/>
            </w14:solidFill>
          </w14:textFill>
        </w:rPr>
        <w:t xml:space="preserve">April 2016 on the protection of natural persons with regard to the processing of personal data and </w:t>
      </w:r>
      <w:r>
        <w:rPr>
          <w:rStyle w:val="None"/>
          <w:rFonts w:ascii="Times New Roman" w:hAnsi="Times New Roman"/>
          <w:b w:val="1"/>
          <w:bCs w:val="1"/>
          <w:i w:val="1"/>
          <w:iCs w:val="1"/>
          <w:sz w:val="22"/>
          <w:szCs w:val="22"/>
          <w:rtl w:val="0"/>
          <w:lang w:val="en-US"/>
        </w:rPr>
        <w:t>o</w:t>
      </w:r>
      <w:r>
        <w:rPr>
          <w:rStyle w:val="None"/>
          <w:rFonts w:ascii="Times New Roman" w:hAnsi="Times New Roman"/>
          <w:b w:val="1"/>
          <w:bCs w:val="1"/>
          <w:i w:val="1"/>
          <w:iCs w:val="1"/>
          <w:outline w:val="0"/>
          <w:color w:val="535353"/>
          <w:sz w:val="22"/>
          <w:szCs w:val="22"/>
          <w:u w:color="535353"/>
          <w:rtl w:val="0"/>
          <w:lang w:val="en-US"/>
          <w14:textFill>
            <w14:solidFill>
              <w14:srgbClr w14:val="535353"/>
            </w14:solidFill>
          </w14:textFill>
        </w:rPr>
        <w:t>n the free movement of such data (General Data Protection Regulation),</w:t>
      </w:r>
      <w:r>
        <w:rPr>
          <w:rStyle w:val="None"/>
          <w:rFonts w:ascii="Times New Roman" w:hAnsi="Times New Roman" w:hint="default"/>
          <w:b w:val="1"/>
          <w:bCs w:val="1"/>
          <w:i w:val="1"/>
          <w:iCs w:val="1"/>
          <w:outline w:val="0"/>
          <w:color w:val="535353"/>
          <w:sz w:val="22"/>
          <w:szCs w:val="22"/>
          <w:u w:color="535353"/>
          <w:rtl w:val="0"/>
          <w:lang w:val="en-US"/>
          <w14:textFill>
            <w14:solidFill>
              <w14:srgbClr w14:val="535353"/>
            </w14:solidFill>
          </w14:textFill>
        </w:rPr>
        <w:t xml:space="preserve">” </w:t>
      </w:r>
      <w:r>
        <w:rPr>
          <w:rStyle w:val="None"/>
          <w:rFonts w:ascii="Times New Roman" w:hAnsi="Times New Roman"/>
          <w:b w:val="1"/>
          <w:bCs w:val="1"/>
          <w:i w:val="1"/>
          <w:iCs w:val="1"/>
          <w:outline w:val="0"/>
          <w:color w:val="535353"/>
          <w:sz w:val="22"/>
          <w:szCs w:val="22"/>
          <w:u w:color="535353"/>
          <w:rtl w:val="0"/>
          <w:lang w:val="en-US"/>
          <w14:textFill>
            <w14:solidFill>
              <w14:srgbClr w14:val="535353"/>
            </w14:solidFill>
          </w14:textFill>
        </w:rPr>
        <w:t>Official Journal of the European Union, vol. L 119, pp. 1</w:t>
      </w:r>
      <w:r>
        <w:rPr>
          <w:rStyle w:val="None"/>
          <w:rFonts w:ascii="Times New Roman" w:hAnsi="Times New Roman" w:hint="default"/>
          <w:b w:val="1"/>
          <w:bCs w:val="1"/>
          <w:i w:val="1"/>
          <w:iCs w:val="1"/>
          <w:outline w:val="0"/>
          <w:color w:val="535353"/>
          <w:sz w:val="22"/>
          <w:szCs w:val="22"/>
          <w:u w:color="535353"/>
          <w:rtl w:val="0"/>
          <w:lang w:val="en-US"/>
          <w14:textFill>
            <w14:solidFill>
              <w14:srgbClr w14:val="535353"/>
            </w14:solidFill>
          </w14:textFill>
        </w:rPr>
        <w:t>–</w:t>
      </w:r>
      <w:r>
        <w:rPr>
          <w:rStyle w:val="None"/>
          <w:rFonts w:ascii="Times New Roman" w:hAnsi="Times New Roman"/>
          <w:b w:val="1"/>
          <w:bCs w:val="1"/>
          <w:i w:val="1"/>
          <w:iCs w:val="1"/>
          <w:outline w:val="0"/>
          <w:color w:val="535353"/>
          <w:sz w:val="22"/>
          <w:szCs w:val="22"/>
          <w:u w:color="535353"/>
          <w:rtl w:val="0"/>
          <w:lang w:val="en-US"/>
          <w14:textFill>
            <w14:solidFill>
              <w14:srgbClr w14:val="535353"/>
            </w14:solidFill>
          </w14:textFill>
        </w:rPr>
        <w:t>88, May 2016. [Online]. Available:</w:t>
      </w:r>
      <w:r>
        <w:rPr>
          <w:rStyle w:val="None"/>
          <w:rFonts w:ascii="Times New Roman" w:hAnsi="Times New Roman"/>
          <w:b w:val="1"/>
          <w:bCs w:val="1"/>
          <w:i w:val="1"/>
          <w:iCs w:val="1"/>
          <w:sz w:val="22"/>
          <w:szCs w:val="22"/>
          <w:rtl w:val="0"/>
          <w:lang w:val="en-US"/>
        </w:rPr>
        <w:t xml:space="preserve"> </w:t>
      </w:r>
      <w:r>
        <w:rPr>
          <w:rStyle w:val="Hyperlink.1"/>
        </w:rPr>
        <w:fldChar w:fldCharType="begin" w:fldLock="0"/>
      </w:r>
      <w:r>
        <w:rPr>
          <w:rStyle w:val="Hyperlink.1"/>
        </w:rPr>
        <w:instrText xml:space="preserve"> HYPERLINK "https://eur-lex.europa.eu/legal-content/EN/TXT/?qid=1761243864857&amp;uri=CELEX:32016R0679&amp;utm_source=chatgpt.com"</w:instrText>
      </w:r>
      <w:r>
        <w:rPr>
          <w:rStyle w:val="Hyperlink.1"/>
        </w:rPr>
        <w:fldChar w:fldCharType="separate" w:fldLock="0"/>
      </w:r>
      <w:r>
        <w:rPr>
          <w:rStyle w:val="Hyperlink.1"/>
          <w:rtl w:val="0"/>
          <w:lang w:val="en-US"/>
        </w:rPr>
        <w:t>EUR-Lex</w:t>
      </w:r>
      <w:r>
        <w:rPr/>
        <w:fldChar w:fldCharType="end" w:fldLock="0"/>
      </w:r>
    </w:p>
    <w:p>
      <w:pPr>
        <w:pStyle w:val="Default"/>
        <w:suppressAutoHyphens w:val="1"/>
        <w:spacing w:before="0" w:line="240" w:lineRule="auto"/>
        <w:jc w:val="both"/>
        <w:rPr>
          <w:rStyle w:val="None"/>
          <w:rFonts w:ascii="Times New Roman" w:cs="Times New Roman" w:hAnsi="Times New Roman" w:eastAsia="Times New Roman"/>
          <w:b w:val="1"/>
          <w:bCs w:val="1"/>
          <w:i w:val="1"/>
          <w:iCs w:val="1"/>
          <w:outline w:val="0"/>
          <w:color w:val="535353"/>
          <w:sz w:val="22"/>
          <w:szCs w:val="22"/>
          <w:u w:color="535353"/>
          <w14:textFill>
            <w14:solidFill>
              <w14:srgbClr w14:val="535353"/>
            </w14:solidFill>
          </w14:textFill>
        </w:rPr>
      </w:pPr>
    </w:p>
    <w:p>
      <w:pPr>
        <w:pStyle w:val="Default"/>
        <w:suppressAutoHyphens w:val="1"/>
        <w:spacing w:before="0" w:line="240" w:lineRule="auto"/>
        <w:jc w:val="both"/>
      </w:pPr>
      <w:r>
        <w:rPr>
          <w:rStyle w:val="None"/>
          <w:rFonts w:ascii="Times New Roman" w:hAnsi="Times New Roman" w:hint="default"/>
          <w:b w:val="1"/>
          <w:bCs w:val="1"/>
          <w:i w:val="1"/>
          <w:iCs w:val="1"/>
          <w:outline w:val="0"/>
          <w:color w:val="535353"/>
          <w:sz w:val="22"/>
          <w:szCs w:val="22"/>
          <w:u w:color="535353"/>
          <w:rtl w:val="0"/>
          <w:lang w:val="en-US"/>
          <w14:textFill>
            <w14:solidFill>
              <w14:srgbClr w14:val="535353"/>
            </w14:solidFill>
          </w14:textFill>
        </w:rPr>
        <w:t> </w:t>
      </w:r>
    </w:p>
    <w:sectPr>
      <w:headerReference w:type="default" r:id="rId13"/>
      <w:headerReference w:type="first" r:id="rId14"/>
      <w:footerReference w:type="default" r:id="rId15"/>
      <w:footerReference w:type="first" r:id="rId16"/>
      <w:pgSz w:w="11900" w:h="16840" w:orient="portrait"/>
      <w:pgMar w:top="1440" w:right="1440" w:bottom="1440" w:left="1440" w:header="708" w:footer="708"/>
      <w:pgNumType w:start="0"/>
      <w:titlePg w:val="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Aptos">
    <w:charset w:val="00"/>
    <w:family w:val="roman"/>
    <w:pitch w:val="default"/>
  </w:font>
  <w:font w:name="Impact">
    <w:charset w:val="00"/>
    <w:family w:val="roman"/>
    <w:pitch w:val="default"/>
  </w:font>
  <w:font w:name="Aptos Display">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No Spacing">
    <w:name w:val="No Spacing"/>
    <w:next w:val="No Spacing"/>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Aptos" w:cs="Aptos" w:hAnsi="Aptos" w:eastAsia="Apto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Body A">
    <w:name w:val="Body A"/>
    <w:next w:val="Body A"/>
    <w:pPr>
      <w:keepNext w:val="0"/>
      <w:keepLines w:val="0"/>
      <w:pageBreakBefore w:val="0"/>
      <w:widowControl w:val="1"/>
      <w:shd w:val="clear" w:color="auto" w:fill="auto"/>
      <w:suppressAutoHyphens w:val="0"/>
      <w:bidi w:val="0"/>
      <w:spacing w:before="0" w:after="160" w:line="278" w:lineRule="auto"/>
      <w:ind w:left="0" w:right="0" w:firstLine="0"/>
      <w:jc w:val="left"/>
      <w:outlineLvl w:val="9"/>
    </w:pPr>
    <w:rPr>
      <w:rFonts w:ascii="Aptos" w:cs="Aptos" w:hAnsi="Aptos" w:eastAsia="Apto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14:textOutline w14:w="12700" w14:cap="flat">
        <w14:noFill/>
        <w14:miter w14:lim="400000"/>
      </w14:textOutline>
      <w14:textFill>
        <w14:solidFill>
          <w14:srgbClr w14:val="000000"/>
        </w14:solidFill>
      </w14:textFill>
    </w:rPr>
  </w:style>
  <w:style w:type="paragraph" w:styleId="Caption A">
    <w:name w:val="Caption A"/>
    <w:next w:val="Caption A"/>
    <w:pPr>
      <w:keepNext w:val="0"/>
      <w:keepLines w:val="0"/>
      <w:pageBreakBefore w:val="0"/>
      <w:widowControl w:val="1"/>
      <w:shd w:val="clear" w:color="auto" w:fill="auto"/>
      <w:suppressAutoHyphens w:val="1"/>
      <w:bidi w:val="0"/>
      <w:spacing w:before="0" w:after="0" w:line="240" w:lineRule="auto"/>
      <w:ind w:left="0" w:right="0" w:firstLine="0"/>
      <w:jc w:val="left"/>
      <w:outlineLvl w:val="0"/>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Heading">
    <w:name w:val="Heading"/>
    <w:next w:val="Body A"/>
    <w:pPr>
      <w:keepNext w:val="1"/>
      <w:keepLines w:val="1"/>
      <w:pageBreakBefore w:val="0"/>
      <w:widowControl w:val="1"/>
      <w:shd w:val="clear" w:color="auto" w:fill="auto"/>
      <w:suppressAutoHyphens w:val="0"/>
      <w:bidi w:val="0"/>
      <w:spacing w:before="360" w:after="80" w:line="278" w:lineRule="auto"/>
      <w:ind w:left="0" w:right="0" w:firstLine="0"/>
      <w:jc w:val="left"/>
      <w:outlineLvl w:val="0"/>
    </w:pPr>
    <w:rPr>
      <w:rFonts w:ascii="Aptos Display" w:cs="Aptos Display" w:hAnsi="Aptos Display" w:eastAsia="Aptos Display"/>
      <w:b w:val="0"/>
      <w:bCs w:val="0"/>
      <w:i w:val="0"/>
      <w:iCs w:val="0"/>
      <w:caps w:val="0"/>
      <w:smallCaps w:val="0"/>
      <w:strike w:val="0"/>
      <w:dstrike w:val="0"/>
      <w:outline w:val="0"/>
      <w:color w:val="0f4761"/>
      <w:spacing w:val="0"/>
      <w:kern w:val="2"/>
      <w:position w:val="0"/>
      <w:sz w:val="40"/>
      <w:szCs w:val="40"/>
      <w:u w:val="none" w:color="0f4761"/>
      <w:shd w:val="nil" w:color="auto" w:fill="auto"/>
      <w:vertAlign w:val="baseline"/>
      <w:lang w:val="en-US"/>
      <w14:textOutline w14:w="12700" w14:cap="flat">
        <w14:noFill/>
        <w14:miter w14:lim="400000"/>
      </w14:textOutline>
      <w14:textFill>
        <w14:solidFill>
          <w14:srgbClr w14:val="0F4761"/>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0000ff"/>
      <w:u w:val="single" w:color="0000ff"/>
      <w14:textFill>
        <w14:solidFill>
          <w14:srgbClr w14:val="0000FF"/>
        </w14:solidFill>
      </w14:textFill>
    </w:rPr>
  </w:style>
  <w:style w:type="character" w:styleId="Hyperlink.1">
    <w:name w:val="Hyperlink.1"/>
    <w:basedOn w:val="None"/>
    <w:next w:val="Hyperlink.1"/>
    <w:rPr>
      <w:rFonts w:ascii="Times New Roman" w:cs="Times New Roman" w:hAnsi="Times New Roman" w:eastAsia="Times New Roman"/>
      <w:b w:val="1"/>
      <w:bCs w:val="1"/>
      <w:i w:val="1"/>
      <w:iCs w:val="1"/>
      <w:outline w:val="0"/>
      <w:color w:val="0000ee"/>
      <w:sz w:val="22"/>
      <w:szCs w:val="22"/>
      <w:u w:val="single" w:color="0000ee"/>
      <w14:textFill>
        <w14:solidFill>
          <w14:srgbClr w14:val="0000EE"/>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image" Target="media/image4.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5.jpeg"/><Relationship Id="rId12" Type="http://schemas.openxmlformats.org/officeDocument/2006/relationships/image" Target="media/image6.jpeg"/><Relationship Id="rId13" Type="http://schemas.openxmlformats.org/officeDocument/2006/relationships/header" Target="header1.xml"/><Relationship Id="rId14" Type="http://schemas.openxmlformats.org/officeDocument/2006/relationships/header" Target="header2.xml"/><Relationship Id="rId15" Type="http://schemas.openxmlformats.org/officeDocument/2006/relationships/footer" Target="footer1.xml"/><Relationship Id="rId16" Type="http://schemas.openxmlformats.org/officeDocument/2006/relationships/footer" Target="footer2.xml"/><Relationship Id="rId1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156082"/>
      </a:accent1>
      <a:accent2>
        <a:srgbClr val="E97132"/>
      </a:accent2>
      <a:accent3>
        <a:srgbClr val="196B24"/>
      </a:accent3>
      <a:accent4>
        <a:srgbClr val="0F9ED5"/>
      </a:accent4>
      <a:accent5>
        <a:srgbClr val="A02B93"/>
      </a:accent5>
      <a:accent6>
        <a:srgbClr val="4EA72E"/>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