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67B" w:rsidRPr="00E13E4B" w:rsidRDefault="00B40176" w:rsidP="00B40176">
      <w:pPr>
        <w:jc w:val="center"/>
        <w:rPr>
          <w:b/>
          <w:color w:val="1F497D" w:themeColor="text2"/>
          <w:sz w:val="28"/>
          <w:szCs w:val="28"/>
        </w:rPr>
      </w:pPr>
      <w:r w:rsidRPr="00E13E4B">
        <w:rPr>
          <w:b/>
          <w:color w:val="1F497D" w:themeColor="text2"/>
          <w:sz w:val="28"/>
          <w:szCs w:val="28"/>
        </w:rPr>
        <w:t>INTRODUCTION   9</w:t>
      </w:r>
    </w:p>
    <w:p w:rsidR="00B40176" w:rsidRPr="00E13E4B" w:rsidRDefault="0097769F">
      <w:pPr>
        <w:rPr>
          <w:sz w:val="24"/>
          <w:szCs w:val="24"/>
        </w:rPr>
      </w:pPr>
      <w:r w:rsidRPr="00E13E4B">
        <w:rPr>
          <w:sz w:val="24"/>
          <w:szCs w:val="24"/>
        </w:rPr>
        <w:t xml:space="preserve">The book of Isaiah was quickly referred to as ‘The Fifth Gospel’ in early Christianity because a large number of </w:t>
      </w:r>
      <w:proofErr w:type="spellStart"/>
      <w:r w:rsidRPr="00E13E4B">
        <w:rPr>
          <w:sz w:val="24"/>
          <w:szCs w:val="24"/>
        </w:rPr>
        <w:t>Isaianic</w:t>
      </w:r>
      <w:proofErr w:type="spellEnd"/>
      <w:r w:rsidRPr="00E13E4B">
        <w:rPr>
          <w:sz w:val="24"/>
          <w:szCs w:val="24"/>
        </w:rPr>
        <w:t xml:space="preserve"> quotations feature in the New Testament.   Strictly speaking, how the Old Testament is used in the New Testament is more appropriate for discussion in a New Testament module since we can only determine the intention of the New Testament authors in using Isaiah when we look at the literary and theological contexts in which these quotations were used.</w:t>
      </w:r>
    </w:p>
    <w:p w:rsidR="0097769F" w:rsidRPr="00E13E4B" w:rsidRDefault="0097769F">
      <w:pPr>
        <w:rPr>
          <w:sz w:val="24"/>
          <w:szCs w:val="24"/>
        </w:rPr>
      </w:pPr>
      <w:r w:rsidRPr="00E13E4B">
        <w:rPr>
          <w:sz w:val="24"/>
          <w:szCs w:val="24"/>
        </w:rPr>
        <w:t xml:space="preserve">Nevertheless, in this module, it is important to be aware of how the book of Isaiah was ‘received’ in later tradition.  As in other modules, a key book to consult to find out general information about this is </w:t>
      </w:r>
      <w:r w:rsidRPr="00E13E4B">
        <w:rPr>
          <w:i/>
          <w:sz w:val="24"/>
          <w:szCs w:val="24"/>
        </w:rPr>
        <w:t>The Oxford Handbook of the Reception History of the Bible.</w:t>
      </w:r>
      <w:r w:rsidRPr="00E13E4B">
        <w:rPr>
          <w:sz w:val="24"/>
          <w:szCs w:val="24"/>
        </w:rPr>
        <w:t xml:space="preserve"> </w:t>
      </w:r>
    </w:p>
    <w:p w:rsidR="0097769F" w:rsidRPr="00E13E4B" w:rsidRDefault="0097769F">
      <w:pPr>
        <w:rPr>
          <w:sz w:val="24"/>
          <w:szCs w:val="24"/>
        </w:rPr>
      </w:pPr>
      <w:r w:rsidRPr="00E13E4B">
        <w:rPr>
          <w:sz w:val="24"/>
          <w:szCs w:val="24"/>
        </w:rPr>
        <w:t xml:space="preserve">Then, there are several articles that discuss how specific </w:t>
      </w:r>
      <w:proofErr w:type="spellStart"/>
      <w:r w:rsidRPr="00E13E4B">
        <w:rPr>
          <w:sz w:val="24"/>
          <w:szCs w:val="24"/>
        </w:rPr>
        <w:t>Isaianic</w:t>
      </w:r>
      <w:proofErr w:type="spellEnd"/>
      <w:r w:rsidRPr="00E13E4B">
        <w:rPr>
          <w:sz w:val="24"/>
          <w:szCs w:val="24"/>
        </w:rPr>
        <w:t xml:space="preserve"> texts, considered as prophecies</w:t>
      </w:r>
      <w:proofErr w:type="gramStart"/>
      <w:r w:rsidRPr="00E13E4B">
        <w:rPr>
          <w:sz w:val="24"/>
          <w:szCs w:val="24"/>
        </w:rPr>
        <w:t>,  are</w:t>
      </w:r>
      <w:proofErr w:type="gramEnd"/>
      <w:r w:rsidRPr="00E13E4B">
        <w:rPr>
          <w:sz w:val="24"/>
          <w:szCs w:val="24"/>
        </w:rPr>
        <w:t xml:space="preserve"> used and appropriated in the New Testament:</w:t>
      </w:r>
    </w:p>
    <w:p w:rsidR="0097769F" w:rsidRPr="00E13E4B" w:rsidRDefault="0097769F">
      <w:pPr>
        <w:rPr>
          <w:sz w:val="24"/>
          <w:szCs w:val="24"/>
        </w:rPr>
      </w:pPr>
      <w:r w:rsidRPr="00E13E4B">
        <w:rPr>
          <w:sz w:val="24"/>
          <w:szCs w:val="24"/>
        </w:rPr>
        <w:t xml:space="preserve">C. Feinberg, ‘The Virgin Birth and Isaiah 7.14’. </w:t>
      </w:r>
    </w:p>
    <w:p w:rsidR="00B40176" w:rsidRPr="00E13E4B" w:rsidRDefault="004310B5">
      <w:pPr>
        <w:rPr>
          <w:sz w:val="24"/>
          <w:szCs w:val="24"/>
        </w:rPr>
      </w:pPr>
      <w:r w:rsidRPr="00E13E4B">
        <w:rPr>
          <w:sz w:val="24"/>
          <w:szCs w:val="24"/>
        </w:rPr>
        <w:t>W. Carter, ‘Isaiah and Matthew’s Gospel’.</w:t>
      </w:r>
    </w:p>
    <w:p w:rsidR="004310B5" w:rsidRPr="00E13E4B" w:rsidRDefault="004310B5">
      <w:pPr>
        <w:rPr>
          <w:sz w:val="24"/>
          <w:szCs w:val="24"/>
        </w:rPr>
      </w:pPr>
      <w:proofErr w:type="gramStart"/>
      <w:r w:rsidRPr="00E13E4B">
        <w:rPr>
          <w:sz w:val="24"/>
          <w:szCs w:val="24"/>
        </w:rPr>
        <w:t xml:space="preserve">A., </w:t>
      </w:r>
      <w:proofErr w:type="spellStart"/>
      <w:r w:rsidRPr="00E13E4B">
        <w:rPr>
          <w:sz w:val="24"/>
          <w:szCs w:val="24"/>
        </w:rPr>
        <w:t>Leske</w:t>
      </w:r>
      <w:proofErr w:type="spellEnd"/>
      <w:r w:rsidRPr="00E13E4B">
        <w:rPr>
          <w:sz w:val="24"/>
          <w:szCs w:val="24"/>
        </w:rPr>
        <w:t>, ‘Isaiah and the Gospel of Matthew’.</w:t>
      </w:r>
      <w:proofErr w:type="gramEnd"/>
      <w:r w:rsidRPr="00E13E4B">
        <w:rPr>
          <w:sz w:val="24"/>
          <w:szCs w:val="24"/>
        </w:rPr>
        <w:t xml:space="preserve"> </w:t>
      </w:r>
    </w:p>
    <w:p w:rsidR="004310B5" w:rsidRPr="00E13E4B" w:rsidRDefault="004310B5">
      <w:pPr>
        <w:rPr>
          <w:sz w:val="24"/>
          <w:szCs w:val="24"/>
        </w:rPr>
      </w:pPr>
      <w:r w:rsidRPr="00E13E4B">
        <w:rPr>
          <w:sz w:val="24"/>
          <w:szCs w:val="24"/>
        </w:rPr>
        <w:t xml:space="preserve">M. Forman, ‘Isaiah 54 in Romans’. </w:t>
      </w:r>
    </w:p>
    <w:p w:rsidR="004310B5" w:rsidRPr="00E13E4B" w:rsidRDefault="004310B5">
      <w:pPr>
        <w:rPr>
          <w:sz w:val="24"/>
          <w:szCs w:val="24"/>
        </w:rPr>
      </w:pPr>
      <w:r w:rsidRPr="00E13E4B">
        <w:rPr>
          <w:sz w:val="24"/>
          <w:szCs w:val="24"/>
        </w:rPr>
        <w:t>B. Gregory, ‘Isaiah 61.1-3 in Light of Second Temple Hermeneutics’.</w:t>
      </w:r>
    </w:p>
    <w:p w:rsidR="004310B5" w:rsidRPr="00E13E4B" w:rsidRDefault="004310B5">
      <w:pPr>
        <w:rPr>
          <w:sz w:val="24"/>
          <w:szCs w:val="24"/>
        </w:rPr>
      </w:pPr>
    </w:p>
    <w:p w:rsidR="004310B5" w:rsidRPr="00E13E4B" w:rsidRDefault="004310B5">
      <w:pPr>
        <w:rPr>
          <w:sz w:val="24"/>
          <w:szCs w:val="24"/>
        </w:rPr>
      </w:pPr>
      <w:r w:rsidRPr="00E13E4B">
        <w:rPr>
          <w:sz w:val="24"/>
          <w:szCs w:val="24"/>
        </w:rPr>
        <w:t>Other more general (yet very stimulating articles that look how the book of Isaiah has been used in a Christian context include:</w:t>
      </w:r>
    </w:p>
    <w:p w:rsidR="004310B5" w:rsidRPr="00E13E4B" w:rsidRDefault="004310B5">
      <w:pPr>
        <w:rPr>
          <w:sz w:val="24"/>
          <w:szCs w:val="24"/>
        </w:rPr>
      </w:pPr>
      <w:r w:rsidRPr="00E13E4B">
        <w:rPr>
          <w:sz w:val="24"/>
          <w:szCs w:val="24"/>
        </w:rPr>
        <w:t xml:space="preserve">M. </w:t>
      </w:r>
      <w:proofErr w:type="spellStart"/>
      <w:r w:rsidRPr="00E13E4B">
        <w:rPr>
          <w:sz w:val="24"/>
          <w:szCs w:val="24"/>
        </w:rPr>
        <w:t>Jinkins</w:t>
      </w:r>
      <w:proofErr w:type="spellEnd"/>
      <w:r w:rsidRPr="00E13E4B">
        <w:rPr>
          <w:sz w:val="24"/>
          <w:szCs w:val="24"/>
        </w:rPr>
        <w:t xml:space="preserve">, ‘Trouble in Paradise: Isaiah Berlin, the Prophet Isaiah, and the </w:t>
      </w:r>
      <w:proofErr w:type="spellStart"/>
      <w:r w:rsidRPr="00E13E4B">
        <w:rPr>
          <w:sz w:val="24"/>
          <w:szCs w:val="24"/>
        </w:rPr>
        <w:t>Recoveryof</w:t>
      </w:r>
      <w:proofErr w:type="spellEnd"/>
      <w:r w:rsidRPr="00E13E4B">
        <w:rPr>
          <w:sz w:val="24"/>
          <w:szCs w:val="24"/>
        </w:rPr>
        <w:t xml:space="preserve"> a Non-Utopian Eschatological Claim for Christian Preaching’. </w:t>
      </w:r>
    </w:p>
    <w:p w:rsidR="004310B5" w:rsidRPr="00E13E4B" w:rsidRDefault="004310B5">
      <w:pPr>
        <w:rPr>
          <w:sz w:val="24"/>
          <w:szCs w:val="24"/>
        </w:rPr>
      </w:pPr>
      <w:r w:rsidRPr="00E13E4B">
        <w:rPr>
          <w:sz w:val="24"/>
          <w:szCs w:val="24"/>
        </w:rPr>
        <w:t>J. Punt, ‘Popularising the Prophet Isaiah in Parliament: the Bible in Post-Apartheid, South African Public Discourse’.</w:t>
      </w:r>
    </w:p>
    <w:p w:rsidR="00E13E4B" w:rsidRDefault="00E13E4B">
      <w:pPr>
        <w:rPr>
          <w:sz w:val="24"/>
          <w:szCs w:val="24"/>
        </w:rPr>
      </w:pPr>
    </w:p>
    <w:p w:rsidR="0042666E" w:rsidRPr="00E13E4B" w:rsidRDefault="00063C42">
      <w:pPr>
        <w:rPr>
          <w:sz w:val="24"/>
          <w:szCs w:val="24"/>
        </w:rPr>
      </w:pPr>
      <w:r w:rsidRPr="00E13E4B">
        <w:rPr>
          <w:sz w:val="24"/>
          <w:szCs w:val="24"/>
        </w:rPr>
        <w:t>We</w:t>
      </w:r>
      <w:r w:rsidR="0042666E" w:rsidRPr="00E13E4B">
        <w:rPr>
          <w:sz w:val="24"/>
          <w:szCs w:val="24"/>
        </w:rPr>
        <w:t xml:space="preserve"> are fortunate that we now have access to: </w:t>
      </w:r>
      <w:r w:rsidR="004310B5" w:rsidRPr="00E13E4B">
        <w:rPr>
          <w:sz w:val="24"/>
          <w:szCs w:val="24"/>
        </w:rPr>
        <w:t>Eusebius of Caesarea</w:t>
      </w:r>
      <w:r w:rsidR="0042666E" w:rsidRPr="00E13E4B">
        <w:rPr>
          <w:sz w:val="24"/>
          <w:szCs w:val="24"/>
        </w:rPr>
        <w:t xml:space="preserve">, </w:t>
      </w:r>
      <w:r w:rsidR="0042666E" w:rsidRPr="00E13E4B">
        <w:rPr>
          <w:i/>
          <w:sz w:val="24"/>
          <w:szCs w:val="24"/>
        </w:rPr>
        <w:t>Commentary on Isaiah.</w:t>
      </w:r>
    </w:p>
    <w:p w:rsidR="004310B5" w:rsidRPr="00E13E4B" w:rsidRDefault="004310B5">
      <w:pPr>
        <w:rPr>
          <w:sz w:val="24"/>
          <w:szCs w:val="24"/>
        </w:rPr>
      </w:pPr>
      <w:r w:rsidRPr="00E13E4B">
        <w:rPr>
          <w:sz w:val="24"/>
          <w:szCs w:val="24"/>
        </w:rPr>
        <w:t xml:space="preserve"> </w:t>
      </w:r>
      <w:r w:rsidR="0042666E" w:rsidRPr="00E13E4B">
        <w:rPr>
          <w:sz w:val="24"/>
          <w:szCs w:val="24"/>
        </w:rPr>
        <w:t xml:space="preserve">Eusebius of Caesarea </w:t>
      </w:r>
      <w:r w:rsidRPr="00E13E4B">
        <w:rPr>
          <w:sz w:val="24"/>
          <w:szCs w:val="24"/>
        </w:rPr>
        <w:t xml:space="preserve">(d. 339), bishop, church historian, and biographer of Constantine, is the major Christian witness to the </w:t>
      </w:r>
      <w:proofErr w:type="spellStart"/>
      <w:r w:rsidRPr="00E13E4B">
        <w:rPr>
          <w:sz w:val="24"/>
          <w:szCs w:val="24"/>
        </w:rPr>
        <w:t>Constantinian</w:t>
      </w:r>
      <w:proofErr w:type="spellEnd"/>
      <w:r w:rsidRPr="00E13E4B">
        <w:rPr>
          <w:sz w:val="24"/>
          <w:szCs w:val="24"/>
        </w:rPr>
        <w:t xml:space="preserve"> settlement. Despite his importance, his biblical exegesis has not received the attention it deserves. His </w:t>
      </w:r>
      <w:r w:rsidRPr="00E13E4B">
        <w:rPr>
          <w:i/>
          <w:sz w:val="24"/>
          <w:szCs w:val="24"/>
        </w:rPr>
        <w:t>Commentary on Isaiah</w:t>
      </w:r>
      <w:r w:rsidRPr="00E13E4B">
        <w:rPr>
          <w:sz w:val="24"/>
          <w:szCs w:val="24"/>
        </w:rPr>
        <w:t>, rediscovered in nearly complete form only this century, was written shortly after the Council of Nicaea in 325 and the unification of the empire under Constantine. It is thus an important witness to Eusebius' thinking on the Bible, the church, and the empire at a critical moment in his life and in the history of Christianity</w:t>
      </w:r>
      <w:r w:rsidR="0042666E" w:rsidRPr="00E13E4B">
        <w:rPr>
          <w:sz w:val="24"/>
          <w:szCs w:val="24"/>
        </w:rPr>
        <w:t>.</w:t>
      </w:r>
    </w:p>
    <w:p w:rsidR="00063C42" w:rsidRPr="00E13E4B" w:rsidRDefault="00063C42" w:rsidP="00063C42">
      <w:pPr>
        <w:pStyle w:val="Heading1"/>
        <w:rPr>
          <w:rFonts w:asciiTheme="minorHAnsi" w:hAnsiTheme="minorHAnsi"/>
          <w:b w:val="0"/>
          <w:sz w:val="24"/>
          <w:szCs w:val="24"/>
        </w:rPr>
      </w:pPr>
      <w:r w:rsidRPr="00E13E4B">
        <w:rPr>
          <w:rFonts w:asciiTheme="minorHAnsi" w:hAnsiTheme="minorHAnsi"/>
          <w:b w:val="0"/>
          <w:sz w:val="24"/>
          <w:szCs w:val="24"/>
        </w:rPr>
        <w:t xml:space="preserve">Finally, there is a fine recent volume that explores environmental ethics and how this is related to Isaiah through the Judeo-Christian tradition. In the context of growing concern over climate change and other environmental pressures, this volume examines what an ecological reading of the biblical text can contribute to contemporary environmental ethics. The Judaeo–Christian tradition has been held partly to blame for a negative attitude to creation — one that has legitimized the exploitative </w:t>
      </w:r>
      <w:r w:rsidRPr="00E13E4B">
        <w:rPr>
          <w:rFonts w:asciiTheme="minorHAnsi" w:hAnsiTheme="minorHAnsi"/>
          <w:b w:val="0"/>
          <w:sz w:val="24"/>
          <w:szCs w:val="24"/>
        </w:rPr>
        <w:lastRenderedPageBreak/>
        <w:t xml:space="preserve">use of the earth's resources. The author explores some of the thinking in the history of the Christian tradition that has contributed to such a perception, before discussing a number of approaches to reading the Old Testament, including Isaiah, from an ecological perspective.  See H. Marlow, </w:t>
      </w:r>
      <w:r w:rsidRPr="00E13E4B">
        <w:rPr>
          <w:rFonts w:asciiTheme="minorHAnsi" w:hAnsiTheme="minorHAnsi"/>
          <w:b w:val="0"/>
          <w:i/>
          <w:sz w:val="24"/>
          <w:szCs w:val="24"/>
        </w:rPr>
        <w:t>Biblical Prophets and Contemporary Environmental Ethics.</w:t>
      </w:r>
    </w:p>
    <w:p w:rsidR="00063C42" w:rsidRPr="00E13E4B" w:rsidRDefault="00063C42">
      <w:pPr>
        <w:rPr>
          <w:sz w:val="24"/>
          <w:szCs w:val="24"/>
        </w:rPr>
      </w:pPr>
    </w:p>
    <w:sectPr w:rsidR="00063C42" w:rsidRPr="00E13E4B" w:rsidSect="006C367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91DBA"/>
    <w:multiLevelType w:val="multilevel"/>
    <w:tmpl w:val="218C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40176"/>
    <w:rsid w:val="00063C42"/>
    <w:rsid w:val="0042666E"/>
    <w:rsid w:val="004310B5"/>
    <w:rsid w:val="006C367B"/>
    <w:rsid w:val="00745CAA"/>
    <w:rsid w:val="0095260C"/>
    <w:rsid w:val="0097769F"/>
    <w:rsid w:val="00A9469C"/>
    <w:rsid w:val="00B40176"/>
    <w:rsid w:val="00CA2A53"/>
    <w:rsid w:val="00E13E4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67B"/>
  </w:style>
  <w:style w:type="paragraph" w:styleId="Heading1">
    <w:name w:val="heading 1"/>
    <w:basedOn w:val="Normal"/>
    <w:link w:val="Heading1Char"/>
    <w:uiPriority w:val="9"/>
    <w:qFormat/>
    <w:rsid w:val="00063C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63C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0176"/>
    <w:rPr>
      <w:rFonts w:ascii="Verdana" w:hAnsi="Verdana" w:hint="default"/>
      <w:b/>
      <w:bCs/>
      <w:strike w:val="0"/>
      <w:dstrike w:val="0"/>
      <w:color w:val="003366"/>
      <w:sz w:val="24"/>
      <w:szCs w:val="24"/>
      <w:u w:val="none"/>
      <w:effect w:val="none"/>
    </w:rPr>
  </w:style>
  <w:style w:type="character" w:customStyle="1" w:styleId="accesshide1">
    <w:name w:val="accesshide1"/>
    <w:basedOn w:val="DefaultParagraphFont"/>
    <w:rsid w:val="00B40176"/>
    <w:rPr>
      <w:b w:val="0"/>
      <w:bCs w:val="0"/>
      <w:sz w:val="24"/>
      <w:szCs w:val="24"/>
    </w:rPr>
  </w:style>
  <w:style w:type="character" w:customStyle="1" w:styleId="commands13">
    <w:name w:val="commands13"/>
    <w:basedOn w:val="DefaultParagraphFont"/>
    <w:rsid w:val="00B40176"/>
  </w:style>
  <w:style w:type="paragraph" w:styleId="BalloonText">
    <w:name w:val="Balloon Text"/>
    <w:basedOn w:val="Normal"/>
    <w:link w:val="BalloonTextChar"/>
    <w:uiPriority w:val="99"/>
    <w:semiHidden/>
    <w:unhideWhenUsed/>
    <w:rsid w:val="00B40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176"/>
    <w:rPr>
      <w:rFonts w:ascii="Tahoma" w:hAnsi="Tahoma" w:cs="Tahoma"/>
      <w:sz w:val="16"/>
      <w:szCs w:val="16"/>
    </w:rPr>
  </w:style>
  <w:style w:type="character" w:customStyle="1" w:styleId="Heading1Char">
    <w:name w:val="Heading 1 Char"/>
    <w:basedOn w:val="DefaultParagraphFont"/>
    <w:link w:val="Heading1"/>
    <w:uiPriority w:val="9"/>
    <w:rsid w:val="00063C4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63C42"/>
    <w:rPr>
      <w:rFonts w:ascii="Times New Roman" w:eastAsia="Times New Roman" w:hAnsi="Times New Roman" w:cs="Times New Roman"/>
      <w:b/>
      <w:bCs/>
      <w:sz w:val="36"/>
      <w:szCs w:val="36"/>
      <w:lang w:eastAsia="en-GB"/>
    </w:rPr>
  </w:style>
</w:styles>
</file>

<file path=word/webSettings.xml><?xml version="1.0" encoding="utf-8"?>
<w:webSettings xmlns:r="http://schemas.openxmlformats.org/officeDocument/2006/relationships" xmlns:w="http://schemas.openxmlformats.org/wordprocessingml/2006/main">
  <w:divs>
    <w:div w:id="124662278">
      <w:bodyDiv w:val="1"/>
      <w:marLeft w:val="0"/>
      <w:marRight w:val="0"/>
      <w:marTop w:val="0"/>
      <w:marBottom w:val="0"/>
      <w:divBdr>
        <w:top w:val="none" w:sz="0" w:space="0" w:color="auto"/>
        <w:left w:val="none" w:sz="0" w:space="0" w:color="auto"/>
        <w:bottom w:val="none" w:sz="0" w:space="0" w:color="auto"/>
        <w:right w:val="none" w:sz="0" w:space="0" w:color="auto"/>
      </w:divBdr>
      <w:divsChild>
        <w:div w:id="905411546">
          <w:marLeft w:val="0"/>
          <w:marRight w:val="0"/>
          <w:marTop w:val="0"/>
          <w:marBottom w:val="0"/>
          <w:divBdr>
            <w:top w:val="none" w:sz="0" w:space="0" w:color="auto"/>
            <w:left w:val="none" w:sz="0" w:space="0" w:color="auto"/>
            <w:bottom w:val="none" w:sz="0" w:space="0" w:color="auto"/>
            <w:right w:val="none" w:sz="0" w:space="0" w:color="auto"/>
          </w:divBdr>
          <w:divsChild>
            <w:div w:id="376659973">
              <w:marLeft w:val="0"/>
              <w:marRight w:val="0"/>
              <w:marTop w:val="0"/>
              <w:marBottom w:val="0"/>
              <w:divBdr>
                <w:top w:val="none" w:sz="0" w:space="0" w:color="auto"/>
                <w:left w:val="none" w:sz="0" w:space="0" w:color="auto"/>
                <w:bottom w:val="none" w:sz="0" w:space="0" w:color="auto"/>
                <w:right w:val="none" w:sz="0" w:space="0" w:color="auto"/>
              </w:divBdr>
              <w:divsChild>
                <w:div w:id="999698900">
                  <w:marLeft w:val="0"/>
                  <w:marRight w:val="0"/>
                  <w:marTop w:val="0"/>
                  <w:marBottom w:val="0"/>
                  <w:divBdr>
                    <w:top w:val="none" w:sz="0" w:space="0" w:color="auto"/>
                    <w:left w:val="none" w:sz="0" w:space="0" w:color="auto"/>
                    <w:bottom w:val="none" w:sz="0" w:space="0" w:color="auto"/>
                    <w:right w:val="none" w:sz="0" w:space="0" w:color="auto"/>
                  </w:divBdr>
                  <w:divsChild>
                    <w:div w:id="979655027">
                      <w:marLeft w:val="0"/>
                      <w:marRight w:val="0"/>
                      <w:marTop w:val="0"/>
                      <w:marBottom w:val="0"/>
                      <w:divBdr>
                        <w:top w:val="none" w:sz="0" w:space="0" w:color="auto"/>
                        <w:left w:val="none" w:sz="0" w:space="0" w:color="auto"/>
                        <w:bottom w:val="none" w:sz="0" w:space="0" w:color="auto"/>
                        <w:right w:val="none" w:sz="0" w:space="0" w:color="auto"/>
                      </w:divBdr>
                      <w:divsChild>
                        <w:div w:id="1679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460258">
      <w:bodyDiv w:val="1"/>
      <w:marLeft w:val="0"/>
      <w:marRight w:val="0"/>
      <w:marTop w:val="0"/>
      <w:marBottom w:val="0"/>
      <w:divBdr>
        <w:top w:val="none" w:sz="0" w:space="0" w:color="auto"/>
        <w:left w:val="none" w:sz="0" w:space="0" w:color="auto"/>
        <w:bottom w:val="none" w:sz="0" w:space="0" w:color="auto"/>
        <w:right w:val="none" w:sz="0" w:space="0" w:color="auto"/>
      </w:divBdr>
      <w:divsChild>
        <w:div w:id="274866869">
          <w:marLeft w:val="0"/>
          <w:marRight w:val="0"/>
          <w:marTop w:val="0"/>
          <w:marBottom w:val="0"/>
          <w:divBdr>
            <w:top w:val="none" w:sz="0" w:space="0" w:color="auto"/>
            <w:left w:val="none" w:sz="0" w:space="0" w:color="auto"/>
            <w:bottom w:val="none" w:sz="0" w:space="0" w:color="auto"/>
            <w:right w:val="none" w:sz="0" w:space="0" w:color="auto"/>
          </w:divBdr>
          <w:divsChild>
            <w:div w:id="1688748214">
              <w:marLeft w:val="0"/>
              <w:marRight w:val="0"/>
              <w:marTop w:val="0"/>
              <w:marBottom w:val="0"/>
              <w:divBdr>
                <w:top w:val="none" w:sz="0" w:space="0" w:color="auto"/>
                <w:left w:val="none" w:sz="0" w:space="0" w:color="auto"/>
                <w:bottom w:val="none" w:sz="0" w:space="0" w:color="auto"/>
                <w:right w:val="none" w:sz="0" w:space="0" w:color="auto"/>
              </w:divBdr>
              <w:divsChild>
                <w:div w:id="1594977133">
                  <w:marLeft w:val="0"/>
                  <w:marRight w:val="0"/>
                  <w:marTop w:val="0"/>
                  <w:marBottom w:val="0"/>
                  <w:divBdr>
                    <w:top w:val="none" w:sz="0" w:space="0" w:color="auto"/>
                    <w:left w:val="none" w:sz="0" w:space="0" w:color="auto"/>
                    <w:bottom w:val="none" w:sz="0" w:space="0" w:color="auto"/>
                    <w:right w:val="none" w:sz="0" w:space="0" w:color="auto"/>
                  </w:divBdr>
                  <w:divsChild>
                    <w:div w:id="275142638">
                      <w:marLeft w:val="0"/>
                      <w:marRight w:val="0"/>
                      <w:marTop w:val="0"/>
                      <w:marBottom w:val="0"/>
                      <w:divBdr>
                        <w:top w:val="none" w:sz="0" w:space="0" w:color="auto"/>
                        <w:left w:val="none" w:sz="0" w:space="0" w:color="auto"/>
                        <w:bottom w:val="none" w:sz="0" w:space="0" w:color="auto"/>
                        <w:right w:val="none" w:sz="0" w:space="0" w:color="auto"/>
                      </w:divBdr>
                      <w:divsChild>
                        <w:div w:id="21125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1689879">
      <w:bodyDiv w:val="1"/>
      <w:marLeft w:val="0"/>
      <w:marRight w:val="0"/>
      <w:marTop w:val="0"/>
      <w:marBottom w:val="0"/>
      <w:divBdr>
        <w:top w:val="none" w:sz="0" w:space="0" w:color="auto"/>
        <w:left w:val="none" w:sz="0" w:space="0" w:color="auto"/>
        <w:bottom w:val="none" w:sz="0" w:space="0" w:color="auto"/>
        <w:right w:val="none" w:sz="0" w:space="0" w:color="auto"/>
      </w:divBdr>
      <w:divsChild>
        <w:div w:id="827984907">
          <w:marLeft w:val="0"/>
          <w:marRight w:val="0"/>
          <w:marTop w:val="0"/>
          <w:marBottom w:val="0"/>
          <w:divBdr>
            <w:top w:val="none" w:sz="0" w:space="0" w:color="auto"/>
            <w:left w:val="none" w:sz="0" w:space="0" w:color="auto"/>
            <w:bottom w:val="none" w:sz="0" w:space="0" w:color="auto"/>
            <w:right w:val="none" w:sz="0" w:space="0" w:color="auto"/>
          </w:divBdr>
          <w:divsChild>
            <w:div w:id="1975213701">
              <w:marLeft w:val="0"/>
              <w:marRight w:val="0"/>
              <w:marTop w:val="0"/>
              <w:marBottom w:val="0"/>
              <w:divBdr>
                <w:top w:val="none" w:sz="0" w:space="0" w:color="auto"/>
                <w:left w:val="none" w:sz="0" w:space="0" w:color="auto"/>
                <w:bottom w:val="none" w:sz="0" w:space="0" w:color="auto"/>
                <w:right w:val="none" w:sz="0" w:space="0" w:color="auto"/>
              </w:divBdr>
              <w:divsChild>
                <w:div w:id="164826606">
                  <w:marLeft w:val="0"/>
                  <w:marRight w:val="0"/>
                  <w:marTop w:val="0"/>
                  <w:marBottom w:val="0"/>
                  <w:divBdr>
                    <w:top w:val="none" w:sz="0" w:space="0" w:color="auto"/>
                    <w:left w:val="none" w:sz="0" w:space="0" w:color="auto"/>
                    <w:bottom w:val="none" w:sz="0" w:space="0" w:color="auto"/>
                    <w:right w:val="none" w:sz="0" w:space="0" w:color="auto"/>
                  </w:divBdr>
                  <w:divsChild>
                    <w:div w:id="152261491">
                      <w:marLeft w:val="0"/>
                      <w:marRight w:val="0"/>
                      <w:marTop w:val="0"/>
                      <w:marBottom w:val="0"/>
                      <w:divBdr>
                        <w:top w:val="none" w:sz="0" w:space="0" w:color="auto"/>
                        <w:left w:val="none" w:sz="0" w:space="0" w:color="auto"/>
                        <w:bottom w:val="none" w:sz="0" w:space="0" w:color="auto"/>
                        <w:right w:val="none" w:sz="0" w:space="0" w:color="auto"/>
                      </w:divBdr>
                      <w:divsChild>
                        <w:div w:id="79128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364672">
      <w:bodyDiv w:val="1"/>
      <w:marLeft w:val="0"/>
      <w:marRight w:val="0"/>
      <w:marTop w:val="0"/>
      <w:marBottom w:val="0"/>
      <w:divBdr>
        <w:top w:val="none" w:sz="0" w:space="0" w:color="auto"/>
        <w:left w:val="none" w:sz="0" w:space="0" w:color="auto"/>
        <w:bottom w:val="none" w:sz="0" w:space="0" w:color="auto"/>
        <w:right w:val="none" w:sz="0" w:space="0" w:color="auto"/>
      </w:divBdr>
      <w:divsChild>
        <w:div w:id="109784850">
          <w:marLeft w:val="0"/>
          <w:marRight w:val="0"/>
          <w:marTop w:val="0"/>
          <w:marBottom w:val="0"/>
          <w:divBdr>
            <w:top w:val="none" w:sz="0" w:space="0" w:color="auto"/>
            <w:left w:val="none" w:sz="0" w:space="0" w:color="auto"/>
            <w:bottom w:val="none" w:sz="0" w:space="0" w:color="auto"/>
            <w:right w:val="none" w:sz="0" w:space="0" w:color="auto"/>
          </w:divBdr>
          <w:divsChild>
            <w:div w:id="255789554">
              <w:marLeft w:val="0"/>
              <w:marRight w:val="0"/>
              <w:marTop w:val="0"/>
              <w:marBottom w:val="0"/>
              <w:divBdr>
                <w:top w:val="none" w:sz="0" w:space="0" w:color="auto"/>
                <w:left w:val="none" w:sz="0" w:space="0" w:color="auto"/>
                <w:bottom w:val="none" w:sz="0" w:space="0" w:color="auto"/>
                <w:right w:val="none" w:sz="0" w:space="0" w:color="auto"/>
              </w:divBdr>
              <w:divsChild>
                <w:div w:id="80370434">
                  <w:marLeft w:val="0"/>
                  <w:marRight w:val="0"/>
                  <w:marTop w:val="0"/>
                  <w:marBottom w:val="0"/>
                  <w:divBdr>
                    <w:top w:val="none" w:sz="0" w:space="0" w:color="auto"/>
                    <w:left w:val="none" w:sz="0" w:space="0" w:color="auto"/>
                    <w:bottom w:val="none" w:sz="0" w:space="0" w:color="auto"/>
                    <w:right w:val="none" w:sz="0" w:space="0" w:color="auto"/>
                  </w:divBdr>
                  <w:divsChild>
                    <w:div w:id="762068860">
                      <w:marLeft w:val="0"/>
                      <w:marRight w:val="0"/>
                      <w:marTop w:val="0"/>
                      <w:marBottom w:val="0"/>
                      <w:divBdr>
                        <w:top w:val="none" w:sz="0" w:space="0" w:color="auto"/>
                        <w:left w:val="none" w:sz="0" w:space="0" w:color="auto"/>
                        <w:bottom w:val="none" w:sz="0" w:space="0" w:color="auto"/>
                        <w:right w:val="none" w:sz="0" w:space="0" w:color="auto"/>
                      </w:divBdr>
                      <w:divsChild>
                        <w:div w:id="196811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461</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5</cp:revision>
  <dcterms:created xsi:type="dcterms:W3CDTF">2013-01-29T12:17:00Z</dcterms:created>
  <dcterms:modified xsi:type="dcterms:W3CDTF">2013-01-30T11:37:00Z</dcterms:modified>
</cp:coreProperties>
</file>