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FC8A4" w14:textId="77777777" w:rsidR="00F825F4" w:rsidRDefault="00F825F4" w:rsidP="00A15AB5">
      <w:pPr>
        <w:spacing w:line="360" w:lineRule="auto"/>
        <w:rPr>
          <w:rFonts w:ascii="Arial" w:hAnsi="Arial" w:cs="Arial"/>
          <w:sz w:val="22"/>
          <w:szCs w:val="22"/>
          <w:lang w:val="en-GB"/>
        </w:rPr>
      </w:pPr>
    </w:p>
    <w:p w14:paraId="5100FC6D" w14:textId="77777777" w:rsidR="00831553" w:rsidRDefault="00831553" w:rsidP="00A15AB5">
      <w:pPr>
        <w:spacing w:line="360" w:lineRule="auto"/>
        <w:rPr>
          <w:rFonts w:ascii="Arial" w:hAnsi="Arial" w:cs="Arial"/>
          <w:sz w:val="22"/>
          <w:szCs w:val="22"/>
          <w:lang w:val="en-GB"/>
        </w:rPr>
      </w:pPr>
    </w:p>
    <w:p w14:paraId="3D90809A" w14:textId="77777777" w:rsidR="00831553" w:rsidRDefault="00831553" w:rsidP="00A15AB5">
      <w:pPr>
        <w:spacing w:line="360" w:lineRule="auto"/>
        <w:rPr>
          <w:rFonts w:ascii="Arial" w:hAnsi="Arial" w:cs="Arial"/>
          <w:sz w:val="22"/>
          <w:szCs w:val="22"/>
          <w:lang w:val="en-GB"/>
        </w:rPr>
      </w:pPr>
    </w:p>
    <w:p w14:paraId="502417A8" w14:textId="77777777" w:rsidR="00831553" w:rsidRDefault="00831553" w:rsidP="00A15AB5">
      <w:pPr>
        <w:spacing w:line="360" w:lineRule="auto"/>
        <w:rPr>
          <w:rFonts w:ascii="Arial" w:hAnsi="Arial" w:cs="Arial"/>
          <w:sz w:val="22"/>
          <w:szCs w:val="22"/>
          <w:lang w:val="en-GB"/>
        </w:rPr>
      </w:pPr>
    </w:p>
    <w:p w14:paraId="5A9D525E" w14:textId="77777777" w:rsidR="00831553" w:rsidRDefault="00831553" w:rsidP="00A15AB5">
      <w:pPr>
        <w:spacing w:line="360" w:lineRule="auto"/>
        <w:rPr>
          <w:rFonts w:ascii="Arial" w:hAnsi="Arial" w:cs="Arial"/>
          <w:sz w:val="22"/>
          <w:szCs w:val="22"/>
          <w:lang w:val="en-GB"/>
        </w:rPr>
      </w:pPr>
    </w:p>
    <w:p w14:paraId="6E6D9A98" w14:textId="77777777" w:rsidR="00831553" w:rsidRDefault="00831553" w:rsidP="00A15AB5">
      <w:pPr>
        <w:spacing w:line="360" w:lineRule="auto"/>
        <w:rPr>
          <w:rFonts w:ascii="Arial" w:hAnsi="Arial" w:cs="Arial"/>
          <w:sz w:val="22"/>
          <w:szCs w:val="22"/>
          <w:lang w:val="en-GB"/>
        </w:rPr>
      </w:pPr>
    </w:p>
    <w:p w14:paraId="49D3C816" w14:textId="77777777" w:rsidR="00831553" w:rsidRDefault="00831553" w:rsidP="00A15AB5">
      <w:pPr>
        <w:spacing w:line="360" w:lineRule="auto"/>
        <w:rPr>
          <w:rFonts w:ascii="Arial" w:hAnsi="Arial" w:cs="Arial"/>
          <w:sz w:val="22"/>
          <w:szCs w:val="22"/>
          <w:lang w:val="en-GB"/>
        </w:rPr>
      </w:pPr>
    </w:p>
    <w:p w14:paraId="60AEA815" w14:textId="77777777" w:rsidR="00831553" w:rsidRDefault="00831553" w:rsidP="00A15AB5">
      <w:pPr>
        <w:spacing w:line="360" w:lineRule="auto"/>
        <w:rPr>
          <w:rFonts w:ascii="Arial" w:hAnsi="Arial" w:cs="Arial"/>
          <w:sz w:val="22"/>
          <w:szCs w:val="22"/>
          <w:lang w:val="en-GB"/>
        </w:rPr>
      </w:pPr>
    </w:p>
    <w:p w14:paraId="052B7EAA" w14:textId="77777777" w:rsidR="00831553" w:rsidRDefault="00831553" w:rsidP="00A15AB5">
      <w:pPr>
        <w:spacing w:line="360" w:lineRule="auto"/>
        <w:rPr>
          <w:rFonts w:ascii="Arial" w:hAnsi="Arial" w:cs="Arial"/>
          <w:sz w:val="22"/>
          <w:szCs w:val="22"/>
          <w:lang w:val="en-GB"/>
        </w:rPr>
      </w:pPr>
    </w:p>
    <w:p w14:paraId="4E302917" w14:textId="77777777" w:rsidR="00831553" w:rsidRDefault="00831553" w:rsidP="00A15AB5">
      <w:pPr>
        <w:spacing w:line="360" w:lineRule="auto"/>
        <w:rPr>
          <w:rFonts w:ascii="Arial" w:hAnsi="Arial" w:cs="Arial"/>
          <w:sz w:val="22"/>
          <w:szCs w:val="22"/>
          <w:lang w:val="en-GB"/>
        </w:rPr>
      </w:pPr>
    </w:p>
    <w:p w14:paraId="22D6BA1A" w14:textId="77777777" w:rsidR="00831553" w:rsidRDefault="00831553" w:rsidP="00A15AB5">
      <w:pPr>
        <w:spacing w:line="360" w:lineRule="auto"/>
        <w:rPr>
          <w:rFonts w:ascii="Arial" w:hAnsi="Arial" w:cs="Arial"/>
          <w:sz w:val="22"/>
          <w:szCs w:val="22"/>
          <w:lang w:val="en-GB"/>
        </w:rPr>
      </w:pPr>
    </w:p>
    <w:p w14:paraId="107D5CB8" w14:textId="77777777" w:rsidR="00831553" w:rsidRPr="00831553" w:rsidRDefault="00831553" w:rsidP="00831553">
      <w:pPr>
        <w:spacing w:line="360" w:lineRule="auto"/>
        <w:jc w:val="center"/>
        <w:rPr>
          <w:rFonts w:ascii="Arial" w:hAnsi="Arial" w:cs="Arial"/>
          <w:sz w:val="22"/>
          <w:szCs w:val="22"/>
        </w:rPr>
      </w:pPr>
    </w:p>
    <w:p w14:paraId="1A0F05FD" w14:textId="77777777" w:rsidR="00831553" w:rsidRPr="00831553" w:rsidRDefault="00831553" w:rsidP="00831553">
      <w:pPr>
        <w:spacing w:line="360" w:lineRule="auto"/>
        <w:jc w:val="center"/>
        <w:rPr>
          <w:rFonts w:ascii="Arial" w:hAnsi="Arial" w:cs="Arial"/>
          <w:sz w:val="22"/>
          <w:szCs w:val="22"/>
        </w:rPr>
      </w:pPr>
      <w:r w:rsidRPr="00831553">
        <w:rPr>
          <w:rFonts w:ascii="Arial" w:hAnsi="Arial" w:cs="Arial"/>
          <w:sz w:val="22"/>
          <w:szCs w:val="22"/>
        </w:rPr>
        <w:t>Name: Elena Claudia Pasare</w:t>
      </w:r>
    </w:p>
    <w:p w14:paraId="4D6568EA" w14:textId="77777777" w:rsidR="00831553" w:rsidRPr="00831553" w:rsidRDefault="00831553" w:rsidP="00831553">
      <w:pPr>
        <w:spacing w:line="360" w:lineRule="auto"/>
        <w:jc w:val="center"/>
        <w:rPr>
          <w:rFonts w:ascii="Arial" w:hAnsi="Arial" w:cs="Arial"/>
          <w:sz w:val="22"/>
          <w:szCs w:val="22"/>
        </w:rPr>
      </w:pPr>
      <w:r w:rsidRPr="00831553">
        <w:rPr>
          <w:rFonts w:ascii="Arial" w:hAnsi="Arial" w:cs="Arial"/>
          <w:sz w:val="22"/>
          <w:szCs w:val="22"/>
        </w:rPr>
        <w:t>Student ID: 2131347</w:t>
      </w:r>
    </w:p>
    <w:p w14:paraId="4676C714" w14:textId="0E42A08B" w:rsidR="00831553" w:rsidRPr="00831553" w:rsidRDefault="00831553" w:rsidP="00831553">
      <w:pPr>
        <w:spacing w:line="360" w:lineRule="auto"/>
        <w:jc w:val="center"/>
        <w:rPr>
          <w:rFonts w:ascii="Arial" w:hAnsi="Arial" w:cs="Arial"/>
          <w:sz w:val="22"/>
          <w:szCs w:val="22"/>
        </w:rPr>
      </w:pPr>
      <w:r w:rsidRPr="00831553">
        <w:rPr>
          <w:rFonts w:ascii="Arial" w:hAnsi="Arial" w:cs="Arial"/>
          <w:sz w:val="22"/>
          <w:szCs w:val="22"/>
        </w:rPr>
        <w:t>Module title and number: BMIH500</w:t>
      </w:r>
      <w:r w:rsidRPr="00831553">
        <w:rPr>
          <w:rFonts w:ascii="Arial" w:hAnsi="Arial" w:cs="Arial"/>
          <w:sz w:val="22"/>
          <w:szCs w:val="22"/>
        </w:rPr>
        <w:t>5</w:t>
      </w:r>
      <w:r w:rsidRPr="00831553">
        <w:rPr>
          <w:rFonts w:ascii="Arial" w:hAnsi="Arial" w:cs="Arial"/>
          <w:sz w:val="22"/>
          <w:szCs w:val="22"/>
        </w:rPr>
        <w:t xml:space="preserve"> - Personnel Resourcing and Development</w:t>
      </w:r>
    </w:p>
    <w:p w14:paraId="55C01D96" w14:textId="4370B2B4" w:rsidR="00831553" w:rsidRPr="00831553" w:rsidRDefault="00831553" w:rsidP="00831553">
      <w:pPr>
        <w:spacing w:line="360" w:lineRule="auto"/>
        <w:jc w:val="center"/>
        <w:rPr>
          <w:rFonts w:ascii="Arial" w:hAnsi="Arial" w:cs="Arial"/>
          <w:sz w:val="22"/>
          <w:szCs w:val="22"/>
          <w:lang w:val="en-US"/>
        </w:rPr>
      </w:pPr>
      <w:r w:rsidRPr="00831553">
        <w:rPr>
          <w:rFonts w:ascii="Arial" w:hAnsi="Arial" w:cs="Arial"/>
          <w:sz w:val="22"/>
          <w:szCs w:val="22"/>
        </w:rPr>
        <w:t xml:space="preserve">Lecturer’s name: </w:t>
      </w:r>
      <w:r w:rsidRPr="00831553">
        <w:rPr>
          <w:rFonts w:ascii="Arial" w:hAnsi="Arial" w:cs="Arial"/>
          <w:sz w:val="22"/>
          <w:szCs w:val="22"/>
        </w:rPr>
        <w:t>Helen Lee</w:t>
      </w:r>
    </w:p>
    <w:p w14:paraId="2C7A391E" w14:textId="77777777" w:rsidR="00831553" w:rsidRPr="00831553" w:rsidRDefault="00831553" w:rsidP="00831553">
      <w:pPr>
        <w:spacing w:line="360" w:lineRule="auto"/>
        <w:jc w:val="center"/>
        <w:rPr>
          <w:rFonts w:ascii="Arial" w:hAnsi="Arial" w:cs="Arial"/>
          <w:sz w:val="22"/>
          <w:szCs w:val="22"/>
          <w:lang w:val="en-GB"/>
        </w:rPr>
      </w:pPr>
      <w:r w:rsidRPr="00831553">
        <w:rPr>
          <w:rFonts w:ascii="Arial" w:hAnsi="Arial" w:cs="Arial"/>
          <w:sz w:val="22"/>
          <w:szCs w:val="22"/>
        </w:rPr>
        <w:t xml:space="preserve">Title of report: </w:t>
      </w:r>
      <w:r w:rsidRPr="00831553">
        <w:rPr>
          <w:rFonts w:ascii="Arial" w:hAnsi="Arial" w:cs="Arial"/>
          <w:sz w:val="22"/>
          <w:szCs w:val="22"/>
          <w:lang w:val="en-GB"/>
        </w:rPr>
        <w:t>How to engage employees throughout the employee lifecycle</w:t>
      </w:r>
    </w:p>
    <w:p w14:paraId="463BDCBB" w14:textId="67EE008C" w:rsidR="00831553" w:rsidRPr="00831553" w:rsidRDefault="00831553" w:rsidP="00831553">
      <w:pPr>
        <w:spacing w:line="360" w:lineRule="auto"/>
        <w:jc w:val="center"/>
        <w:rPr>
          <w:rFonts w:ascii="Arial" w:hAnsi="Arial" w:cs="Arial"/>
          <w:sz w:val="22"/>
          <w:szCs w:val="22"/>
          <w:lang w:val="en-GB"/>
        </w:rPr>
      </w:pPr>
    </w:p>
    <w:p w14:paraId="155292A8" w14:textId="77777777" w:rsidR="00831553" w:rsidRPr="00831553" w:rsidRDefault="00831553" w:rsidP="00831553">
      <w:pPr>
        <w:spacing w:line="360" w:lineRule="auto"/>
        <w:rPr>
          <w:rFonts w:ascii="Arial" w:hAnsi="Arial" w:cs="Arial"/>
          <w:sz w:val="22"/>
          <w:szCs w:val="22"/>
        </w:rPr>
      </w:pPr>
    </w:p>
    <w:p w14:paraId="3870D285" w14:textId="77777777" w:rsidR="00831553" w:rsidRDefault="00831553" w:rsidP="00A15AB5">
      <w:pPr>
        <w:spacing w:line="360" w:lineRule="auto"/>
        <w:rPr>
          <w:rFonts w:ascii="Arial" w:hAnsi="Arial" w:cs="Arial"/>
          <w:sz w:val="22"/>
          <w:szCs w:val="22"/>
          <w:lang w:val="en-GB"/>
        </w:rPr>
      </w:pPr>
    </w:p>
    <w:p w14:paraId="1D449A77" w14:textId="77777777" w:rsidR="00831553" w:rsidRDefault="00831553" w:rsidP="00A15AB5">
      <w:pPr>
        <w:spacing w:line="360" w:lineRule="auto"/>
        <w:rPr>
          <w:rFonts w:ascii="Arial" w:hAnsi="Arial" w:cs="Arial"/>
          <w:sz w:val="22"/>
          <w:szCs w:val="22"/>
          <w:lang w:val="en-GB"/>
        </w:rPr>
      </w:pPr>
    </w:p>
    <w:p w14:paraId="052935FB" w14:textId="77777777" w:rsidR="00831553" w:rsidRDefault="00831553" w:rsidP="00A15AB5">
      <w:pPr>
        <w:spacing w:line="360" w:lineRule="auto"/>
        <w:rPr>
          <w:rFonts w:ascii="Arial" w:hAnsi="Arial" w:cs="Arial"/>
          <w:sz w:val="22"/>
          <w:szCs w:val="22"/>
          <w:lang w:val="en-GB"/>
        </w:rPr>
      </w:pPr>
    </w:p>
    <w:p w14:paraId="77C05DF6" w14:textId="77777777" w:rsidR="00831553" w:rsidRDefault="00831553" w:rsidP="00A15AB5">
      <w:pPr>
        <w:spacing w:line="360" w:lineRule="auto"/>
        <w:rPr>
          <w:rFonts w:ascii="Arial" w:hAnsi="Arial" w:cs="Arial"/>
          <w:sz w:val="22"/>
          <w:szCs w:val="22"/>
          <w:lang w:val="en-GB"/>
        </w:rPr>
      </w:pPr>
    </w:p>
    <w:p w14:paraId="50024952" w14:textId="77777777" w:rsidR="00831553" w:rsidRDefault="00831553" w:rsidP="00A15AB5">
      <w:pPr>
        <w:spacing w:line="360" w:lineRule="auto"/>
        <w:rPr>
          <w:rFonts w:ascii="Arial" w:hAnsi="Arial" w:cs="Arial"/>
          <w:sz w:val="22"/>
          <w:szCs w:val="22"/>
          <w:lang w:val="en-GB"/>
        </w:rPr>
      </w:pPr>
    </w:p>
    <w:p w14:paraId="28A748F6" w14:textId="77777777" w:rsidR="00831553" w:rsidRDefault="00831553" w:rsidP="00A15AB5">
      <w:pPr>
        <w:spacing w:line="360" w:lineRule="auto"/>
        <w:rPr>
          <w:rFonts w:ascii="Arial" w:hAnsi="Arial" w:cs="Arial"/>
          <w:sz w:val="22"/>
          <w:szCs w:val="22"/>
          <w:lang w:val="en-GB"/>
        </w:rPr>
      </w:pPr>
    </w:p>
    <w:p w14:paraId="67037E50" w14:textId="77777777" w:rsidR="00831553" w:rsidRDefault="00831553" w:rsidP="00A15AB5">
      <w:pPr>
        <w:spacing w:line="360" w:lineRule="auto"/>
        <w:rPr>
          <w:rFonts w:ascii="Arial" w:hAnsi="Arial" w:cs="Arial"/>
          <w:sz w:val="22"/>
          <w:szCs w:val="22"/>
          <w:lang w:val="en-GB"/>
        </w:rPr>
      </w:pPr>
    </w:p>
    <w:p w14:paraId="1E66316F" w14:textId="77777777" w:rsidR="00831553" w:rsidRDefault="00831553" w:rsidP="00A15AB5">
      <w:pPr>
        <w:spacing w:line="360" w:lineRule="auto"/>
        <w:rPr>
          <w:rFonts w:ascii="Arial" w:hAnsi="Arial" w:cs="Arial"/>
          <w:sz w:val="22"/>
          <w:szCs w:val="22"/>
          <w:lang w:val="en-GB"/>
        </w:rPr>
      </w:pPr>
    </w:p>
    <w:p w14:paraId="2EACE637" w14:textId="77777777" w:rsidR="00831553" w:rsidRDefault="00831553" w:rsidP="00A15AB5">
      <w:pPr>
        <w:spacing w:line="360" w:lineRule="auto"/>
        <w:rPr>
          <w:rFonts w:ascii="Arial" w:hAnsi="Arial" w:cs="Arial"/>
          <w:sz w:val="22"/>
          <w:szCs w:val="22"/>
          <w:lang w:val="en-GB"/>
        </w:rPr>
      </w:pPr>
    </w:p>
    <w:p w14:paraId="771F0E5B" w14:textId="77777777" w:rsidR="00831553" w:rsidRDefault="00831553" w:rsidP="00A15AB5">
      <w:pPr>
        <w:spacing w:line="360" w:lineRule="auto"/>
        <w:rPr>
          <w:rFonts w:ascii="Arial" w:hAnsi="Arial" w:cs="Arial"/>
          <w:sz w:val="22"/>
          <w:szCs w:val="22"/>
          <w:lang w:val="en-GB"/>
        </w:rPr>
      </w:pPr>
    </w:p>
    <w:p w14:paraId="4F438A5C" w14:textId="77777777" w:rsidR="00831553" w:rsidRDefault="00831553" w:rsidP="00A15AB5">
      <w:pPr>
        <w:spacing w:line="360" w:lineRule="auto"/>
        <w:rPr>
          <w:rFonts w:ascii="Arial" w:hAnsi="Arial" w:cs="Arial"/>
          <w:sz w:val="22"/>
          <w:szCs w:val="22"/>
          <w:lang w:val="en-GB"/>
        </w:rPr>
      </w:pPr>
    </w:p>
    <w:p w14:paraId="7A3DC636" w14:textId="77777777" w:rsidR="00831553" w:rsidRDefault="00831553" w:rsidP="00A15AB5">
      <w:pPr>
        <w:spacing w:line="360" w:lineRule="auto"/>
        <w:rPr>
          <w:rFonts w:ascii="Arial" w:hAnsi="Arial" w:cs="Arial"/>
          <w:sz w:val="22"/>
          <w:szCs w:val="22"/>
          <w:lang w:val="en-GB"/>
        </w:rPr>
      </w:pPr>
    </w:p>
    <w:p w14:paraId="61952A8E" w14:textId="77777777" w:rsidR="00831553" w:rsidRDefault="00831553" w:rsidP="00A15AB5">
      <w:pPr>
        <w:spacing w:line="360" w:lineRule="auto"/>
        <w:rPr>
          <w:rFonts w:ascii="Arial" w:hAnsi="Arial" w:cs="Arial"/>
          <w:sz w:val="22"/>
          <w:szCs w:val="22"/>
          <w:lang w:val="en-GB"/>
        </w:rPr>
      </w:pPr>
    </w:p>
    <w:p w14:paraId="1BE23A43" w14:textId="77777777" w:rsidR="00831553" w:rsidRDefault="00831553" w:rsidP="00A15AB5">
      <w:pPr>
        <w:spacing w:line="360" w:lineRule="auto"/>
        <w:rPr>
          <w:rFonts w:ascii="Arial" w:hAnsi="Arial" w:cs="Arial"/>
          <w:sz w:val="22"/>
          <w:szCs w:val="22"/>
          <w:lang w:val="en-GB"/>
        </w:rPr>
      </w:pPr>
    </w:p>
    <w:p w14:paraId="05B70B05" w14:textId="77777777" w:rsidR="00831553" w:rsidRDefault="00831553" w:rsidP="00A15AB5">
      <w:pPr>
        <w:spacing w:line="360" w:lineRule="auto"/>
        <w:rPr>
          <w:rFonts w:ascii="Arial" w:hAnsi="Arial" w:cs="Arial"/>
          <w:sz w:val="22"/>
          <w:szCs w:val="22"/>
          <w:lang w:val="en-GB"/>
        </w:rPr>
      </w:pPr>
    </w:p>
    <w:p w14:paraId="41AA2704" w14:textId="77777777" w:rsidR="00831553" w:rsidRDefault="00831553" w:rsidP="00A15AB5">
      <w:pPr>
        <w:spacing w:line="360" w:lineRule="auto"/>
        <w:rPr>
          <w:rFonts w:ascii="Arial" w:hAnsi="Arial" w:cs="Arial"/>
          <w:sz w:val="22"/>
          <w:szCs w:val="22"/>
          <w:lang w:val="en-GB"/>
        </w:rPr>
      </w:pPr>
    </w:p>
    <w:p w14:paraId="32B2E8F7" w14:textId="77777777" w:rsidR="00831553" w:rsidRDefault="00831553" w:rsidP="00A15AB5">
      <w:pPr>
        <w:spacing w:line="360" w:lineRule="auto"/>
        <w:rPr>
          <w:rFonts w:ascii="Arial" w:hAnsi="Arial" w:cs="Arial"/>
          <w:sz w:val="22"/>
          <w:szCs w:val="22"/>
          <w:lang w:val="en-GB"/>
        </w:rPr>
      </w:pPr>
    </w:p>
    <w:p w14:paraId="5CBA5BA2" w14:textId="77777777" w:rsidR="00831553" w:rsidRDefault="00831553" w:rsidP="00A15AB5">
      <w:pPr>
        <w:spacing w:line="360" w:lineRule="auto"/>
        <w:rPr>
          <w:rFonts w:ascii="Arial" w:hAnsi="Arial" w:cs="Arial"/>
          <w:sz w:val="22"/>
          <w:szCs w:val="22"/>
          <w:lang w:val="en-GB"/>
        </w:rPr>
      </w:pPr>
    </w:p>
    <w:p w14:paraId="47D811F1" w14:textId="77777777" w:rsidR="00831553" w:rsidRDefault="00831553" w:rsidP="00A15AB5">
      <w:pPr>
        <w:spacing w:line="360" w:lineRule="auto"/>
        <w:rPr>
          <w:rFonts w:ascii="Arial" w:hAnsi="Arial" w:cs="Arial"/>
          <w:sz w:val="22"/>
          <w:szCs w:val="22"/>
          <w:lang w:val="en-GB"/>
        </w:rPr>
      </w:pPr>
    </w:p>
    <w:p w14:paraId="5A8E7B59" w14:textId="77777777" w:rsidR="00831553" w:rsidRDefault="00831553" w:rsidP="00A15AB5">
      <w:pPr>
        <w:spacing w:line="360" w:lineRule="auto"/>
        <w:rPr>
          <w:rFonts w:ascii="Arial" w:hAnsi="Arial" w:cs="Arial"/>
          <w:sz w:val="22"/>
          <w:szCs w:val="22"/>
          <w:lang w:val="en-GB"/>
        </w:rPr>
      </w:pPr>
    </w:p>
    <w:p w14:paraId="66A3A9CF" w14:textId="77777777" w:rsidR="00831553" w:rsidRDefault="00831553" w:rsidP="00A15AB5">
      <w:pPr>
        <w:spacing w:line="360" w:lineRule="auto"/>
        <w:rPr>
          <w:rFonts w:ascii="Arial" w:hAnsi="Arial" w:cs="Arial"/>
          <w:sz w:val="22"/>
          <w:szCs w:val="22"/>
          <w:lang w:val="en-GB"/>
        </w:rPr>
      </w:pPr>
    </w:p>
    <w:p w14:paraId="01F4DBED" w14:textId="77777777" w:rsidR="00831553" w:rsidRDefault="00831553" w:rsidP="00A15AB5">
      <w:pPr>
        <w:spacing w:line="360" w:lineRule="auto"/>
        <w:rPr>
          <w:rFonts w:ascii="Arial" w:hAnsi="Arial" w:cs="Arial"/>
          <w:sz w:val="22"/>
          <w:szCs w:val="22"/>
          <w:lang w:val="en-GB"/>
        </w:rPr>
      </w:pPr>
    </w:p>
    <w:p w14:paraId="69FF2DDE" w14:textId="77777777" w:rsidR="00831553" w:rsidRDefault="00831553" w:rsidP="00A15AB5">
      <w:pPr>
        <w:spacing w:line="360" w:lineRule="auto"/>
        <w:rPr>
          <w:rFonts w:ascii="Arial" w:hAnsi="Arial" w:cs="Arial"/>
          <w:sz w:val="22"/>
          <w:szCs w:val="22"/>
          <w:lang w:val="en-GB"/>
        </w:rPr>
      </w:pPr>
    </w:p>
    <w:p w14:paraId="05D351F9" w14:textId="77777777" w:rsidR="00831553" w:rsidRDefault="00831553" w:rsidP="00A15AB5">
      <w:pPr>
        <w:spacing w:line="360" w:lineRule="auto"/>
        <w:rPr>
          <w:rFonts w:ascii="Arial" w:hAnsi="Arial" w:cs="Arial"/>
          <w:sz w:val="22"/>
          <w:szCs w:val="22"/>
          <w:lang w:val="en-GB"/>
        </w:rPr>
      </w:pPr>
    </w:p>
    <w:sdt>
      <w:sdtPr>
        <w:id w:val="1988202117"/>
        <w:docPartObj>
          <w:docPartGallery w:val="Table of Contents"/>
          <w:docPartUnique/>
        </w:docPartObj>
      </w:sdtPr>
      <w:sdtEndPr>
        <w:rPr>
          <w:rFonts w:ascii="Times New Roman" w:eastAsia="Times New Roman" w:hAnsi="Times New Roman" w:cs="Times New Roman"/>
          <w:noProof/>
          <w:color w:val="auto"/>
          <w:sz w:val="24"/>
          <w:szCs w:val="24"/>
          <w:lang w:val="en-RO" w:eastAsia="en-GB"/>
        </w:rPr>
      </w:sdtEndPr>
      <w:sdtContent>
        <w:p w14:paraId="3660AD6F" w14:textId="404BE946" w:rsidR="00831553" w:rsidRDefault="00831553">
          <w:pPr>
            <w:pStyle w:val="TOCHeading"/>
          </w:pPr>
          <w:r>
            <w:t>Table of Contents</w:t>
          </w:r>
        </w:p>
        <w:p w14:paraId="73B7269D" w14:textId="293865C4" w:rsidR="00831553" w:rsidRDefault="0083155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0195472" w:history="1">
            <w:r w:rsidRPr="00716BB9">
              <w:rPr>
                <w:rStyle w:val="Hyperlink"/>
                <w:noProof/>
                <w:lang w:val="en-GB"/>
              </w:rPr>
              <w:t>Introduction</w:t>
            </w:r>
            <w:r>
              <w:rPr>
                <w:noProof/>
                <w:webHidden/>
              </w:rPr>
              <w:tab/>
            </w:r>
            <w:r>
              <w:rPr>
                <w:noProof/>
                <w:webHidden/>
              </w:rPr>
              <w:fldChar w:fldCharType="begin"/>
            </w:r>
            <w:r>
              <w:rPr>
                <w:noProof/>
                <w:webHidden/>
              </w:rPr>
              <w:instrText xml:space="preserve"> PAGEREF _Toc150195472 \h </w:instrText>
            </w:r>
            <w:r>
              <w:rPr>
                <w:noProof/>
                <w:webHidden/>
              </w:rPr>
            </w:r>
            <w:r>
              <w:rPr>
                <w:noProof/>
                <w:webHidden/>
              </w:rPr>
              <w:fldChar w:fldCharType="separate"/>
            </w:r>
            <w:r>
              <w:rPr>
                <w:noProof/>
                <w:webHidden/>
              </w:rPr>
              <w:t>3</w:t>
            </w:r>
            <w:r>
              <w:rPr>
                <w:noProof/>
                <w:webHidden/>
              </w:rPr>
              <w:fldChar w:fldCharType="end"/>
            </w:r>
          </w:hyperlink>
        </w:p>
        <w:p w14:paraId="54515922" w14:textId="184C09D4" w:rsidR="00831553" w:rsidRDefault="00831553">
          <w:pPr>
            <w:pStyle w:val="TOC1"/>
            <w:tabs>
              <w:tab w:val="right" w:leader="dot" w:pos="9016"/>
            </w:tabs>
            <w:rPr>
              <w:noProof/>
            </w:rPr>
          </w:pPr>
          <w:hyperlink w:anchor="_Toc150195473" w:history="1">
            <w:r w:rsidRPr="00716BB9">
              <w:rPr>
                <w:rStyle w:val="Hyperlink"/>
                <w:noProof/>
                <w:lang w:val="en-GB"/>
              </w:rPr>
              <w:t>The role of human resources in engaging the employee</w:t>
            </w:r>
            <w:r>
              <w:rPr>
                <w:noProof/>
                <w:webHidden/>
              </w:rPr>
              <w:tab/>
            </w:r>
            <w:r>
              <w:rPr>
                <w:noProof/>
                <w:webHidden/>
              </w:rPr>
              <w:fldChar w:fldCharType="begin"/>
            </w:r>
            <w:r>
              <w:rPr>
                <w:noProof/>
                <w:webHidden/>
              </w:rPr>
              <w:instrText xml:space="preserve"> PAGEREF _Toc150195473 \h </w:instrText>
            </w:r>
            <w:r>
              <w:rPr>
                <w:noProof/>
                <w:webHidden/>
              </w:rPr>
            </w:r>
            <w:r>
              <w:rPr>
                <w:noProof/>
                <w:webHidden/>
              </w:rPr>
              <w:fldChar w:fldCharType="separate"/>
            </w:r>
            <w:r>
              <w:rPr>
                <w:noProof/>
                <w:webHidden/>
              </w:rPr>
              <w:t>3</w:t>
            </w:r>
            <w:r>
              <w:rPr>
                <w:noProof/>
                <w:webHidden/>
              </w:rPr>
              <w:fldChar w:fldCharType="end"/>
            </w:r>
          </w:hyperlink>
        </w:p>
        <w:p w14:paraId="4FD5502E" w14:textId="02CE0CAC" w:rsidR="00831553" w:rsidRDefault="00831553">
          <w:pPr>
            <w:pStyle w:val="TOC1"/>
            <w:tabs>
              <w:tab w:val="right" w:leader="dot" w:pos="9016"/>
            </w:tabs>
            <w:rPr>
              <w:noProof/>
            </w:rPr>
          </w:pPr>
          <w:hyperlink w:anchor="_Toc150195474" w:history="1">
            <w:r w:rsidRPr="00716BB9">
              <w:rPr>
                <w:rStyle w:val="Hyperlink"/>
                <w:noProof/>
                <w:lang w:val="en-GB"/>
              </w:rPr>
              <w:t>How to engage and advantages of engaging a team</w:t>
            </w:r>
            <w:r>
              <w:rPr>
                <w:noProof/>
                <w:webHidden/>
              </w:rPr>
              <w:tab/>
            </w:r>
            <w:r>
              <w:rPr>
                <w:noProof/>
                <w:webHidden/>
              </w:rPr>
              <w:fldChar w:fldCharType="begin"/>
            </w:r>
            <w:r>
              <w:rPr>
                <w:noProof/>
                <w:webHidden/>
              </w:rPr>
              <w:instrText xml:space="preserve"> PAGEREF _Toc150195474 \h </w:instrText>
            </w:r>
            <w:r>
              <w:rPr>
                <w:noProof/>
                <w:webHidden/>
              </w:rPr>
            </w:r>
            <w:r>
              <w:rPr>
                <w:noProof/>
                <w:webHidden/>
              </w:rPr>
              <w:fldChar w:fldCharType="separate"/>
            </w:r>
            <w:r>
              <w:rPr>
                <w:noProof/>
                <w:webHidden/>
              </w:rPr>
              <w:t>4</w:t>
            </w:r>
            <w:r>
              <w:rPr>
                <w:noProof/>
                <w:webHidden/>
              </w:rPr>
              <w:fldChar w:fldCharType="end"/>
            </w:r>
          </w:hyperlink>
        </w:p>
        <w:p w14:paraId="4571E4F4" w14:textId="741897CC" w:rsidR="00831553" w:rsidRDefault="00831553">
          <w:pPr>
            <w:pStyle w:val="TOC1"/>
            <w:tabs>
              <w:tab w:val="right" w:leader="dot" w:pos="9016"/>
            </w:tabs>
            <w:rPr>
              <w:noProof/>
            </w:rPr>
          </w:pPr>
          <w:hyperlink w:anchor="_Toc150195475" w:history="1">
            <w:r w:rsidRPr="00716BB9">
              <w:rPr>
                <w:rStyle w:val="Hyperlink"/>
                <w:noProof/>
                <w:lang w:val="en-GB"/>
              </w:rPr>
              <w:t>The employee lifecycle</w:t>
            </w:r>
            <w:r>
              <w:rPr>
                <w:noProof/>
                <w:webHidden/>
              </w:rPr>
              <w:tab/>
            </w:r>
            <w:r>
              <w:rPr>
                <w:noProof/>
                <w:webHidden/>
              </w:rPr>
              <w:fldChar w:fldCharType="begin"/>
            </w:r>
            <w:r>
              <w:rPr>
                <w:noProof/>
                <w:webHidden/>
              </w:rPr>
              <w:instrText xml:space="preserve"> PAGEREF _Toc150195475 \h </w:instrText>
            </w:r>
            <w:r>
              <w:rPr>
                <w:noProof/>
                <w:webHidden/>
              </w:rPr>
            </w:r>
            <w:r>
              <w:rPr>
                <w:noProof/>
                <w:webHidden/>
              </w:rPr>
              <w:fldChar w:fldCharType="separate"/>
            </w:r>
            <w:r>
              <w:rPr>
                <w:noProof/>
                <w:webHidden/>
              </w:rPr>
              <w:t>5</w:t>
            </w:r>
            <w:r>
              <w:rPr>
                <w:noProof/>
                <w:webHidden/>
              </w:rPr>
              <w:fldChar w:fldCharType="end"/>
            </w:r>
          </w:hyperlink>
        </w:p>
        <w:p w14:paraId="3D69423A" w14:textId="69934589" w:rsidR="00831553" w:rsidRDefault="00831553">
          <w:pPr>
            <w:pStyle w:val="TOC1"/>
            <w:tabs>
              <w:tab w:val="right" w:leader="dot" w:pos="9016"/>
            </w:tabs>
            <w:rPr>
              <w:noProof/>
            </w:rPr>
          </w:pPr>
          <w:hyperlink w:anchor="_Toc150195476" w:history="1">
            <w:r w:rsidRPr="00716BB9">
              <w:rPr>
                <w:rStyle w:val="Hyperlink"/>
                <w:noProof/>
                <w:lang w:val="en-GB"/>
              </w:rPr>
              <w:t>Provide examples of how to engage a team</w:t>
            </w:r>
            <w:r>
              <w:rPr>
                <w:noProof/>
                <w:webHidden/>
              </w:rPr>
              <w:tab/>
            </w:r>
            <w:r>
              <w:rPr>
                <w:noProof/>
                <w:webHidden/>
              </w:rPr>
              <w:fldChar w:fldCharType="begin"/>
            </w:r>
            <w:r>
              <w:rPr>
                <w:noProof/>
                <w:webHidden/>
              </w:rPr>
              <w:instrText xml:space="preserve"> PAGEREF _Toc150195476 \h </w:instrText>
            </w:r>
            <w:r>
              <w:rPr>
                <w:noProof/>
                <w:webHidden/>
              </w:rPr>
            </w:r>
            <w:r>
              <w:rPr>
                <w:noProof/>
                <w:webHidden/>
              </w:rPr>
              <w:fldChar w:fldCharType="separate"/>
            </w:r>
            <w:r>
              <w:rPr>
                <w:noProof/>
                <w:webHidden/>
              </w:rPr>
              <w:t>6</w:t>
            </w:r>
            <w:r>
              <w:rPr>
                <w:noProof/>
                <w:webHidden/>
              </w:rPr>
              <w:fldChar w:fldCharType="end"/>
            </w:r>
          </w:hyperlink>
        </w:p>
        <w:p w14:paraId="0A1E7FE5" w14:textId="052E117C" w:rsidR="00831553" w:rsidRDefault="00831553">
          <w:pPr>
            <w:pStyle w:val="TOC1"/>
            <w:tabs>
              <w:tab w:val="right" w:leader="dot" w:pos="9016"/>
            </w:tabs>
            <w:rPr>
              <w:noProof/>
            </w:rPr>
          </w:pPr>
          <w:hyperlink w:anchor="_Toc150195477" w:history="1">
            <w:r w:rsidRPr="00716BB9">
              <w:rPr>
                <w:rStyle w:val="Hyperlink"/>
                <w:noProof/>
                <w:lang w:val="en-GB"/>
              </w:rPr>
              <w:t>Employee engagement model and how it could be implemented</w:t>
            </w:r>
            <w:r>
              <w:rPr>
                <w:noProof/>
                <w:webHidden/>
              </w:rPr>
              <w:tab/>
            </w:r>
            <w:r>
              <w:rPr>
                <w:noProof/>
                <w:webHidden/>
              </w:rPr>
              <w:fldChar w:fldCharType="begin"/>
            </w:r>
            <w:r>
              <w:rPr>
                <w:noProof/>
                <w:webHidden/>
              </w:rPr>
              <w:instrText xml:space="preserve"> PAGEREF _Toc150195477 \h </w:instrText>
            </w:r>
            <w:r>
              <w:rPr>
                <w:noProof/>
                <w:webHidden/>
              </w:rPr>
            </w:r>
            <w:r>
              <w:rPr>
                <w:noProof/>
                <w:webHidden/>
              </w:rPr>
              <w:fldChar w:fldCharType="separate"/>
            </w:r>
            <w:r>
              <w:rPr>
                <w:noProof/>
                <w:webHidden/>
              </w:rPr>
              <w:t>7</w:t>
            </w:r>
            <w:r>
              <w:rPr>
                <w:noProof/>
                <w:webHidden/>
              </w:rPr>
              <w:fldChar w:fldCharType="end"/>
            </w:r>
          </w:hyperlink>
        </w:p>
        <w:p w14:paraId="4F1D18FB" w14:textId="5CB2A9AE" w:rsidR="00831553" w:rsidRDefault="00831553">
          <w:pPr>
            <w:pStyle w:val="TOC1"/>
            <w:tabs>
              <w:tab w:val="right" w:leader="dot" w:pos="9016"/>
            </w:tabs>
            <w:rPr>
              <w:noProof/>
            </w:rPr>
          </w:pPr>
          <w:hyperlink w:anchor="_Toc150195478" w:history="1">
            <w:r w:rsidRPr="00716BB9">
              <w:rPr>
                <w:rStyle w:val="Hyperlink"/>
                <w:noProof/>
                <w:lang w:val="en-GB"/>
              </w:rPr>
              <w:t>Examples from the industry</w:t>
            </w:r>
            <w:r>
              <w:rPr>
                <w:noProof/>
                <w:webHidden/>
              </w:rPr>
              <w:tab/>
            </w:r>
            <w:r>
              <w:rPr>
                <w:noProof/>
                <w:webHidden/>
              </w:rPr>
              <w:fldChar w:fldCharType="begin"/>
            </w:r>
            <w:r>
              <w:rPr>
                <w:noProof/>
                <w:webHidden/>
              </w:rPr>
              <w:instrText xml:space="preserve"> PAGEREF _Toc150195478 \h </w:instrText>
            </w:r>
            <w:r>
              <w:rPr>
                <w:noProof/>
                <w:webHidden/>
              </w:rPr>
            </w:r>
            <w:r>
              <w:rPr>
                <w:noProof/>
                <w:webHidden/>
              </w:rPr>
              <w:fldChar w:fldCharType="separate"/>
            </w:r>
            <w:r>
              <w:rPr>
                <w:noProof/>
                <w:webHidden/>
              </w:rPr>
              <w:t>8</w:t>
            </w:r>
            <w:r>
              <w:rPr>
                <w:noProof/>
                <w:webHidden/>
              </w:rPr>
              <w:fldChar w:fldCharType="end"/>
            </w:r>
          </w:hyperlink>
        </w:p>
        <w:p w14:paraId="2A543624" w14:textId="04F99392" w:rsidR="00831553" w:rsidRDefault="00831553">
          <w:pPr>
            <w:pStyle w:val="TOC1"/>
            <w:tabs>
              <w:tab w:val="right" w:leader="dot" w:pos="9016"/>
            </w:tabs>
            <w:rPr>
              <w:noProof/>
            </w:rPr>
          </w:pPr>
          <w:hyperlink w:anchor="_Toc150195479" w:history="1">
            <w:r w:rsidRPr="00716BB9">
              <w:rPr>
                <w:rStyle w:val="Hyperlink"/>
                <w:noProof/>
                <w:lang w:val="en-GB"/>
              </w:rPr>
              <w:t>Conclusion</w:t>
            </w:r>
            <w:r>
              <w:rPr>
                <w:noProof/>
                <w:webHidden/>
              </w:rPr>
              <w:tab/>
            </w:r>
            <w:r>
              <w:rPr>
                <w:noProof/>
                <w:webHidden/>
              </w:rPr>
              <w:fldChar w:fldCharType="begin"/>
            </w:r>
            <w:r>
              <w:rPr>
                <w:noProof/>
                <w:webHidden/>
              </w:rPr>
              <w:instrText xml:space="preserve"> PAGEREF _Toc150195479 \h </w:instrText>
            </w:r>
            <w:r>
              <w:rPr>
                <w:noProof/>
                <w:webHidden/>
              </w:rPr>
            </w:r>
            <w:r>
              <w:rPr>
                <w:noProof/>
                <w:webHidden/>
              </w:rPr>
              <w:fldChar w:fldCharType="separate"/>
            </w:r>
            <w:r>
              <w:rPr>
                <w:noProof/>
                <w:webHidden/>
              </w:rPr>
              <w:t>8</w:t>
            </w:r>
            <w:r>
              <w:rPr>
                <w:noProof/>
                <w:webHidden/>
              </w:rPr>
              <w:fldChar w:fldCharType="end"/>
            </w:r>
          </w:hyperlink>
        </w:p>
        <w:p w14:paraId="7BADDE90" w14:textId="70C775BE" w:rsidR="00831553" w:rsidRDefault="00831553">
          <w:pPr>
            <w:pStyle w:val="TOC1"/>
            <w:tabs>
              <w:tab w:val="right" w:leader="dot" w:pos="9016"/>
            </w:tabs>
            <w:rPr>
              <w:noProof/>
            </w:rPr>
          </w:pPr>
          <w:hyperlink w:anchor="_Toc150195480" w:history="1">
            <w:r w:rsidRPr="00716BB9">
              <w:rPr>
                <w:rStyle w:val="Hyperlink"/>
                <w:noProof/>
                <w:lang w:val="en-GB"/>
              </w:rPr>
              <w:t>References</w:t>
            </w:r>
            <w:r>
              <w:rPr>
                <w:noProof/>
                <w:webHidden/>
              </w:rPr>
              <w:tab/>
            </w:r>
            <w:r>
              <w:rPr>
                <w:noProof/>
                <w:webHidden/>
              </w:rPr>
              <w:fldChar w:fldCharType="begin"/>
            </w:r>
            <w:r>
              <w:rPr>
                <w:noProof/>
                <w:webHidden/>
              </w:rPr>
              <w:instrText xml:space="preserve"> PAGEREF _Toc150195480 \h </w:instrText>
            </w:r>
            <w:r>
              <w:rPr>
                <w:noProof/>
                <w:webHidden/>
              </w:rPr>
            </w:r>
            <w:r>
              <w:rPr>
                <w:noProof/>
                <w:webHidden/>
              </w:rPr>
              <w:fldChar w:fldCharType="separate"/>
            </w:r>
            <w:r>
              <w:rPr>
                <w:noProof/>
                <w:webHidden/>
              </w:rPr>
              <w:t>10</w:t>
            </w:r>
            <w:r>
              <w:rPr>
                <w:noProof/>
                <w:webHidden/>
              </w:rPr>
              <w:fldChar w:fldCharType="end"/>
            </w:r>
          </w:hyperlink>
        </w:p>
        <w:p w14:paraId="35EA4727" w14:textId="08625B0E" w:rsidR="00831553" w:rsidRDefault="00831553">
          <w:r>
            <w:rPr>
              <w:b/>
              <w:bCs/>
              <w:noProof/>
            </w:rPr>
            <w:fldChar w:fldCharType="end"/>
          </w:r>
        </w:p>
      </w:sdtContent>
    </w:sdt>
    <w:p w14:paraId="6B57AB95" w14:textId="77777777" w:rsidR="00831553" w:rsidRDefault="00831553" w:rsidP="00A15AB5">
      <w:pPr>
        <w:spacing w:line="360" w:lineRule="auto"/>
        <w:rPr>
          <w:rFonts w:ascii="Arial" w:hAnsi="Arial" w:cs="Arial"/>
          <w:sz w:val="22"/>
          <w:szCs w:val="22"/>
          <w:lang w:val="en-GB"/>
        </w:rPr>
      </w:pPr>
    </w:p>
    <w:p w14:paraId="7F1610B6" w14:textId="77777777" w:rsidR="00831553" w:rsidRDefault="00831553" w:rsidP="00A15AB5">
      <w:pPr>
        <w:spacing w:line="360" w:lineRule="auto"/>
        <w:rPr>
          <w:rFonts w:ascii="Arial" w:hAnsi="Arial" w:cs="Arial"/>
          <w:sz w:val="22"/>
          <w:szCs w:val="22"/>
          <w:lang w:val="en-GB"/>
        </w:rPr>
      </w:pPr>
    </w:p>
    <w:p w14:paraId="76550D1E" w14:textId="77777777" w:rsidR="00831553" w:rsidRDefault="00831553" w:rsidP="00A15AB5">
      <w:pPr>
        <w:spacing w:line="360" w:lineRule="auto"/>
        <w:rPr>
          <w:rFonts w:ascii="Arial" w:hAnsi="Arial" w:cs="Arial"/>
          <w:sz w:val="22"/>
          <w:szCs w:val="22"/>
          <w:lang w:val="en-GB"/>
        </w:rPr>
      </w:pPr>
    </w:p>
    <w:p w14:paraId="1A9373CA" w14:textId="77777777" w:rsidR="00831553" w:rsidRDefault="00831553" w:rsidP="00A15AB5">
      <w:pPr>
        <w:spacing w:line="360" w:lineRule="auto"/>
        <w:rPr>
          <w:rFonts w:ascii="Arial" w:hAnsi="Arial" w:cs="Arial"/>
          <w:sz w:val="22"/>
          <w:szCs w:val="22"/>
          <w:lang w:val="en-GB"/>
        </w:rPr>
      </w:pPr>
    </w:p>
    <w:p w14:paraId="634B9550" w14:textId="77777777" w:rsidR="00831553" w:rsidRDefault="00831553" w:rsidP="00A15AB5">
      <w:pPr>
        <w:spacing w:line="360" w:lineRule="auto"/>
        <w:rPr>
          <w:rFonts w:ascii="Arial" w:hAnsi="Arial" w:cs="Arial"/>
          <w:sz w:val="22"/>
          <w:szCs w:val="22"/>
          <w:lang w:val="en-GB"/>
        </w:rPr>
      </w:pPr>
    </w:p>
    <w:p w14:paraId="212B2ED7" w14:textId="77777777" w:rsidR="00831553" w:rsidRDefault="00831553" w:rsidP="00A15AB5">
      <w:pPr>
        <w:spacing w:line="360" w:lineRule="auto"/>
        <w:rPr>
          <w:rFonts w:ascii="Arial" w:hAnsi="Arial" w:cs="Arial"/>
          <w:sz w:val="22"/>
          <w:szCs w:val="22"/>
          <w:lang w:val="en-GB"/>
        </w:rPr>
      </w:pPr>
    </w:p>
    <w:p w14:paraId="2A180914" w14:textId="77777777" w:rsidR="00831553" w:rsidRDefault="00831553" w:rsidP="00A15AB5">
      <w:pPr>
        <w:spacing w:line="360" w:lineRule="auto"/>
        <w:rPr>
          <w:rFonts w:ascii="Arial" w:hAnsi="Arial" w:cs="Arial"/>
          <w:sz w:val="22"/>
          <w:szCs w:val="22"/>
          <w:lang w:val="en-GB"/>
        </w:rPr>
      </w:pPr>
    </w:p>
    <w:p w14:paraId="5D140E4B" w14:textId="77777777" w:rsidR="00831553" w:rsidRDefault="00831553" w:rsidP="00A15AB5">
      <w:pPr>
        <w:spacing w:line="360" w:lineRule="auto"/>
        <w:rPr>
          <w:rFonts w:ascii="Arial" w:hAnsi="Arial" w:cs="Arial"/>
          <w:sz w:val="22"/>
          <w:szCs w:val="22"/>
          <w:lang w:val="en-GB"/>
        </w:rPr>
      </w:pPr>
    </w:p>
    <w:p w14:paraId="68EAA2E4" w14:textId="77777777" w:rsidR="00831553" w:rsidRDefault="00831553" w:rsidP="00A15AB5">
      <w:pPr>
        <w:spacing w:line="360" w:lineRule="auto"/>
        <w:rPr>
          <w:rFonts w:ascii="Arial" w:hAnsi="Arial" w:cs="Arial"/>
          <w:sz w:val="22"/>
          <w:szCs w:val="22"/>
          <w:lang w:val="en-GB"/>
        </w:rPr>
      </w:pPr>
    </w:p>
    <w:p w14:paraId="3D66E421" w14:textId="77777777" w:rsidR="00831553" w:rsidRDefault="00831553" w:rsidP="00A15AB5">
      <w:pPr>
        <w:spacing w:line="360" w:lineRule="auto"/>
        <w:rPr>
          <w:rFonts w:ascii="Arial" w:hAnsi="Arial" w:cs="Arial"/>
          <w:sz w:val="22"/>
          <w:szCs w:val="22"/>
          <w:lang w:val="en-GB"/>
        </w:rPr>
      </w:pPr>
    </w:p>
    <w:p w14:paraId="09980F0A" w14:textId="77777777" w:rsidR="00831553" w:rsidRDefault="00831553" w:rsidP="00A15AB5">
      <w:pPr>
        <w:spacing w:line="360" w:lineRule="auto"/>
        <w:rPr>
          <w:rFonts w:ascii="Arial" w:hAnsi="Arial" w:cs="Arial"/>
          <w:sz w:val="22"/>
          <w:szCs w:val="22"/>
          <w:lang w:val="en-GB"/>
        </w:rPr>
      </w:pPr>
    </w:p>
    <w:p w14:paraId="1C579F09" w14:textId="77777777" w:rsidR="00831553" w:rsidRDefault="00831553" w:rsidP="00A15AB5">
      <w:pPr>
        <w:spacing w:line="360" w:lineRule="auto"/>
        <w:rPr>
          <w:rFonts w:ascii="Arial" w:hAnsi="Arial" w:cs="Arial"/>
          <w:sz w:val="22"/>
          <w:szCs w:val="22"/>
          <w:lang w:val="en-GB"/>
        </w:rPr>
      </w:pPr>
    </w:p>
    <w:p w14:paraId="40C454FC" w14:textId="77777777" w:rsidR="00831553" w:rsidRDefault="00831553" w:rsidP="00A15AB5">
      <w:pPr>
        <w:spacing w:line="360" w:lineRule="auto"/>
        <w:rPr>
          <w:rFonts w:ascii="Arial" w:hAnsi="Arial" w:cs="Arial"/>
          <w:sz w:val="22"/>
          <w:szCs w:val="22"/>
          <w:lang w:val="en-GB"/>
        </w:rPr>
      </w:pPr>
    </w:p>
    <w:p w14:paraId="606B4E13" w14:textId="77777777" w:rsidR="00831553" w:rsidRDefault="00831553" w:rsidP="00A15AB5">
      <w:pPr>
        <w:spacing w:line="360" w:lineRule="auto"/>
        <w:rPr>
          <w:rFonts w:ascii="Arial" w:hAnsi="Arial" w:cs="Arial"/>
          <w:sz w:val="22"/>
          <w:szCs w:val="22"/>
          <w:lang w:val="en-GB"/>
        </w:rPr>
      </w:pPr>
    </w:p>
    <w:p w14:paraId="03032785" w14:textId="77777777" w:rsidR="00831553" w:rsidRDefault="00831553" w:rsidP="00A15AB5">
      <w:pPr>
        <w:spacing w:line="360" w:lineRule="auto"/>
        <w:rPr>
          <w:rFonts w:ascii="Arial" w:hAnsi="Arial" w:cs="Arial"/>
          <w:sz w:val="22"/>
          <w:szCs w:val="22"/>
          <w:lang w:val="en-GB"/>
        </w:rPr>
      </w:pPr>
    </w:p>
    <w:p w14:paraId="5130AC36" w14:textId="77777777" w:rsidR="00831553" w:rsidRPr="00A15AB5" w:rsidRDefault="00831553" w:rsidP="00A15AB5">
      <w:pPr>
        <w:spacing w:line="360" w:lineRule="auto"/>
        <w:rPr>
          <w:rFonts w:ascii="Arial" w:hAnsi="Arial" w:cs="Arial"/>
          <w:sz w:val="22"/>
          <w:szCs w:val="22"/>
          <w:lang w:val="en-GB"/>
        </w:rPr>
      </w:pPr>
    </w:p>
    <w:p w14:paraId="1D388C2C" w14:textId="00D1D13B" w:rsidR="00A15AB5" w:rsidRPr="00A15AB5" w:rsidRDefault="00A15AB5" w:rsidP="00831553">
      <w:pPr>
        <w:pStyle w:val="Heading1"/>
        <w:rPr>
          <w:lang w:val="en-GB"/>
        </w:rPr>
      </w:pPr>
      <w:bookmarkStart w:id="0" w:name="_Toc150195472"/>
      <w:r w:rsidRPr="00A15AB5">
        <w:rPr>
          <w:lang w:val="en-GB"/>
        </w:rPr>
        <w:lastRenderedPageBreak/>
        <w:t>Introduction</w:t>
      </w:r>
      <w:bookmarkEnd w:id="0"/>
    </w:p>
    <w:p w14:paraId="20ED6749" w14:textId="77777777" w:rsidR="00A15AB5" w:rsidRPr="00A15AB5" w:rsidRDefault="00A15AB5" w:rsidP="00A15AB5">
      <w:pPr>
        <w:spacing w:line="360" w:lineRule="auto"/>
        <w:rPr>
          <w:rFonts w:ascii="Arial" w:hAnsi="Arial" w:cs="Arial"/>
          <w:sz w:val="22"/>
          <w:szCs w:val="22"/>
          <w:lang w:val="en-GB"/>
        </w:rPr>
      </w:pPr>
    </w:p>
    <w:p w14:paraId="2443F942" w14:textId="57E49BF4"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Employee engagement stands as a pivotal factor in the success of any organi</w:t>
      </w:r>
      <w:r w:rsidR="00831553">
        <w:rPr>
          <w:rFonts w:ascii="Arial" w:hAnsi="Arial" w:cs="Arial"/>
          <w:sz w:val="22"/>
          <w:szCs w:val="22"/>
          <w:lang w:val="en-GB"/>
        </w:rPr>
        <w:t>s</w:t>
      </w:r>
      <w:r w:rsidRPr="00A15AB5">
        <w:rPr>
          <w:rFonts w:ascii="Arial" w:hAnsi="Arial" w:cs="Arial"/>
          <w:sz w:val="22"/>
          <w:szCs w:val="22"/>
          <w:lang w:val="en-GB"/>
        </w:rPr>
        <w:t xml:space="preserve">ation, particularly within the hospitality industry where the </w:t>
      </w:r>
      <w:r w:rsidR="00A15AB5" w:rsidRPr="00A15AB5">
        <w:rPr>
          <w:rFonts w:ascii="Arial" w:hAnsi="Arial" w:cs="Arial"/>
          <w:sz w:val="22"/>
          <w:szCs w:val="22"/>
          <w:lang w:val="en-GB"/>
        </w:rPr>
        <w:t>calibre</w:t>
      </w:r>
      <w:r w:rsidRPr="00A15AB5">
        <w:rPr>
          <w:rFonts w:ascii="Arial" w:hAnsi="Arial" w:cs="Arial"/>
          <w:sz w:val="22"/>
          <w:szCs w:val="22"/>
          <w:lang w:val="en-GB"/>
        </w:rPr>
        <w:t xml:space="preserve"> of service is inextricably linked to the satisfaction and retention of guests. Engaging employees throughout their lifecycle in the company</w:t>
      </w:r>
      <w:r w:rsidR="00A15AB5" w:rsidRPr="00A15AB5">
        <w:rPr>
          <w:rFonts w:ascii="Arial" w:hAnsi="Arial" w:cs="Arial"/>
          <w:sz w:val="22"/>
          <w:szCs w:val="22"/>
          <w:lang w:val="en-GB"/>
        </w:rPr>
        <w:t xml:space="preserve"> - </w:t>
      </w:r>
      <w:r w:rsidRPr="00A15AB5">
        <w:rPr>
          <w:rFonts w:ascii="Arial" w:hAnsi="Arial" w:cs="Arial"/>
          <w:sz w:val="22"/>
          <w:szCs w:val="22"/>
          <w:lang w:val="en-GB"/>
        </w:rPr>
        <w:t>from the moment they first encounter the brand, to their exit or retirement</w:t>
      </w:r>
      <w:r w:rsidR="00A15AB5" w:rsidRPr="00A15AB5">
        <w:rPr>
          <w:rFonts w:ascii="Arial" w:hAnsi="Arial" w:cs="Arial"/>
          <w:sz w:val="22"/>
          <w:szCs w:val="22"/>
          <w:lang w:val="en-GB"/>
        </w:rPr>
        <w:t xml:space="preserve"> - </w:t>
      </w:r>
      <w:r w:rsidRPr="00A15AB5">
        <w:rPr>
          <w:rFonts w:ascii="Arial" w:hAnsi="Arial" w:cs="Arial"/>
          <w:sz w:val="22"/>
          <w:szCs w:val="22"/>
          <w:lang w:val="en-GB"/>
        </w:rPr>
        <w:t>is not merely a human resource function but a strategic imperative. This research delves into the multifaceted role of human resources in cultivating a workforce that is not only skilled and knowledgeable but also genuinely committed to the company’s vision and goals. By examining industry exemplars such as The Ritz-Carlton, Hilton Worldwide, and Marriott International, this study will explore how innovative engagement models and practices can be effectively implemented to foster an environment where employees thrive and contribute to a sustainable competitive advantage. Through this exploration, we aim to shed light on the transformative power of strategic employee engagement and its critical influence on both organi</w:t>
      </w:r>
      <w:r w:rsidR="00831553">
        <w:rPr>
          <w:rFonts w:ascii="Arial" w:hAnsi="Arial" w:cs="Arial"/>
          <w:sz w:val="22"/>
          <w:szCs w:val="22"/>
          <w:lang w:val="en-GB"/>
        </w:rPr>
        <w:t>s</w:t>
      </w:r>
      <w:r w:rsidRPr="00A15AB5">
        <w:rPr>
          <w:rFonts w:ascii="Arial" w:hAnsi="Arial" w:cs="Arial"/>
          <w:sz w:val="22"/>
          <w:szCs w:val="22"/>
          <w:lang w:val="en-GB"/>
        </w:rPr>
        <w:t xml:space="preserve">ational performance and employee </w:t>
      </w:r>
      <w:r w:rsidR="00A15AB5" w:rsidRPr="00A15AB5">
        <w:rPr>
          <w:rFonts w:ascii="Arial" w:hAnsi="Arial" w:cs="Arial"/>
          <w:sz w:val="22"/>
          <w:szCs w:val="22"/>
          <w:lang w:val="en-GB"/>
        </w:rPr>
        <w:t>fulfilment</w:t>
      </w:r>
      <w:r w:rsidRPr="00A15AB5">
        <w:rPr>
          <w:rFonts w:ascii="Arial" w:hAnsi="Arial" w:cs="Arial"/>
          <w:sz w:val="22"/>
          <w:szCs w:val="22"/>
          <w:lang w:val="en-GB"/>
        </w:rPr>
        <w:t xml:space="preserve"> within the dynamic landscape of the hospitality sector.</w:t>
      </w:r>
    </w:p>
    <w:p w14:paraId="60F2254C" w14:textId="77777777" w:rsidR="00F825F4" w:rsidRPr="00A15AB5" w:rsidRDefault="00F825F4" w:rsidP="00A15AB5">
      <w:pPr>
        <w:spacing w:line="360" w:lineRule="auto"/>
        <w:rPr>
          <w:rFonts w:ascii="Arial" w:hAnsi="Arial" w:cs="Arial"/>
          <w:sz w:val="22"/>
          <w:szCs w:val="22"/>
          <w:lang w:val="en-GB"/>
        </w:rPr>
      </w:pPr>
    </w:p>
    <w:p w14:paraId="358F2EAD" w14:textId="77777777" w:rsidR="00A15AB5" w:rsidRPr="00A15AB5" w:rsidRDefault="00A15AB5" w:rsidP="00A15AB5">
      <w:pPr>
        <w:spacing w:line="360" w:lineRule="auto"/>
        <w:rPr>
          <w:rFonts w:ascii="Arial" w:hAnsi="Arial" w:cs="Arial"/>
          <w:sz w:val="22"/>
          <w:szCs w:val="22"/>
          <w:lang w:val="en-GB"/>
        </w:rPr>
      </w:pPr>
    </w:p>
    <w:p w14:paraId="7FA6EF4A" w14:textId="50FE6B87" w:rsidR="00F825F4" w:rsidRPr="00A15AB5" w:rsidRDefault="00F825F4" w:rsidP="00831553">
      <w:pPr>
        <w:pStyle w:val="Heading1"/>
        <w:rPr>
          <w:lang w:val="en-GB"/>
        </w:rPr>
      </w:pPr>
      <w:bookmarkStart w:id="1" w:name="_Toc150195473"/>
      <w:r w:rsidRPr="00A15AB5">
        <w:rPr>
          <w:lang w:val="en-GB"/>
        </w:rPr>
        <w:t>The role of human resources in engaging the employee</w:t>
      </w:r>
      <w:bookmarkEnd w:id="1"/>
      <w:r w:rsidRPr="00A15AB5">
        <w:rPr>
          <w:lang w:val="en-GB"/>
        </w:rPr>
        <w:t xml:space="preserve"> </w:t>
      </w:r>
    </w:p>
    <w:p w14:paraId="4F74631A" w14:textId="77777777" w:rsidR="00F825F4" w:rsidRPr="00A15AB5" w:rsidRDefault="00F825F4" w:rsidP="00A15AB5">
      <w:pPr>
        <w:spacing w:line="360" w:lineRule="auto"/>
        <w:rPr>
          <w:rFonts w:ascii="Arial" w:hAnsi="Arial" w:cs="Arial"/>
          <w:sz w:val="22"/>
          <w:szCs w:val="22"/>
          <w:lang w:val="en-GB"/>
        </w:rPr>
      </w:pPr>
    </w:p>
    <w:p w14:paraId="72D760DC" w14:textId="4056AE5F" w:rsidR="00F825F4" w:rsidRPr="00A15AB5" w:rsidRDefault="00F825F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In a large hotel chain like Hilton, the Human Resources (HR) department plays a critical role in engaging employees from the onset of their employment and throughout their tenure. The hospitality industry, being service-centric, necessitates a workforce that is highly engaged and committed to delivering exceptional customer experiences, which Hilton acknowledges through its globally recogni</w:t>
      </w:r>
      <w:r w:rsidR="00831553">
        <w:rPr>
          <w:rFonts w:ascii="Arial" w:hAnsi="Arial" w:cs="Arial"/>
          <w:sz w:val="22"/>
          <w:szCs w:val="22"/>
          <w:lang w:val="en-GB"/>
        </w:rPr>
        <w:t>s</w:t>
      </w:r>
      <w:r w:rsidRPr="00A15AB5">
        <w:rPr>
          <w:rFonts w:ascii="Arial" w:hAnsi="Arial" w:cs="Arial"/>
          <w:sz w:val="22"/>
          <w:szCs w:val="22"/>
          <w:lang w:val="en-GB"/>
        </w:rPr>
        <w:t>ed HR practices (Hilton, 2022).</w:t>
      </w:r>
    </w:p>
    <w:p w14:paraId="4BABDC8B" w14:textId="77777777" w:rsidR="00F825F4" w:rsidRPr="00A15AB5" w:rsidRDefault="00F825F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Recruitment is the first touchpoint in the employee lifecycle where Hilton’s HR establishes engagement. Hilton's HR department crafts job descriptions that not only describe roles but also emphasize the hotel's commitment to providing a workplace that supports growth and personal well-being, reflecting its award-winning workplace culture (Great Place to Work, 2021).</w:t>
      </w:r>
    </w:p>
    <w:p w14:paraId="1B38ADD2" w14:textId="77777777" w:rsidR="00F825F4" w:rsidRPr="00A15AB5" w:rsidRDefault="00F825F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Upon recruitment, Hilton's onboarding process is strategically designed to immerse new employees in the company culture. Hilton University, for instance, offers extensive training and development programs which are crucial for fostering employee engagement from day one (Hilton, 2022). These programs are not mere introductions to company policy but also an investment in employees' career paths, equipping them with skills to excel in their current roles and future opportunities within the hotel chain.</w:t>
      </w:r>
    </w:p>
    <w:p w14:paraId="6871054A" w14:textId="5E6C5ABF" w:rsidR="00F825F4" w:rsidRPr="00A15AB5" w:rsidRDefault="00F825F4" w:rsidP="00A15AB5">
      <w:pPr>
        <w:spacing w:line="360" w:lineRule="auto"/>
        <w:ind w:firstLine="720"/>
        <w:rPr>
          <w:rFonts w:ascii="Arial" w:hAnsi="Arial" w:cs="Arial"/>
          <w:sz w:val="22"/>
          <w:szCs w:val="22"/>
          <w:lang w:val="en-GB"/>
        </w:rPr>
      </w:pPr>
      <w:r w:rsidRPr="00A15AB5">
        <w:rPr>
          <w:rFonts w:ascii="Arial" w:hAnsi="Arial" w:cs="Arial"/>
          <w:sz w:val="22"/>
          <w:szCs w:val="22"/>
          <w:lang w:val="en-GB"/>
        </w:rPr>
        <w:lastRenderedPageBreak/>
        <w:t xml:space="preserve">Hilton's recognition and rewards system is another cornerstone of their HR strategy. The 'Hilton </w:t>
      </w:r>
      <w:r w:rsidR="00A15AB5" w:rsidRPr="00A15AB5">
        <w:rPr>
          <w:rFonts w:ascii="Arial" w:hAnsi="Arial" w:cs="Arial"/>
          <w:sz w:val="22"/>
          <w:szCs w:val="22"/>
          <w:lang w:val="en-GB"/>
        </w:rPr>
        <w:t>Honours’</w:t>
      </w:r>
      <w:r w:rsidRPr="00A15AB5">
        <w:rPr>
          <w:rFonts w:ascii="Arial" w:hAnsi="Arial" w:cs="Arial"/>
          <w:sz w:val="22"/>
          <w:szCs w:val="22"/>
          <w:lang w:val="en-GB"/>
        </w:rPr>
        <w:t xml:space="preserve"> program is not just a customer loyalty initiative but is also adapted to acknowledge employee achievements, thereby enhancing job satisfaction and motivation (Hilton, 2022).</w:t>
      </w:r>
    </w:p>
    <w:p w14:paraId="52E4C3F8" w14:textId="4ECDDDF4" w:rsidR="00F825F4" w:rsidRPr="00A15AB5" w:rsidRDefault="00F825F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For sustaining engagement, Hilton's HR ensures fair treatment and equitable policies across all levels of the organi</w:t>
      </w:r>
      <w:r w:rsidR="00831553">
        <w:rPr>
          <w:rFonts w:ascii="Arial" w:hAnsi="Arial" w:cs="Arial"/>
          <w:sz w:val="22"/>
          <w:szCs w:val="22"/>
          <w:lang w:val="en-GB"/>
        </w:rPr>
        <w:t>s</w:t>
      </w:r>
      <w:r w:rsidRPr="00A15AB5">
        <w:rPr>
          <w:rFonts w:ascii="Arial" w:hAnsi="Arial" w:cs="Arial"/>
          <w:sz w:val="22"/>
          <w:szCs w:val="22"/>
          <w:lang w:val="en-GB"/>
        </w:rPr>
        <w:t>ation. This includes performance appraisals that are transparent and constructive, fostering a two-way dialogue between employees and management. Hilton’s 'Thrive at Hilton' initiative is a testament to this, where employee feedback is actively solicited and acted upon to improve work experiences and work-life balance (Hilton, 2022).</w:t>
      </w:r>
    </w:p>
    <w:p w14:paraId="2D3EE400" w14:textId="77777777" w:rsidR="00F825F4" w:rsidRPr="00A15AB5" w:rsidRDefault="00F825F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Moreover, Hilton is known for its focus on work-life balance through initiatives such as flexible scheduling, which is especially significant in the 24/7 operations of a large hotel. HR’s role in administering these programs demonstrates an understanding of the diverse needs of its workforce, which in turn contributes to high retention rates.</w:t>
      </w:r>
    </w:p>
    <w:p w14:paraId="1FCA8C0C" w14:textId="77777777" w:rsidR="00A15AB5" w:rsidRDefault="00A15AB5" w:rsidP="00A15AB5">
      <w:pPr>
        <w:spacing w:line="360" w:lineRule="auto"/>
        <w:rPr>
          <w:rFonts w:ascii="Arial" w:hAnsi="Arial" w:cs="Arial"/>
          <w:sz w:val="22"/>
          <w:szCs w:val="22"/>
          <w:lang w:val="en-GB"/>
        </w:rPr>
      </w:pPr>
    </w:p>
    <w:p w14:paraId="229333C0" w14:textId="77777777" w:rsidR="00A15AB5" w:rsidRPr="00A15AB5" w:rsidRDefault="00A15AB5" w:rsidP="00A15AB5">
      <w:pPr>
        <w:spacing w:line="360" w:lineRule="auto"/>
        <w:rPr>
          <w:rFonts w:ascii="Arial" w:hAnsi="Arial" w:cs="Arial"/>
          <w:sz w:val="22"/>
          <w:szCs w:val="22"/>
          <w:lang w:val="en-GB"/>
        </w:rPr>
      </w:pPr>
    </w:p>
    <w:p w14:paraId="55DDC10A" w14:textId="1108F5CE" w:rsidR="00F825F4" w:rsidRPr="00A15AB5" w:rsidRDefault="00F825F4" w:rsidP="00831553">
      <w:pPr>
        <w:pStyle w:val="Heading1"/>
        <w:rPr>
          <w:lang w:val="en-GB"/>
        </w:rPr>
      </w:pPr>
      <w:bookmarkStart w:id="2" w:name="_Toc150195474"/>
      <w:r w:rsidRPr="00A15AB5">
        <w:rPr>
          <w:lang w:val="en-GB"/>
        </w:rPr>
        <w:t>How to engage and advantages of engaging a team</w:t>
      </w:r>
      <w:bookmarkEnd w:id="2"/>
      <w:r w:rsidRPr="00A15AB5">
        <w:rPr>
          <w:lang w:val="en-GB"/>
        </w:rPr>
        <w:t xml:space="preserve"> </w:t>
      </w:r>
    </w:p>
    <w:p w14:paraId="374388FB" w14:textId="77777777" w:rsidR="00F825F4" w:rsidRPr="00A15AB5" w:rsidRDefault="00F825F4" w:rsidP="00A15AB5">
      <w:pPr>
        <w:spacing w:line="360" w:lineRule="auto"/>
        <w:rPr>
          <w:rFonts w:ascii="Arial" w:hAnsi="Arial" w:cs="Arial"/>
          <w:sz w:val="22"/>
          <w:szCs w:val="22"/>
          <w:lang w:val="en-GB"/>
        </w:rPr>
      </w:pPr>
    </w:p>
    <w:p w14:paraId="060BB3A6" w14:textId="77777777" w:rsidR="00F825F4" w:rsidRPr="00A15AB5" w:rsidRDefault="00F825F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Engaging a team effectively requires a thoughtful approach that focuses on communication, involvement, and recognition. Regular team meetings, for example, are not only essential for keeping team members informed but also serve as a platform for exchanging ideas and encouraging collaboration (Edmondson, 2012). Creating a sense of ownership by involving employees in decision-making processes can significantly increase their commitment and engagement with their work (Katzenbach &amp; Smith, 1993).</w:t>
      </w:r>
    </w:p>
    <w:p w14:paraId="09F79131" w14:textId="77777777" w:rsidR="00F825F4" w:rsidRPr="00A15AB5" w:rsidRDefault="00F825F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The advantages of engaging a team are numerous and have been substantiated in various research studies. Engaged teams tend to exhibit higher levels of productivity as members are more motivated and put extra effort into their tasks (Bakker &amp; Demerouti, 2008). A meta-analysis by Harter et al. (2002) found that high employee engagement is also related to better retention rates, customer satisfaction, and profitability. Moreover, engaged teams show improved collaboration and innovation because members feel valued and are therefore more likely to contribute their best ideas (Amabile &amp; Kramer, 2011).</w:t>
      </w:r>
    </w:p>
    <w:p w14:paraId="7989CCE1" w14:textId="0AA6274C" w:rsidR="00F825F4" w:rsidRPr="00A15AB5" w:rsidRDefault="00F825F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 xml:space="preserve">In practice, companies like Google have excelled by fostering an open culture where employees feel free to voice their opinions and ideas, resulting in a highly engaged workforce (Bock, 2015). Implementing such strategies can transform the workplace atmosphere, making it not only a place of work but also one of growth and </w:t>
      </w:r>
      <w:r w:rsidR="00A15AB5" w:rsidRPr="00A15AB5">
        <w:rPr>
          <w:rFonts w:ascii="Arial" w:hAnsi="Arial" w:cs="Arial"/>
          <w:sz w:val="22"/>
          <w:szCs w:val="22"/>
          <w:lang w:val="en-GB"/>
        </w:rPr>
        <w:t>fulfilment</w:t>
      </w:r>
      <w:r w:rsidRPr="00A15AB5">
        <w:rPr>
          <w:rFonts w:ascii="Arial" w:hAnsi="Arial" w:cs="Arial"/>
          <w:sz w:val="22"/>
          <w:szCs w:val="22"/>
          <w:lang w:val="en-GB"/>
        </w:rPr>
        <w:t>.</w:t>
      </w:r>
    </w:p>
    <w:p w14:paraId="74401993" w14:textId="77777777" w:rsidR="00F825F4" w:rsidRPr="00A15AB5" w:rsidRDefault="00F825F4" w:rsidP="00A15AB5">
      <w:pPr>
        <w:spacing w:line="360" w:lineRule="auto"/>
        <w:rPr>
          <w:rFonts w:ascii="Arial" w:hAnsi="Arial" w:cs="Arial"/>
          <w:sz w:val="22"/>
          <w:szCs w:val="22"/>
          <w:lang w:val="en-GB"/>
        </w:rPr>
      </w:pPr>
    </w:p>
    <w:p w14:paraId="2BBB4285" w14:textId="503C7FAB" w:rsidR="00F825F4" w:rsidRPr="00A15AB5" w:rsidRDefault="00F825F4" w:rsidP="00831553">
      <w:pPr>
        <w:pStyle w:val="Heading1"/>
        <w:rPr>
          <w:lang w:val="en-GB"/>
        </w:rPr>
      </w:pPr>
      <w:bookmarkStart w:id="3" w:name="_Toc150195475"/>
      <w:r w:rsidRPr="00A15AB5">
        <w:rPr>
          <w:lang w:val="en-GB"/>
        </w:rPr>
        <w:lastRenderedPageBreak/>
        <w:t>The employee lifecycle</w:t>
      </w:r>
      <w:bookmarkEnd w:id="3"/>
      <w:r w:rsidRPr="00A15AB5">
        <w:rPr>
          <w:lang w:val="en-GB"/>
        </w:rPr>
        <w:t xml:space="preserve"> </w:t>
      </w:r>
    </w:p>
    <w:p w14:paraId="1C1050C1" w14:textId="77777777" w:rsidR="00A15AB5" w:rsidRDefault="00A15AB5" w:rsidP="00A15AB5">
      <w:pPr>
        <w:spacing w:line="360" w:lineRule="auto"/>
        <w:rPr>
          <w:rFonts w:ascii="Arial" w:hAnsi="Arial" w:cs="Arial"/>
          <w:sz w:val="22"/>
          <w:szCs w:val="22"/>
          <w:lang w:val="en-GB"/>
        </w:rPr>
      </w:pPr>
    </w:p>
    <w:p w14:paraId="15DA34CC" w14:textId="2735D358"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The employee lifecycle encapsulates the entire journey an employee undertakes within an organi</w:t>
      </w:r>
      <w:r w:rsidR="00831553">
        <w:rPr>
          <w:rFonts w:ascii="Arial" w:hAnsi="Arial" w:cs="Arial"/>
          <w:sz w:val="22"/>
          <w:szCs w:val="22"/>
          <w:lang w:val="en-GB"/>
        </w:rPr>
        <w:t>s</w:t>
      </w:r>
      <w:r w:rsidRPr="00A15AB5">
        <w:rPr>
          <w:rFonts w:ascii="Arial" w:hAnsi="Arial" w:cs="Arial"/>
          <w:sz w:val="22"/>
          <w:szCs w:val="22"/>
          <w:lang w:val="en-GB"/>
        </w:rPr>
        <w:t>ation, from the initial awareness and attraction to their eventual exit or separation. This lifecycle approach allows human resource professionals to systematically manage each phase to enhance employee engagement and organi</w:t>
      </w:r>
      <w:r w:rsidR="00831553">
        <w:rPr>
          <w:rFonts w:ascii="Arial" w:hAnsi="Arial" w:cs="Arial"/>
          <w:sz w:val="22"/>
          <w:szCs w:val="22"/>
          <w:lang w:val="en-GB"/>
        </w:rPr>
        <w:t>s</w:t>
      </w:r>
      <w:r w:rsidRPr="00A15AB5">
        <w:rPr>
          <w:rFonts w:ascii="Arial" w:hAnsi="Arial" w:cs="Arial"/>
          <w:sz w:val="22"/>
          <w:szCs w:val="22"/>
          <w:lang w:val="en-GB"/>
        </w:rPr>
        <w:t>ational performance.</w:t>
      </w:r>
    </w:p>
    <w:p w14:paraId="69EEEEB5" w14:textId="77777777" w:rsidR="00A15AB5" w:rsidRDefault="00A15AB5" w:rsidP="00A15AB5">
      <w:pPr>
        <w:spacing w:line="360" w:lineRule="auto"/>
        <w:ind w:firstLine="720"/>
        <w:rPr>
          <w:rFonts w:ascii="Arial" w:hAnsi="Arial" w:cs="Arial"/>
          <w:sz w:val="22"/>
          <w:szCs w:val="22"/>
          <w:lang w:val="en-GB"/>
        </w:rPr>
      </w:pPr>
    </w:p>
    <w:p w14:paraId="6F2842FC" w14:textId="38F6AA45"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Attraction</w:t>
      </w:r>
    </w:p>
    <w:p w14:paraId="769EA552" w14:textId="43430F68"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The attraction phase is akin to the groundwork for future employment relationships. Employers must position themselves as employers of choice to lure top talent. The employer brand, therefore, plays a critical role, as it reflects the organi</w:t>
      </w:r>
      <w:r w:rsidR="00831553">
        <w:rPr>
          <w:rFonts w:ascii="Arial" w:hAnsi="Arial" w:cs="Arial"/>
          <w:sz w:val="22"/>
          <w:szCs w:val="22"/>
          <w:lang w:val="en-GB"/>
        </w:rPr>
        <w:t>s</w:t>
      </w:r>
      <w:r w:rsidRPr="00A15AB5">
        <w:rPr>
          <w:rFonts w:ascii="Arial" w:hAnsi="Arial" w:cs="Arial"/>
          <w:sz w:val="22"/>
          <w:szCs w:val="22"/>
          <w:lang w:val="en-GB"/>
        </w:rPr>
        <w:t xml:space="preserve">ation's values, culture, and benefits that are attractive to potential candidates (Backhaus &amp; </w:t>
      </w:r>
      <w:proofErr w:type="spellStart"/>
      <w:r w:rsidRPr="00A15AB5">
        <w:rPr>
          <w:rFonts w:ascii="Arial" w:hAnsi="Arial" w:cs="Arial"/>
          <w:sz w:val="22"/>
          <w:szCs w:val="22"/>
          <w:lang w:val="en-GB"/>
        </w:rPr>
        <w:t>Tikoo</w:t>
      </w:r>
      <w:proofErr w:type="spellEnd"/>
      <w:r w:rsidRPr="00A15AB5">
        <w:rPr>
          <w:rFonts w:ascii="Arial" w:hAnsi="Arial" w:cs="Arial"/>
          <w:sz w:val="22"/>
          <w:szCs w:val="22"/>
          <w:lang w:val="en-GB"/>
        </w:rPr>
        <w:t>, 2004). Companies like Google have leveraged their brand effectively, showcasing a culture of innovation and inclusion, which appeals to prospective employees globally (Bock, 2015).</w:t>
      </w:r>
    </w:p>
    <w:p w14:paraId="0F776328" w14:textId="77777777" w:rsidR="00A15AB5" w:rsidRDefault="00A15AB5" w:rsidP="00A15AB5">
      <w:pPr>
        <w:spacing w:line="360" w:lineRule="auto"/>
        <w:ind w:firstLine="720"/>
        <w:rPr>
          <w:rFonts w:ascii="Arial" w:hAnsi="Arial" w:cs="Arial"/>
          <w:sz w:val="22"/>
          <w:szCs w:val="22"/>
          <w:lang w:val="en-GB"/>
        </w:rPr>
      </w:pPr>
    </w:p>
    <w:p w14:paraId="3F392AA8" w14:textId="0E488733"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Recruitment</w:t>
      </w:r>
    </w:p>
    <w:p w14:paraId="0F265037" w14:textId="51B7288F"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The recruitment phase involves sourcing, interviewing, and ultimately hiring candidates. At this stage, it is imperative to ensure that the recruitment process is aligned with the organi</w:t>
      </w:r>
      <w:r w:rsidR="00831553">
        <w:rPr>
          <w:rFonts w:ascii="Arial" w:hAnsi="Arial" w:cs="Arial"/>
          <w:sz w:val="22"/>
          <w:szCs w:val="22"/>
          <w:lang w:val="en-GB"/>
        </w:rPr>
        <w:t>s</w:t>
      </w:r>
      <w:r w:rsidRPr="00A15AB5">
        <w:rPr>
          <w:rFonts w:ascii="Arial" w:hAnsi="Arial" w:cs="Arial"/>
          <w:sz w:val="22"/>
          <w:szCs w:val="22"/>
          <w:lang w:val="en-GB"/>
        </w:rPr>
        <w:t>ation’s strategic goals. Effective recruitment strategies not only fill vacancies but also contribute to the formation of a high-performing and diverse workforce (Taylor &amp; Collins, 2000). Organi</w:t>
      </w:r>
      <w:r w:rsidR="00831553">
        <w:rPr>
          <w:rFonts w:ascii="Arial" w:hAnsi="Arial" w:cs="Arial"/>
          <w:sz w:val="22"/>
          <w:szCs w:val="22"/>
          <w:lang w:val="en-GB"/>
        </w:rPr>
        <w:t>s</w:t>
      </w:r>
      <w:r w:rsidRPr="00A15AB5">
        <w:rPr>
          <w:rFonts w:ascii="Arial" w:hAnsi="Arial" w:cs="Arial"/>
          <w:sz w:val="22"/>
          <w:szCs w:val="22"/>
          <w:lang w:val="en-GB"/>
        </w:rPr>
        <w:t>ations like Hilton have invested in robust recruitment strategies, highlighting career progression opportunities to attract talent (Hilton, 2022).</w:t>
      </w:r>
    </w:p>
    <w:p w14:paraId="5DF4D970" w14:textId="77777777" w:rsidR="00A15AB5" w:rsidRDefault="00A15AB5" w:rsidP="00A15AB5">
      <w:pPr>
        <w:spacing w:line="360" w:lineRule="auto"/>
        <w:rPr>
          <w:rFonts w:ascii="Arial" w:hAnsi="Arial" w:cs="Arial"/>
          <w:sz w:val="22"/>
          <w:szCs w:val="22"/>
          <w:lang w:val="en-GB"/>
        </w:rPr>
      </w:pPr>
    </w:p>
    <w:p w14:paraId="4BE01802" w14:textId="7223AEC6"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Onboarding</w:t>
      </w:r>
    </w:p>
    <w:p w14:paraId="6F05F03F" w14:textId="45099ADE"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Onboarding is the next crucial phase, which encompasses introducing the new hire to the organi</w:t>
      </w:r>
      <w:r w:rsidR="00831553">
        <w:rPr>
          <w:rFonts w:ascii="Arial" w:hAnsi="Arial" w:cs="Arial"/>
          <w:sz w:val="22"/>
          <w:szCs w:val="22"/>
          <w:lang w:val="en-GB"/>
        </w:rPr>
        <w:t>s</w:t>
      </w:r>
      <w:r w:rsidRPr="00A15AB5">
        <w:rPr>
          <w:rFonts w:ascii="Arial" w:hAnsi="Arial" w:cs="Arial"/>
          <w:sz w:val="22"/>
          <w:szCs w:val="22"/>
          <w:lang w:val="en-GB"/>
        </w:rPr>
        <w:t>ation's culture, expectations, and their role within the company. A well-structured onboarding process can significantly influence an employee's ability to integrate and perform effectively (Bauer, 2010). Salesforce, for example, has implemented an onboarding process that fosters immediate connectivity and productivity among new hires (Salesforce, 2021).</w:t>
      </w:r>
    </w:p>
    <w:p w14:paraId="03953D5F" w14:textId="77777777" w:rsidR="00A15AB5" w:rsidRDefault="00A15AB5" w:rsidP="00A15AB5">
      <w:pPr>
        <w:spacing w:line="360" w:lineRule="auto"/>
        <w:ind w:firstLine="720"/>
        <w:rPr>
          <w:rFonts w:ascii="Arial" w:hAnsi="Arial" w:cs="Arial"/>
          <w:sz w:val="22"/>
          <w:szCs w:val="22"/>
          <w:lang w:val="en-GB"/>
        </w:rPr>
      </w:pPr>
    </w:p>
    <w:p w14:paraId="51DE93D3" w14:textId="043515E2"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Development</w:t>
      </w:r>
    </w:p>
    <w:p w14:paraId="62D9F811" w14:textId="044B6031"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Development is an ongoing stage where employees expand their skills and competencies through training, mentoring, and career advancement opportunities. This phase is vital for maintaining engagement and preparing employees for future roles within the organi</w:t>
      </w:r>
      <w:r w:rsidR="00831553">
        <w:rPr>
          <w:rFonts w:ascii="Arial" w:hAnsi="Arial" w:cs="Arial"/>
          <w:sz w:val="22"/>
          <w:szCs w:val="22"/>
          <w:lang w:val="en-GB"/>
        </w:rPr>
        <w:t>s</w:t>
      </w:r>
      <w:r w:rsidRPr="00A15AB5">
        <w:rPr>
          <w:rFonts w:ascii="Arial" w:hAnsi="Arial" w:cs="Arial"/>
          <w:sz w:val="22"/>
          <w:szCs w:val="22"/>
          <w:lang w:val="en-GB"/>
        </w:rPr>
        <w:t xml:space="preserve">ation (Noe et al., 2017). For instance, Amazon's Career Choice program is an </w:t>
      </w:r>
      <w:r w:rsidRPr="00A15AB5">
        <w:rPr>
          <w:rFonts w:ascii="Arial" w:hAnsi="Arial" w:cs="Arial"/>
          <w:sz w:val="22"/>
          <w:szCs w:val="22"/>
          <w:lang w:val="en-GB"/>
        </w:rPr>
        <w:lastRenderedPageBreak/>
        <w:t>innovative example where employees are given resources for upskilling, thus preparing them for the internal and external job market (Amazon, 2021).</w:t>
      </w:r>
    </w:p>
    <w:p w14:paraId="4F86181F" w14:textId="77777777" w:rsidR="00A15AB5" w:rsidRDefault="00A15AB5" w:rsidP="00A15AB5">
      <w:pPr>
        <w:spacing w:line="360" w:lineRule="auto"/>
        <w:rPr>
          <w:rFonts w:ascii="Arial" w:hAnsi="Arial" w:cs="Arial"/>
          <w:sz w:val="22"/>
          <w:szCs w:val="22"/>
          <w:lang w:val="en-GB"/>
        </w:rPr>
      </w:pPr>
    </w:p>
    <w:p w14:paraId="5F0E8C06" w14:textId="1546931A"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Retention</w:t>
      </w:r>
    </w:p>
    <w:p w14:paraId="4C1EB8F1" w14:textId="1EE1BEFA"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Retention strategies are implemented to keep employees motivated, productive, and less likely to leave the organi</w:t>
      </w:r>
      <w:r w:rsidR="00831553">
        <w:rPr>
          <w:rFonts w:ascii="Arial" w:hAnsi="Arial" w:cs="Arial"/>
          <w:sz w:val="22"/>
          <w:szCs w:val="22"/>
          <w:lang w:val="en-GB"/>
        </w:rPr>
        <w:t>s</w:t>
      </w:r>
      <w:r w:rsidRPr="00A15AB5">
        <w:rPr>
          <w:rFonts w:ascii="Arial" w:hAnsi="Arial" w:cs="Arial"/>
          <w:sz w:val="22"/>
          <w:szCs w:val="22"/>
          <w:lang w:val="en-GB"/>
        </w:rPr>
        <w:t>ation. Engaged employees are generally more committed and provide higher value to the company (Harter et al., 2002). Retention can be enhanced through recognition programs, competitive compensation, work-life balance initiatives, and positive organi</w:t>
      </w:r>
      <w:r w:rsidR="00831553">
        <w:rPr>
          <w:rFonts w:ascii="Arial" w:hAnsi="Arial" w:cs="Arial"/>
          <w:sz w:val="22"/>
          <w:szCs w:val="22"/>
          <w:lang w:val="en-GB"/>
        </w:rPr>
        <w:t>s</w:t>
      </w:r>
      <w:r w:rsidRPr="00A15AB5">
        <w:rPr>
          <w:rFonts w:ascii="Arial" w:hAnsi="Arial" w:cs="Arial"/>
          <w:sz w:val="22"/>
          <w:szCs w:val="22"/>
          <w:lang w:val="en-GB"/>
        </w:rPr>
        <w:t>ational cultures, as evidenced by companies like SAS Institute, which consistently ranks high in employee retention rates (SAS, 2021).</w:t>
      </w:r>
    </w:p>
    <w:p w14:paraId="63E753DA" w14:textId="77777777" w:rsidR="00A15AB5" w:rsidRDefault="00A15AB5" w:rsidP="00A15AB5">
      <w:pPr>
        <w:spacing w:line="360" w:lineRule="auto"/>
        <w:ind w:firstLine="720"/>
        <w:rPr>
          <w:rFonts w:ascii="Arial" w:hAnsi="Arial" w:cs="Arial"/>
          <w:sz w:val="22"/>
          <w:szCs w:val="22"/>
          <w:lang w:val="en-GB"/>
        </w:rPr>
      </w:pPr>
    </w:p>
    <w:p w14:paraId="51A9CB91" w14:textId="665848A2"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Separation</w:t>
      </w:r>
    </w:p>
    <w:p w14:paraId="79F36798" w14:textId="595F6E4D"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Separation, the final phase of the employee lifecycle, involves the employee exiting the organi</w:t>
      </w:r>
      <w:r w:rsidR="00831553">
        <w:rPr>
          <w:rFonts w:ascii="Arial" w:hAnsi="Arial" w:cs="Arial"/>
          <w:sz w:val="22"/>
          <w:szCs w:val="22"/>
          <w:lang w:val="en-GB"/>
        </w:rPr>
        <w:t>s</w:t>
      </w:r>
      <w:r w:rsidRPr="00A15AB5">
        <w:rPr>
          <w:rFonts w:ascii="Arial" w:hAnsi="Arial" w:cs="Arial"/>
          <w:sz w:val="22"/>
          <w:szCs w:val="22"/>
          <w:lang w:val="en-GB"/>
        </w:rPr>
        <w:t>ation. This can be voluntary, such as retirement or resignation, or involuntary, such as layoffs or dismissals. The separation process should be handled with respect and professionalism, as it can impact remaining employees' morale and the organi</w:t>
      </w:r>
      <w:r w:rsidR="00831553">
        <w:rPr>
          <w:rFonts w:ascii="Arial" w:hAnsi="Arial" w:cs="Arial"/>
          <w:sz w:val="22"/>
          <w:szCs w:val="22"/>
          <w:lang w:val="en-GB"/>
        </w:rPr>
        <w:t>s</w:t>
      </w:r>
      <w:r w:rsidRPr="00A15AB5">
        <w:rPr>
          <w:rFonts w:ascii="Arial" w:hAnsi="Arial" w:cs="Arial"/>
          <w:sz w:val="22"/>
          <w:szCs w:val="22"/>
          <w:lang w:val="en-GB"/>
        </w:rPr>
        <w:t>ation's reputation (</w:t>
      </w:r>
      <w:proofErr w:type="spellStart"/>
      <w:r w:rsidRPr="00A15AB5">
        <w:rPr>
          <w:rFonts w:ascii="Arial" w:hAnsi="Arial" w:cs="Arial"/>
          <w:sz w:val="22"/>
          <w:szCs w:val="22"/>
          <w:lang w:val="en-GB"/>
        </w:rPr>
        <w:t>Maertz</w:t>
      </w:r>
      <w:proofErr w:type="spellEnd"/>
      <w:r w:rsidRPr="00A15AB5">
        <w:rPr>
          <w:rFonts w:ascii="Arial" w:hAnsi="Arial" w:cs="Arial"/>
          <w:sz w:val="22"/>
          <w:szCs w:val="22"/>
          <w:lang w:val="en-GB"/>
        </w:rPr>
        <w:t xml:space="preserve"> &amp; Campion, 2004). It can also be an opportunity for gathering feedback through exit interviews to improve HR practices.</w:t>
      </w:r>
    </w:p>
    <w:p w14:paraId="6721EE8E" w14:textId="77777777" w:rsidR="00A15AB5" w:rsidRDefault="00A15AB5" w:rsidP="00A15AB5">
      <w:pPr>
        <w:spacing w:line="360" w:lineRule="auto"/>
        <w:rPr>
          <w:rFonts w:ascii="Arial" w:hAnsi="Arial" w:cs="Arial"/>
          <w:sz w:val="22"/>
          <w:szCs w:val="22"/>
          <w:lang w:val="en-GB"/>
        </w:rPr>
      </w:pPr>
    </w:p>
    <w:p w14:paraId="29A8C2F9" w14:textId="77777777" w:rsidR="00F825F4" w:rsidRPr="00A15AB5" w:rsidRDefault="00F825F4" w:rsidP="00A15AB5">
      <w:pPr>
        <w:spacing w:line="360" w:lineRule="auto"/>
        <w:rPr>
          <w:rFonts w:ascii="Arial" w:hAnsi="Arial" w:cs="Arial"/>
          <w:sz w:val="22"/>
          <w:szCs w:val="22"/>
          <w:lang w:val="en-GB"/>
        </w:rPr>
      </w:pPr>
    </w:p>
    <w:p w14:paraId="3DA81457" w14:textId="1560974B" w:rsidR="00F825F4" w:rsidRPr="00A15AB5" w:rsidRDefault="00F825F4" w:rsidP="00831553">
      <w:pPr>
        <w:pStyle w:val="Heading1"/>
        <w:rPr>
          <w:lang w:val="en-GB"/>
        </w:rPr>
      </w:pPr>
      <w:bookmarkStart w:id="4" w:name="_Toc150195476"/>
      <w:r w:rsidRPr="00A15AB5">
        <w:rPr>
          <w:lang w:val="en-GB"/>
        </w:rPr>
        <w:t xml:space="preserve">Provide examples of how </w:t>
      </w:r>
      <w:r w:rsidR="00A15AB5">
        <w:rPr>
          <w:lang w:val="en-GB"/>
        </w:rPr>
        <w:t>to</w:t>
      </w:r>
      <w:r w:rsidRPr="00A15AB5">
        <w:rPr>
          <w:lang w:val="en-GB"/>
        </w:rPr>
        <w:t xml:space="preserve"> engage </w:t>
      </w:r>
      <w:r w:rsidR="00A15AB5">
        <w:rPr>
          <w:lang w:val="en-GB"/>
        </w:rPr>
        <w:t>a</w:t>
      </w:r>
      <w:r w:rsidRPr="00A15AB5">
        <w:rPr>
          <w:lang w:val="en-GB"/>
        </w:rPr>
        <w:t xml:space="preserve"> </w:t>
      </w:r>
      <w:proofErr w:type="gramStart"/>
      <w:r w:rsidRPr="00A15AB5">
        <w:rPr>
          <w:lang w:val="en-GB"/>
        </w:rPr>
        <w:t>team</w:t>
      </w:r>
      <w:bookmarkEnd w:id="4"/>
      <w:proofErr w:type="gramEnd"/>
      <w:r w:rsidRPr="00A15AB5">
        <w:rPr>
          <w:lang w:val="en-GB"/>
        </w:rPr>
        <w:t xml:space="preserve"> </w:t>
      </w:r>
    </w:p>
    <w:p w14:paraId="74211695" w14:textId="77777777" w:rsidR="00F825F4" w:rsidRPr="00A15AB5" w:rsidRDefault="00F825F4" w:rsidP="00A15AB5">
      <w:pPr>
        <w:spacing w:line="360" w:lineRule="auto"/>
        <w:rPr>
          <w:rFonts w:ascii="Arial" w:hAnsi="Arial" w:cs="Arial"/>
          <w:sz w:val="22"/>
          <w:szCs w:val="22"/>
          <w:lang w:val="en-GB"/>
        </w:rPr>
      </w:pPr>
    </w:p>
    <w:p w14:paraId="46802D8A" w14:textId="77777777"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Engaging a team requires a multifaceted approach, tailored to the needs and aspirations of its members. Google, renowned for its innovative practices, often employs '20% time', allowing employees to spend a fifth of their time on personal projects that could benefit the company (Davenport, 2013). This initiative not only fosters innovation but also enhances job satisfaction by valuing employee creativity.</w:t>
      </w:r>
    </w:p>
    <w:p w14:paraId="3E5FD0B6" w14:textId="77777777"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Another effective strategy is the use of 'town hall meetings', implemented by companies like IBM, where executives engage with employees at all levels to discuss company strategies and address concerns in an open forum (Rometty, 2013). Such meetings encourage transparency and a sense of inclusion, contributing to team cohesion and engagement.</w:t>
      </w:r>
    </w:p>
    <w:p w14:paraId="7CD6BE30" w14:textId="77777777"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Salesforce takes employee engagement a step further with its '</w:t>
      </w:r>
      <w:proofErr w:type="spellStart"/>
      <w:r w:rsidRPr="00A15AB5">
        <w:rPr>
          <w:rFonts w:ascii="Arial" w:hAnsi="Arial" w:cs="Arial"/>
          <w:sz w:val="22"/>
          <w:szCs w:val="22"/>
          <w:lang w:val="en-GB"/>
        </w:rPr>
        <w:t>Ohana</w:t>
      </w:r>
      <w:proofErr w:type="spellEnd"/>
      <w:r w:rsidRPr="00A15AB5">
        <w:rPr>
          <w:rFonts w:ascii="Arial" w:hAnsi="Arial" w:cs="Arial"/>
          <w:sz w:val="22"/>
          <w:szCs w:val="22"/>
          <w:lang w:val="en-GB"/>
        </w:rPr>
        <w:t xml:space="preserve"> Culture', which creates a supportive family-like environment where successes are celebrated, and employees are encouraged to support one another (Salesforce, 2021). Recognition programs, as seen at Deloitte, are also pivotal, where 'Deloitte University' offers learning and </w:t>
      </w:r>
      <w:r w:rsidRPr="00A15AB5">
        <w:rPr>
          <w:rFonts w:ascii="Arial" w:hAnsi="Arial" w:cs="Arial"/>
          <w:sz w:val="22"/>
          <w:szCs w:val="22"/>
          <w:lang w:val="en-GB"/>
        </w:rPr>
        <w:lastRenderedPageBreak/>
        <w:t>development programs that double as recognition for high-performing employees (Deloitte, 2021).</w:t>
      </w:r>
    </w:p>
    <w:p w14:paraId="554B431A" w14:textId="77777777"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Engagement can also be enhanced through corporate social responsibility (CSR) activities, where employees partake in initiatives that resonate with their values, improving team morale and company loyalty, as demonstrated by Patagonia's environmental campaigns (Chouinard, 2016).</w:t>
      </w:r>
    </w:p>
    <w:p w14:paraId="17011CEC" w14:textId="346C4F2F" w:rsidR="00F825F4" w:rsidRPr="00A15AB5" w:rsidRDefault="00F825F4" w:rsidP="00A15AB5">
      <w:pPr>
        <w:spacing w:line="360" w:lineRule="auto"/>
        <w:rPr>
          <w:rFonts w:ascii="Arial" w:hAnsi="Arial" w:cs="Arial"/>
          <w:sz w:val="22"/>
          <w:szCs w:val="22"/>
          <w:lang w:val="en-GB"/>
        </w:rPr>
      </w:pPr>
    </w:p>
    <w:p w14:paraId="65623DDB" w14:textId="77777777" w:rsidR="00F825F4" w:rsidRPr="00A15AB5" w:rsidRDefault="00F825F4" w:rsidP="00A15AB5">
      <w:pPr>
        <w:spacing w:line="360" w:lineRule="auto"/>
        <w:rPr>
          <w:rFonts w:ascii="Arial" w:hAnsi="Arial" w:cs="Arial"/>
          <w:sz w:val="22"/>
          <w:szCs w:val="22"/>
          <w:lang w:val="en-GB"/>
        </w:rPr>
      </w:pPr>
    </w:p>
    <w:p w14:paraId="08A214AB" w14:textId="5EA73BA3" w:rsidR="00F825F4" w:rsidRPr="00A15AB5" w:rsidRDefault="00A15AB5" w:rsidP="00831553">
      <w:pPr>
        <w:pStyle w:val="Heading1"/>
        <w:rPr>
          <w:lang w:val="en-GB"/>
        </w:rPr>
      </w:pPr>
      <w:bookmarkStart w:id="5" w:name="_Toc150195477"/>
      <w:r>
        <w:rPr>
          <w:lang w:val="en-GB"/>
        </w:rPr>
        <w:t>E</w:t>
      </w:r>
      <w:r w:rsidR="00F825F4" w:rsidRPr="00A15AB5">
        <w:rPr>
          <w:lang w:val="en-GB"/>
        </w:rPr>
        <w:t xml:space="preserve">mployee engagement model and how it could be </w:t>
      </w:r>
      <w:proofErr w:type="gramStart"/>
      <w:r w:rsidR="00F825F4" w:rsidRPr="00A15AB5">
        <w:rPr>
          <w:lang w:val="en-GB"/>
        </w:rPr>
        <w:t>implemented</w:t>
      </w:r>
      <w:bookmarkEnd w:id="5"/>
      <w:proofErr w:type="gramEnd"/>
      <w:r w:rsidR="00F825F4" w:rsidRPr="00A15AB5">
        <w:rPr>
          <w:lang w:val="en-GB"/>
        </w:rPr>
        <w:t xml:space="preserve"> </w:t>
      </w:r>
    </w:p>
    <w:p w14:paraId="4CFF9CEB" w14:textId="77777777" w:rsidR="00F825F4" w:rsidRPr="00A15AB5" w:rsidRDefault="00F825F4" w:rsidP="00A15AB5">
      <w:pPr>
        <w:spacing w:line="360" w:lineRule="auto"/>
        <w:rPr>
          <w:rFonts w:ascii="Arial" w:hAnsi="Arial" w:cs="Arial"/>
          <w:sz w:val="22"/>
          <w:szCs w:val="22"/>
          <w:lang w:val="en-GB"/>
        </w:rPr>
      </w:pPr>
    </w:p>
    <w:p w14:paraId="5758575D" w14:textId="77777777"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The Gallup Q12 Employee Engagement Model is a well-regarded framework designed to measure and manage employee engagement. Developed after extensive research, it consists of 12 actionable workplace elements with proven links to performance outcomes (Harter et al., 2002). These elements range from basic needs, such as knowing what is expected at work, to individual growth, such as having opportunities to learn and develop.</w:t>
      </w:r>
    </w:p>
    <w:p w14:paraId="731C7F12" w14:textId="77777777"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Implementing the Gallup Q12 model begins with surveying employees to establish a baseline of engagement. Following this, leaders and managers are trained to understand the framework and how to act on the results. For instance, if responses indicate that employees do not feel their opinions matter, a manager might implement regular feedback sessions to address this concern.</w:t>
      </w:r>
    </w:p>
    <w:p w14:paraId="2743D226" w14:textId="44560CCD"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SAS Institute, renowned for its high employee retention rates, employs similar engagement practices by offering a supportive work environment that emphasizes employee satisfaction and well-being, which could be seen as an embodiment of the Q12 philosophy (SAS, 2021). This approach is operationali</w:t>
      </w:r>
      <w:r w:rsidR="00831553">
        <w:rPr>
          <w:rFonts w:ascii="Arial" w:hAnsi="Arial" w:cs="Arial"/>
          <w:sz w:val="22"/>
          <w:szCs w:val="22"/>
          <w:lang w:val="en-GB"/>
        </w:rPr>
        <w:t>s</w:t>
      </w:r>
      <w:r w:rsidRPr="00A15AB5">
        <w:rPr>
          <w:rFonts w:ascii="Arial" w:hAnsi="Arial" w:cs="Arial"/>
          <w:sz w:val="22"/>
          <w:szCs w:val="22"/>
          <w:lang w:val="en-GB"/>
        </w:rPr>
        <w:t>ed through continuous dialogue between employees and management, creating a culture where each team member feels heard and valued.</w:t>
      </w:r>
    </w:p>
    <w:p w14:paraId="6FE1B1FA" w14:textId="16C1A52F"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Effective deployment of the model requires ongoing efforts rather than a one-time initiative. It involves reviewing survey results, setting goals for improvement, developing action plans, and then reassessing to measure progress. Over time, such engagement models can lead to enhanced employee morale, increased productivity, and a strong organi</w:t>
      </w:r>
      <w:r w:rsidR="00831553">
        <w:rPr>
          <w:rFonts w:ascii="Arial" w:hAnsi="Arial" w:cs="Arial"/>
          <w:sz w:val="22"/>
          <w:szCs w:val="22"/>
          <w:lang w:val="en-GB"/>
        </w:rPr>
        <w:t>s</w:t>
      </w:r>
      <w:r w:rsidRPr="00A15AB5">
        <w:rPr>
          <w:rFonts w:ascii="Arial" w:hAnsi="Arial" w:cs="Arial"/>
          <w:sz w:val="22"/>
          <w:szCs w:val="22"/>
          <w:lang w:val="en-GB"/>
        </w:rPr>
        <w:t>ational culture, as evidenced by the sustained success of companies like SAS Institute.</w:t>
      </w:r>
    </w:p>
    <w:p w14:paraId="371AEE16" w14:textId="0533B113" w:rsidR="00F825F4" w:rsidRDefault="00F825F4" w:rsidP="00A15AB5">
      <w:pPr>
        <w:spacing w:line="360" w:lineRule="auto"/>
        <w:rPr>
          <w:rFonts w:ascii="Arial" w:hAnsi="Arial" w:cs="Arial"/>
          <w:sz w:val="22"/>
          <w:szCs w:val="22"/>
          <w:lang w:val="en-GB"/>
        </w:rPr>
      </w:pPr>
    </w:p>
    <w:p w14:paraId="27D2EAD3" w14:textId="77777777" w:rsidR="00A15AB5" w:rsidRPr="00A15AB5" w:rsidRDefault="00A15AB5" w:rsidP="00A15AB5">
      <w:pPr>
        <w:spacing w:line="360" w:lineRule="auto"/>
        <w:rPr>
          <w:rFonts w:ascii="Arial" w:hAnsi="Arial" w:cs="Arial"/>
          <w:sz w:val="22"/>
          <w:szCs w:val="22"/>
          <w:lang w:val="en-GB"/>
        </w:rPr>
      </w:pPr>
    </w:p>
    <w:p w14:paraId="0EDFF7FD" w14:textId="6ABDF52B" w:rsidR="00F825F4" w:rsidRPr="00A15AB5" w:rsidRDefault="00A15AB5" w:rsidP="00831553">
      <w:pPr>
        <w:pStyle w:val="Heading1"/>
        <w:rPr>
          <w:lang w:val="en-GB"/>
        </w:rPr>
      </w:pPr>
      <w:bookmarkStart w:id="6" w:name="_Toc150195478"/>
      <w:r>
        <w:rPr>
          <w:lang w:val="en-GB"/>
        </w:rPr>
        <w:lastRenderedPageBreak/>
        <w:t>E</w:t>
      </w:r>
      <w:r w:rsidR="00F825F4" w:rsidRPr="00A15AB5">
        <w:rPr>
          <w:lang w:val="en-GB"/>
        </w:rPr>
        <w:t>xamples from the industry</w:t>
      </w:r>
      <w:bookmarkEnd w:id="6"/>
      <w:r w:rsidR="00F825F4" w:rsidRPr="00A15AB5">
        <w:rPr>
          <w:lang w:val="en-GB"/>
        </w:rPr>
        <w:t xml:space="preserve"> </w:t>
      </w:r>
    </w:p>
    <w:p w14:paraId="41395CCF" w14:textId="77777777" w:rsidR="00F825F4" w:rsidRPr="00A15AB5" w:rsidRDefault="00F825F4" w:rsidP="00A15AB5">
      <w:pPr>
        <w:spacing w:line="360" w:lineRule="auto"/>
        <w:rPr>
          <w:rFonts w:ascii="Arial" w:hAnsi="Arial" w:cs="Arial"/>
          <w:sz w:val="22"/>
          <w:szCs w:val="22"/>
          <w:lang w:val="en-GB"/>
        </w:rPr>
      </w:pPr>
    </w:p>
    <w:p w14:paraId="3F578F12" w14:textId="2142D5B0"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 xml:space="preserve">In the hospitality industry, employee engagement is particularly crucial due to its direct impact on customer satisfaction and loyalty. The Ritz-Carlton Hotel Company provides an exemplary case, where their employee engagement model is </w:t>
      </w:r>
      <w:r w:rsidR="00A15AB5" w:rsidRPr="00A15AB5">
        <w:rPr>
          <w:rFonts w:ascii="Arial" w:hAnsi="Arial" w:cs="Arial"/>
          <w:sz w:val="22"/>
          <w:szCs w:val="22"/>
          <w:lang w:val="en-GB"/>
        </w:rPr>
        <w:t>centred</w:t>
      </w:r>
      <w:r w:rsidRPr="00A15AB5">
        <w:rPr>
          <w:rFonts w:ascii="Arial" w:hAnsi="Arial" w:cs="Arial"/>
          <w:sz w:val="22"/>
          <w:szCs w:val="22"/>
          <w:lang w:val="en-GB"/>
        </w:rPr>
        <w:t xml:space="preserve"> around the motto "We are Ladies and Gentlemen serving Ladies and Gentlemen." This philosophy empowers employees by treating them with the utmost respect, which in turn motivates them to offer exceptional service to guests (</w:t>
      </w:r>
      <w:proofErr w:type="spellStart"/>
      <w:r w:rsidRPr="00A15AB5">
        <w:rPr>
          <w:rFonts w:ascii="Arial" w:hAnsi="Arial" w:cs="Arial"/>
          <w:sz w:val="22"/>
          <w:szCs w:val="22"/>
          <w:lang w:val="en-GB"/>
        </w:rPr>
        <w:t>Michelli</w:t>
      </w:r>
      <w:proofErr w:type="spellEnd"/>
      <w:r w:rsidRPr="00A15AB5">
        <w:rPr>
          <w:rFonts w:ascii="Arial" w:hAnsi="Arial" w:cs="Arial"/>
          <w:sz w:val="22"/>
          <w:szCs w:val="22"/>
          <w:lang w:val="en-GB"/>
        </w:rPr>
        <w:t>, 2008). The Ritz-Carlton uses its credo as a daily "line-up" to reinforce company values and ensure that every team member is aligned with the brand’s service ethos.</w:t>
      </w:r>
    </w:p>
    <w:p w14:paraId="1D186920" w14:textId="77777777"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 xml:space="preserve">Hilton Worldwide is another industry leader that implements comprehensive engagement strategies. Through its </w:t>
      </w:r>
      <w:proofErr w:type="spellStart"/>
      <w:r w:rsidRPr="00A15AB5">
        <w:rPr>
          <w:rFonts w:ascii="Arial" w:hAnsi="Arial" w:cs="Arial"/>
          <w:sz w:val="22"/>
          <w:szCs w:val="22"/>
          <w:lang w:val="en-GB"/>
        </w:rPr>
        <w:t>Thrive@Hilton</w:t>
      </w:r>
      <w:proofErr w:type="spellEnd"/>
      <w:r w:rsidRPr="00A15AB5">
        <w:rPr>
          <w:rFonts w:ascii="Arial" w:hAnsi="Arial" w:cs="Arial"/>
          <w:sz w:val="22"/>
          <w:szCs w:val="22"/>
          <w:lang w:val="en-GB"/>
        </w:rPr>
        <w:t xml:space="preserve"> initiative, the company offers programs focused on physical and psychological well-being, career development, and work-life balance, addressing the holistic needs of employees (Hilton, 2022).</w:t>
      </w:r>
    </w:p>
    <w:p w14:paraId="4C85C452" w14:textId="789E34ED" w:rsidR="00392E14" w:rsidRPr="00A15AB5" w:rsidRDefault="00392E14" w:rsidP="00A15AB5">
      <w:pPr>
        <w:spacing w:line="360" w:lineRule="auto"/>
        <w:rPr>
          <w:rFonts w:ascii="Arial" w:hAnsi="Arial" w:cs="Arial"/>
          <w:sz w:val="22"/>
          <w:szCs w:val="22"/>
          <w:lang w:val="en-GB"/>
        </w:rPr>
      </w:pPr>
      <w:r w:rsidRPr="00A15AB5">
        <w:rPr>
          <w:rFonts w:ascii="Arial" w:hAnsi="Arial" w:cs="Arial"/>
          <w:sz w:val="22"/>
          <w:szCs w:val="22"/>
          <w:lang w:val="en-GB"/>
        </w:rPr>
        <w:t>Marriott International employs a similar strategy by providing opportunities for growth through its "</w:t>
      </w:r>
      <w:r w:rsidR="00A15AB5" w:rsidRPr="00A15AB5">
        <w:rPr>
          <w:rFonts w:ascii="Arial" w:hAnsi="Arial" w:cs="Arial"/>
          <w:sz w:val="22"/>
          <w:szCs w:val="22"/>
          <w:lang w:val="en-GB"/>
        </w:rPr>
        <w:t>Take Care</w:t>
      </w:r>
      <w:r w:rsidRPr="00A15AB5">
        <w:rPr>
          <w:rFonts w:ascii="Arial" w:hAnsi="Arial" w:cs="Arial"/>
          <w:sz w:val="22"/>
          <w:szCs w:val="22"/>
          <w:lang w:val="en-GB"/>
        </w:rPr>
        <w:t>" initiative, which has been recognized for its effectiveness in enhancing employee well-being and engagement (Marriott, 2021).</w:t>
      </w:r>
    </w:p>
    <w:p w14:paraId="42C95382" w14:textId="77777777" w:rsidR="00392E14" w:rsidRPr="00A15AB5" w:rsidRDefault="00392E14" w:rsidP="00A15AB5">
      <w:pPr>
        <w:spacing w:line="360" w:lineRule="auto"/>
        <w:ind w:firstLine="720"/>
        <w:rPr>
          <w:rFonts w:ascii="Arial" w:hAnsi="Arial" w:cs="Arial"/>
          <w:sz w:val="22"/>
          <w:szCs w:val="22"/>
          <w:lang w:val="en-GB"/>
        </w:rPr>
      </w:pPr>
      <w:r w:rsidRPr="00A15AB5">
        <w:rPr>
          <w:rFonts w:ascii="Arial" w:hAnsi="Arial" w:cs="Arial"/>
          <w:sz w:val="22"/>
          <w:szCs w:val="22"/>
          <w:lang w:val="en-GB"/>
        </w:rPr>
        <w:t>These industry examples demonstrate how engagement strategies, when integrated into the company culture and supported by management, can create an environment where employees feel valued, leading to superior service, increased loyalty, and a competitive edge in the hospitality sector.</w:t>
      </w:r>
    </w:p>
    <w:p w14:paraId="2D50653D" w14:textId="50AA3801" w:rsidR="00BE0DE3" w:rsidRPr="00A15AB5" w:rsidRDefault="00BE0DE3" w:rsidP="00A15AB5">
      <w:pPr>
        <w:spacing w:line="360" w:lineRule="auto"/>
        <w:rPr>
          <w:rFonts w:ascii="Arial" w:hAnsi="Arial" w:cs="Arial"/>
          <w:sz w:val="22"/>
          <w:szCs w:val="22"/>
          <w:lang w:val="en-GB"/>
        </w:rPr>
      </w:pPr>
    </w:p>
    <w:p w14:paraId="0B4A795E" w14:textId="77777777" w:rsidR="00F825F4" w:rsidRPr="00A15AB5" w:rsidRDefault="00F825F4" w:rsidP="00A15AB5">
      <w:pPr>
        <w:spacing w:line="360" w:lineRule="auto"/>
        <w:rPr>
          <w:rFonts w:ascii="Arial" w:hAnsi="Arial" w:cs="Arial"/>
          <w:sz w:val="22"/>
          <w:szCs w:val="22"/>
          <w:lang w:val="en-GB"/>
        </w:rPr>
      </w:pPr>
    </w:p>
    <w:p w14:paraId="6DD42167" w14:textId="7596B575" w:rsidR="00A46FAC" w:rsidRPr="00A15AB5" w:rsidRDefault="00A46FAC" w:rsidP="00831553">
      <w:pPr>
        <w:pStyle w:val="Heading1"/>
        <w:rPr>
          <w:lang w:val="en-GB"/>
        </w:rPr>
      </w:pPr>
      <w:bookmarkStart w:id="7" w:name="_Toc150195479"/>
      <w:r w:rsidRPr="00A15AB5">
        <w:rPr>
          <w:lang w:val="en-GB"/>
        </w:rPr>
        <w:t>Conclusion</w:t>
      </w:r>
      <w:bookmarkEnd w:id="7"/>
    </w:p>
    <w:p w14:paraId="498DFF4A" w14:textId="77777777" w:rsidR="00392E14" w:rsidRPr="00A15AB5" w:rsidRDefault="00392E14" w:rsidP="00A15AB5">
      <w:pPr>
        <w:spacing w:line="360" w:lineRule="auto"/>
        <w:rPr>
          <w:rFonts w:ascii="Arial" w:hAnsi="Arial" w:cs="Arial"/>
          <w:sz w:val="22"/>
          <w:szCs w:val="22"/>
          <w:lang w:val="en-GB"/>
        </w:rPr>
      </w:pPr>
    </w:p>
    <w:p w14:paraId="6CF0E0B1" w14:textId="4E15D4A3" w:rsidR="00A15AB5" w:rsidRPr="00A15AB5" w:rsidRDefault="00392E14" w:rsidP="00831553">
      <w:pPr>
        <w:spacing w:line="360" w:lineRule="auto"/>
        <w:ind w:firstLine="720"/>
        <w:rPr>
          <w:rFonts w:ascii="Arial" w:hAnsi="Arial" w:cs="Arial"/>
          <w:sz w:val="22"/>
          <w:szCs w:val="22"/>
          <w:lang w:val="en-GB"/>
        </w:rPr>
      </w:pPr>
      <w:r w:rsidRPr="00A15AB5">
        <w:rPr>
          <w:rFonts w:ascii="Arial" w:hAnsi="Arial" w:cs="Arial"/>
          <w:sz w:val="22"/>
          <w:szCs w:val="22"/>
          <w:lang w:val="en-GB"/>
        </w:rPr>
        <w:t xml:space="preserve">In conclusion, our exploration into the role of human resources in engaging employees within the hotel industry underscores the profound impact of a well-crafted employee lifecycle. From attraction and recruitment to development, retention, and separation, each stage offers unique opportunities for HR to </w:t>
      </w:r>
      <w:r w:rsidR="00A15AB5" w:rsidRPr="00A15AB5">
        <w:rPr>
          <w:rFonts w:ascii="Arial" w:hAnsi="Arial" w:cs="Arial"/>
          <w:sz w:val="22"/>
          <w:szCs w:val="22"/>
          <w:lang w:val="en-GB"/>
        </w:rPr>
        <w:t>instil</w:t>
      </w:r>
      <w:r w:rsidRPr="00A15AB5">
        <w:rPr>
          <w:rFonts w:ascii="Arial" w:hAnsi="Arial" w:cs="Arial"/>
          <w:sz w:val="22"/>
          <w:szCs w:val="22"/>
          <w:lang w:val="en-GB"/>
        </w:rPr>
        <w:t xml:space="preserve"> a sense of belonging and purpose among staff. The practices adopted by leading hotels, such as The Ritz-Carlton, Hilton, and Marriott, exemplify the industry's best strategies for nurturing a committed and productive workforce. By embedding engagement deeply into the organi</w:t>
      </w:r>
      <w:r w:rsidR="00831553">
        <w:rPr>
          <w:rFonts w:ascii="Arial" w:hAnsi="Arial" w:cs="Arial"/>
          <w:sz w:val="22"/>
          <w:szCs w:val="22"/>
          <w:lang w:val="en-GB"/>
        </w:rPr>
        <w:t>s</w:t>
      </w:r>
      <w:r w:rsidRPr="00A15AB5">
        <w:rPr>
          <w:rFonts w:ascii="Arial" w:hAnsi="Arial" w:cs="Arial"/>
          <w:sz w:val="22"/>
          <w:szCs w:val="22"/>
          <w:lang w:val="en-GB"/>
        </w:rPr>
        <w:t xml:space="preserve">ational culture and prioritizing regular dialogue, recognition, and development, these hotels not only enhance their service quality but also drive overall business success. </w:t>
      </w:r>
      <w:proofErr w:type="gramStart"/>
      <w:r w:rsidRPr="00A15AB5">
        <w:rPr>
          <w:rFonts w:ascii="Arial" w:hAnsi="Arial" w:cs="Arial"/>
          <w:sz w:val="22"/>
          <w:szCs w:val="22"/>
          <w:lang w:val="en-GB"/>
        </w:rPr>
        <w:t>It is clear that the</w:t>
      </w:r>
      <w:proofErr w:type="gramEnd"/>
      <w:r w:rsidRPr="00A15AB5">
        <w:rPr>
          <w:rFonts w:ascii="Arial" w:hAnsi="Arial" w:cs="Arial"/>
          <w:sz w:val="22"/>
          <w:szCs w:val="22"/>
          <w:lang w:val="en-GB"/>
        </w:rPr>
        <w:t xml:space="preserve"> strategic engagement of employees is not just beneficial but essential for maintaining a vibrant, customer-focused, and resilient hotel industry. This research affirms that through continuous </w:t>
      </w:r>
      <w:r w:rsidRPr="00A15AB5">
        <w:rPr>
          <w:rFonts w:ascii="Arial" w:hAnsi="Arial" w:cs="Arial"/>
          <w:sz w:val="22"/>
          <w:szCs w:val="22"/>
          <w:lang w:val="en-GB"/>
        </w:rPr>
        <w:lastRenderedPageBreak/>
        <w:t>commitment to employee engagement, hotels can achieve both high levels of employee satisfaction and superior guest experiences, thereby securing their market position in an increasingly competitive field.</w:t>
      </w:r>
    </w:p>
    <w:p w14:paraId="50C0C3FF" w14:textId="77777777" w:rsidR="00A15AB5" w:rsidRPr="00A15AB5" w:rsidRDefault="00A15AB5" w:rsidP="00A15AB5">
      <w:pPr>
        <w:spacing w:line="360" w:lineRule="auto"/>
        <w:rPr>
          <w:rFonts w:ascii="Arial" w:hAnsi="Arial" w:cs="Arial"/>
          <w:sz w:val="22"/>
          <w:szCs w:val="22"/>
          <w:lang w:val="en-GB"/>
        </w:rPr>
      </w:pPr>
    </w:p>
    <w:p w14:paraId="65EA414C" w14:textId="77777777" w:rsidR="00831553" w:rsidRDefault="00831553" w:rsidP="00831553">
      <w:pPr>
        <w:pStyle w:val="Heading1"/>
        <w:rPr>
          <w:lang w:val="en-GB"/>
        </w:rPr>
      </w:pPr>
    </w:p>
    <w:p w14:paraId="088F8071" w14:textId="77777777" w:rsidR="00831553" w:rsidRDefault="00831553" w:rsidP="00831553">
      <w:pPr>
        <w:rPr>
          <w:lang w:val="en-GB"/>
        </w:rPr>
      </w:pPr>
    </w:p>
    <w:p w14:paraId="03C935FB" w14:textId="77777777" w:rsidR="00831553" w:rsidRDefault="00831553" w:rsidP="00831553">
      <w:pPr>
        <w:rPr>
          <w:lang w:val="en-GB"/>
        </w:rPr>
      </w:pPr>
    </w:p>
    <w:p w14:paraId="027A6851" w14:textId="77777777" w:rsidR="00831553" w:rsidRDefault="00831553" w:rsidP="00831553">
      <w:pPr>
        <w:rPr>
          <w:lang w:val="en-GB"/>
        </w:rPr>
      </w:pPr>
    </w:p>
    <w:p w14:paraId="08C93908" w14:textId="77777777" w:rsidR="00831553" w:rsidRDefault="00831553" w:rsidP="00831553">
      <w:pPr>
        <w:rPr>
          <w:lang w:val="en-GB"/>
        </w:rPr>
      </w:pPr>
    </w:p>
    <w:p w14:paraId="7B7E6ED9" w14:textId="77777777" w:rsidR="00831553" w:rsidRDefault="00831553" w:rsidP="00831553">
      <w:pPr>
        <w:rPr>
          <w:lang w:val="en-GB"/>
        </w:rPr>
      </w:pPr>
    </w:p>
    <w:p w14:paraId="1AB346BF" w14:textId="77777777" w:rsidR="00831553" w:rsidRDefault="00831553" w:rsidP="00831553">
      <w:pPr>
        <w:rPr>
          <w:lang w:val="en-GB"/>
        </w:rPr>
      </w:pPr>
    </w:p>
    <w:p w14:paraId="2A61A6B4" w14:textId="77777777" w:rsidR="00831553" w:rsidRDefault="00831553" w:rsidP="00831553">
      <w:pPr>
        <w:rPr>
          <w:lang w:val="en-GB"/>
        </w:rPr>
      </w:pPr>
    </w:p>
    <w:p w14:paraId="187D989A" w14:textId="77777777" w:rsidR="00831553" w:rsidRDefault="00831553" w:rsidP="00831553">
      <w:pPr>
        <w:rPr>
          <w:lang w:val="en-GB"/>
        </w:rPr>
      </w:pPr>
    </w:p>
    <w:p w14:paraId="24800CA1" w14:textId="77777777" w:rsidR="00831553" w:rsidRDefault="00831553" w:rsidP="00831553">
      <w:pPr>
        <w:rPr>
          <w:lang w:val="en-GB"/>
        </w:rPr>
      </w:pPr>
    </w:p>
    <w:p w14:paraId="1809FD36" w14:textId="77777777" w:rsidR="00831553" w:rsidRDefault="00831553" w:rsidP="00831553">
      <w:pPr>
        <w:rPr>
          <w:lang w:val="en-GB"/>
        </w:rPr>
      </w:pPr>
    </w:p>
    <w:p w14:paraId="0B01C727" w14:textId="77777777" w:rsidR="00831553" w:rsidRDefault="00831553" w:rsidP="00831553">
      <w:pPr>
        <w:rPr>
          <w:lang w:val="en-GB"/>
        </w:rPr>
      </w:pPr>
    </w:p>
    <w:p w14:paraId="1EAC0B6D" w14:textId="77777777" w:rsidR="00831553" w:rsidRDefault="00831553" w:rsidP="00831553">
      <w:pPr>
        <w:rPr>
          <w:lang w:val="en-GB"/>
        </w:rPr>
      </w:pPr>
    </w:p>
    <w:p w14:paraId="14F9F1FD" w14:textId="77777777" w:rsidR="00831553" w:rsidRDefault="00831553" w:rsidP="00831553">
      <w:pPr>
        <w:rPr>
          <w:lang w:val="en-GB"/>
        </w:rPr>
      </w:pPr>
    </w:p>
    <w:p w14:paraId="4D7F2F11" w14:textId="77777777" w:rsidR="00831553" w:rsidRDefault="00831553" w:rsidP="00831553">
      <w:pPr>
        <w:rPr>
          <w:lang w:val="en-GB"/>
        </w:rPr>
      </w:pPr>
    </w:p>
    <w:p w14:paraId="0B383F05" w14:textId="77777777" w:rsidR="00831553" w:rsidRDefault="00831553" w:rsidP="00831553">
      <w:pPr>
        <w:rPr>
          <w:lang w:val="en-GB"/>
        </w:rPr>
      </w:pPr>
    </w:p>
    <w:p w14:paraId="4787EC96" w14:textId="77777777" w:rsidR="00831553" w:rsidRDefault="00831553" w:rsidP="00831553">
      <w:pPr>
        <w:rPr>
          <w:lang w:val="en-GB"/>
        </w:rPr>
      </w:pPr>
    </w:p>
    <w:p w14:paraId="4D1ED5C2" w14:textId="77777777" w:rsidR="00831553" w:rsidRDefault="00831553" w:rsidP="00831553">
      <w:pPr>
        <w:rPr>
          <w:lang w:val="en-GB"/>
        </w:rPr>
      </w:pPr>
    </w:p>
    <w:p w14:paraId="6C00430C" w14:textId="77777777" w:rsidR="00831553" w:rsidRDefault="00831553" w:rsidP="00831553">
      <w:pPr>
        <w:rPr>
          <w:lang w:val="en-GB"/>
        </w:rPr>
      </w:pPr>
    </w:p>
    <w:p w14:paraId="18F54569" w14:textId="77777777" w:rsidR="00831553" w:rsidRDefault="00831553" w:rsidP="00831553">
      <w:pPr>
        <w:rPr>
          <w:lang w:val="en-GB"/>
        </w:rPr>
      </w:pPr>
    </w:p>
    <w:p w14:paraId="5868180A" w14:textId="77777777" w:rsidR="00831553" w:rsidRDefault="00831553" w:rsidP="00831553">
      <w:pPr>
        <w:rPr>
          <w:lang w:val="en-GB"/>
        </w:rPr>
      </w:pPr>
    </w:p>
    <w:p w14:paraId="3D9EEDE1" w14:textId="77777777" w:rsidR="00831553" w:rsidRDefault="00831553" w:rsidP="00831553">
      <w:pPr>
        <w:rPr>
          <w:lang w:val="en-GB"/>
        </w:rPr>
      </w:pPr>
    </w:p>
    <w:p w14:paraId="6AF3885D" w14:textId="77777777" w:rsidR="00831553" w:rsidRDefault="00831553" w:rsidP="00831553">
      <w:pPr>
        <w:rPr>
          <w:lang w:val="en-GB"/>
        </w:rPr>
      </w:pPr>
    </w:p>
    <w:p w14:paraId="2C2DE376" w14:textId="77777777" w:rsidR="00831553" w:rsidRDefault="00831553" w:rsidP="00831553">
      <w:pPr>
        <w:rPr>
          <w:lang w:val="en-GB"/>
        </w:rPr>
      </w:pPr>
    </w:p>
    <w:p w14:paraId="66D1E52E" w14:textId="77777777" w:rsidR="00831553" w:rsidRDefault="00831553" w:rsidP="00831553">
      <w:pPr>
        <w:rPr>
          <w:lang w:val="en-GB"/>
        </w:rPr>
      </w:pPr>
    </w:p>
    <w:p w14:paraId="6E2E658F" w14:textId="77777777" w:rsidR="00831553" w:rsidRDefault="00831553" w:rsidP="00831553">
      <w:pPr>
        <w:rPr>
          <w:lang w:val="en-GB"/>
        </w:rPr>
      </w:pPr>
    </w:p>
    <w:p w14:paraId="31AA641F" w14:textId="77777777" w:rsidR="00831553" w:rsidRDefault="00831553" w:rsidP="00831553">
      <w:pPr>
        <w:rPr>
          <w:lang w:val="en-GB"/>
        </w:rPr>
      </w:pPr>
    </w:p>
    <w:p w14:paraId="6F1C070A" w14:textId="77777777" w:rsidR="00831553" w:rsidRDefault="00831553" w:rsidP="00831553">
      <w:pPr>
        <w:rPr>
          <w:lang w:val="en-GB"/>
        </w:rPr>
      </w:pPr>
    </w:p>
    <w:p w14:paraId="3A07ED10" w14:textId="77777777" w:rsidR="00831553" w:rsidRDefault="00831553" w:rsidP="00831553">
      <w:pPr>
        <w:rPr>
          <w:lang w:val="en-GB"/>
        </w:rPr>
      </w:pPr>
    </w:p>
    <w:p w14:paraId="70782D9F" w14:textId="77777777" w:rsidR="00831553" w:rsidRDefault="00831553" w:rsidP="00831553">
      <w:pPr>
        <w:rPr>
          <w:lang w:val="en-GB"/>
        </w:rPr>
      </w:pPr>
    </w:p>
    <w:p w14:paraId="07EF0346" w14:textId="77777777" w:rsidR="00831553" w:rsidRDefault="00831553" w:rsidP="00831553">
      <w:pPr>
        <w:rPr>
          <w:lang w:val="en-GB"/>
        </w:rPr>
      </w:pPr>
    </w:p>
    <w:p w14:paraId="162D1E69" w14:textId="77777777" w:rsidR="00831553" w:rsidRDefault="00831553" w:rsidP="00831553">
      <w:pPr>
        <w:rPr>
          <w:lang w:val="en-GB"/>
        </w:rPr>
      </w:pPr>
    </w:p>
    <w:p w14:paraId="476E8778" w14:textId="77777777" w:rsidR="00831553" w:rsidRDefault="00831553" w:rsidP="00831553">
      <w:pPr>
        <w:rPr>
          <w:lang w:val="en-GB"/>
        </w:rPr>
      </w:pPr>
    </w:p>
    <w:p w14:paraId="70819E15" w14:textId="77777777" w:rsidR="00831553" w:rsidRDefault="00831553" w:rsidP="00831553">
      <w:pPr>
        <w:rPr>
          <w:lang w:val="en-GB"/>
        </w:rPr>
      </w:pPr>
    </w:p>
    <w:p w14:paraId="3B4FE607" w14:textId="77777777" w:rsidR="00831553" w:rsidRDefault="00831553" w:rsidP="00831553">
      <w:pPr>
        <w:rPr>
          <w:lang w:val="en-GB"/>
        </w:rPr>
      </w:pPr>
    </w:p>
    <w:p w14:paraId="27B046F5" w14:textId="77777777" w:rsidR="00831553" w:rsidRDefault="00831553" w:rsidP="00831553">
      <w:pPr>
        <w:rPr>
          <w:lang w:val="en-GB"/>
        </w:rPr>
      </w:pPr>
    </w:p>
    <w:p w14:paraId="5B1A15E1" w14:textId="77777777" w:rsidR="00831553" w:rsidRDefault="00831553" w:rsidP="00831553">
      <w:pPr>
        <w:rPr>
          <w:lang w:val="en-GB"/>
        </w:rPr>
      </w:pPr>
    </w:p>
    <w:p w14:paraId="5BF34261" w14:textId="77777777" w:rsidR="00831553" w:rsidRDefault="00831553" w:rsidP="00831553">
      <w:pPr>
        <w:rPr>
          <w:lang w:val="en-GB"/>
        </w:rPr>
      </w:pPr>
    </w:p>
    <w:p w14:paraId="0F9275BB" w14:textId="77777777" w:rsidR="00831553" w:rsidRPr="00831553" w:rsidRDefault="00831553" w:rsidP="00831553">
      <w:pPr>
        <w:rPr>
          <w:lang w:val="en-GB"/>
        </w:rPr>
      </w:pPr>
    </w:p>
    <w:p w14:paraId="05E95128" w14:textId="77777777" w:rsidR="00831553" w:rsidRDefault="00831553" w:rsidP="00831553">
      <w:pPr>
        <w:pStyle w:val="Heading1"/>
        <w:rPr>
          <w:lang w:val="en-GB"/>
        </w:rPr>
      </w:pPr>
    </w:p>
    <w:p w14:paraId="48880E7C" w14:textId="66D7F545" w:rsidR="00A15AB5" w:rsidRPr="00A15AB5" w:rsidRDefault="00A15AB5" w:rsidP="00831553">
      <w:pPr>
        <w:pStyle w:val="Heading1"/>
        <w:rPr>
          <w:lang w:val="en-GB"/>
        </w:rPr>
      </w:pPr>
      <w:bookmarkStart w:id="8" w:name="_Toc150195480"/>
      <w:r w:rsidRPr="00A15AB5">
        <w:rPr>
          <w:lang w:val="en-GB"/>
        </w:rPr>
        <w:t>References</w:t>
      </w:r>
      <w:bookmarkEnd w:id="8"/>
    </w:p>
    <w:p w14:paraId="74581754" w14:textId="77777777" w:rsidR="00A15AB5" w:rsidRDefault="00A15AB5" w:rsidP="00A15AB5">
      <w:pPr>
        <w:spacing w:line="360" w:lineRule="auto"/>
        <w:rPr>
          <w:rFonts w:ascii="Arial" w:hAnsi="Arial" w:cs="Arial"/>
          <w:sz w:val="22"/>
          <w:szCs w:val="22"/>
          <w:lang w:val="en-GB"/>
        </w:rPr>
      </w:pPr>
    </w:p>
    <w:p w14:paraId="6D297D78" w14:textId="77777777" w:rsid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Amabile, T., &amp; Kramer, S. (2011). The Progress Principle: Using Small Wins to Ignite Joy, Engagement, and Creativity at Work. Harvard Business Review Press.</w:t>
      </w:r>
    </w:p>
    <w:p w14:paraId="5AF16924" w14:textId="77777777" w:rsidR="00A15AB5" w:rsidRDefault="00A15AB5" w:rsidP="00A15AB5">
      <w:pPr>
        <w:spacing w:line="360" w:lineRule="auto"/>
        <w:rPr>
          <w:rFonts w:ascii="Arial" w:hAnsi="Arial" w:cs="Arial"/>
          <w:sz w:val="22"/>
          <w:szCs w:val="22"/>
          <w:lang w:val="en-GB"/>
        </w:rPr>
      </w:pPr>
    </w:p>
    <w:p w14:paraId="3BACA508" w14:textId="77777777" w:rsid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 xml:space="preserve">Amazon. (2021). Amazon Career Choice. [Online] Available at: </w:t>
      </w:r>
      <w:hyperlink r:id="rId6" w:tgtFrame="_new" w:history="1">
        <w:r w:rsidRPr="00A15AB5">
          <w:rPr>
            <w:rStyle w:val="Hyperlink"/>
            <w:rFonts w:ascii="Arial" w:hAnsi="Arial" w:cs="Arial"/>
            <w:sz w:val="22"/>
            <w:szCs w:val="22"/>
            <w:lang w:val="en-GB"/>
          </w:rPr>
          <w:t>https://www.aboutamazon.com/news/workplace/career-choice</w:t>
        </w:r>
      </w:hyperlink>
      <w:r w:rsidRPr="00A15AB5">
        <w:rPr>
          <w:rFonts w:ascii="Arial" w:hAnsi="Arial" w:cs="Arial"/>
          <w:sz w:val="22"/>
          <w:szCs w:val="22"/>
          <w:lang w:val="en-GB"/>
        </w:rPr>
        <w:t xml:space="preserve"> [Accessed 3 Nov 2023].</w:t>
      </w:r>
    </w:p>
    <w:p w14:paraId="2325913B" w14:textId="77777777" w:rsidR="00A15AB5" w:rsidRPr="00A15AB5" w:rsidRDefault="00A15AB5" w:rsidP="00A15AB5">
      <w:pPr>
        <w:spacing w:line="360" w:lineRule="auto"/>
        <w:rPr>
          <w:rFonts w:ascii="Arial" w:hAnsi="Arial" w:cs="Arial"/>
          <w:sz w:val="22"/>
          <w:szCs w:val="22"/>
          <w:lang w:val="en-GB"/>
        </w:rPr>
      </w:pPr>
    </w:p>
    <w:p w14:paraId="6943EE75" w14:textId="77777777" w:rsidR="00A15AB5" w:rsidRP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 xml:space="preserve">Backhaus, K., &amp; </w:t>
      </w:r>
      <w:proofErr w:type="spellStart"/>
      <w:r w:rsidRPr="00A15AB5">
        <w:rPr>
          <w:rFonts w:ascii="Arial" w:hAnsi="Arial" w:cs="Arial"/>
          <w:sz w:val="22"/>
          <w:szCs w:val="22"/>
          <w:lang w:val="en-GB"/>
        </w:rPr>
        <w:t>Tikoo</w:t>
      </w:r>
      <w:proofErr w:type="spellEnd"/>
      <w:r w:rsidRPr="00A15AB5">
        <w:rPr>
          <w:rFonts w:ascii="Arial" w:hAnsi="Arial" w:cs="Arial"/>
          <w:sz w:val="22"/>
          <w:szCs w:val="22"/>
          <w:lang w:val="en-GB"/>
        </w:rPr>
        <w:t>, S. (2004). Conceptualizing and researching employer branding. Career Development International, 9(5), 501-517.</w:t>
      </w:r>
    </w:p>
    <w:p w14:paraId="2676EFDC" w14:textId="77777777" w:rsidR="00A15AB5" w:rsidRPr="00A15AB5" w:rsidRDefault="00A15AB5" w:rsidP="00A15AB5">
      <w:pPr>
        <w:spacing w:line="360" w:lineRule="auto"/>
        <w:rPr>
          <w:rFonts w:ascii="Arial" w:hAnsi="Arial" w:cs="Arial"/>
          <w:sz w:val="22"/>
          <w:szCs w:val="22"/>
          <w:lang w:val="en-GB"/>
        </w:rPr>
      </w:pPr>
    </w:p>
    <w:p w14:paraId="45EB3FCA" w14:textId="77777777" w:rsid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Bakker, A. B., &amp; Demerouti, E. (2008). Towards a model of work engagement. Career Development International, 13(3), 209-223.</w:t>
      </w:r>
    </w:p>
    <w:p w14:paraId="3BE2B488" w14:textId="77777777" w:rsidR="00A15AB5" w:rsidRPr="00A15AB5" w:rsidRDefault="00A15AB5" w:rsidP="00A15AB5">
      <w:pPr>
        <w:spacing w:line="360" w:lineRule="auto"/>
        <w:rPr>
          <w:rFonts w:ascii="Arial" w:hAnsi="Arial" w:cs="Arial"/>
          <w:sz w:val="22"/>
          <w:szCs w:val="22"/>
          <w:lang w:val="en-GB"/>
        </w:rPr>
      </w:pPr>
    </w:p>
    <w:p w14:paraId="3FBDE305" w14:textId="77777777" w:rsid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Bauer, T. N. (2010). Onboarding new employees: Maximizing success. SHRM Foundation’s Effective Practice Guideline Series.</w:t>
      </w:r>
    </w:p>
    <w:p w14:paraId="0DA8CCA3" w14:textId="77777777" w:rsidR="00A15AB5" w:rsidRPr="00A15AB5" w:rsidRDefault="00A15AB5" w:rsidP="00A15AB5">
      <w:pPr>
        <w:spacing w:line="360" w:lineRule="auto"/>
        <w:rPr>
          <w:rFonts w:ascii="Arial" w:hAnsi="Arial" w:cs="Arial"/>
          <w:sz w:val="22"/>
          <w:szCs w:val="22"/>
          <w:lang w:val="en-GB"/>
        </w:rPr>
      </w:pPr>
    </w:p>
    <w:p w14:paraId="6CFB0A9D" w14:textId="77777777" w:rsid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 xml:space="preserve">Bock, L. (2015). Work </w:t>
      </w:r>
      <w:proofErr w:type="gramStart"/>
      <w:r w:rsidRPr="00A15AB5">
        <w:rPr>
          <w:rFonts w:ascii="Arial" w:hAnsi="Arial" w:cs="Arial"/>
          <w:sz w:val="22"/>
          <w:szCs w:val="22"/>
          <w:lang w:val="en-GB"/>
        </w:rPr>
        <w:t>Rules!:</w:t>
      </w:r>
      <w:proofErr w:type="gramEnd"/>
      <w:r w:rsidRPr="00A15AB5">
        <w:rPr>
          <w:rFonts w:ascii="Arial" w:hAnsi="Arial" w:cs="Arial"/>
          <w:sz w:val="22"/>
          <w:szCs w:val="22"/>
          <w:lang w:val="en-GB"/>
        </w:rPr>
        <w:t xml:space="preserve"> Insights from Inside Google That Will Transform How You Live and Lead. Twelve.</w:t>
      </w:r>
    </w:p>
    <w:p w14:paraId="3A4ED13E" w14:textId="77777777" w:rsidR="00A15AB5" w:rsidRDefault="00A15AB5" w:rsidP="00A15AB5">
      <w:pPr>
        <w:spacing w:line="360" w:lineRule="auto"/>
        <w:rPr>
          <w:rFonts w:ascii="Arial" w:hAnsi="Arial" w:cs="Arial"/>
          <w:sz w:val="22"/>
          <w:szCs w:val="22"/>
          <w:lang w:val="en-GB"/>
        </w:rPr>
      </w:pPr>
    </w:p>
    <w:p w14:paraId="2EDD0035" w14:textId="77777777" w:rsidR="00A15AB5" w:rsidRP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Chouinard, Y. (2016). Let My People Go Surfing: The Education of a Reluctant Businessman--Including 10 More Years of Business Unusual. Penguin Books.</w:t>
      </w:r>
    </w:p>
    <w:p w14:paraId="6F5DBAAE" w14:textId="77777777" w:rsidR="00A15AB5" w:rsidRDefault="00A15AB5" w:rsidP="00A15AB5">
      <w:pPr>
        <w:spacing w:line="360" w:lineRule="auto"/>
        <w:rPr>
          <w:rFonts w:ascii="Arial" w:hAnsi="Arial" w:cs="Arial"/>
          <w:sz w:val="22"/>
          <w:szCs w:val="22"/>
          <w:lang w:val="en-GB"/>
        </w:rPr>
      </w:pPr>
    </w:p>
    <w:p w14:paraId="79CFA5B6" w14:textId="77777777" w:rsid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 xml:space="preserve">Davenport, T. H. (2013). How Google Sells Its Free Products. Harvard Business Review. [Online] Available at: </w:t>
      </w:r>
      <w:hyperlink r:id="rId7" w:tgtFrame="_new" w:history="1">
        <w:r w:rsidRPr="00A15AB5">
          <w:rPr>
            <w:rStyle w:val="Hyperlink"/>
            <w:rFonts w:ascii="Arial" w:hAnsi="Arial" w:cs="Arial"/>
            <w:sz w:val="22"/>
            <w:szCs w:val="22"/>
            <w:lang w:val="en-GB"/>
          </w:rPr>
          <w:t>https://hbr.org/2013/12/how-google-sells-its-free-products</w:t>
        </w:r>
      </w:hyperlink>
      <w:r w:rsidRPr="00A15AB5">
        <w:rPr>
          <w:rFonts w:ascii="Arial" w:hAnsi="Arial" w:cs="Arial"/>
          <w:sz w:val="22"/>
          <w:szCs w:val="22"/>
          <w:lang w:val="en-GB"/>
        </w:rPr>
        <w:t xml:space="preserve"> [Accessed 29 April 2023].</w:t>
      </w:r>
    </w:p>
    <w:p w14:paraId="23A9E314" w14:textId="77777777" w:rsidR="00A15AB5" w:rsidRPr="00A15AB5" w:rsidRDefault="00A15AB5" w:rsidP="00A15AB5">
      <w:pPr>
        <w:spacing w:line="360" w:lineRule="auto"/>
        <w:rPr>
          <w:rFonts w:ascii="Arial" w:hAnsi="Arial" w:cs="Arial"/>
          <w:sz w:val="22"/>
          <w:szCs w:val="22"/>
          <w:lang w:val="en-GB"/>
        </w:rPr>
      </w:pPr>
    </w:p>
    <w:p w14:paraId="2E1524BD" w14:textId="77777777" w:rsidR="00A15AB5" w:rsidRP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 xml:space="preserve">Deloitte. (2021). Learning and Development. [Online] Available at: </w:t>
      </w:r>
      <w:hyperlink r:id="rId8" w:tgtFrame="_new" w:history="1">
        <w:r w:rsidRPr="00A15AB5">
          <w:rPr>
            <w:rStyle w:val="Hyperlink"/>
            <w:rFonts w:ascii="Arial" w:hAnsi="Arial" w:cs="Arial"/>
            <w:sz w:val="22"/>
            <w:szCs w:val="22"/>
            <w:lang w:val="en-GB"/>
          </w:rPr>
          <w:t>https://www2.deloitte.com/us/en/pages/careers/articles/join-deloitte-learning-and-development.html</w:t>
        </w:r>
      </w:hyperlink>
      <w:r w:rsidRPr="00A15AB5">
        <w:rPr>
          <w:rFonts w:ascii="Arial" w:hAnsi="Arial" w:cs="Arial"/>
          <w:sz w:val="22"/>
          <w:szCs w:val="22"/>
          <w:lang w:val="en-GB"/>
        </w:rPr>
        <w:t xml:space="preserve"> [Accessed 29 April 2023].</w:t>
      </w:r>
    </w:p>
    <w:p w14:paraId="15B3FB37" w14:textId="77777777" w:rsidR="00A15AB5" w:rsidRPr="00A15AB5" w:rsidRDefault="00A15AB5" w:rsidP="00A15AB5">
      <w:pPr>
        <w:spacing w:line="360" w:lineRule="auto"/>
        <w:rPr>
          <w:rFonts w:ascii="Arial" w:hAnsi="Arial" w:cs="Arial"/>
          <w:sz w:val="22"/>
          <w:szCs w:val="22"/>
          <w:lang w:val="en-GB"/>
        </w:rPr>
      </w:pPr>
    </w:p>
    <w:p w14:paraId="46224983" w14:textId="77777777" w:rsid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Edmondson, A. (2012). Teaming: How Organizations Learn, Innovate, and Compete in the Knowledge Economy. Jossey-Bass.</w:t>
      </w:r>
    </w:p>
    <w:p w14:paraId="1E83BE94" w14:textId="77777777" w:rsidR="00A15AB5" w:rsidRPr="00A15AB5" w:rsidRDefault="00A15AB5" w:rsidP="00A15AB5">
      <w:pPr>
        <w:spacing w:line="360" w:lineRule="auto"/>
        <w:rPr>
          <w:rFonts w:ascii="Arial" w:hAnsi="Arial" w:cs="Arial"/>
          <w:sz w:val="22"/>
          <w:szCs w:val="22"/>
          <w:lang w:val="en-GB"/>
        </w:rPr>
      </w:pPr>
    </w:p>
    <w:p w14:paraId="26A07BF9" w14:textId="0F6016D1" w:rsidR="00A15AB5" w:rsidRP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lastRenderedPageBreak/>
        <w:t xml:space="preserve">Great Place to Work. (2021). Hilton Named #1 Best Big Company to Work For. [Online] Available at: </w:t>
      </w:r>
      <w:hyperlink r:id="rId9" w:tgtFrame="_new" w:history="1">
        <w:r w:rsidRPr="00A15AB5">
          <w:rPr>
            <w:rStyle w:val="Hyperlink"/>
            <w:rFonts w:ascii="Arial" w:hAnsi="Arial" w:cs="Arial"/>
            <w:sz w:val="22"/>
            <w:szCs w:val="22"/>
            <w:lang w:val="en-GB"/>
          </w:rPr>
          <w:t>https://www.greatplacetowork.com/best-workplaces/100-best/2021</w:t>
        </w:r>
      </w:hyperlink>
      <w:r w:rsidRPr="00A15AB5">
        <w:rPr>
          <w:rFonts w:ascii="Arial" w:hAnsi="Arial" w:cs="Arial"/>
          <w:sz w:val="22"/>
          <w:szCs w:val="22"/>
          <w:lang w:val="en-GB"/>
        </w:rPr>
        <w:t xml:space="preserve"> [Accessed 3 Nov 2023].</w:t>
      </w:r>
    </w:p>
    <w:p w14:paraId="4B754AA9" w14:textId="77777777" w:rsidR="00A15AB5" w:rsidRDefault="00A15AB5" w:rsidP="00A15AB5">
      <w:pPr>
        <w:spacing w:line="360" w:lineRule="auto"/>
        <w:rPr>
          <w:rFonts w:ascii="Arial" w:hAnsi="Arial" w:cs="Arial"/>
          <w:sz w:val="22"/>
          <w:szCs w:val="22"/>
          <w:lang w:val="en-GB"/>
        </w:rPr>
      </w:pPr>
    </w:p>
    <w:p w14:paraId="548B1734" w14:textId="77777777" w:rsid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Harter, J. K., Schmidt, F. L., &amp; Hayes, T. L. (2002). Business-unit-level relationship between employee satisfaction, employee engagement, and business outcomes: A meta-analysis. Journal of Applied Psychology, 87(2), 268.</w:t>
      </w:r>
    </w:p>
    <w:p w14:paraId="0268F226" w14:textId="77777777" w:rsidR="00A15AB5" w:rsidRPr="00A15AB5" w:rsidRDefault="00A15AB5" w:rsidP="00A15AB5">
      <w:pPr>
        <w:spacing w:line="360" w:lineRule="auto"/>
        <w:rPr>
          <w:rFonts w:ascii="Arial" w:hAnsi="Arial" w:cs="Arial"/>
          <w:sz w:val="22"/>
          <w:szCs w:val="22"/>
          <w:lang w:val="en-GB"/>
        </w:rPr>
      </w:pPr>
    </w:p>
    <w:p w14:paraId="75C0B986" w14:textId="28A03098" w:rsid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 xml:space="preserve">Hilton. (2022). Careers at Hilton. [Online] Available at: </w:t>
      </w:r>
      <w:hyperlink r:id="rId10" w:tgtFrame="_new" w:history="1">
        <w:r w:rsidRPr="00A15AB5">
          <w:rPr>
            <w:rStyle w:val="Hyperlink"/>
            <w:rFonts w:ascii="Arial" w:hAnsi="Arial" w:cs="Arial"/>
            <w:sz w:val="22"/>
            <w:szCs w:val="22"/>
            <w:lang w:val="en-GB"/>
          </w:rPr>
          <w:t>https://jobs.hilton.com/us/en</w:t>
        </w:r>
      </w:hyperlink>
      <w:r w:rsidRPr="00A15AB5">
        <w:rPr>
          <w:rFonts w:ascii="Arial" w:hAnsi="Arial" w:cs="Arial"/>
          <w:sz w:val="22"/>
          <w:szCs w:val="22"/>
          <w:lang w:val="en-GB"/>
        </w:rPr>
        <w:t xml:space="preserve"> [Accessed </w:t>
      </w:r>
      <w:r>
        <w:rPr>
          <w:rFonts w:ascii="Arial" w:hAnsi="Arial" w:cs="Arial"/>
          <w:sz w:val="22"/>
          <w:szCs w:val="22"/>
          <w:lang w:val="en-GB"/>
        </w:rPr>
        <w:t>5</w:t>
      </w:r>
      <w:r w:rsidRPr="00A15AB5">
        <w:rPr>
          <w:rFonts w:ascii="Arial" w:hAnsi="Arial" w:cs="Arial"/>
          <w:sz w:val="22"/>
          <w:szCs w:val="22"/>
          <w:lang w:val="en-GB"/>
        </w:rPr>
        <w:t xml:space="preserve"> Nov 2023].</w:t>
      </w:r>
    </w:p>
    <w:p w14:paraId="0E58E807" w14:textId="77777777" w:rsidR="00831553" w:rsidRDefault="00831553" w:rsidP="00A15AB5">
      <w:pPr>
        <w:spacing w:line="360" w:lineRule="auto"/>
        <w:rPr>
          <w:rFonts w:ascii="Arial" w:hAnsi="Arial" w:cs="Arial"/>
          <w:sz w:val="22"/>
          <w:szCs w:val="22"/>
          <w:lang w:val="en-GB"/>
        </w:rPr>
      </w:pPr>
    </w:p>
    <w:p w14:paraId="64BDFAA2" w14:textId="7DE97E58" w:rsidR="00831553" w:rsidRPr="00A15AB5" w:rsidRDefault="00831553" w:rsidP="00A15AB5">
      <w:pPr>
        <w:spacing w:line="360" w:lineRule="auto"/>
        <w:rPr>
          <w:rFonts w:ascii="Arial" w:hAnsi="Arial" w:cs="Arial"/>
          <w:sz w:val="22"/>
          <w:szCs w:val="22"/>
          <w:lang w:val="en-GB"/>
        </w:rPr>
      </w:pPr>
      <w:r w:rsidRPr="00A15AB5">
        <w:rPr>
          <w:rFonts w:ascii="Arial" w:hAnsi="Arial" w:cs="Arial"/>
          <w:sz w:val="22"/>
          <w:szCs w:val="22"/>
          <w:lang w:val="en-GB"/>
        </w:rPr>
        <w:t xml:space="preserve">Hilton. (2022). </w:t>
      </w:r>
      <w:proofErr w:type="spellStart"/>
      <w:r w:rsidRPr="00A15AB5">
        <w:rPr>
          <w:rFonts w:ascii="Arial" w:hAnsi="Arial" w:cs="Arial"/>
          <w:sz w:val="22"/>
          <w:szCs w:val="22"/>
          <w:lang w:val="en-GB"/>
        </w:rPr>
        <w:t>Thrive@Hilton</w:t>
      </w:r>
      <w:proofErr w:type="spellEnd"/>
      <w:r w:rsidRPr="00A15AB5">
        <w:rPr>
          <w:rFonts w:ascii="Arial" w:hAnsi="Arial" w:cs="Arial"/>
          <w:sz w:val="22"/>
          <w:szCs w:val="22"/>
          <w:lang w:val="en-GB"/>
        </w:rPr>
        <w:t xml:space="preserve">. [Online] Available at: </w:t>
      </w:r>
      <w:hyperlink r:id="rId11" w:tgtFrame="_new" w:history="1">
        <w:r w:rsidRPr="00A15AB5">
          <w:rPr>
            <w:rStyle w:val="Hyperlink"/>
            <w:rFonts w:ascii="Arial" w:hAnsi="Arial" w:cs="Arial"/>
            <w:sz w:val="22"/>
            <w:szCs w:val="22"/>
            <w:lang w:val="en-GB"/>
          </w:rPr>
          <w:t>https://jobs.hilton.com/us/en/thrive-at-hilton</w:t>
        </w:r>
      </w:hyperlink>
      <w:r w:rsidRPr="00A15AB5">
        <w:rPr>
          <w:rFonts w:ascii="Arial" w:hAnsi="Arial" w:cs="Arial"/>
          <w:sz w:val="22"/>
          <w:szCs w:val="22"/>
          <w:lang w:val="en-GB"/>
        </w:rPr>
        <w:t xml:space="preserve"> [Accessed </w:t>
      </w:r>
      <w:r>
        <w:rPr>
          <w:rFonts w:ascii="Arial" w:hAnsi="Arial" w:cs="Arial"/>
          <w:sz w:val="22"/>
          <w:szCs w:val="22"/>
          <w:lang w:val="en-GB"/>
        </w:rPr>
        <w:t>6 Nov</w:t>
      </w:r>
      <w:r w:rsidRPr="00A15AB5">
        <w:rPr>
          <w:rFonts w:ascii="Arial" w:hAnsi="Arial" w:cs="Arial"/>
          <w:sz w:val="22"/>
          <w:szCs w:val="22"/>
          <w:lang w:val="en-GB"/>
        </w:rPr>
        <w:t xml:space="preserve"> 2023].</w:t>
      </w:r>
    </w:p>
    <w:p w14:paraId="163751BA" w14:textId="77777777" w:rsidR="00A15AB5" w:rsidRDefault="00A15AB5" w:rsidP="00A15AB5">
      <w:pPr>
        <w:spacing w:line="360" w:lineRule="auto"/>
        <w:rPr>
          <w:rFonts w:ascii="Arial" w:hAnsi="Arial" w:cs="Arial"/>
          <w:sz w:val="22"/>
          <w:szCs w:val="22"/>
          <w:lang w:val="en-GB"/>
        </w:rPr>
      </w:pPr>
    </w:p>
    <w:p w14:paraId="23D93363" w14:textId="77777777" w:rsidR="00A15AB5" w:rsidRP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Katzenbach, J. R., &amp; Smith, D. K. (1993). The Wisdom of Teams: Creating the High-Performance Organization. Harvard Business Review Press.</w:t>
      </w:r>
    </w:p>
    <w:p w14:paraId="5E9529EA" w14:textId="77777777" w:rsidR="00A15AB5" w:rsidRPr="00A15AB5" w:rsidRDefault="00A15AB5" w:rsidP="00A15AB5">
      <w:pPr>
        <w:spacing w:line="360" w:lineRule="auto"/>
        <w:rPr>
          <w:rFonts w:ascii="Arial" w:hAnsi="Arial" w:cs="Arial"/>
          <w:sz w:val="22"/>
          <w:szCs w:val="22"/>
          <w:lang w:val="en-GB"/>
        </w:rPr>
      </w:pPr>
    </w:p>
    <w:p w14:paraId="3D0F8114" w14:textId="77777777" w:rsidR="00A15AB5" w:rsidRDefault="00A15AB5" w:rsidP="00A15AB5">
      <w:pPr>
        <w:spacing w:line="360" w:lineRule="auto"/>
        <w:rPr>
          <w:rFonts w:ascii="Arial" w:hAnsi="Arial" w:cs="Arial"/>
          <w:sz w:val="22"/>
          <w:szCs w:val="22"/>
          <w:lang w:val="en-GB"/>
        </w:rPr>
      </w:pPr>
      <w:proofErr w:type="spellStart"/>
      <w:r w:rsidRPr="00A15AB5">
        <w:rPr>
          <w:rFonts w:ascii="Arial" w:hAnsi="Arial" w:cs="Arial"/>
          <w:sz w:val="22"/>
          <w:szCs w:val="22"/>
          <w:lang w:val="en-GB"/>
        </w:rPr>
        <w:t>Maertz</w:t>
      </w:r>
      <w:proofErr w:type="spellEnd"/>
      <w:r w:rsidRPr="00A15AB5">
        <w:rPr>
          <w:rFonts w:ascii="Arial" w:hAnsi="Arial" w:cs="Arial"/>
          <w:sz w:val="22"/>
          <w:szCs w:val="22"/>
          <w:lang w:val="en-GB"/>
        </w:rPr>
        <w:t>, C. P., Jr., &amp; Campion, M. A. (2004). Profiles in quitting: Integrating process and content turnover theory. Academy of Management Journal, 47(4), 566-582.</w:t>
      </w:r>
    </w:p>
    <w:p w14:paraId="03A43534" w14:textId="77777777" w:rsidR="00831553" w:rsidRPr="00A15AB5" w:rsidRDefault="00831553" w:rsidP="00A15AB5">
      <w:pPr>
        <w:spacing w:line="360" w:lineRule="auto"/>
        <w:rPr>
          <w:rFonts w:ascii="Arial" w:hAnsi="Arial" w:cs="Arial"/>
          <w:sz w:val="22"/>
          <w:szCs w:val="22"/>
          <w:lang w:val="en-GB"/>
        </w:rPr>
      </w:pPr>
    </w:p>
    <w:p w14:paraId="174E8978" w14:textId="77777777" w:rsidR="00831553" w:rsidRPr="00A15AB5" w:rsidRDefault="00831553" w:rsidP="00831553">
      <w:pPr>
        <w:spacing w:line="360" w:lineRule="auto"/>
        <w:rPr>
          <w:rFonts w:ascii="Arial" w:hAnsi="Arial" w:cs="Arial"/>
          <w:sz w:val="22"/>
          <w:szCs w:val="22"/>
          <w:lang w:val="en-GB"/>
        </w:rPr>
      </w:pPr>
      <w:proofErr w:type="spellStart"/>
      <w:r w:rsidRPr="00A15AB5">
        <w:rPr>
          <w:rFonts w:ascii="Arial" w:hAnsi="Arial" w:cs="Arial"/>
          <w:sz w:val="22"/>
          <w:szCs w:val="22"/>
          <w:lang w:val="en-GB"/>
        </w:rPr>
        <w:t>Michelli</w:t>
      </w:r>
      <w:proofErr w:type="spellEnd"/>
      <w:r w:rsidRPr="00A15AB5">
        <w:rPr>
          <w:rFonts w:ascii="Arial" w:hAnsi="Arial" w:cs="Arial"/>
          <w:sz w:val="22"/>
          <w:szCs w:val="22"/>
          <w:lang w:val="en-GB"/>
        </w:rPr>
        <w:t>, J. A. (2008). The New Gold Standard: 5 Leadership Principles for Creating a Legendary Customer Experience Courtesy of the Ritz-Carlton Hotel Company. McGraw-Hill.</w:t>
      </w:r>
    </w:p>
    <w:p w14:paraId="081A91DF" w14:textId="77777777" w:rsidR="00A15AB5" w:rsidRDefault="00A15AB5" w:rsidP="00A15AB5">
      <w:pPr>
        <w:spacing w:line="360" w:lineRule="auto"/>
        <w:rPr>
          <w:rFonts w:ascii="Arial" w:hAnsi="Arial" w:cs="Arial"/>
          <w:sz w:val="22"/>
          <w:szCs w:val="22"/>
          <w:lang w:val="en-GB"/>
        </w:rPr>
      </w:pPr>
    </w:p>
    <w:p w14:paraId="16D7B881" w14:textId="1FBF472F" w:rsidR="00A15AB5" w:rsidRP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Noe, R. A., Hollenbeck, J. R., Gerhart, B., &amp; Wright, P. M. (2017). Human Resource Management: Gaining a Competitive Advantage. McGraw-Hill Education.</w:t>
      </w:r>
    </w:p>
    <w:p w14:paraId="5DBCFE59" w14:textId="77777777" w:rsidR="00831553" w:rsidRDefault="00831553" w:rsidP="00831553">
      <w:pPr>
        <w:spacing w:line="360" w:lineRule="auto"/>
        <w:rPr>
          <w:rFonts w:ascii="Arial" w:hAnsi="Arial" w:cs="Arial"/>
          <w:sz w:val="22"/>
          <w:szCs w:val="22"/>
          <w:lang w:val="en-GB"/>
        </w:rPr>
      </w:pPr>
    </w:p>
    <w:p w14:paraId="3676841C" w14:textId="10A9D821" w:rsidR="00831553" w:rsidRDefault="00831553" w:rsidP="00831553">
      <w:pPr>
        <w:spacing w:line="360" w:lineRule="auto"/>
        <w:rPr>
          <w:rFonts w:ascii="Arial" w:hAnsi="Arial" w:cs="Arial"/>
          <w:sz w:val="22"/>
          <w:szCs w:val="22"/>
          <w:lang w:val="en-GB"/>
        </w:rPr>
      </w:pPr>
      <w:r w:rsidRPr="00A15AB5">
        <w:rPr>
          <w:rFonts w:ascii="Arial" w:hAnsi="Arial" w:cs="Arial"/>
          <w:sz w:val="22"/>
          <w:szCs w:val="22"/>
          <w:lang w:val="en-GB"/>
        </w:rPr>
        <w:t xml:space="preserve">Marriott. (2021). </w:t>
      </w:r>
      <w:proofErr w:type="spellStart"/>
      <w:r w:rsidRPr="00A15AB5">
        <w:rPr>
          <w:rFonts w:ascii="Arial" w:hAnsi="Arial" w:cs="Arial"/>
          <w:sz w:val="22"/>
          <w:szCs w:val="22"/>
          <w:lang w:val="en-GB"/>
        </w:rPr>
        <w:t>TakeCare</w:t>
      </w:r>
      <w:proofErr w:type="spellEnd"/>
      <w:r w:rsidRPr="00A15AB5">
        <w:rPr>
          <w:rFonts w:ascii="Arial" w:hAnsi="Arial" w:cs="Arial"/>
          <w:sz w:val="22"/>
          <w:szCs w:val="22"/>
          <w:lang w:val="en-GB"/>
        </w:rPr>
        <w:t xml:space="preserve">. [Online] Available at: </w:t>
      </w:r>
      <w:hyperlink r:id="rId12" w:tgtFrame="_new" w:history="1">
        <w:r w:rsidRPr="00A15AB5">
          <w:rPr>
            <w:rStyle w:val="Hyperlink"/>
            <w:rFonts w:ascii="Arial" w:hAnsi="Arial" w:cs="Arial"/>
            <w:sz w:val="22"/>
            <w:szCs w:val="22"/>
            <w:lang w:val="en-GB"/>
          </w:rPr>
          <w:t>https://marriott.gcs-web.com/news-releases/news-release-details/marriott-internationals-groundbreaking-travel-program</w:t>
        </w:r>
      </w:hyperlink>
      <w:r w:rsidRPr="00A15AB5">
        <w:rPr>
          <w:rFonts w:ascii="Arial" w:hAnsi="Arial" w:cs="Arial"/>
          <w:sz w:val="22"/>
          <w:szCs w:val="22"/>
          <w:lang w:val="en-GB"/>
        </w:rPr>
        <w:t xml:space="preserve"> [Accessed </w:t>
      </w:r>
      <w:r>
        <w:rPr>
          <w:rFonts w:ascii="Arial" w:hAnsi="Arial" w:cs="Arial"/>
          <w:sz w:val="22"/>
          <w:szCs w:val="22"/>
          <w:lang w:val="en-GB"/>
        </w:rPr>
        <w:t xml:space="preserve">6 Nov </w:t>
      </w:r>
      <w:r w:rsidRPr="00A15AB5">
        <w:rPr>
          <w:rFonts w:ascii="Arial" w:hAnsi="Arial" w:cs="Arial"/>
          <w:sz w:val="22"/>
          <w:szCs w:val="22"/>
          <w:lang w:val="en-GB"/>
        </w:rPr>
        <w:t>2023].</w:t>
      </w:r>
    </w:p>
    <w:p w14:paraId="3367926B" w14:textId="77777777" w:rsidR="00831553" w:rsidRPr="00A15AB5" w:rsidRDefault="00831553" w:rsidP="00831553">
      <w:pPr>
        <w:spacing w:line="360" w:lineRule="auto"/>
        <w:rPr>
          <w:rFonts w:ascii="Arial" w:hAnsi="Arial" w:cs="Arial"/>
          <w:sz w:val="22"/>
          <w:szCs w:val="22"/>
          <w:lang w:val="en-GB"/>
        </w:rPr>
      </w:pPr>
    </w:p>
    <w:p w14:paraId="20645D93" w14:textId="77ED56AD" w:rsidR="00831553" w:rsidRDefault="00831553" w:rsidP="00831553">
      <w:pPr>
        <w:spacing w:line="360" w:lineRule="auto"/>
        <w:rPr>
          <w:rFonts w:ascii="Arial" w:hAnsi="Arial" w:cs="Arial"/>
          <w:sz w:val="22"/>
          <w:szCs w:val="22"/>
          <w:lang w:val="en-GB"/>
        </w:rPr>
      </w:pPr>
      <w:r w:rsidRPr="00A15AB5">
        <w:rPr>
          <w:rFonts w:ascii="Arial" w:hAnsi="Arial" w:cs="Arial"/>
          <w:sz w:val="22"/>
          <w:szCs w:val="22"/>
          <w:lang w:val="en-GB"/>
        </w:rPr>
        <w:t xml:space="preserve">Rometty, G. (2013). IBM Annual Report 2013. [Online] Available at: </w:t>
      </w:r>
      <w:hyperlink r:id="rId13" w:tgtFrame="_new" w:history="1">
        <w:r w:rsidRPr="00A15AB5">
          <w:rPr>
            <w:rStyle w:val="Hyperlink"/>
            <w:rFonts w:ascii="Arial" w:hAnsi="Arial" w:cs="Arial"/>
            <w:sz w:val="22"/>
            <w:szCs w:val="22"/>
            <w:lang w:val="en-GB"/>
          </w:rPr>
          <w:t>https://www.ibm.com/annualreport/2013/bin/assets/2013_ibm_annual.pdf</w:t>
        </w:r>
      </w:hyperlink>
      <w:r w:rsidRPr="00A15AB5">
        <w:rPr>
          <w:rFonts w:ascii="Arial" w:hAnsi="Arial" w:cs="Arial"/>
          <w:sz w:val="22"/>
          <w:szCs w:val="22"/>
          <w:lang w:val="en-GB"/>
        </w:rPr>
        <w:t xml:space="preserve"> [Accessed </w:t>
      </w:r>
      <w:r>
        <w:rPr>
          <w:rFonts w:ascii="Arial" w:hAnsi="Arial" w:cs="Arial"/>
          <w:sz w:val="22"/>
          <w:szCs w:val="22"/>
          <w:lang w:val="en-GB"/>
        </w:rPr>
        <w:t>3 Nov</w:t>
      </w:r>
      <w:r w:rsidRPr="00A15AB5">
        <w:rPr>
          <w:rFonts w:ascii="Arial" w:hAnsi="Arial" w:cs="Arial"/>
          <w:sz w:val="22"/>
          <w:szCs w:val="22"/>
          <w:lang w:val="en-GB"/>
        </w:rPr>
        <w:t xml:space="preserve"> 2023].</w:t>
      </w:r>
    </w:p>
    <w:p w14:paraId="0B5C43B4" w14:textId="77777777" w:rsidR="00831553" w:rsidRPr="00A15AB5" w:rsidRDefault="00831553" w:rsidP="00831553">
      <w:pPr>
        <w:spacing w:line="360" w:lineRule="auto"/>
        <w:rPr>
          <w:rFonts w:ascii="Arial" w:hAnsi="Arial" w:cs="Arial"/>
          <w:sz w:val="22"/>
          <w:szCs w:val="22"/>
          <w:lang w:val="en-GB"/>
        </w:rPr>
      </w:pPr>
    </w:p>
    <w:p w14:paraId="6CCDF757" w14:textId="7E5AC989" w:rsidR="00A15AB5" w:rsidRP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 xml:space="preserve">Salesforce. (2021). Salesforce Onboarding Process. [Online] Available at: </w:t>
      </w:r>
      <w:hyperlink r:id="rId14" w:tgtFrame="_new" w:history="1">
        <w:r w:rsidRPr="00A15AB5">
          <w:rPr>
            <w:rStyle w:val="Hyperlink"/>
            <w:rFonts w:ascii="Arial" w:hAnsi="Arial" w:cs="Arial"/>
            <w:sz w:val="22"/>
            <w:szCs w:val="22"/>
            <w:lang w:val="en-GB"/>
          </w:rPr>
          <w:t>https://www.salesforce.com/company/careers/working-in-tech/onboarding/</w:t>
        </w:r>
      </w:hyperlink>
      <w:r w:rsidRPr="00A15AB5">
        <w:rPr>
          <w:rFonts w:ascii="Arial" w:hAnsi="Arial" w:cs="Arial"/>
          <w:sz w:val="22"/>
          <w:szCs w:val="22"/>
          <w:lang w:val="en-GB"/>
        </w:rPr>
        <w:t xml:space="preserve"> [Accessed 3 Nov 2023].</w:t>
      </w:r>
    </w:p>
    <w:p w14:paraId="7B33B7D7" w14:textId="77777777" w:rsidR="00A15AB5" w:rsidRDefault="00A15AB5" w:rsidP="00A15AB5">
      <w:pPr>
        <w:spacing w:line="360" w:lineRule="auto"/>
        <w:rPr>
          <w:rFonts w:ascii="Arial" w:hAnsi="Arial" w:cs="Arial"/>
          <w:sz w:val="22"/>
          <w:szCs w:val="22"/>
          <w:lang w:val="en-GB"/>
        </w:rPr>
      </w:pPr>
    </w:p>
    <w:p w14:paraId="3496B393" w14:textId="2375D9DD" w:rsidR="00A15AB5" w:rsidRP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 xml:space="preserve">SAS. (2021). SAS Work-Life Balance Programs. [Online] Available at: </w:t>
      </w:r>
      <w:hyperlink r:id="rId15" w:tgtFrame="_new" w:history="1">
        <w:r w:rsidRPr="00A15AB5">
          <w:rPr>
            <w:rStyle w:val="Hyperlink"/>
            <w:rFonts w:ascii="Arial" w:hAnsi="Arial" w:cs="Arial"/>
            <w:sz w:val="22"/>
            <w:szCs w:val="22"/>
            <w:lang w:val="en-GB"/>
          </w:rPr>
          <w:t>https://www.sas.com/en_us/careers/life-at-sas.html</w:t>
        </w:r>
      </w:hyperlink>
      <w:r w:rsidRPr="00A15AB5">
        <w:rPr>
          <w:rFonts w:ascii="Arial" w:hAnsi="Arial" w:cs="Arial"/>
          <w:sz w:val="22"/>
          <w:szCs w:val="22"/>
          <w:lang w:val="en-GB"/>
        </w:rPr>
        <w:t xml:space="preserve"> [Accessed 3 Nov 2023].</w:t>
      </w:r>
    </w:p>
    <w:p w14:paraId="24B3C234" w14:textId="77777777" w:rsidR="00A15AB5" w:rsidRDefault="00A15AB5" w:rsidP="00A15AB5">
      <w:pPr>
        <w:spacing w:line="360" w:lineRule="auto"/>
        <w:rPr>
          <w:rFonts w:ascii="Arial" w:hAnsi="Arial" w:cs="Arial"/>
          <w:sz w:val="22"/>
          <w:szCs w:val="22"/>
          <w:lang w:val="en-GB"/>
        </w:rPr>
      </w:pPr>
    </w:p>
    <w:p w14:paraId="1473E8B2" w14:textId="0A20BB07" w:rsidR="00A15AB5" w:rsidRP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Taylor, S., &amp; Collins, C. J. (2000). Organizational recruitment: Enhancing the intersection of research and practice. In C. L. Cooper &amp; E. A. Locke (Eds.), Industrial and organizational psychology: Linking theory with practice (pp. 304-334). Blackwell.</w:t>
      </w:r>
    </w:p>
    <w:p w14:paraId="3DB2A36B" w14:textId="77777777" w:rsidR="00A15AB5" w:rsidRPr="00A15AB5" w:rsidRDefault="00A15AB5" w:rsidP="00A15AB5">
      <w:pPr>
        <w:spacing w:line="360" w:lineRule="auto"/>
        <w:rPr>
          <w:rFonts w:ascii="Arial" w:hAnsi="Arial" w:cs="Arial"/>
          <w:sz w:val="22"/>
          <w:szCs w:val="22"/>
          <w:lang w:val="en-GB"/>
        </w:rPr>
      </w:pPr>
    </w:p>
    <w:p w14:paraId="7D9A411D" w14:textId="77777777" w:rsidR="00A15AB5" w:rsidRPr="00A15AB5" w:rsidRDefault="00A15AB5" w:rsidP="00A15AB5">
      <w:pPr>
        <w:spacing w:line="360" w:lineRule="auto"/>
        <w:rPr>
          <w:rFonts w:ascii="Arial" w:hAnsi="Arial" w:cs="Arial"/>
          <w:sz w:val="22"/>
          <w:szCs w:val="22"/>
          <w:lang w:val="en-GB"/>
        </w:rPr>
      </w:pPr>
    </w:p>
    <w:p w14:paraId="0A91B750" w14:textId="382DBB85" w:rsidR="00A15AB5" w:rsidRPr="00A15AB5" w:rsidRDefault="00A15AB5" w:rsidP="00A15AB5">
      <w:pPr>
        <w:spacing w:line="360" w:lineRule="auto"/>
        <w:rPr>
          <w:rFonts w:ascii="Arial" w:hAnsi="Arial" w:cs="Arial"/>
          <w:sz w:val="22"/>
          <w:szCs w:val="22"/>
          <w:lang w:val="en-GB"/>
        </w:rPr>
      </w:pPr>
      <w:r w:rsidRPr="00A15AB5">
        <w:rPr>
          <w:rFonts w:ascii="Arial" w:hAnsi="Arial" w:cs="Arial"/>
          <w:sz w:val="22"/>
          <w:szCs w:val="22"/>
          <w:lang w:val="en-GB"/>
        </w:rPr>
        <w:t xml:space="preserve">Salesforce. (2021). Salesforce </w:t>
      </w:r>
      <w:proofErr w:type="spellStart"/>
      <w:r w:rsidRPr="00A15AB5">
        <w:rPr>
          <w:rFonts w:ascii="Arial" w:hAnsi="Arial" w:cs="Arial"/>
          <w:sz w:val="22"/>
          <w:szCs w:val="22"/>
          <w:lang w:val="en-GB"/>
        </w:rPr>
        <w:t>Ohana</w:t>
      </w:r>
      <w:proofErr w:type="spellEnd"/>
      <w:r w:rsidRPr="00A15AB5">
        <w:rPr>
          <w:rFonts w:ascii="Arial" w:hAnsi="Arial" w:cs="Arial"/>
          <w:sz w:val="22"/>
          <w:szCs w:val="22"/>
          <w:lang w:val="en-GB"/>
        </w:rPr>
        <w:t xml:space="preserve"> Culture. [Online] Available at: </w:t>
      </w:r>
      <w:hyperlink r:id="rId16" w:tgtFrame="_new" w:history="1">
        <w:r w:rsidRPr="00A15AB5">
          <w:rPr>
            <w:rStyle w:val="Hyperlink"/>
            <w:rFonts w:ascii="Arial" w:hAnsi="Arial" w:cs="Arial"/>
            <w:sz w:val="22"/>
            <w:szCs w:val="22"/>
            <w:lang w:val="en-GB"/>
          </w:rPr>
          <w:t>https://www.salesforce.com/company/careers/working-in-tech/culture/</w:t>
        </w:r>
      </w:hyperlink>
      <w:r w:rsidRPr="00A15AB5">
        <w:rPr>
          <w:rFonts w:ascii="Arial" w:hAnsi="Arial" w:cs="Arial"/>
          <w:sz w:val="22"/>
          <w:szCs w:val="22"/>
          <w:lang w:val="en-GB"/>
        </w:rPr>
        <w:t xml:space="preserve"> [Accessed </w:t>
      </w:r>
      <w:r w:rsidR="00831553">
        <w:rPr>
          <w:rFonts w:ascii="Arial" w:hAnsi="Arial" w:cs="Arial"/>
          <w:sz w:val="22"/>
          <w:szCs w:val="22"/>
          <w:lang w:val="en-GB"/>
        </w:rPr>
        <w:t>5 Nov</w:t>
      </w:r>
      <w:r w:rsidRPr="00A15AB5">
        <w:rPr>
          <w:rFonts w:ascii="Arial" w:hAnsi="Arial" w:cs="Arial"/>
          <w:sz w:val="22"/>
          <w:szCs w:val="22"/>
          <w:lang w:val="en-GB"/>
        </w:rPr>
        <w:t xml:space="preserve"> 2023].</w:t>
      </w:r>
    </w:p>
    <w:p w14:paraId="47BD6993" w14:textId="77777777" w:rsidR="00A15AB5" w:rsidRPr="00A15AB5" w:rsidRDefault="00A15AB5" w:rsidP="00A15AB5">
      <w:pPr>
        <w:spacing w:line="360" w:lineRule="auto"/>
        <w:rPr>
          <w:rFonts w:ascii="Arial" w:hAnsi="Arial" w:cs="Arial"/>
          <w:sz w:val="22"/>
          <w:szCs w:val="22"/>
          <w:lang w:val="en-GB"/>
        </w:rPr>
      </w:pPr>
    </w:p>
    <w:sectPr w:rsidR="00A15AB5" w:rsidRPr="00A15A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92019"/>
    <w:multiLevelType w:val="multilevel"/>
    <w:tmpl w:val="52E8F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1A272D"/>
    <w:multiLevelType w:val="multilevel"/>
    <w:tmpl w:val="6744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4E30A6"/>
    <w:multiLevelType w:val="multilevel"/>
    <w:tmpl w:val="0CC09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2013BF"/>
    <w:multiLevelType w:val="multilevel"/>
    <w:tmpl w:val="5CE29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D67870"/>
    <w:multiLevelType w:val="multilevel"/>
    <w:tmpl w:val="42CE4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D71BBB"/>
    <w:multiLevelType w:val="multilevel"/>
    <w:tmpl w:val="23A4D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1865170">
    <w:abstractNumId w:val="1"/>
  </w:num>
  <w:num w:numId="2" w16cid:durableId="1014111349">
    <w:abstractNumId w:val="2"/>
  </w:num>
  <w:num w:numId="3" w16cid:durableId="651761282">
    <w:abstractNumId w:val="3"/>
  </w:num>
  <w:num w:numId="4" w16cid:durableId="390423417">
    <w:abstractNumId w:val="0"/>
  </w:num>
  <w:num w:numId="5" w16cid:durableId="1193032725">
    <w:abstractNumId w:val="5"/>
  </w:num>
  <w:num w:numId="6" w16cid:durableId="12570603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FAC"/>
    <w:rsid w:val="00392E14"/>
    <w:rsid w:val="00831553"/>
    <w:rsid w:val="00A15AB5"/>
    <w:rsid w:val="00A46FAC"/>
    <w:rsid w:val="00BE0DE3"/>
    <w:rsid w:val="00F825F4"/>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7F6005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E1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3155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F825F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825F4"/>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F825F4"/>
    <w:pPr>
      <w:spacing w:before="100" w:beforeAutospacing="1" w:after="100" w:afterAutospacing="1"/>
    </w:pPr>
  </w:style>
  <w:style w:type="character" w:styleId="Hyperlink">
    <w:name w:val="Hyperlink"/>
    <w:basedOn w:val="DefaultParagraphFont"/>
    <w:uiPriority w:val="99"/>
    <w:unhideWhenUsed/>
    <w:rsid w:val="00F825F4"/>
    <w:rPr>
      <w:color w:val="0000FF"/>
      <w:u w:val="single"/>
    </w:rPr>
  </w:style>
  <w:style w:type="character" w:styleId="Strong">
    <w:name w:val="Strong"/>
    <w:basedOn w:val="DefaultParagraphFont"/>
    <w:uiPriority w:val="22"/>
    <w:qFormat/>
    <w:rsid w:val="00392E14"/>
    <w:rPr>
      <w:b/>
      <w:bCs/>
    </w:rPr>
  </w:style>
  <w:style w:type="character" w:customStyle="1" w:styleId="Heading1Char">
    <w:name w:val="Heading 1 Char"/>
    <w:basedOn w:val="DefaultParagraphFont"/>
    <w:link w:val="Heading1"/>
    <w:uiPriority w:val="9"/>
    <w:rsid w:val="00831553"/>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83155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31553"/>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83155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3155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3155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3155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3155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3155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3155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31553"/>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79558">
      <w:bodyDiv w:val="1"/>
      <w:marLeft w:val="0"/>
      <w:marRight w:val="0"/>
      <w:marTop w:val="0"/>
      <w:marBottom w:val="0"/>
      <w:divBdr>
        <w:top w:val="none" w:sz="0" w:space="0" w:color="auto"/>
        <w:left w:val="none" w:sz="0" w:space="0" w:color="auto"/>
        <w:bottom w:val="none" w:sz="0" w:space="0" w:color="auto"/>
        <w:right w:val="none" w:sz="0" w:space="0" w:color="auto"/>
      </w:divBdr>
    </w:div>
    <w:div w:id="748888438">
      <w:bodyDiv w:val="1"/>
      <w:marLeft w:val="0"/>
      <w:marRight w:val="0"/>
      <w:marTop w:val="0"/>
      <w:marBottom w:val="0"/>
      <w:divBdr>
        <w:top w:val="none" w:sz="0" w:space="0" w:color="auto"/>
        <w:left w:val="none" w:sz="0" w:space="0" w:color="auto"/>
        <w:bottom w:val="none" w:sz="0" w:space="0" w:color="auto"/>
        <w:right w:val="none" w:sz="0" w:space="0" w:color="auto"/>
      </w:divBdr>
    </w:div>
    <w:div w:id="798031996">
      <w:bodyDiv w:val="1"/>
      <w:marLeft w:val="0"/>
      <w:marRight w:val="0"/>
      <w:marTop w:val="0"/>
      <w:marBottom w:val="0"/>
      <w:divBdr>
        <w:top w:val="none" w:sz="0" w:space="0" w:color="auto"/>
        <w:left w:val="none" w:sz="0" w:space="0" w:color="auto"/>
        <w:bottom w:val="none" w:sz="0" w:space="0" w:color="auto"/>
        <w:right w:val="none" w:sz="0" w:space="0" w:color="auto"/>
      </w:divBdr>
    </w:div>
    <w:div w:id="1421486383">
      <w:bodyDiv w:val="1"/>
      <w:marLeft w:val="0"/>
      <w:marRight w:val="0"/>
      <w:marTop w:val="0"/>
      <w:marBottom w:val="0"/>
      <w:divBdr>
        <w:top w:val="none" w:sz="0" w:space="0" w:color="auto"/>
        <w:left w:val="none" w:sz="0" w:space="0" w:color="auto"/>
        <w:bottom w:val="none" w:sz="0" w:space="0" w:color="auto"/>
        <w:right w:val="none" w:sz="0" w:space="0" w:color="auto"/>
      </w:divBdr>
    </w:div>
    <w:div w:id="1516194173">
      <w:bodyDiv w:val="1"/>
      <w:marLeft w:val="0"/>
      <w:marRight w:val="0"/>
      <w:marTop w:val="0"/>
      <w:marBottom w:val="0"/>
      <w:divBdr>
        <w:top w:val="none" w:sz="0" w:space="0" w:color="auto"/>
        <w:left w:val="none" w:sz="0" w:space="0" w:color="auto"/>
        <w:bottom w:val="none" w:sz="0" w:space="0" w:color="auto"/>
        <w:right w:val="none" w:sz="0" w:space="0" w:color="auto"/>
      </w:divBdr>
    </w:div>
    <w:div w:id="1605072777">
      <w:bodyDiv w:val="1"/>
      <w:marLeft w:val="0"/>
      <w:marRight w:val="0"/>
      <w:marTop w:val="0"/>
      <w:marBottom w:val="0"/>
      <w:divBdr>
        <w:top w:val="none" w:sz="0" w:space="0" w:color="auto"/>
        <w:left w:val="none" w:sz="0" w:space="0" w:color="auto"/>
        <w:bottom w:val="none" w:sz="0" w:space="0" w:color="auto"/>
        <w:right w:val="none" w:sz="0" w:space="0" w:color="auto"/>
      </w:divBdr>
    </w:div>
    <w:div w:id="2114593083">
      <w:bodyDiv w:val="1"/>
      <w:marLeft w:val="0"/>
      <w:marRight w:val="0"/>
      <w:marTop w:val="0"/>
      <w:marBottom w:val="0"/>
      <w:divBdr>
        <w:top w:val="none" w:sz="0" w:space="0" w:color="auto"/>
        <w:left w:val="none" w:sz="0" w:space="0" w:color="auto"/>
        <w:bottom w:val="none" w:sz="0" w:space="0" w:color="auto"/>
        <w:right w:val="none" w:sz="0" w:space="0" w:color="auto"/>
      </w:divBdr>
      <w:divsChild>
        <w:div w:id="666712098">
          <w:marLeft w:val="0"/>
          <w:marRight w:val="0"/>
          <w:marTop w:val="0"/>
          <w:marBottom w:val="0"/>
          <w:divBdr>
            <w:top w:val="none" w:sz="0" w:space="0" w:color="auto"/>
            <w:left w:val="none" w:sz="0" w:space="0" w:color="auto"/>
            <w:bottom w:val="none" w:sz="0" w:space="0" w:color="auto"/>
            <w:right w:val="none" w:sz="0" w:space="0" w:color="auto"/>
          </w:divBdr>
          <w:divsChild>
            <w:div w:id="340204607">
              <w:marLeft w:val="0"/>
              <w:marRight w:val="0"/>
              <w:marTop w:val="0"/>
              <w:marBottom w:val="0"/>
              <w:divBdr>
                <w:top w:val="none" w:sz="0" w:space="0" w:color="auto"/>
                <w:left w:val="none" w:sz="0" w:space="0" w:color="auto"/>
                <w:bottom w:val="none" w:sz="0" w:space="0" w:color="auto"/>
                <w:right w:val="none" w:sz="0" w:space="0" w:color="auto"/>
              </w:divBdr>
              <w:divsChild>
                <w:div w:id="1066880850">
                  <w:marLeft w:val="0"/>
                  <w:marRight w:val="0"/>
                  <w:marTop w:val="0"/>
                  <w:marBottom w:val="0"/>
                  <w:divBdr>
                    <w:top w:val="none" w:sz="0" w:space="0" w:color="auto"/>
                    <w:left w:val="none" w:sz="0" w:space="0" w:color="auto"/>
                    <w:bottom w:val="none" w:sz="0" w:space="0" w:color="auto"/>
                    <w:right w:val="none" w:sz="0" w:space="0" w:color="auto"/>
                  </w:divBdr>
                  <w:divsChild>
                    <w:div w:id="104178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s/en/pages/careers/articles/join-deloitte-learning-and-development.html" TargetMode="External"/><Relationship Id="rId13" Type="http://schemas.openxmlformats.org/officeDocument/2006/relationships/hyperlink" Target="https://www.ibm.com/annualreport/2013/bin/assets/2013_ibm_annual.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hbr.org/2013/12/how-google-sells-its-free-products" TargetMode="External"/><Relationship Id="rId12" Type="http://schemas.openxmlformats.org/officeDocument/2006/relationships/hyperlink" Target="https://marriott.gcs-web.com/news-releases/news-release-details/marriott-internationals-groundbreaking-travel-progra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alesforce.com/company/careers/working-in-tech/culture/" TargetMode="External"/><Relationship Id="rId1" Type="http://schemas.openxmlformats.org/officeDocument/2006/relationships/customXml" Target="../customXml/item1.xml"/><Relationship Id="rId6" Type="http://schemas.openxmlformats.org/officeDocument/2006/relationships/hyperlink" Target="https://www.aboutamazon.com/news/workplace/career-choice" TargetMode="External"/><Relationship Id="rId11" Type="http://schemas.openxmlformats.org/officeDocument/2006/relationships/hyperlink" Target="https://jobs.hilton.com/us/en/thrive-at-hilton" TargetMode="External"/><Relationship Id="rId5" Type="http://schemas.openxmlformats.org/officeDocument/2006/relationships/webSettings" Target="webSettings.xml"/><Relationship Id="rId15" Type="http://schemas.openxmlformats.org/officeDocument/2006/relationships/hyperlink" Target="https://www.sas.com/en_us/careers/life-at-sas.html" TargetMode="External"/><Relationship Id="rId10" Type="http://schemas.openxmlformats.org/officeDocument/2006/relationships/hyperlink" Target="https://jobs.hilton.com/us/en" TargetMode="External"/><Relationship Id="rId4" Type="http://schemas.openxmlformats.org/officeDocument/2006/relationships/settings" Target="settings.xml"/><Relationship Id="rId9" Type="http://schemas.openxmlformats.org/officeDocument/2006/relationships/hyperlink" Target="https://www.greatplacetowork.com/best-workplaces/100-best/2021" TargetMode="External"/><Relationship Id="rId14" Type="http://schemas.openxmlformats.org/officeDocument/2006/relationships/hyperlink" Target="https://www.salesforce.com/company/careers/working-in-tech/onboar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7608FD-97E7-604F-B823-185F81C95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12</Pages>
  <Words>3069</Words>
  <Characters>17496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2023-11-05T17:25:00Z</dcterms:created>
  <dcterms:modified xsi:type="dcterms:W3CDTF">2023-11-06T18:38:00Z</dcterms:modified>
</cp:coreProperties>
</file>