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C9168" w14:textId="5B6198DD" w:rsidR="001F6258" w:rsidRDefault="001F6258" w:rsidP="001F6258">
      <w:pPr>
        <w:spacing w:line="360" w:lineRule="auto"/>
        <w:jc w:val="both"/>
        <w:rPr>
          <w:rFonts w:ascii="Arial" w:hAnsi="Arial" w:cs="Arial"/>
          <w:noProof/>
        </w:rPr>
      </w:pPr>
      <w:r w:rsidRPr="00594FAC">
        <w:rPr>
          <w:rFonts w:ascii="Arial" w:hAnsi="Arial" w:cs="Arial"/>
          <w:noProof/>
        </w:rPr>
        <w:drawing>
          <wp:anchor distT="0" distB="0" distL="114300" distR="114300" simplePos="0" relativeHeight="251659264" behindDoc="0" locked="0" layoutInCell="1" allowOverlap="1" wp14:anchorId="4A322C74" wp14:editId="06537CB3">
            <wp:simplePos x="0" y="0"/>
            <wp:positionH relativeFrom="margin">
              <wp:align>left</wp:align>
            </wp:positionH>
            <wp:positionV relativeFrom="paragraph">
              <wp:posOffset>158750</wp:posOffset>
            </wp:positionV>
            <wp:extent cx="2216150" cy="9271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216150" cy="927100"/>
                    </a:xfrm>
                    <a:prstGeom prst="rect">
                      <a:avLst/>
                    </a:prstGeom>
                    <a:noFill/>
                  </pic:spPr>
                </pic:pic>
              </a:graphicData>
            </a:graphic>
            <wp14:sizeRelH relativeFrom="page">
              <wp14:pctWidth>0</wp14:pctWidth>
            </wp14:sizeRelH>
            <wp14:sizeRelV relativeFrom="page">
              <wp14:pctHeight>0</wp14:pctHeight>
            </wp14:sizeRelV>
          </wp:anchor>
        </w:drawing>
      </w:r>
    </w:p>
    <w:p w14:paraId="1C21427E" w14:textId="77777777" w:rsidR="001F6258" w:rsidRDefault="001F6258" w:rsidP="001F6258">
      <w:pPr>
        <w:spacing w:line="360" w:lineRule="auto"/>
        <w:jc w:val="both"/>
        <w:rPr>
          <w:rFonts w:ascii="Arial" w:hAnsi="Arial" w:cs="Arial"/>
          <w:noProof/>
        </w:rPr>
      </w:pPr>
    </w:p>
    <w:p w14:paraId="077BD351" w14:textId="77777777" w:rsidR="001F6258" w:rsidRDefault="001F6258" w:rsidP="001F6258">
      <w:pPr>
        <w:spacing w:line="360" w:lineRule="auto"/>
        <w:jc w:val="both"/>
        <w:rPr>
          <w:rFonts w:ascii="Arial" w:hAnsi="Arial" w:cs="Arial"/>
          <w:noProof/>
        </w:rPr>
      </w:pPr>
    </w:p>
    <w:p w14:paraId="5B6613AD" w14:textId="77777777" w:rsidR="001F6258" w:rsidRDefault="001F6258" w:rsidP="001F6258">
      <w:pPr>
        <w:spacing w:line="360" w:lineRule="auto"/>
        <w:jc w:val="both"/>
        <w:rPr>
          <w:rFonts w:ascii="Arial" w:hAnsi="Arial" w:cs="Arial"/>
          <w:noProof/>
        </w:rPr>
      </w:pPr>
    </w:p>
    <w:p w14:paraId="52D93CA3" w14:textId="77777777" w:rsidR="001F6258" w:rsidRPr="00594FAC" w:rsidRDefault="001F6258" w:rsidP="001F6258">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1F6258">
        <w:rPr>
          <w:rFonts w:ascii="Arial" w:hAnsi="Arial" w:cs="Arial"/>
          <w:b/>
          <w:bCs/>
          <w:sz w:val="32"/>
          <w:szCs w:val="32"/>
          <w:lang w:val="nl-NL"/>
        </w:rPr>
        <w:t xml:space="preserve">: </w:t>
      </w:r>
      <w:r w:rsidRPr="001F6258">
        <w:rPr>
          <w:rFonts w:ascii="Arial" w:eastAsia="Arial" w:hAnsi="Arial" w:cs="Arial"/>
          <w:b/>
          <w:bCs/>
          <w:sz w:val="28"/>
          <w:szCs w:val="28"/>
        </w:rPr>
        <w:t xml:space="preserve">Sylvie Djeuga </w:t>
      </w:r>
      <w:proofErr w:type="spellStart"/>
      <w:r w:rsidRPr="001F6258">
        <w:rPr>
          <w:rFonts w:ascii="Arial" w:eastAsia="Arial" w:hAnsi="Arial" w:cs="Arial"/>
          <w:b/>
          <w:bCs/>
          <w:sz w:val="28"/>
          <w:szCs w:val="28"/>
        </w:rPr>
        <w:t>Djeuga</w:t>
      </w:r>
      <w:proofErr w:type="spellEnd"/>
    </w:p>
    <w:p w14:paraId="72F80903" w14:textId="77777777" w:rsidR="001F6258" w:rsidRPr="00594FAC" w:rsidRDefault="001F6258" w:rsidP="001F6258">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Pr="00C25372">
        <w:rPr>
          <w:rFonts w:ascii="Arial" w:eastAsia="Arial" w:hAnsi="Arial" w:cs="Arial"/>
          <w:b/>
          <w:bCs/>
        </w:rPr>
        <w:t xml:space="preserve"> </w:t>
      </w:r>
      <w:r w:rsidRPr="001F6258">
        <w:rPr>
          <w:rFonts w:ascii="Arial" w:eastAsia="Arial" w:hAnsi="Arial" w:cs="Arial"/>
          <w:b/>
          <w:bCs/>
          <w:sz w:val="28"/>
          <w:szCs w:val="28"/>
        </w:rPr>
        <w:t>2335842</w:t>
      </w:r>
    </w:p>
    <w:p w14:paraId="0FB8BDA8" w14:textId="77777777" w:rsidR="001F6258" w:rsidRPr="00594FAC" w:rsidRDefault="001F6258" w:rsidP="001F6258">
      <w:pPr>
        <w:tabs>
          <w:tab w:val="left" w:pos="6540"/>
        </w:tabs>
        <w:spacing w:line="360" w:lineRule="auto"/>
        <w:rPr>
          <w:rFonts w:ascii="Arial" w:hAnsi="Arial" w:cs="Arial"/>
          <w:sz w:val="28"/>
          <w:szCs w:val="28"/>
          <w:lang w:val="nl-NL"/>
        </w:rPr>
      </w:pPr>
    </w:p>
    <w:p w14:paraId="55143945" w14:textId="5E5D371F" w:rsidR="001F6258" w:rsidRPr="00594FAC" w:rsidRDefault="001F6258" w:rsidP="001F6258">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Pr="001F6258">
        <w:rPr>
          <w:rFonts w:ascii="Arial" w:hAnsi="Arial" w:cs="Arial"/>
          <w:b/>
          <w:bCs/>
          <w:sz w:val="28"/>
          <w:szCs w:val="28"/>
          <w:lang w:val="nl-NL"/>
        </w:rPr>
        <w:t>Building your Personal Brand for Sustainable Employment,</w:t>
      </w:r>
      <w:r>
        <w:rPr>
          <w:rFonts w:ascii="Arial" w:hAnsi="Arial" w:cs="Arial"/>
          <w:b/>
          <w:bCs/>
          <w:sz w:val="28"/>
          <w:szCs w:val="28"/>
          <w:lang w:val="nl-NL"/>
        </w:rPr>
        <w:t>Component: 1</w:t>
      </w:r>
      <w:r w:rsidRPr="001F6258">
        <w:rPr>
          <w:rFonts w:ascii="Arial" w:hAnsi="Arial" w:cs="Arial"/>
          <w:b/>
          <w:bCs/>
          <w:color w:val="000000" w:themeColor="text1"/>
          <w:sz w:val="22"/>
          <w:szCs w:val="22"/>
        </w:rPr>
        <w:t xml:space="preserve"> </w:t>
      </w:r>
    </w:p>
    <w:p w14:paraId="0A8DBC7C" w14:textId="59193299" w:rsidR="001F6258" w:rsidRPr="001F6258" w:rsidRDefault="001F6258" w:rsidP="001F6258">
      <w:pPr>
        <w:spacing w:line="360" w:lineRule="auto"/>
        <w:jc w:val="both"/>
        <w:rPr>
          <w:rFonts w:ascii="Arial" w:hAnsi="Arial" w:cs="Arial"/>
          <w:b/>
          <w:bCs/>
          <w:color w:val="000000" w:themeColor="text1"/>
          <w:sz w:val="22"/>
          <w:szCs w:val="22"/>
        </w:rPr>
      </w:pPr>
      <w:r w:rsidRPr="00594FAC">
        <w:rPr>
          <w:rFonts w:ascii="Arial" w:hAnsi="Arial" w:cs="Arial"/>
          <w:b/>
          <w:bCs/>
          <w:sz w:val="28"/>
          <w:szCs w:val="28"/>
        </w:rPr>
        <w:t>Module code</w:t>
      </w:r>
      <w:r w:rsidRPr="00594FAC">
        <w:rPr>
          <w:rFonts w:ascii="Arial" w:hAnsi="Arial" w:cs="Arial"/>
          <w:sz w:val="28"/>
          <w:szCs w:val="28"/>
        </w:rPr>
        <w:t>:</w:t>
      </w:r>
      <w:r w:rsidRPr="00887FBB">
        <w:rPr>
          <w:rFonts w:ascii="Arial" w:hAnsi="Arial" w:cs="Arial"/>
          <w:b/>
          <w:bCs/>
          <w:sz w:val="28"/>
          <w:szCs w:val="28"/>
        </w:rPr>
        <w:t xml:space="preserve"> </w:t>
      </w:r>
      <w:r w:rsidRPr="001F6258">
        <w:rPr>
          <w:rFonts w:ascii="Arial" w:hAnsi="Arial" w:cs="Arial"/>
          <w:b/>
          <w:bCs/>
          <w:color w:val="000000" w:themeColor="text1"/>
          <w:sz w:val="28"/>
          <w:szCs w:val="28"/>
        </w:rPr>
        <w:t xml:space="preserve"> BMHP5015</w:t>
      </w:r>
    </w:p>
    <w:p w14:paraId="1A83B0E6" w14:textId="77777777" w:rsidR="001F6258" w:rsidRDefault="001F6258" w:rsidP="001F6258">
      <w:pPr>
        <w:tabs>
          <w:tab w:val="left" w:pos="6540"/>
        </w:tabs>
        <w:spacing w:line="360" w:lineRule="auto"/>
        <w:rPr>
          <w:rFonts w:ascii="Arial" w:hAnsi="Arial" w:cs="Arial"/>
          <w:b/>
          <w:bCs/>
          <w:sz w:val="28"/>
          <w:szCs w:val="28"/>
        </w:rPr>
      </w:pPr>
    </w:p>
    <w:p w14:paraId="578B80B2" w14:textId="77777777" w:rsidR="001F6258" w:rsidRDefault="001F6258" w:rsidP="001F6258">
      <w:pPr>
        <w:tabs>
          <w:tab w:val="left" w:pos="6540"/>
        </w:tabs>
        <w:spacing w:line="360" w:lineRule="auto"/>
        <w:rPr>
          <w:rFonts w:ascii="Arial" w:hAnsi="Arial" w:cs="Arial"/>
          <w:b/>
          <w:bCs/>
          <w:sz w:val="28"/>
          <w:szCs w:val="28"/>
        </w:rPr>
      </w:pPr>
    </w:p>
    <w:p w14:paraId="1227C05D" w14:textId="77777777" w:rsidR="001F6258" w:rsidRDefault="001F6258" w:rsidP="001F6258">
      <w:pPr>
        <w:tabs>
          <w:tab w:val="left" w:pos="6540"/>
        </w:tabs>
        <w:spacing w:line="360" w:lineRule="auto"/>
        <w:rPr>
          <w:rFonts w:ascii="Arial" w:hAnsi="Arial" w:cs="Arial"/>
          <w:b/>
          <w:bCs/>
          <w:sz w:val="28"/>
          <w:szCs w:val="28"/>
        </w:rPr>
      </w:pPr>
    </w:p>
    <w:p w14:paraId="433F03C0" w14:textId="77777777" w:rsidR="001F6258" w:rsidRDefault="001F6258" w:rsidP="001F6258">
      <w:pPr>
        <w:tabs>
          <w:tab w:val="left" w:pos="6540"/>
        </w:tabs>
        <w:spacing w:line="360" w:lineRule="auto"/>
        <w:rPr>
          <w:rFonts w:ascii="Arial" w:hAnsi="Arial" w:cs="Arial"/>
          <w:b/>
          <w:bCs/>
          <w:sz w:val="28"/>
          <w:szCs w:val="28"/>
        </w:rPr>
      </w:pPr>
    </w:p>
    <w:p w14:paraId="37587BD6" w14:textId="77777777" w:rsidR="001F6258" w:rsidRDefault="001F6258" w:rsidP="001F6258">
      <w:pPr>
        <w:tabs>
          <w:tab w:val="left" w:pos="6540"/>
        </w:tabs>
        <w:spacing w:line="360" w:lineRule="auto"/>
        <w:rPr>
          <w:rFonts w:ascii="Arial" w:hAnsi="Arial" w:cs="Arial"/>
          <w:b/>
          <w:bCs/>
          <w:sz w:val="28"/>
          <w:szCs w:val="28"/>
        </w:rPr>
      </w:pPr>
    </w:p>
    <w:p w14:paraId="3078E4FE" w14:textId="77777777" w:rsidR="001F6258" w:rsidRDefault="001F6258" w:rsidP="001F6258">
      <w:pPr>
        <w:tabs>
          <w:tab w:val="left" w:pos="6540"/>
        </w:tabs>
        <w:spacing w:line="360" w:lineRule="auto"/>
        <w:rPr>
          <w:rFonts w:ascii="Arial" w:hAnsi="Arial" w:cs="Arial"/>
          <w:b/>
          <w:bCs/>
          <w:sz w:val="28"/>
          <w:szCs w:val="28"/>
        </w:rPr>
      </w:pPr>
    </w:p>
    <w:p w14:paraId="763AB3D3" w14:textId="77777777" w:rsidR="001F6258" w:rsidRDefault="001F6258" w:rsidP="001F6258">
      <w:pPr>
        <w:tabs>
          <w:tab w:val="left" w:pos="6540"/>
        </w:tabs>
        <w:spacing w:line="360" w:lineRule="auto"/>
        <w:rPr>
          <w:rFonts w:ascii="Arial" w:hAnsi="Arial" w:cs="Arial"/>
          <w:b/>
          <w:bCs/>
          <w:sz w:val="28"/>
          <w:szCs w:val="28"/>
        </w:rPr>
      </w:pPr>
    </w:p>
    <w:p w14:paraId="510ED490" w14:textId="77777777" w:rsidR="001F6258" w:rsidRDefault="001F6258" w:rsidP="001F6258">
      <w:pPr>
        <w:tabs>
          <w:tab w:val="left" w:pos="6540"/>
        </w:tabs>
        <w:spacing w:line="360" w:lineRule="auto"/>
        <w:rPr>
          <w:rFonts w:ascii="Arial" w:hAnsi="Arial" w:cs="Arial"/>
          <w:b/>
          <w:bCs/>
          <w:sz w:val="28"/>
          <w:szCs w:val="28"/>
        </w:rPr>
      </w:pPr>
    </w:p>
    <w:p w14:paraId="58475A5D" w14:textId="77777777" w:rsidR="001F6258" w:rsidRDefault="001F6258" w:rsidP="001F6258">
      <w:pPr>
        <w:tabs>
          <w:tab w:val="left" w:pos="6540"/>
        </w:tabs>
        <w:spacing w:line="360" w:lineRule="auto"/>
        <w:rPr>
          <w:rFonts w:ascii="Arial" w:hAnsi="Arial" w:cs="Arial"/>
          <w:b/>
          <w:bCs/>
          <w:sz w:val="28"/>
          <w:szCs w:val="28"/>
        </w:rPr>
      </w:pPr>
    </w:p>
    <w:p w14:paraId="102DA64F" w14:textId="77777777" w:rsidR="001F6258" w:rsidRDefault="001F6258" w:rsidP="001F6258">
      <w:pPr>
        <w:tabs>
          <w:tab w:val="left" w:pos="6540"/>
        </w:tabs>
        <w:spacing w:line="360" w:lineRule="auto"/>
        <w:rPr>
          <w:rFonts w:ascii="Arial" w:hAnsi="Arial" w:cs="Arial"/>
          <w:b/>
          <w:bCs/>
          <w:sz w:val="28"/>
          <w:szCs w:val="28"/>
        </w:rPr>
      </w:pPr>
    </w:p>
    <w:p w14:paraId="5C06C3AD" w14:textId="77777777" w:rsidR="001F6258" w:rsidRDefault="001F6258" w:rsidP="001F6258">
      <w:pPr>
        <w:tabs>
          <w:tab w:val="left" w:pos="6540"/>
        </w:tabs>
        <w:spacing w:line="360" w:lineRule="auto"/>
        <w:rPr>
          <w:rFonts w:ascii="Arial" w:hAnsi="Arial" w:cs="Arial"/>
          <w:b/>
          <w:bCs/>
          <w:sz w:val="28"/>
          <w:szCs w:val="28"/>
        </w:rPr>
      </w:pPr>
    </w:p>
    <w:p w14:paraId="24E25C31" w14:textId="77777777" w:rsidR="001F6258" w:rsidRDefault="001F6258" w:rsidP="001F6258">
      <w:pPr>
        <w:tabs>
          <w:tab w:val="left" w:pos="6540"/>
        </w:tabs>
        <w:spacing w:line="360" w:lineRule="auto"/>
        <w:rPr>
          <w:rFonts w:ascii="Arial" w:eastAsia="Times New Roman" w:hAnsi="Arial" w:cs="Arial"/>
          <w:b/>
          <w:bCs/>
          <w:color w:val="000000" w:themeColor="text1"/>
          <w:kern w:val="0"/>
          <w:sz w:val="22"/>
          <w:szCs w:val="22"/>
          <w:lang w:eastAsia="en-GB"/>
          <w14:ligatures w14:val="none"/>
        </w:rPr>
      </w:pPr>
    </w:p>
    <w:p w14:paraId="15F48057" w14:textId="77777777" w:rsidR="00C94193" w:rsidRDefault="00C94193" w:rsidP="001F6258">
      <w:pPr>
        <w:tabs>
          <w:tab w:val="left" w:pos="6540"/>
        </w:tabs>
        <w:spacing w:line="360" w:lineRule="auto"/>
        <w:rPr>
          <w:rFonts w:ascii="Arial" w:eastAsia="Times New Roman" w:hAnsi="Arial" w:cs="Arial"/>
          <w:b/>
          <w:bCs/>
          <w:color w:val="000000" w:themeColor="text1"/>
          <w:kern w:val="0"/>
          <w:sz w:val="22"/>
          <w:szCs w:val="22"/>
          <w:lang w:eastAsia="en-GB"/>
          <w14:ligatures w14:val="none"/>
        </w:rPr>
      </w:pPr>
    </w:p>
    <w:p w14:paraId="4496C7B9" w14:textId="36B6FBB0" w:rsidR="004A3209" w:rsidRPr="001F6258" w:rsidRDefault="004A3209" w:rsidP="001F6258">
      <w:pPr>
        <w:tabs>
          <w:tab w:val="left" w:pos="6540"/>
        </w:tabs>
        <w:spacing w:line="360" w:lineRule="auto"/>
        <w:rPr>
          <w:rFonts w:ascii="Arial" w:hAnsi="Arial" w:cs="Arial"/>
          <w:sz w:val="28"/>
          <w:szCs w:val="28"/>
        </w:rPr>
      </w:pPr>
      <w:r w:rsidRPr="001F6258">
        <w:rPr>
          <w:rFonts w:ascii="Arial" w:eastAsia="Times New Roman" w:hAnsi="Arial" w:cs="Arial"/>
          <w:b/>
          <w:bCs/>
          <w:color w:val="000000" w:themeColor="text1"/>
          <w:kern w:val="0"/>
          <w:sz w:val="22"/>
          <w:szCs w:val="22"/>
          <w:lang w:eastAsia="en-GB"/>
          <w14:ligatures w14:val="none"/>
        </w:rPr>
        <w:lastRenderedPageBreak/>
        <w:t xml:space="preserve">Introduction </w:t>
      </w:r>
    </w:p>
    <w:p w14:paraId="257B5B7B"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This assignment offers a reflective account of my learning across four key units within the module, demonstrating how each has contributed to my personal growth and professional preparedness for a future career in health and social care. The overarching aim is to illustrate how the knowledge and skills gained will support my development as a competent, compassionate leader within the sector.</w:t>
      </w:r>
    </w:p>
    <w:p w14:paraId="08714984"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The first unit, Brand You, underscored the importance of cultivating a strong personal brand. I learned that authenticity, strategic digital presence, and compelling storytelling are vital for building a professional identity that commands trust and opens leadership opportunities. Montoya and Vandevelde (2002) emphasise that authentic personal brands foster trust and facilitate career advancement, which resonates with my goal of establishing credibility in the sector.</w:t>
      </w:r>
    </w:p>
    <w:p w14:paraId="7D1DF988"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In It’s a Small World, I gained a broader understanding of the interconnectedness of health and social care globally. I explored how international health systems operate, the influence of migration, and the importance of cultural competence. Identifying the global dimensions of health challenges, such as pandemics and inequalities, has made me appreciate the necessity of cultural sensitivity and global health literacy, as advocated by Kickbusch (2013). Engaging in online forums and case study analyses deepened my awareness of how local practice is shaped by international trends and cross-cultural factors.</w:t>
      </w:r>
    </w:p>
    <w:p w14:paraId="01FAD989"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Opportunity Knock is focused on recognising and proactively leveraging opportunities for personal and professional development. I learned about the importance of self-assessment, setting SMART goals, and resilience. Bandura (1997) highlights the significance of self-efficacy for motivation and achievement, which I now see as critical for career progression. Activities like developing personal development plans and participating in mock interviews helped me adopt a strategic mindset, that emphasised continuous improvement.</w:t>
      </w:r>
    </w:p>
    <w:p w14:paraId="0F780B74"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Finally, The Pursuit of Happiness emphasised the importance of psychological well-being for sustained motivation and leadership effectiveness. I explored positive psychology principles, such as Seligman’s (2011) PERMA model—focusing on positive emotions, engagement, relationships, meaning, and achievement. Reflecting on self-care, mindfulness, and cultivating a growth mindset, I realise that maintaining well-being is essential for resilience and effective practice.</w:t>
      </w:r>
    </w:p>
    <w:p w14:paraId="3187EF9F" w14:textId="1AF781B2"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lastRenderedPageBreak/>
        <w:t>Overall, this module has equipped me with a comprehensive toolkit</w:t>
      </w:r>
      <w:r w:rsidRPr="001F6258">
        <w:rPr>
          <w:rFonts w:ascii="Arial" w:eastAsia="Times New Roman" w:hAnsi="Arial" w:cs="Arial"/>
          <w:color w:val="000000" w:themeColor="text1"/>
          <w:kern w:val="0"/>
          <w:sz w:val="22"/>
          <w:szCs w:val="22"/>
          <w:lang w:eastAsia="en-GB"/>
          <w14:ligatures w14:val="none"/>
        </w:rPr>
        <w:t xml:space="preserve"> </w:t>
      </w:r>
      <w:r w:rsidRPr="002B4E4D">
        <w:rPr>
          <w:rFonts w:ascii="Arial" w:eastAsia="Times New Roman" w:hAnsi="Arial" w:cs="Arial"/>
          <w:color w:val="000000" w:themeColor="text1"/>
          <w:kern w:val="0"/>
          <w:sz w:val="22"/>
          <w:szCs w:val="22"/>
          <w:lang w:eastAsia="en-GB"/>
          <w14:ligatures w14:val="none"/>
        </w:rPr>
        <w:t>covering personal branding, global awareness, opportunity recognition, and well-being</w:t>
      </w:r>
      <w:r w:rsidRPr="001F6258">
        <w:rPr>
          <w:rFonts w:ascii="Arial" w:eastAsia="Times New Roman" w:hAnsi="Arial" w:cs="Arial"/>
          <w:color w:val="000000" w:themeColor="text1"/>
          <w:kern w:val="0"/>
          <w:sz w:val="22"/>
          <w:szCs w:val="22"/>
          <w:lang w:eastAsia="en-GB"/>
          <w14:ligatures w14:val="none"/>
        </w:rPr>
        <w:t xml:space="preserve"> </w:t>
      </w:r>
      <w:r w:rsidRPr="002B4E4D">
        <w:rPr>
          <w:rFonts w:ascii="Arial" w:eastAsia="Times New Roman" w:hAnsi="Arial" w:cs="Arial"/>
          <w:color w:val="000000" w:themeColor="text1"/>
          <w:kern w:val="0"/>
          <w:sz w:val="22"/>
          <w:szCs w:val="22"/>
          <w:lang w:eastAsia="en-GB"/>
          <w14:ligatures w14:val="none"/>
        </w:rPr>
        <w:t>that I believe will underpin my development into a reflective, effective health and social care professional.</w:t>
      </w:r>
    </w:p>
    <w:p w14:paraId="6377454C" w14:textId="77777777" w:rsidR="001F6258" w:rsidRDefault="004A3209"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b/>
          <w:bCs/>
          <w:color w:val="000000" w:themeColor="text1"/>
          <w:kern w:val="0"/>
          <w:sz w:val="22"/>
          <w:szCs w:val="22"/>
          <w:lang w:eastAsia="en-GB"/>
          <w14:ligatures w14:val="none"/>
        </w:rPr>
        <w:t xml:space="preserve">Task 1 Unit 1: Brand You </w:t>
      </w:r>
    </w:p>
    <w:p w14:paraId="6404B24D" w14:textId="1D08537B" w:rsidR="002B4E4D" w:rsidRPr="001F6258" w:rsidRDefault="004A3209"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br/>
      </w:r>
      <w:r w:rsidR="002B4E4D" w:rsidRPr="001F6258">
        <w:rPr>
          <w:rFonts w:ascii="Arial" w:eastAsia="Times New Roman" w:hAnsi="Arial" w:cs="Arial"/>
          <w:color w:val="000000" w:themeColor="text1"/>
          <w:kern w:val="0"/>
          <w:sz w:val="22"/>
          <w:szCs w:val="22"/>
          <w:lang w:eastAsia="en-GB"/>
          <w14:ligatures w14:val="none"/>
        </w:rPr>
        <w:t>Unit 1: Brand You were fundamental in helping me understand the importance of cultivating a personal brand that reflects my values, strengths, and aspirations. The lectures emphasised authenticity, digital presence, and storytelling — concepts I now see as critical for professional success in health and social care.</w:t>
      </w:r>
    </w:p>
    <w:p w14:paraId="23393287"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One key concept was authenticity. I learned that being genuine and true to myself helps build trust and credibility. Montoya and Vandevelde (2002) emphasise that authentic personal brands not only foster stronger connections but also create opportunities for leadership. I reflected on my core values—compassion, integrity, and continuous learning—and how aligning these with my professional persona would make me more effective and trustworthy.</w:t>
      </w:r>
    </w:p>
    <w:p w14:paraId="645436DD"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Another important topic was managing my digital footprint. I realised that my online presence, especially on platforms like LinkedIn, can significantly influence hiring managers’ perceptions. I learned to craft a professional profile, share relevant content, and engage thoughtfully. During the online activities, I created my LinkedIn profile, highlighting my skills, aspirations, and experiences. I also participated in webinars discussing personal branding strategies, which provided practical tips for maintaining consistency and professionalism online.</w:t>
      </w:r>
    </w:p>
    <w:p w14:paraId="0DC9A39D"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The third concept I explored was personal storytelling. I learned that crafting a compelling narrative about my journey, motivations, and future goals helps differentiate me from others. Denning (2005) emphasises storytelling as a powerful tool to connect emotionally with audiences—an essential skill in health and social care, where empathy and effective communication are vital. I practised developing my story to communicate my passion for healthcare and leadership clearly.</w:t>
      </w:r>
    </w:p>
    <w:p w14:paraId="0B968406"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The online activities involved completing exercises on self-assessment, creating a personal elevator pitch, and participating in webinars. These activities made me think critically about how I present myself and how I can leverage my strengths to create a personal brand that aligns with my career ambitions.</w:t>
      </w:r>
    </w:p>
    <w:p w14:paraId="28538052" w14:textId="77777777"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lastRenderedPageBreak/>
        <w:t>Academic literature supports this approach. Montoya and Vandevelde (2002) argue that authentic branding facilitates career advancement and leadership. Aaker (1997) similarly describes personal brand equity as an asset that one can cultivate through consistency and authenticity.</w:t>
      </w:r>
    </w:p>
    <w:p w14:paraId="00DD2442" w14:textId="71AA7239" w:rsidR="002B4E4D" w:rsidRPr="002B4E4D"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2B4E4D">
        <w:rPr>
          <w:rFonts w:ascii="Arial" w:eastAsia="Times New Roman" w:hAnsi="Arial" w:cs="Arial"/>
          <w:color w:val="000000" w:themeColor="text1"/>
          <w:kern w:val="0"/>
          <w:sz w:val="22"/>
          <w:szCs w:val="22"/>
          <w:lang w:eastAsia="en-GB"/>
          <w14:ligatures w14:val="none"/>
        </w:rPr>
        <w:t>In conclusion, Unit 1 has helped me appreciate the importance of authenticity, digital literacy, and storytelling in building a personal brand. These skills will be invaluable in establishing my professional identity, gaining confidence, and opening opportunities for leadership in health and social care.</w:t>
      </w:r>
    </w:p>
    <w:p w14:paraId="5582E0DB" w14:textId="18B0614D" w:rsidR="004A3209" w:rsidRPr="001F6258" w:rsidRDefault="004A3209"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w:t>
      </w:r>
      <w:r w:rsidRPr="001F6258">
        <w:rPr>
          <w:rFonts w:ascii="Arial" w:eastAsia="Times New Roman" w:hAnsi="Arial" w:cs="Arial"/>
          <w:b/>
          <w:bCs/>
          <w:color w:val="000000" w:themeColor="text1"/>
          <w:kern w:val="0"/>
          <w:sz w:val="22"/>
          <w:szCs w:val="22"/>
          <w:lang w:eastAsia="en-GB"/>
          <w14:ligatures w14:val="none"/>
        </w:rPr>
        <w:t xml:space="preserve">Task 2 – Reflection on Unit 2: It’s a Small World </w:t>
      </w:r>
    </w:p>
    <w:p w14:paraId="1268693B"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Unit 2 broadened my perspective on the interconnectedness of health and social care at a global level. The main topics covered included international health systems, cross-cultural communication, and global health challenges like pandemics and migration.</w:t>
      </w:r>
    </w:p>
    <w:p w14:paraId="4A99B78D"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I learned that health systems vary widely across countries, from those with universal coverage to privatized models. Understanding these differences is crucial when working with diverse populations or engaging in international collaborations. Kickbusch (2013) advocates for integrating global health literacy into professional practice, which I now see as essential.</w:t>
      </w:r>
    </w:p>
    <w:p w14:paraId="06238221"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Another key focus was cultural competence. I discovered that respecting cultural beliefs and practices influences health outcomes and patient satisfaction. Betancourt et al. (2003) highlight how cultural sensitivity can reduce disparities and improve engagement—an insight that will guide my future practice.</w:t>
      </w:r>
    </w:p>
    <w:p w14:paraId="1B43E0AA"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The unit also explored global health partnerships, emphasizing how collaborative efforts, such as WHO initiatives, improve health outcomes worldwide. This made me realize that health professionals need to adopt a global mindset, understanding how local practices are influenced by international trends.</w:t>
      </w:r>
    </w:p>
    <w:p w14:paraId="160EA7D6"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xml:space="preserve">Online activities included participating in forums discussing global health issues, </w:t>
      </w:r>
      <w:proofErr w:type="spellStart"/>
      <w:r w:rsidRPr="001F6258">
        <w:rPr>
          <w:rFonts w:ascii="Arial" w:eastAsia="Times New Roman" w:hAnsi="Arial" w:cs="Arial"/>
          <w:color w:val="000000" w:themeColor="text1"/>
          <w:kern w:val="0"/>
          <w:sz w:val="22"/>
          <w:szCs w:val="22"/>
          <w:lang w:eastAsia="en-GB"/>
          <w14:ligatures w14:val="none"/>
        </w:rPr>
        <w:t>analyzing</w:t>
      </w:r>
      <w:proofErr w:type="spellEnd"/>
      <w:r w:rsidRPr="001F6258">
        <w:rPr>
          <w:rFonts w:ascii="Arial" w:eastAsia="Times New Roman" w:hAnsi="Arial" w:cs="Arial"/>
          <w:color w:val="000000" w:themeColor="text1"/>
          <w:kern w:val="0"/>
          <w:sz w:val="22"/>
          <w:szCs w:val="22"/>
          <w:lang w:eastAsia="en-GB"/>
          <w14:ligatures w14:val="none"/>
        </w:rPr>
        <w:t xml:space="preserve"> case studies on cross-cultural communication, and reflecting on how global health impacts local communities. These exercises helped me see the relevance of global connectedness in everyday practice.</w:t>
      </w:r>
    </w:p>
    <w:p w14:paraId="4B497A8F"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xml:space="preserve">Academic literature supports the importance of developing global health literacy. Kickbusch (2013) stresses that understanding international health policies and cultural diversity enhances service quality and equity. Betancourt et al. (2003) emphasize that cultural </w:t>
      </w:r>
      <w:r w:rsidRPr="001F6258">
        <w:rPr>
          <w:rFonts w:ascii="Arial" w:eastAsia="Times New Roman" w:hAnsi="Arial" w:cs="Arial"/>
          <w:color w:val="000000" w:themeColor="text1"/>
          <w:kern w:val="0"/>
          <w:sz w:val="22"/>
          <w:szCs w:val="22"/>
          <w:lang w:eastAsia="en-GB"/>
          <w14:ligatures w14:val="none"/>
        </w:rPr>
        <w:lastRenderedPageBreak/>
        <w:t>competence improves patient engagement and reduces disparities—both crucial in today’s diverse health landscape.</w:t>
      </w:r>
    </w:p>
    <w:p w14:paraId="5E833EC3" w14:textId="32ECF5BC"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This unit has made me more aware of the interconnected health challenges and the importance of cultural competence. Recognizing global influences will help me be a more effective health professional, capable of working across borders and in multicultural environments.</w:t>
      </w:r>
    </w:p>
    <w:p w14:paraId="76AD4F0C" w14:textId="479BFF0B" w:rsidR="004A3209" w:rsidRPr="001F6258" w:rsidRDefault="004A3209"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w:t>
      </w:r>
      <w:r w:rsidRPr="001F6258">
        <w:rPr>
          <w:rFonts w:ascii="Arial" w:eastAsia="Times New Roman" w:hAnsi="Arial" w:cs="Arial"/>
          <w:b/>
          <w:bCs/>
          <w:color w:val="000000" w:themeColor="text1"/>
          <w:kern w:val="0"/>
          <w:sz w:val="22"/>
          <w:szCs w:val="22"/>
          <w:lang w:eastAsia="en-GB"/>
          <w14:ligatures w14:val="none"/>
        </w:rPr>
        <w:t xml:space="preserve">Task 3 – Reflection on Unit 3: Opportunity Knocks </w:t>
      </w:r>
    </w:p>
    <w:p w14:paraId="01812E27" w14:textId="20A5ECE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Unit 3 focused on recognizing and making the most of opportunities for growth</w:t>
      </w:r>
      <w:r w:rsidRPr="001F6258">
        <w:rPr>
          <w:rFonts w:ascii="Arial" w:eastAsia="Times New Roman" w:hAnsi="Arial" w:cs="Arial"/>
          <w:color w:val="000000" w:themeColor="text1"/>
          <w:kern w:val="0"/>
          <w:sz w:val="22"/>
          <w:szCs w:val="22"/>
          <w:lang w:eastAsia="en-GB"/>
          <w14:ligatures w14:val="none"/>
        </w:rPr>
        <w:t xml:space="preserve"> </w:t>
      </w:r>
      <w:r w:rsidRPr="001F6258">
        <w:rPr>
          <w:rFonts w:ascii="Arial" w:eastAsia="Times New Roman" w:hAnsi="Arial" w:cs="Arial"/>
          <w:color w:val="000000" w:themeColor="text1"/>
          <w:kern w:val="0"/>
          <w:sz w:val="22"/>
          <w:szCs w:val="22"/>
          <w:lang w:eastAsia="en-GB"/>
          <w14:ligatures w14:val="none"/>
        </w:rPr>
        <w:t>whether personal, academic, or professional. The key themes were self-assessment, goal-setting, resilience, and proactive learning.</w:t>
      </w:r>
    </w:p>
    <w:p w14:paraId="53D43D86"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I learned that understanding my strengths and areas for development is essential. Tools like SWOT analysis and feedback from peers helped me identify my skills and gaps. Setting SMART goals became a practical way to turn aspirations into achievable steps. Locke and Latham (2002) advocate that specific, challenging goals improve performance, which I now apply to my career planning.</w:t>
      </w:r>
    </w:p>
    <w:p w14:paraId="10490FBB"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The unit emphasized opportunity recognition, which involves being alert to emerging trends, skill gaps, and networking opportunities. For example, I identified the increasing importance of digital health technologies like telehealth, prompting me to pursue online training. Recognizing opportunities early allows me to adapt and stay competitive. Bandura’s (1997) concept of self-efficacy underpins this, as believing I can develop new skills motivates me to take action.</w:t>
      </w:r>
    </w:p>
    <w:p w14:paraId="5DED33E7"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Another important aspect was resilience. I explored how setbacks are part of growth and how developing resilience helps sustain motivation. Through reflection exercises and case studies, I learned to reframe failures as learning opportunities, fostering a growth mindset—Dweck’s (2006) concept that I now see as vital for continuous improvement.</w:t>
      </w:r>
    </w:p>
    <w:p w14:paraId="6FECFCE2" w14:textId="3D03522A"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xml:space="preserve">My online activities included creating a personal development plan, participating in mock interviews, and </w:t>
      </w:r>
      <w:r w:rsidR="001F6258" w:rsidRPr="001F6258">
        <w:rPr>
          <w:rFonts w:ascii="Arial" w:eastAsia="Times New Roman" w:hAnsi="Arial" w:cs="Arial"/>
          <w:color w:val="000000" w:themeColor="text1"/>
          <w:kern w:val="0"/>
          <w:sz w:val="22"/>
          <w:szCs w:val="22"/>
          <w:lang w:eastAsia="en-GB"/>
          <w14:ligatures w14:val="none"/>
        </w:rPr>
        <w:t>analysing</w:t>
      </w:r>
      <w:r w:rsidRPr="001F6258">
        <w:rPr>
          <w:rFonts w:ascii="Arial" w:eastAsia="Times New Roman" w:hAnsi="Arial" w:cs="Arial"/>
          <w:color w:val="000000" w:themeColor="text1"/>
          <w:kern w:val="0"/>
          <w:sz w:val="22"/>
          <w:szCs w:val="22"/>
          <w:lang w:eastAsia="en-GB"/>
          <w14:ligatures w14:val="none"/>
        </w:rPr>
        <w:t xml:space="preserve"> real-life career pivots. These exercises helped me see how to actively seek out opportunities and prepare to seize them.</w:t>
      </w:r>
    </w:p>
    <w:p w14:paraId="71AE4D61"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xml:space="preserve">Academic literature reinforces the importance of self-efficacy, goal-setting, and resilience. Bandura (1997) emphasizes that belief in one’s abilities influences motivation and success. </w:t>
      </w:r>
      <w:r w:rsidRPr="001F6258">
        <w:rPr>
          <w:rFonts w:ascii="Arial" w:eastAsia="Times New Roman" w:hAnsi="Arial" w:cs="Arial"/>
          <w:color w:val="000000" w:themeColor="text1"/>
          <w:kern w:val="0"/>
          <w:sz w:val="22"/>
          <w:szCs w:val="22"/>
          <w:lang w:eastAsia="en-GB"/>
          <w14:ligatures w14:val="none"/>
        </w:rPr>
        <w:lastRenderedPageBreak/>
        <w:t>Locke and Latham (2002) show that clear goals improve focus and achievement. Building resilience, as Masten (2001) suggests, equips me to handle challenges and adapt to change.</w:t>
      </w:r>
    </w:p>
    <w:p w14:paraId="0D249A9F"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This unit has motivated me to adopt a proactive approach to my career. I now see the importance of continuously assessing my skills, setting clear goals, and developing resilience to navigate a complex health sector. Recognizing opportunities early and preparing to capitalize on them will be crucial for my professional growth.</w:t>
      </w:r>
    </w:p>
    <w:p w14:paraId="25DDF538" w14:textId="187E2885" w:rsidR="004A3209" w:rsidRPr="001F6258" w:rsidRDefault="004A3209" w:rsidP="001F6258">
      <w:pPr>
        <w:spacing w:after="100" w:afterAutospacing="1" w:line="360" w:lineRule="auto"/>
        <w:jc w:val="both"/>
        <w:rPr>
          <w:rFonts w:ascii="Arial" w:eastAsia="Times New Roman" w:hAnsi="Arial" w:cs="Arial"/>
          <w:b/>
          <w:bCs/>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w:t>
      </w:r>
      <w:r w:rsidRPr="001F6258">
        <w:rPr>
          <w:rFonts w:ascii="Arial" w:eastAsia="Times New Roman" w:hAnsi="Arial" w:cs="Arial"/>
          <w:b/>
          <w:bCs/>
          <w:color w:val="000000" w:themeColor="text1"/>
          <w:kern w:val="0"/>
          <w:sz w:val="22"/>
          <w:szCs w:val="22"/>
          <w:lang w:eastAsia="en-GB"/>
          <w14:ligatures w14:val="none"/>
        </w:rPr>
        <w:t xml:space="preserve">Task 4 – Reflection on Unit 4: The Pursuit of Happiness and Conclusion </w:t>
      </w:r>
    </w:p>
    <w:p w14:paraId="6C5C314E" w14:textId="4F9A5B6B"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xml:space="preserve">Unit 4 helped me understand that happiness and well-being are fundamental to professional effectiveness and personal </w:t>
      </w:r>
      <w:r w:rsidR="001F6258" w:rsidRPr="001F6258">
        <w:rPr>
          <w:rFonts w:ascii="Arial" w:eastAsia="Times New Roman" w:hAnsi="Arial" w:cs="Arial"/>
          <w:color w:val="000000" w:themeColor="text1"/>
          <w:kern w:val="0"/>
          <w:sz w:val="22"/>
          <w:szCs w:val="22"/>
          <w:lang w:eastAsia="en-GB"/>
          <w14:ligatures w14:val="none"/>
        </w:rPr>
        <w:t>fulfilment</w:t>
      </w:r>
      <w:r w:rsidRPr="001F6258">
        <w:rPr>
          <w:rFonts w:ascii="Arial" w:eastAsia="Times New Roman" w:hAnsi="Arial" w:cs="Arial"/>
          <w:color w:val="000000" w:themeColor="text1"/>
          <w:kern w:val="0"/>
          <w:sz w:val="22"/>
          <w:szCs w:val="22"/>
          <w:lang w:eastAsia="en-GB"/>
          <w14:ligatures w14:val="none"/>
        </w:rPr>
        <w:t>. The unit emphasized positive psychology, self-care, and cultivating a growth mindset—concepts that I now see as central to resilience and leadership in health and social care.</w:t>
      </w:r>
    </w:p>
    <w:p w14:paraId="27DC7034"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The PERMA model (Seligman, 2011), which stands for Positive emotion, Engagement, Relationships, Meaning, and Accomplishment, provided a practical framework for flourishing. I learned that fostering these elements can lead to greater job satisfaction, reduced burnout, and improved client outcomes. I reflected on my current practices and identified areas where I can cultivate more positive experiences.</w:t>
      </w:r>
    </w:p>
    <w:p w14:paraId="4EC93FE6"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Self-care strategies, such as mindfulness, time management, and seeking social support, emerged as vital tools for maintaining well-being. During the online activities, I completed self-assessment exercises and developed a personal happiness action plan. These activities reinforced that well-being requires intentional effort and self-awareness.</w:t>
      </w:r>
    </w:p>
    <w:p w14:paraId="19A53F90"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The unit also highlighted the importance of growth mindset. Dweck (2006) suggests that believing abilities can develop with effort promotes resilience and motivation—traits essential for overcoming challenges in health and social care roles. I now aim to incorporate these principles into my daily routines and leadership style.</w:t>
      </w:r>
    </w:p>
    <w:p w14:paraId="73842517" w14:textId="77777777"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Overall, this unit has shifted my perspective on happiness from being a personal goal to an integral part of professional sustainability. I recognize that fostering my well-being will enable me to provide better care, lead with compassion, and sustain my motivation over the long term.</w:t>
      </w:r>
    </w:p>
    <w:p w14:paraId="079D5E99" w14:textId="2F8FE2E2" w:rsidR="002B4E4D" w:rsidRPr="001F6258" w:rsidRDefault="002B4E4D"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Participating in online discussions and exercises has helped me develop practical strategies for maintaining happiness, resilience, and a positive outlook—crucial elements for a successful career in health and social care.</w:t>
      </w:r>
    </w:p>
    <w:p w14:paraId="7CE3A2B8" w14:textId="21129ECB" w:rsidR="004A3209" w:rsidRPr="001F6258" w:rsidRDefault="004A3209" w:rsidP="001F6258">
      <w:pPr>
        <w:spacing w:after="100" w:afterAutospacing="1" w:line="360" w:lineRule="auto"/>
        <w:jc w:val="both"/>
        <w:rPr>
          <w:rFonts w:ascii="Arial" w:eastAsia="Times New Roman" w:hAnsi="Arial" w:cs="Arial"/>
          <w:b/>
          <w:bCs/>
          <w:color w:val="000000" w:themeColor="text1"/>
          <w:kern w:val="0"/>
          <w:sz w:val="22"/>
          <w:szCs w:val="22"/>
          <w:lang w:eastAsia="en-GB"/>
          <w14:ligatures w14:val="none"/>
        </w:rPr>
      </w:pPr>
      <w:r w:rsidRPr="001F6258">
        <w:rPr>
          <w:rFonts w:ascii="Arial" w:eastAsia="Times New Roman" w:hAnsi="Arial" w:cs="Arial"/>
          <w:b/>
          <w:bCs/>
          <w:color w:val="000000" w:themeColor="text1"/>
          <w:kern w:val="0"/>
          <w:sz w:val="22"/>
          <w:szCs w:val="22"/>
          <w:lang w:eastAsia="en-GB"/>
          <w14:ligatures w14:val="none"/>
        </w:rPr>
        <w:lastRenderedPageBreak/>
        <w:t xml:space="preserve">Conclusion </w:t>
      </w:r>
    </w:p>
    <w:p w14:paraId="437806B8" w14:textId="77777777" w:rsidR="001F6258" w:rsidRPr="001F6258" w:rsidRDefault="001F6258"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This module has profoundly enhanced my understanding of the multifaceted nature of personal and professional development within health and social care. Through engaging with each unit, I have gained valuable insights that will undoubtedly shape my future practice and leadership style. The emphasis on authenticity and strategic self-presentation in Unit 1: Brand You has reinforced the importance of building a genuine professional identity rooted in integrity and clarity. Recognizing the power of a compelling personal brand will enable me to distinguish myself as a trustworthy and credible leader.</w:t>
      </w:r>
    </w:p>
    <w:p w14:paraId="6EA694B0" w14:textId="77777777" w:rsidR="001F6258" w:rsidRPr="001F6258" w:rsidRDefault="001F6258"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Unit 2: It’s a Small World expanded my awareness of the interconnectedness of global health issues and the significance of cultural competence. Appreciating how international trends and cross-cultural sensitivities influence local practice has equipped me with the mindset to work inclusively and adaptively in a diverse environment. This global perspective is essential for delivering equitable, patient-centered care in an increasingly interconnected world.</w:t>
      </w:r>
    </w:p>
    <w:p w14:paraId="07A30799" w14:textId="77777777" w:rsidR="001F6258" w:rsidRPr="001F6258" w:rsidRDefault="001F6258"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The focus on opportunity recognition and resilience in Unit 3: Opportunity Knocks has empowered me to adopt a proactive, strategic approach to my career development. The skills to assess my strengths, set achievable goals, and navigate setbacks with resilience will be crucial in a dynamic and evolving sector. These competencies will ensure I remain adaptable and committed to lifelong learning.</w:t>
      </w:r>
    </w:p>
    <w:p w14:paraId="7DA8534F" w14:textId="14671C2D" w:rsidR="001F6258" w:rsidRPr="001F6258" w:rsidRDefault="001F6258" w:rsidP="001F6258">
      <w:pPr>
        <w:spacing w:after="100" w:afterAutospacing="1"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Finally, Unit 4: The Pursuit of Happiness underscored the vital connection between well-being and professional effectiveness. Cultivating a growth mindset, practicing self-care, and fostering positive relationships will sustain my motivation and capacity to lead compassionately amid sector challenges.</w:t>
      </w:r>
    </w:p>
    <w:p w14:paraId="43E6584A" w14:textId="77777777" w:rsidR="004A3209" w:rsidRPr="001F6258" w:rsidRDefault="004A3209" w:rsidP="001F6258">
      <w:pPr>
        <w:spacing w:after="0" w:line="360" w:lineRule="auto"/>
        <w:jc w:val="both"/>
        <w:rPr>
          <w:rFonts w:ascii="Arial" w:eastAsia="Times New Roman" w:hAnsi="Arial" w:cs="Arial"/>
          <w:color w:val="000000" w:themeColor="text1"/>
          <w:kern w:val="0"/>
          <w:sz w:val="22"/>
          <w:szCs w:val="22"/>
          <w:lang w:eastAsia="en-GB"/>
          <w14:ligatures w14:val="none"/>
        </w:rPr>
      </w:pPr>
      <w:r w:rsidRPr="001F6258">
        <w:rPr>
          <w:rFonts w:ascii="Arial" w:eastAsia="Times New Roman" w:hAnsi="Arial" w:cs="Arial"/>
          <w:color w:val="000000" w:themeColor="text1"/>
          <w:kern w:val="0"/>
          <w:sz w:val="22"/>
          <w:szCs w:val="22"/>
          <w:lang w:eastAsia="en-GB"/>
          <w14:ligatures w14:val="none"/>
        </w:rPr>
        <w:t> </w:t>
      </w:r>
    </w:p>
    <w:p w14:paraId="3E7F851C" w14:textId="77777777" w:rsidR="004A3209" w:rsidRPr="001F6258" w:rsidRDefault="004A3209" w:rsidP="001F6258">
      <w:pPr>
        <w:spacing w:line="360" w:lineRule="auto"/>
        <w:jc w:val="both"/>
        <w:rPr>
          <w:rFonts w:ascii="Arial" w:hAnsi="Arial" w:cs="Arial"/>
          <w:color w:val="000000" w:themeColor="text1"/>
          <w:sz w:val="22"/>
          <w:szCs w:val="22"/>
        </w:rPr>
      </w:pPr>
    </w:p>
    <w:p w14:paraId="1B0BD1E1" w14:textId="77777777" w:rsidR="002B4E4D" w:rsidRPr="001F6258" w:rsidRDefault="002B4E4D" w:rsidP="001F6258">
      <w:pPr>
        <w:spacing w:line="360" w:lineRule="auto"/>
        <w:jc w:val="both"/>
        <w:rPr>
          <w:rFonts w:ascii="Arial" w:hAnsi="Arial" w:cs="Arial"/>
          <w:color w:val="000000" w:themeColor="text1"/>
          <w:sz w:val="22"/>
          <w:szCs w:val="22"/>
        </w:rPr>
      </w:pPr>
    </w:p>
    <w:p w14:paraId="45ACAD87" w14:textId="77777777" w:rsidR="002B4E4D" w:rsidRPr="001F6258" w:rsidRDefault="002B4E4D" w:rsidP="001F6258">
      <w:pPr>
        <w:spacing w:line="360" w:lineRule="auto"/>
        <w:jc w:val="both"/>
        <w:rPr>
          <w:rFonts w:ascii="Arial" w:hAnsi="Arial" w:cs="Arial"/>
          <w:color w:val="000000" w:themeColor="text1"/>
          <w:sz w:val="22"/>
          <w:szCs w:val="22"/>
        </w:rPr>
      </w:pPr>
    </w:p>
    <w:p w14:paraId="242135A3" w14:textId="77777777" w:rsidR="002B4E4D" w:rsidRPr="001F6258" w:rsidRDefault="002B4E4D" w:rsidP="001F6258">
      <w:pPr>
        <w:spacing w:line="360" w:lineRule="auto"/>
        <w:jc w:val="both"/>
        <w:rPr>
          <w:rFonts w:ascii="Arial" w:hAnsi="Arial" w:cs="Arial"/>
          <w:color w:val="000000" w:themeColor="text1"/>
          <w:sz w:val="22"/>
          <w:szCs w:val="22"/>
        </w:rPr>
      </w:pPr>
    </w:p>
    <w:p w14:paraId="681BCF06" w14:textId="77777777" w:rsidR="002B4E4D" w:rsidRPr="001F6258" w:rsidRDefault="002B4E4D" w:rsidP="001F6258">
      <w:pPr>
        <w:spacing w:line="360" w:lineRule="auto"/>
        <w:jc w:val="both"/>
        <w:rPr>
          <w:rFonts w:ascii="Arial" w:hAnsi="Arial" w:cs="Arial"/>
          <w:color w:val="000000" w:themeColor="text1"/>
          <w:sz w:val="22"/>
          <w:szCs w:val="22"/>
        </w:rPr>
      </w:pPr>
    </w:p>
    <w:p w14:paraId="3079D563" w14:textId="77777777" w:rsidR="002B4E4D" w:rsidRPr="001F6258" w:rsidRDefault="002B4E4D" w:rsidP="001F6258">
      <w:pPr>
        <w:spacing w:line="360" w:lineRule="auto"/>
        <w:jc w:val="both"/>
        <w:rPr>
          <w:rFonts w:ascii="Arial" w:hAnsi="Arial" w:cs="Arial"/>
          <w:color w:val="000000" w:themeColor="text1"/>
          <w:sz w:val="22"/>
          <w:szCs w:val="22"/>
        </w:rPr>
      </w:pPr>
    </w:p>
    <w:p w14:paraId="79B96790" w14:textId="77777777" w:rsidR="002B4E4D" w:rsidRPr="001F6258" w:rsidRDefault="002B4E4D" w:rsidP="001F6258">
      <w:pPr>
        <w:spacing w:line="360" w:lineRule="auto"/>
        <w:jc w:val="both"/>
        <w:rPr>
          <w:rFonts w:ascii="Arial" w:hAnsi="Arial" w:cs="Arial"/>
          <w:color w:val="000000" w:themeColor="text1"/>
          <w:sz w:val="22"/>
          <w:szCs w:val="22"/>
        </w:rPr>
      </w:pPr>
    </w:p>
    <w:p w14:paraId="61FDE276" w14:textId="77777777" w:rsidR="002B4E4D" w:rsidRPr="001F6258" w:rsidRDefault="002B4E4D" w:rsidP="001F6258">
      <w:pPr>
        <w:spacing w:line="360" w:lineRule="auto"/>
        <w:jc w:val="both"/>
        <w:rPr>
          <w:rFonts w:ascii="Arial" w:hAnsi="Arial" w:cs="Arial"/>
          <w:color w:val="000000" w:themeColor="text1"/>
          <w:sz w:val="22"/>
          <w:szCs w:val="22"/>
        </w:rPr>
      </w:pPr>
    </w:p>
    <w:p w14:paraId="7EB647DC" w14:textId="77777777" w:rsidR="002B4E4D" w:rsidRPr="001F6258" w:rsidRDefault="002B4E4D" w:rsidP="001F6258">
      <w:pPr>
        <w:spacing w:line="360" w:lineRule="auto"/>
        <w:jc w:val="both"/>
        <w:rPr>
          <w:rFonts w:ascii="Arial" w:hAnsi="Arial" w:cs="Arial"/>
          <w:color w:val="000000" w:themeColor="text1"/>
          <w:sz w:val="22"/>
          <w:szCs w:val="22"/>
        </w:rPr>
      </w:pPr>
    </w:p>
    <w:p w14:paraId="4E5061D7" w14:textId="78853E90"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 xml:space="preserve">REFRENCSE </w:t>
      </w:r>
    </w:p>
    <w:p w14:paraId="011B11C6" w14:textId="77777777"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Aaker, D. A. (1997). Dimensions of brand personality. Journal of Marketing Research, 34(3), pp. 347–356.</w:t>
      </w:r>
    </w:p>
    <w:p w14:paraId="06857FBF" w14:textId="77777777"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Bandura, A. (1997). Self-efficacy: The exercise of control. W.H. Freeman.</w:t>
      </w:r>
    </w:p>
    <w:p w14:paraId="4A82794F" w14:textId="0D2372F3"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 xml:space="preserve">Betancourt, J. R., Green, A. R., &amp; Carrillo, J. E. (2003). Cultural competence in health care: Emerging frameworks and practical approaches. The Commonwealth Fund. Available at: </w:t>
      </w:r>
      <w:hyperlink r:id="rId6" w:history="1">
        <w:r w:rsidRPr="001F6258">
          <w:rPr>
            <w:rStyle w:val="Hyperlink"/>
            <w:rFonts w:ascii="Arial" w:hAnsi="Arial" w:cs="Arial"/>
            <w:color w:val="000000" w:themeColor="text1"/>
            <w:sz w:val="22"/>
            <w:szCs w:val="22"/>
          </w:rPr>
          <w:t>CULTURAL COMPETENCE IN HEALTH CARE: EMERGING FRAMEWORKS AND PRACTICAL APPR</w:t>
        </w:r>
        <w:r w:rsidRPr="001F6258">
          <w:rPr>
            <w:rStyle w:val="Hyperlink"/>
            <w:rFonts w:ascii="Arial" w:hAnsi="Arial" w:cs="Arial"/>
            <w:color w:val="000000" w:themeColor="text1"/>
            <w:sz w:val="22"/>
            <w:szCs w:val="22"/>
          </w:rPr>
          <w:t>O</w:t>
        </w:r>
        <w:r w:rsidRPr="001F6258">
          <w:rPr>
            <w:rStyle w:val="Hyperlink"/>
            <w:rFonts w:ascii="Arial" w:hAnsi="Arial" w:cs="Arial"/>
            <w:color w:val="000000" w:themeColor="text1"/>
            <w:sz w:val="22"/>
            <w:szCs w:val="22"/>
          </w:rPr>
          <w:t>ACHES</w:t>
        </w:r>
      </w:hyperlink>
      <w:r w:rsidRPr="001F6258">
        <w:rPr>
          <w:rFonts w:ascii="Arial" w:hAnsi="Arial" w:cs="Arial"/>
          <w:color w:val="000000" w:themeColor="text1"/>
          <w:sz w:val="22"/>
          <w:szCs w:val="22"/>
        </w:rPr>
        <w:t xml:space="preserve">  </w:t>
      </w:r>
      <w:r w:rsidRPr="001F6258">
        <w:rPr>
          <w:rFonts w:ascii="Arial" w:hAnsi="Arial" w:cs="Arial"/>
          <w:color w:val="000000" w:themeColor="text1"/>
          <w:sz w:val="22"/>
          <w:szCs w:val="22"/>
        </w:rPr>
        <w:t xml:space="preserve">(Accessed: </w:t>
      </w:r>
      <w:r w:rsidRPr="001F6258">
        <w:rPr>
          <w:rFonts w:ascii="Arial" w:hAnsi="Arial" w:cs="Arial"/>
          <w:color w:val="000000" w:themeColor="text1"/>
          <w:sz w:val="22"/>
          <w:szCs w:val="22"/>
        </w:rPr>
        <w:t>03</w:t>
      </w:r>
      <w:r w:rsidRPr="001F6258">
        <w:rPr>
          <w:rFonts w:ascii="Arial" w:hAnsi="Arial" w:cs="Arial"/>
          <w:color w:val="000000" w:themeColor="text1"/>
          <w:sz w:val="22"/>
          <w:szCs w:val="22"/>
        </w:rPr>
        <w:t xml:space="preserve"> </w:t>
      </w:r>
      <w:r w:rsidRPr="001F6258">
        <w:rPr>
          <w:rFonts w:ascii="Arial" w:hAnsi="Arial" w:cs="Arial"/>
          <w:color w:val="000000" w:themeColor="text1"/>
          <w:sz w:val="22"/>
          <w:szCs w:val="22"/>
        </w:rPr>
        <w:t>April</w:t>
      </w:r>
      <w:r w:rsidRPr="001F6258">
        <w:rPr>
          <w:rFonts w:ascii="Arial" w:hAnsi="Arial" w:cs="Arial"/>
          <w:color w:val="000000" w:themeColor="text1"/>
          <w:sz w:val="22"/>
          <w:szCs w:val="22"/>
        </w:rPr>
        <w:t xml:space="preserve"> </w:t>
      </w:r>
      <w:r w:rsidRPr="001F6258">
        <w:rPr>
          <w:rFonts w:ascii="Arial" w:hAnsi="Arial" w:cs="Arial"/>
          <w:color w:val="000000" w:themeColor="text1"/>
          <w:sz w:val="22"/>
          <w:szCs w:val="22"/>
        </w:rPr>
        <w:t>2026</w:t>
      </w:r>
      <w:r w:rsidRPr="001F6258">
        <w:rPr>
          <w:rFonts w:ascii="Arial" w:hAnsi="Arial" w:cs="Arial"/>
          <w:color w:val="000000" w:themeColor="text1"/>
          <w:sz w:val="22"/>
          <w:szCs w:val="22"/>
        </w:rPr>
        <w:t>).</w:t>
      </w:r>
    </w:p>
    <w:p w14:paraId="0A74B682" w14:textId="77777777"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Dweck, C. S. (2006). Mindset: The new psychology of success. Random House.</w:t>
      </w:r>
    </w:p>
    <w:p w14:paraId="3A8A558B" w14:textId="77777777"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Kickbusch, I. (2013). Global health diplomacy: The role of WHO. Global Health Governance, 8(2), 1-15.</w:t>
      </w:r>
    </w:p>
    <w:p w14:paraId="680097CD" w14:textId="77777777"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Montoya, P., &amp; Vandevelde, M. (2002). The brand called YOU. McGraw-Hill.</w:t>
      </w:r>
    </w:p>
    <w:p w14:paraId="5A178B2E" w14:textId="79CC794C" w:rsidR="002B4E4D" w:rsidRPr="001F6258" w:rsidRDefault="002B4E4D" w:rsidP="001F6258">
      <w:pPr>
        <w:spacing w:line="360" w:lineRule="auto"/>
        <w:jc w:val="both"/>
        <w:rPr>
          <w:rFonts w:ascii="Arial" w:hAnsi="Arial" w:cs="Arial"/>
          <w:color w:val="000000" w:themeColor="text1"/>
          <w:sz w:val="22"/>
          <w:szCs w:val="22"/>
        </w:rPr>
      </w:pPr>
      <w:r w:rsidRPr="001F6258">
        <w:rPr>
          <w:rFonts w:ascii="Arial" w:hAnsi="Arial" w:cs="Arial"/>
          <w:color w:val="000000" w:themeColor="text1"/>
          <w:sz w:val="22"/>
          <w:szCs w:val="22"/>
        </w:rPr>
        <w:t>Seligman, M. E. P. (2011). Flourish: A visionary new understanding of happiness and well-being. Free Press.</w:t>
      </w:r>
    </w:p>
    <w:sectPr w:rsidR="002B4E4D" w:rsidRPr="001F6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1F6258"/>
    <w:rsid w:val="002B4E4D"/>
    <w:rsid w:val="004A0214"/>
    <w:rsid w:val="004A3209"/>
    <w:rsid w:val="00A3351E"/>
    <w:rsid w:val="00C941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paragraph" w:styleId="NormalWeb">
    <w:name w:val="Normal (Web)"/>
    <w:basedOn w:val="Normal"/>
    <w:uiPriority w:val="99"/>
    <w:semiHidden/>
    <w:unhideWhenUsed/>
    <w:rsid w:val="002B4E4D"/>
    <w:rPr>
      <w:rFonts w:ascii="Times New Roman" w:hAnsi="Times New Roman" w:cs="Times New Roman"/>
    </w:rPr>
  </w:style>
  <w:style w:type="character" w:styleId="Hyperlink">
    <w:name w:val="Hyperlink"/>
    <w:basedOn w:val="DefaultParagraphFont"/>
    <w:uiPriority w:val="99"/>
    <w:unhideWhenUsed/>
    <w:rsid w:val="002B4E4D"/>
    <w:rPr>
      <w:color w:val="467886" w:themeColor="hyperlink"/>
      <w:u w:val="single"/>
    </w:rPr>
  </w:style>
  <w:style w:type="character" w:styleId="UnresolvedMention">
    <w:name w:val="Unresolved Mention"/>
    <w:basedOn w:val="DefaultParagraphFont"/>
    <w:uiPriority w:val="99"/>
    <w:semiHidden/>
    <w:unhideWhenUsed/>
    <w:rsid w:val="002B4E4D"/>
    <w:rPr>
      <w:color w:val="605E5C"/>
      <w:shd w:val="clear" w:color="auto" w:fill="E1DFDD"/>
    </w:rPr>
  </w:style>
  <w:style w:type="character" w:styleId="FollowedHyperlink">
    <w:name w:val="FollowedHyperlink"/>
    <w:basedOn w:val="DefaultParagraphFont"/>
    <w:uiPriority w:val="99"/>
    <w:semiHidden/>
    <w:unhideWhenUsed/>
    <w:rsid w:val="002B4E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mmonwealthfund.org/sites/default/files/documents/___media_files_publications_fund_report_2002_oct_cultural_competence_in_health_care__emerging_frameworks_and_practical_approaches_betancourt_culturalcompetence_576_pdf.pdf" TargetMode="Externa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2255</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Spogmay Ahmadzai</cp:lastModifiedBy>
  <cp:revision>3</cp:revision>
  <dcterms:created xsi:type="dcterms:W3CDTF">2026-04-15T12:35:00Z</dcterms:created>
  <dcterms:modified xsi:type="dcterms:W3CDTF">2026-04-15T12:35:00Z</dcterms:modified>
</cp:coreProperties>
</file>