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2BC8" w:rsidRDefault="00FC2205">
      <w:pPr>
        <w:pStyle w:val="Heading1"/>
        <w:jc w:val="center"/>
        <w:rPr>
          <w:sz w:val="26"/>
          <w:szCs w:val="26"/>
        </w:rPr>
      </w:pPr>
      <w:bookmarkStart w:id="0" w:name="_heading=h.3b34vizawzxx" w:colFirst="0" w:colLast="0"/>
      <w:bookmarkStart w:id="1" w:name="_Toc238232020"/>
      <w:bookmarkEnd w:id="0"/>
      <w:r>
        <w:rPr>
          <w:noProof/>
          <w:lang w:eastAsia="en-US"/>
        </w:rPr>
        <w:drawing>
          <wp:anchor distT="0" distB="0" distL="114300" distR="114300" simplePos="0" relativeHeight="251658240" behindDoc="0" locked="0" layoutInCell="1" allowOverlap="1">
            <wp:simplePos x="0" y="0"/>
            <wp:positionH relativeFrom="column">
              <wp:posOffset>2066925</wp:posOffset>
            </wp:positionH>
            <wp:positionV relativeFrom="paragraph">
              <wp:posOffset>179147</wp:posOffset>
            </wp:positionV>
            <wp:extent cx="1816608" cy="728472"/>
            <wp:effectExtent l="0" t="0" r="0" b="0"/>
            <wp:wrapNone/>
            <wp:docPr id="16"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1816608" cy="728472"/>
                    </a:xfrm>
                    <a:prstGeom prst="rect">
                      <a:avLst/>
                    </a:prstGeom>
                    <a:ln/>
                  </pic:spPr>
                </pic:pic>
              </a:graphicData>
            </a:graphic>
          </wp:anchor>
        </w:drawing>
      </w:r>
      <w:bookmarkEnd w:id="1"/>
    </w:p>
    <w:p w:rsidR="002C2BC8" w:rsidRDefault="002C2BC8"/>
    <w:p w:rsidR="002C2BC8" w:rsidRDefault="00FC2205">
      <w:pPr>
        <w:jc w:val="center"/>
        <w:rPr>
          <w:b/>
          <w:bCs/>
          <w:sz w:val="32"/>
          <w:szCs w:val="32"/>
        </w:rPr>
      </w:pPr>
      <w:r>
        <w:rPr>
          <w:b/>
          <w:bCs/>
          <w:sz w:val="32"/>
          <w:szCs w:val="32"/>
        </w:rPr>
        <w:t>Programme name: Master of Business Administration</w:t>
      </w:r>
    </w:p>
    <w:p w:rsidR="002C2BC8" w:rsidRDefault="00FC2205">
      <w:pPr>
        <w:jc w:val="center"/>
        <w:rPr>
          <w:b/>
          <w:bCs/>
          <w:sz w:val="32"/>
          <w:szCs w:val="32"/>
        </w:rPr>
      </w:pPr>
      <w:r>
        <w:rPr>
          <w:b/>
          <w:bCs/>
          <w:sz w:val="32"/>
          <w:szCs w:val="32"/>
        </w:rPr>
        <w:t>Module name: Business Development Proposal</w:t>
      </w:r>
    </w:p>
    <w:p w:rsidR="002C2BC8" w:rsidRDefault="00FC2205">
      <w:pPr>
        <w:jc w:val="center"/>
        <w:rPr>
          <w:b/>
          <w:bCs/>
          <w:sz w:val="32"/>
          <w:szCs w:val="32"/>
        </w:rPr>
      </w:pPr>
      <w:r>
        <w:rPr>
          <w:b/>
          <w:bCs/>
          <w:sz w:val="32"/>
          <w:szCs w:val="32"/>
        </w:rPr>
        <w:t>Module code: LCMB7037</w:t>
      </w:r>
    </w:p>
    <w:p w:rsidR="002C2BC8" w:rsidRDefault="00FC2205">
      <w:pPr>
        <w:jc w:val="center"/>
        <w:rPr>
          <w:b/>
          <w:bCs/>
          <w:sz w:val="32"/>
          <w:szCs w:val="32"/>
        </w:rPr>
      </w:pPr>
      <w:r>
        <w:rPr>
          <w:b/>
          <w:bCs/>
          <w:sz w:val="32"/>
          <w:szCs w:val="32"/>
        </w:rPr>
        <w:t>Assignment title: Business development proposal on EcoLoop Office</w:t>
      </w:r>
      <w:r w:rsidR="00105F69">
        <w:rPr>
          <w:b/>
          <w:bCs/>
          <w:sz w:val="32"/>
          <w:szCs w:val="32"/>
        </w:rPr>
        <w:t xml:space="preserve"> (Chapter 1 to 8</w:t>
      </w:r>
      <w:r w:rsidR="006F1940">
        <w:rPr>
          <w:b/>
          <w:bCs/>
          <w:sz w:val="32"/>
          <w:szCs w:val="32"/>
        </w:rPr>
        <w:t>)</w:t>
      </w:r>
    </w:p>
    <w:p w:rsidR="002C2BC8" w:rsidRDefault="00FF2D7A">
      <w:pPr>
        <w:jc w:val="center"/>
        <w:rPr>
          <w:b/>
          <w:bCs/>
          <w:sz w:val="32"/>
          <w:szCs w:val="32"/>
        </w:rPr>
      </w:pPr>
      <w:r>
        <w:rPr>
          <w:b/>
          <w:bCs/>
          <w:sz w:val="32"/>
          <w:szCs w:val="32"/>
        </w:rPr>
        <w:t>Supervisor</w:t>
      </w:r>
      <w:r w:rsidR="006F1940">
        <w:rPr>
          <w:b/>
          <w:bCs/>
          <w:sz w:val="32"/>
          <w:szCs w:val="32"/>
        </w:rPr>
        <w:t xml:space="preserve">’s name: Balendran Kandasamy </w:t>
      </w:r>
    </w:p>
    <w:p w:rsidR="002C2BC8" w:rsidRDefault="00FC2205">
      <w:pPr>
        <w:jc w:val="center"/>
        <w:rPr>
          <w:b/>
          <w:bCs/>
          <w:sz w:val="32"/>
          <w:szCs w:val="32"/>
        </w:rPr>
      </w:pPr>
      <w:r>
        <w:rPr>
          <w:b/>
          <w:bCs/>
          <w:sz w:val="32"/>
          <w:szCs w:val="32"/>
        </w:rPr>
        <w:t>Student ID &amp; Name:</w:t>
      </w:r>
      <w:r w:rsidR="006F1940">
        <w:rPr>
          <w:b/>
          <w:bCs/>
          <w:sz w:val="32"/>
          <w:szCs w:val="32"/>
        </w:rPr>
        <w:t xml:space="preserve"> Deep J. Viththani - 2508635</w:t>
      </w:r>
    </w:p>
    <w:p w:rsidR="002C2BC8" w:rsidRDefault="006F1940">
      <w:pPr>
        <w:jc w:val="center"/>
        <w:rPr>
          <w:b/>
          <w:bCs/>
          <w:sz w:val="32"/>
          <w:szCs w:val="32"/>
        </w:rPr>
      </w:pPr>
      <w:r>
        <w:rPr>
          <w:b/>
          <w:bCs/>
          <w:sz w:val="32"/>
          <w:szCs w:val="32"/>
        </w:rPr>
        <w:t xml:space="preserve">Word Count: </w:t>
      </w:r>
      <w:bookmarkStart w:id="2" w:name="_GoBack"/>
      <w:bookmarkEnd w:id="2"/>
      <w:r w:rsidR="002662A8">
        <w:rPr>
          <w:b/>
          <w:bCs/>
          <w:sz w:val="32"/>
          <w:szCs w:val="32"/>
        </w:rPr>
        <w:t>9893</w:t>
      </w:r>
    </w:p>
    <w:p w:rsidR="002C2BC8" w:rsidRDefault="00FC2205">
      <w:pPr>
        <w:jc w:val="center"/>
        <w:rPr>
          <w:b/>
          <w:bCs/>
          <w:sz w:val="32"/>
          <w:szCs w:val="32"/>
        </w:rPr>
      </w:pPr>
      <w:r>
        <w:rPr>
          <w:b/>
          <w:bCs/>
          <w:sz w:val="32"/>
          <w:szCs w:val="32"/>
        </w:rPr>
        <w:t>Submission date:</w:t>
      </w:r>
      <w:r w:rsidR="00FF2D7A">
        <w:rPr>
          <w:b/>
          <w:bCs/>
          <w:sz w:val="32"/>
          <w:szCs w:val="32"/>
        </w:rPr>
        <w:t xml:space="preserve"> </w:t>
      </w:r>
      <w:r w:rsidR="00105F69">
        <w:rPr>
          <w:b/>
          <w:bCs/>
          <w:sz w:val="32"/>
          <w:szCs w:val="32"/>
        </w:rPr>
        <w:t>4</w:t>
      </w:r>
      <w:r w:rsidR="00FF2D7A" w:rsidRPr="00FF2D7A">
        <w:rPr>
          <w:b/>
          <w:bCs/>
          <w:sz w:val="32"/>
          <w:szCs w:val="32"/>
          <w:vertAlign w:val="superscript"/>
        </w:rPr>
        <w:t>th</w:t>
      </w:r>
      <w:r w:rsidR="00105F69">
        <w:rPr>
          <w:b/>
          <w:bCs/>
          <w:sz w:val="32"/>
          <w:szCs w:val="32"/>
        </w:rPr>
        <w:t xml:space="preserve"> Sep</w:t>
      </w:r>
      <w:r w:rsidR="00FF2D7A">
        <w:rPr>
          <w:b/>
          <w:bCs/>
          <w:sz w:val="32"/>
          <w:szCs w:val="32"/>
        </w:rPr>
        <w:t xml:space="preserve"> 2026</w:t>
      </w:r>
      <w:r>
        <w:br w:type="page"/>
      </w:r>
    </w:p>
    <w:p w:rsidR="002C2BC8" w:rsidRDefault="00FC2205">
      <w:pPr>
        <w:pStyle w:val="Heading1"/>
        <w:keepNext w:val="0"/>
        <w:keepLines w:val="0"/>
        <w:jc w:val="center"/>
      </w:pPr>
      <w:bookmarkStart w:id="3" w:name="_heading=h.rpu9hlhkpyz9" w:colFirst="0" w:colLast="0"/>
      <w:bookmarkStart w:id="4" w:name="_Toc238232021"/>
      <w:bookmarkStart w:id="5" w:name="_Toc239373322"/>
      <w:bookmarkEnd w:id="3"/>
      <w:r>
        <w:lastRenderedPageBreak/>
        <w:t>Table of Contents</w:t>
      </w:r>
      <w:bookmarkEnd w:id="4"/>
      <w:bookmarkEnd w:id="5"/>
    </w:p>
    <w:bookmarkStart w:id="6" w:name="_heading=h.mfzkv0cu6b2j" w:colFirst="0" w:colLast="0" w:displacedByCustomXml="next"/>
    <w:bookmarkEnd w:id="6" w:displacedByCustomXml="next"/>
    <w:sdt>
      <w:sdtPr>
        <w:rPr>
          <w:rFonts w:ascii="Times New Roman" w:eastAsia="Times New Roman" w:hAnsi="Times New Roman" w:cs="Times New Roman"/>
          <w:b w:val="0"/>
          <w:bCs w:val="0"/>
          <w:color w:val="auto"/>
          <w:sz w:val="24"/>
          <w:szCs w:val="24"/>
          <w:lang w:eastAsia="en-IN"/>
        </w:rPr>
        <w:id w:val="80742786"/>
        <w:docPartObj>
          <w:docPartGallery w:val="Table of Contents"/>
          <w:docPartUnique/>
        </w:docPartObj>
      </w:sdtPr>
      <w:sdtContent>
        <w:p w:rsidR="004F6403" w:rsidRDefault="004F6403">
          <w:pPr>
            <w:pStyle w:val="TOCHeading"/>
          </w:pPr>
          <w:r>
            <w:t>Contents</w:t>
          </w:r>
        </w:p>
        <w:p w:rsidR="00105F69" w:rsidRDefault="00082632">
          <w:pPr>
            <w:pStyle w:val="TOC1"/>
            <w:tabs>
              <w:tab w:val="right" w:leader="dot" w:pos="9350"/>
            </w:tabs>
            <w:rPr>
              <w:rFonts w:asciiTheme="minorHAnsi" w:eastAsiaTheme="minorEastAsia" w:hAnsiTheme="minorHAnsi" w:cstheme="minorBidi"/>
              <w:noProof/>
              <w:sz w:val="22"/>
              <w:szCs w:val="22"/>
              <w:lang w:eastAsia="en-US"/>
            </w:rPr>
          </w:pPr>
          <w:r>
            <w:fldChar w:fldCharType="begin"/>
          </w:r>
          <w:r w:rsidR="004F6403">
            <w:instrText xml:space="preserve"> TOC \o "1-3" \h \z \u </w:instrText>
          </w:r>
          <w:r>
            <w:fldChar w:fldCharType="separate"/>
          </w:r>
          <w:hyperlink w:anchor="_Toc239373322" w:history="1">
            <w:r w:rsidR="00105F69" w:rsidRPr="006A6600">
              <w:rPr>
                <w:rStyle w:val="Hyperlink"/>
                <w:noProof/>
              </w:rPr>
              <w:t>Table of Contents</w:t>
            </w:r>
            <w:r w:rsidR="00105F69">
              <w:rPr>
                <w:noProof/>
                <w:webHidden/>
              </w:rPr>
              <w:tab/>
            </w:r>
            <w:r w:rsidR="00105F69">
              <w:rPr>
                <w:noProof/>
                <w:webHidden/>
              </w:rPr>
              <w:fldChar w:fldCharType="begin"/>
            </w:r>
            <w:r w:rsidR="00105F69">
              <w:rPr>
                <w:noProof/>
                <w:webHidden/>
              </w:rPr>
              <w:instrText xml:space="preserve"> PAGEREF _Toc239373322 \h </w:instrText>
            </w:r>
            <w:r w:rsidR="00105F69">
              <w:rPr>
                <w:noProof/>
                <w:webHidden/>
              </w:rPr>
            </w:r>
            <w:r w:rsidR="00105F69">
              <w:rPr>
                <w:noProof/>
                <w:webHidden/>
              </w:rPr>
              <w:fldChar w:fldCharType="separate"/>
            </w:r>
            <w:r w:rsidR="00105F69">
              <w:rPr>
                <w:noProof/>
                <w:webHidden/>
              </w:rPr>
              <w:t>1</w:t>
            </w:r>
            <w:r w:rsidR="00105F69">
              <w:rPr>
                <w:noProof/>
                <w:webHidden/>
              </w:rPr>
              <w:fldChar w:fldCharType="end"/>
            </w:r>
          </w:hyperlink>
        </w:p>
        <w:p w:rsidR="00105F69" w:rsidRDefault="00105F69">
          <w:pPr>
            <w:pStyle w:val="TOC1"/>
            <w:tabs>
              <w:tab w:val="left" w:pos="480"/>
              <w:tab w:val="right" w:leader="dot" w:pos="9350"/>
            </w:tabs>
            <w:rPr>
              <w:rFonts w:asciiTheme="minorHAnsi" w:eastAsiaTheme="minorEastAsia" w:hAnsiTheme="minorHAnsi" w:cstheme="minorBidi"/>
              <w:noProof/>
              <w:sz w:val="22"/>
              <w:szCs w:val="22"/>
              <w:lang w:eastAsia="en-US"/>
            </w:rPr>
          </w:pPr>
          <w:hyperlink w:anchor="_Toc239373323" w:history="1">
            <w:r w:rsidRPr="006A6600">
              <w:rPr>
                <w:rStyle w:val="Hyperlink"/>
                <w:noProof/>
              </w:rPr>
              <w:t>1.</w:t>
            </w:r>
            <w:r>
              <w:rPr>
                <w:rFonts w:asciiTheme="minorHAnsi" w:eastAsiaTheme="minorEastAsia" w:hAnsiTheme="minorHAnsi" w:cstheme="minorBidi"/>
                <w:noProof/>
                <w:sz w:val="22"/>
                <w:szCs w:val="22"/>
                <w:lang w:eastAsia="en-US"/>
              </w:rPr>
              <w:tab/>
            </w:r>
            <w:r w:rsidRPr="006A6600">
              <w:rPr>
                <w:rStyle w:val="Hyperlink"/>
                <w:noProof/>
              </w:rPr>
              <w:t>Introduction</w:t>
            </w:r>
            <w:r>
              <w:rPr>
                <w:noProof/>
                <w:webHidden/>
              </w:rPr>
              <w:tab/>
            </w:r>
            <w:r>
              <w:rPr>
                <w:noProof/>
                <w:webHidden/>
              </w:rPr>
              <w:fldChar w:fldCharType="begin"/>
            </w:r>
            <w:r>
              <w:rPr>
                <w:noProof/>
                <w:webHidden/>
              </w:rPr>
              <w:instrText xml:space="preserve"> PAGEREF _Toc239373323 \h </w:instrText>
            </w:r>
            <w:r>
              <w:rPr>
                <w:noProof/>
                <w:webHidden/>
              </w:rPr>
            </w:r>
            <w:r>
              <w:rPr>
                <w:noProof/>
                <w:webHidden/>
              </w:rPr>
              <w:fldChar w:fldCharType="separate"/>
            </w:r>
            <w:r>
              <w:rPr>
                <w:noProof/>
                <w:webHidden/>
              </w:rPr>
              <w:t>5</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24" w:history="1">
            <w:r w:rsidRPr="006A6600">
              <w:rPr>
                <w:rStyle w:val="Hyperlink"/>
                <w:noProof/>
              </w:rPr>
              <w:t>1.1 Background / Context</w:t>
            </w:r>
            <w:r>
              <w:rPr>
                <w:noProof/>
                <w:webHidden/>
              </w:rPr>
              <w:tab/>
            </w:r>
            <w:r>
              <w:rPr>
                <w:noProof/>
                <w:webHidden/>
              </w:rPr>
              <w:fldChar w:fldCharType="begin"/>
            </w:r>
            <w:r>
              <w:rPr>
                <w:noProof/>
                <w:webHidden/>
              </w:rPr>
              <w:instrText xml:space="preserve"> PAGEREF _Toc239373324 \h </w:instrText>
            </w:r>
            <w:r>
              <w:rPr>
                <w:noProof/>
                <w:webHidden/>
              </w:rPr>
            </w:r>
            <w:r>
              <w:rPr>
                <w:noProof/>
                <w:webHidden/>
              </w:rPr>
              <w:fldChar w:fldCharType="separate"/>
            </w:r>
            <w:r>
              <w:rPr>
                <w:noProof/>
                <w:webHidden/>
              </w:rPr>
              <w:t>5</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25" w:history="1">
            <w:r w:rsidRPr="006A6600">
              <w:rPr>
                <w:rStyle w:val="Hyperlink"/>
                <w:noProof/>
              </w:rPr>
              <w:t>1.2 Problem / Opportunity Statement</w:t>
            </w:r>
            <w:r>
              <w:rPr>
                <w:noProof/>
                <w:webHidden/>
              </w:rPr>
              <w:tab/>
            </w:r>
            <w:r>
              <w:rPr>
                <w:noProof/>
                <w:webHidden/>
              </w:rPr>
              <w:fldChar w:fldCharType="begin"/>
            </w:r>
            <w:r>
              <w:rPr>
                <w:noProof/>
                <w:webHidden/>
              </w:rPr>
              <w:instrText xml:space="preserve"> PAGEREF _Toc239373325 \h </w:instrText>
            </w:r>
            <w:r>
              <w:rPr>
                <w:noProof/>
                <w:webHidden/>
              </w:rPr>
            </w:r>
            <w:r>
              <w:rPr>
                <w:noProof/>
                <w:webHidden/>
              </w:rPr>
              <w:fldChar w:fldCharType="separate"/>
            </w:r>
            <w:r>
              <w:rPr>
                <w:noProof/>
                <w:webHidden/>
              </w:rPr>
              <w:t>6</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26" w:history="1">
            <w:r w:rsidRPr="006A6600">
              <w:rPr>
                <w:rStyle w:val="Hyperlink"/>
                <w:noProof/>
              </w:rPr>
              <w:t>1.3 Initial Observation of Demand</w:t>
            </w:r>
            <w:r>
              <w:rPr>
                <w:noProof/>
                <w:webHidden/>
              </w:rPr>
              <w:tab/>
            </w:r>
            <w:r>
              <w:rPr>
                <w:noProof/>
                <w:webHidden/>
              </w:rPr>
              <w:fldChar w:fldCharType="begin"/>
            </w:r>
            <w:r>
              <w:rPr>
                <w:noProof/>
                <w:webHidden/>
              </w:rPr>
              <w:instrText xml:space="preserve"> PAGEREF _Toc239373326 \h </w:instrText>
            </w:r>
            <w:r>
              <w:rPr>
                <w:noProof/>
                <w:webHidden/>
              </w:rPr>
            </w:r>
            <w:r>
              <w:rPr>
                <w:noProof/>
                <w:webHidden/>
              </w:rPr>
              <w:fldChar w:fldCharType="separate"/>
            </w:r>
            <w:r>
              <w:rPr>
                <w:noProof/>
                <w:webHidden/>
              </w:rPr>
              <w:t>7</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27" w:history="1">
            <w:r w:rsidRPr="006A6600">
              <w:rPr>
                <w:rStyle w:val="Hyperlink"/>
                <w:noProof/>
              </w:rPr>
              <w:t>1.4 Aim ,Objectives and Research Questions</w:t>
            </w:r>
            <w:r>
              <w:rPr>
                <w:noProof/>
                <w:webHidden/>
              </w:rPr>
              <w:tab/>
            </w:r>
            <w:r>
              <w:rPr>
                <w:noProof/>
                <w:webHidden/>
              </w:rPr>
              <w:fldChar w:fldCharType="begin"/>
            </w:r>
            <w:r>
              <w:rPr>
                <w:noProof/>
                <w:webHidden/>
              </w:rPr>
              <w:instrText xml:space="preserve"> PAGEREF _Toc239373327 \h </w:instrText>
            </w:r>
            <w:r>
              <w:rPr>
                <w:noProof/>
                <w:webHidden/>
              </w:rPr>
            </w:r>
            <w:r>
              <w:rPr>
                <w:noProof/>
                <w:webHidden/>
              </w:rPr>
              <w:fldChar w:fldCharType="separate"/>
            </w:r>
            <w:r>
              <w:rPr>
                <w:noProof/>
                <w:webHidden/>
              </w:rPr>
              <w:t>7</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28" w:history="1">
            <w:r w:rsidRPr="006A6600">
              <w:rPr>
                <w:rStyle w:val="Hyperlink"/>
                <w:noProof/>
              </w:rPr>
              <w:t>Research Aim</w:t>
            </w:r>
            <w:r>
              <w:rPr>
                <w:noProof/>
                <w:webHidden/>
              </w:rPr>
              <w:tab/>
            </w:r>
            <w:r>
              <w:rPr>
                <w:noProof/>
                <w:webHidden/>
              </w:rPr>
              <w:fldChar w:fldCharType="begin"/>
            </w:r>
            <w:r>
              <w:rPr>
                <w:noProof/>
                <w:webHidden/>
              </w:rPr>
              <w:instrText xml:space="preserve"> PAGEREF _Toc239373328 \h </w:instrText>
            </w:r>
            <w:r>
              <w:rPr>
                <w:noProof/>
                <w:webHidden/>
              </w:rPr>
            </w:r>
            <w:r>
              <w:rPr>
                <w:noProof/>
                <w:webHidden/>
              </w:rPr>
              <w:fldChar w:fldCharType="separate"/>
            </w:r>
            <w:r>
              <w:rPr>
                <w:noProof/>
                <w:webHidden/>
              </w:rPr>
              <w:t>7</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29" w:history="1">
            <w:r w:rsidRPr="006A6600">
              <w:rPr>
                <w:rStyle w:val="Hyperlink"/>
                <w:noProof/>
              </w:rPr>
              <w:t>Research Objectives</w:t>
            </w:r>
            <w:r>
              <w:rPr>
                <w:noProof/>
                <w:webHidden/>
              </w:rPr>
              <w:tab/>
            </w:r>
            <w:r>
              <w:rPr>
                <w:noProof/>
                <w:webHidden/>
              </w:rPr>
              <w:fldChar w:fldCharType="begin"/>
            </w:r>
            <w:r>
              <w:rPr>
                <w:noProof/>
                <w:webHidden/>
              </w:rPr>
              <w:instrText xml:space="preserve"> PAGEREF _Toc239373329 \h </w:instrText>
            </w:r>
            <w:r>
              <w:rPr>
                <w:noProof/>
                <w:webHidden/>
              </w:rPr>
            </w:r>
            <w:r>
              <w:rPr>
                <w:noProof/>
                <w:webHidden/>
              </w:rPr>
              <w:fldChar w:fldCharType="separate"/>
            </w:r>
            <w:r>
              <w:rPr>
                <w:noProof/>
                <w:webHidden/>
              </w:rPr>
              <w:t>7</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30" w:history="1">
            <w:r w:rsidRPr="006A6600">
              <w:rPr>
                <w:rStyle w:val="Hyperlink"/>
                <w:noProof/>
              </w:rPr>
              <w:t>Research Questions</w:t>
            </w:r>
            <w:r>
              <w:rPr>
                <w:noProof/>
                <w:webHidden/>
              </w:rPr>
              <w:tab/>
            </w:r>
            <w:r>
              <w:rPr>
                <w:noProof/>
                <w:webHidden/>
              </w:rPr>
              <w:fldChar w:fldCharType="begin"/>
            </w:r>
            <w:r>
              <w:rPr>
                <w:noProof/>
                <w:webHidden/>
              </w:rPr>
              <w:instrText xml:space="preserve"> PAGEREF _Toc239373330 \h </w:instrText>
            </w:r>
            <w:r>
              <w:rPr>
                <w:noProof/>
                <w:webHidden/>
              </w:rPr>
            </w:r>
            <w:r>
              <w:rPr>
                <w:noProof/>
                <w:webHidden/>
              </w:rPr>
              <w:fldChar w:fldCharType="separate"/>
            </w:r>
            <w:r>
              <w:rPr>
                <w:noProof/>
                <w:webHidden/>
              </w:rPr>
              <w:t>8</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31" w:history="1">
            <w:r w:rsidRPr="006A6600">
              <w:rPr>
                <w:rStyle w:val="Hyperlink"/>
                <w:noProof/>
              </w:rPr>
              <w:t>1.5 Scope of Analysis</w:t>
            </w:r>
            <w:r>
              <w:rPr>
                <w:noProof/>
                <w:webHidden/>
              </w:rPr>
              <w:tab/>
            </w:r>
            <w:r>
              <w:rPr>
                <w:noProof/>
                <w:webHidden/>
              </w:rPr>
              <w:fldChar w:fldCharType="begin"/>
            </w:r>
            <w:r>
              <w:rPr>
                <w:noProof/>
                <w:webHidden/>
              </w:rPr>
              <w:instrText xml:space="preserve"> PAGEREF _Toc239373331 \h </w:instrText>
            </w:r>
            <w:r>
              <w:rPr>
                <w:noProof/>
                <w:webHidden/>
              </w:rPr>
            </w:r>
            <w:r>
              <w:rPr>
                <w:noProof/>
                <w:webHidden/>
              </w:rPr>
              <w:fldChar w:fldCharType="separate"/>
            </w:r>
            <w:r>
              <w:rPr>
                <w:noProof/>
                <w:webHidden/>
              </w:rPr>
              <w:t>8</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32" w:history="1">
            <w:r w:rsidRPr="006A6600">
              <w:rPr>
                <w:rStyle w:val="Hyperlink"/>
                <w:noProof/>
              </w:rPr>
              <w:t>1.6 Structure of the Report</w:t>
            </w:r>
            <w:r>
              <w:rPr>
                <w:noProof/>
                <w:webHidden/>
              </w:rPr>
              <w:tab/>
            </w:r>
            <w:r>
              <w:rPr>
                <w:noProof/>
                <w:webHidden/>
              </w:rPr>
              <w:fldChar w:fldCharType="begin"/>
            </w:r>
            <w:r>
              <w:rPr>
                <w:noProof/>
                <w:webHidden/>
              </w:rPr>
              <w:instrText xml:space="preserve"> PAGEREF _Toc239373332 \h </w:instrText>
            </w:r>
            <w:r>
              <w:rPr>
                <w:noProof/>
                <w:webHidden/>
              </w:rPr>
            </w:r>
            <w:r>
              <w:rPr>
                <w:noProof/>
                <w:webHidden/>
              </w:rPr>
              <w:fldChar w:fldCharType="separate"/>
            </w:r>
            <w:r>
              <w:rPr>
                <w:noProof/>
                <w:webHidden/>
              </w:rPr>
              <w:t>8</w:t>
            </w:r>
            <w:r>
              <w:rPr>
                <w:noProof/>
                <w:webHidden/>
              </w:rPr>
              <w:fldChar w:fldCharType="end"/>
            </w:r>
          </w:hyperlink>
        </w:p>
        <w:p w:rsidR="00105F69" w:rsidRDefault="00105F69">
          <w:pPr>
            <w:pStyle w:val="TOC1"/>
            <w:tabs>
              <w:tab w:val="right" w:leader="dot" w:pos="9350"/>
            </w:tabs>
            <w:rPr>
              <w:rFonts w:asciiTheme="minorHAnsi" w:eastAsiaTheme="minorEastAsia" w:hAnsiTheme="minorHAnsi" w:cstheme="minorBidi"/>
              <w:noProof/>
              <w:sz w:val="22"/>
              <w:szCs w:val="22"/>
              <w:lang w:eastAsia="en-US"/>
            </w:rPr>
          </w:pPr>
          <w:hyperlink w:anchor="_Toc239373333" w:history="1">
            <w:r w:rsidRPr="006A6600">
              <w:rPr>
                <w:rStyle w:val="Hyperlink"/>
                <w:noProof/>
              </w:rPr>
              <w:t>2. Company Description</w:t>
            </w:r>
            <w:r>
              <w:rPr>
                <w:noProof/>
                <w:webHidden/>
              </w:rPr>
              <w:tab/>
            </w:r>
            <w:r>
              <w:rPr>
                <w:noProof/>
                <w:webHidden/>
              </w:rPr>
              <w:fldChar w:fldCharType="begin"/>
            </w:r>
            <w:r>
              <w:rPr>
                <w:noProof/>
                <w:webHidden/>
              </w:rPr>
              <w:instrText xml:space="preserve"> PAGEREF _Toc239373333 \h </w:instrText>
            </w:r>
            <w:r>
              <w:rPr>
                <w:noProof/>
                <w:webHidden/>
              </w:rPr>
            </w:r>
            <w:r>
              <w:rPr>
                <w:noProof/>
                <w:webHidden/>
              </w:rPr>
              <w:fldChar w:fldCharType="separate"/>
            </w:r>
            <w:r>
              <w:rPr>
                <w:noProof/>
                <w:webHidden/>
              </w:rPr>
              <w:t>9</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34" w:history="1">
            <w:r w:rsidRPr="006A6600">
              <w:rPr>
                <w:rStyle w:val="Hyperlink"/>
                <w:noProof/>
              </w:rPr>
              <w:t>2.1 Business Identity, Legal Structure</w:t>
            </w:r>
            <w:r>
              <w:rPr>
                <w:noProof/>
                <w:webHidden/>
              </w:rPr>
              <w:tab/>
            </w:r>
            <w:r>
              <w:rPr>
                <w:noProof/>
                <w:webHidden/>
              </w:rPr>
              <w:fldChar w:fldCharType="begin"/>
            </w:r>
            <w:r>
              <w:rPr>
                <w:noProof/>
                <w:webHidden/>
              </w:rPr>
              <w:instrText xml:space="preserve"> PAGEREF _Toc239373334 \h </w:instrText>
            </w:r>
            <w:r>
              <w:rPr>
                <w:noProof/>
                <w:webHidden/>
              </w:rPr>
            </w:r>
            <w:r>
              <w:rPr>
                <w:noProof/>
                <w:webHidden/>
              </w:rPr>
              <w:fldChar w:fldCharType="separate"/>
            </w:r>
            <w:r>
              <w:rPr>
                <w:noProof/>
                <w:webHidden/>
              </w:rPr>
              <w:t>9</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35" w:history="1">
            <w:r w:rsidRPr="006A6600">
              <w:rPr>
                <w:rStyle w:val="Hyperlink"/>
                <w:noProof/>
              </w:rPr>
              <w:t>2.2 Product/Service and Problem Solved</w:t>
            </w:r>
            <w:r>
              <w:rPr>
                <w:noProof/>
                <w:webHidden/>
              </w:rPr>
              <w:tab/>
            </w:r>
            <w:r>
              <w:rPr>
                <w:noProof/>
                <w:webHidden/>
              </w:rPr>
              <w:fldChar w:fldCharType="begin"/>
            </w:r>
            <w:r>
              <w:rPr>
                <w:noProof/>
                <w:webHidden/>
              </w:rPr>
              <w:instrText xml:space="preserve"> PAGEREF _Toc239373335 \h </w:instrText>
            </w:r>
            <w:r>
              <w:rPr>
                <w:noProof/>
                <w:webHidden/>
              </w:rPr>
            </w:r>
            <w:r>
              <w:rPr>
                <w:noProof/>
                <w:webHidden/>
              </w:rPr>
              <w:fldChar w:fldCharType="separate"/>
            </w:r>
            <w:r>
              <w:rPr>
                <w:noProof/>
                <w:webHidden/>
              </w:rPr>
              <w:t>10</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36" w:history="1">
            <w:r w:rsidRPr="006A6600">
              <w:rPr>
                <w:rStyle w:val="Hyperlink"/>
                <w:noProof/>
              </w:rPr>
              <w:t>2.3 Founding Idea and History</w:t>
            </w:r>
            <w:r>
              <w:rPr>
                <w:noProof/>
                <w:webHidden/>
              </w:rPr>
              <w:tab/>
            </w:r>
            <w:r>
              <w:rPr>
                <w:noProof/>
                <w:webHidden/>
              </w:rPr>
              <w:fldChar w:fldCharType="begin"/>
            </w:r>
            <w:r>
              <w:rPr>
                <w:noProof/>
                <w:webHidden/>
              </w:rPr>
              <w:instrText xml:space="preserve"> PAGEREF _Toc239373336 \h </w:instrText>
            </w:r>
            <w:r>
              <w:rPr>
                <w:noProof/>
                <w:webHidden/>
              </w:rPr>
            </w:r>
            <w:r>
              <w:rPr>
                <w:noProof/>
                <w:webHidden/>
              </w:rPr>
              <w:fldChar w:fldCharType="separate"/>
            </w:r>
            <w:r>
              <w:rPr>
                <w:noProof/>
                <w:webHidden/>
              </w:rPr>
              <w:t>10</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37" w:history="1">
            <w:r w:rsidRPr="006A6600">
              <w:rPr>
                <w:rStyle w:val="Hyperlink"/>
                <w:noProof/>
              </w:rPr>
              <w:t>2.4 SMART Business Objectives and Goals</w:t>
            </w:r>
            <w:r>
              <w:rPr>
                <w:noProof/>
                <w:webHidden/>
              </w:rPr>
              <w:tab/>
            </w:r>
            <w:r>
              <w:rPr>
                <w:noProof/>
                <w:webHidden/>
              </w:rPr>
              <w:fldChar w:fldCharType="begin"/>
            </w:r>
            <w:r>
              <w:rPr>
                <w:noProof/>
                <w:webHidden/>
              </w:rPr>
              <w:instrText xml:space="preserve"> PAGEREF _Toc239373337 \h </w:instrText>
            </w:r>
            <w:r>
              <w:rPr>
                <w:noProof/>
                <w:webHidden/>
              </w:rPr>
            </w:r>
            <w:r>
              <w:rPr>
                <w:noProof/>
                <w:webHidden/>
              </w:rPr>
              <w:fldChar w:fldCharType="separate"/>
            </w:r>
            <w:r>
              <w:rPr>
                <w:noProof/>
                <w:webHidden/>
              </w:rPr>
              <w:t>11</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38" w:history="1">
            <w:r w:rsidRPr="006A6600">
              <w:rPr>
                <w:rStyle w:val="Hyperlink"/>
                <w:noProof/>
              </w:rPr>
              <w:t>2.5 Core Values and Trend Alignment</w:t>
            </w:r>
            <w:r>
              <w:rPr>
                <w:noProof/>
                <w:webHidden/>
              </w:rPr>
              <w:tab/>
            </w:r>
            <w:r>
              <w:rPr>
                <w:noProof/>
                <w:webHidden/>
              </w:rPr>
              <w:fldChar w:fldCharType="begin"/>
            </w:r>
            <w:r>
              <w:rPr>
                <w:noProof/>
                <w:webHidden/>
              </w:rPr>
              <w:instrText xml:space="preserve"> PAGEREF _Toc239373338 \h </w:instrText>
            </w:r>
            <w:r>
              <w:rPr>
                <w:noProof/>
                <w:webHidden/>
              </w:rPr>
            </w:r>
            <w:r>
              <w:rPr>
                <w:noProof/>
                <w:webHidden/>
              </w:rPr>
              <w:fldChar w:fldCharType="separate"/>
            </w:r>
            <w:r>
              <w:rPr>
                <w:noProof/>
                <w:webHidden/>
              </w:rPr>
              <w:t>12</w:t>
            </w:r>
            <w:r>
              <w:rPr>
                <w:noProof/>
                <w:webHidden/>
              </w:rPr>
              <w:fldChar w:fldCharType="end"/>
            </w:r>
          </w:hyperlink>
        </w:p>
        <w:p w:rsidR="00105F69" w:rsidRDefault="00105F69">
          <w:pPr>
            <w:pStyle w:val="TOC1"/>
            <w:tabs>
              <w:tab w:val="right" w:leader="dot" w:pos="9350"/>
            </w:tabs>
            <w:rPr>
              <w:rFonts w:asciiTheme="minorHAnsi" w:eastAsiaTheme="minorEastAsia" w:hAnsiTheme="minorHAnsi" w:cstheme="minorBidi"/>
              <w:noProof/>
              <w:sz w:val="22"/>
              <w:szCs w:val="22"/>
              <w:lang w:eastAsia="en-US"/>
            </w:rPr>
          </w:pPr>
          <w:hyperlink w:anchor="_Toc239373339" w:history="1">
            <w:r w:rsidRPr="006A6600">
              <w:rPr>
                <w:rStyle w:val="Hyperlink"/>
                <w:noProof/>
              </w:rPr>
              <w:t>3. Literature Review</w:t>
            </w:r>
            <w:r>
              <w:rPr>
                <w:noProof/>
                <w:webHidden/>
              </w:rPr>
              <w:tab/>
            </w:r>
            <w:r>
              <w:rPr>
                <w:noProof/>
                <w:webHidden/>
              </w:rPr>
              <w:fldChar w:fldCharType="begin"/>
            </w:r>
            <w:r>
              <w:rPr>
                <w:noProof/>
                <w:webHidden/>
              </w:rPr>
              <w:instrText xml:space="preserve"> PAGEREF _Toc239373339 \h </w:instrText>
            </w:r>
            <w:r>
              <w:rPr>
                <w:noProof/>
                <w:webHidden/>
              </w:rPr>
            </w:r>
            <w:r>
              <w:rPr>
                <w:noProof/>
                <w:webHidden/>
              </w:rPr>
              <w:fldChar w:fldCharType="separate"/>
            </w:r>
            <w:r>
              <w:rPr>
                <w:noProof/>
                <w:webHidden/>
              </w:rPr>
              <w:t>12</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40" w:history="1">
            <w:r w:rsidRPr="006A6600">
              <w:rPr>
                <w:rStyle w:val="Hyperlink"/>
                <w:noProof/>
              </w:rPr>
              <w:t>3.1 UK Office Fit-Out and Furniture Market</w:t>
            </w:r>
            <w:r>
              <w:rPr>
                <w:noProof/>
                <w:webHidden/>
              </w:rPr>
              <w:tab/>
            </w:r>
            <w:r>
              <w:rPr>
                <w:noProof/>
                <w:webHidden/>
              </w:rPr>
              <w:fldChar w:fldCharType="begin"/>
            </w:r>
            <w:r>
              <w:rPr>
                <w:noProof/>
                <w:webHidden/>
              </w:rPr>
              <w:instrText xml:space="preserve"> PAGEREF _Toc239373340 \h </w:instrText>
            </w:r>
            <w:r>
              <w:rPr>
                <w:noProof/>
                <w:webHidden/>
              </w:rPr>
            </w:r>
            <w:r>
              <w:rPr>
                <w:noProof/>
                <w:webHidden/>
              </w:rPr>
              <w:fldChar w:fldCharType="separate"/>
            </w:r>
            <w:r>
              <w:rPr>
                <w:noProof/>
                <w:webHidden/>
              </w:rPr>
              <w:t>12</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41" w:history="1">
            <w:r w:rsidRPr="006A6600">
              <w:rPr>
                <w:rStyle w:val="Hyperlink"/>
                <w:noProof/>
              </w:rPr>
              <w:t>3.2 Circular Economy Theory</w:t>
            </w:r>
            <w:r>
              <w:rPr>
                <w:noProof/>
                <w:webHidden/>
              </w:rPr>
              <w:tab/>
            </w:r>
            <w:r>
              <w:rPr>
                <w:noProof/>
                <w:webHidden/>
              </w:rPr>
              <w:fldChar w:fldCharType="begin"/>
            </w:r>
            <w:r>
              <w:rPr>
                <w:noProof/>
                <w:webHidden/>
              </w:rPr>
              <w:instrText xml:space="preserve"> PAGEREF _Toc239373341 \h </w:instrText>
            </w:r>
            <w:r>
              <w:rPr>
                <w:noProof/>
                <w:webHidden/>
              </w:rPr>
            </w:r>
            <w:r>
              <w:rPr>
                <w:noProof/>
                <w:webHidden/>
              </w:rPr>
              <w:fldChar w:fldCharType="separate"/>
            </w:r>
            <w:r>
              <w:rPr>
                <w:noProof/>
                <w:webHidden/>
              </w:rPr>
              <w:t>13</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42" w:history="1">
            <w:r w:rsidRPr="006A6600">
              <w:rPr>
                <w:rStyle w:val="Hyperlink"/>
                <w:noProof/>
              </w:rPr>
              <w:t>3.3 Sustainable Business Model Innovation</w:t>
            </w:r>
            <w:r>
              <w:rPr>
                <w:noProof/>
                <w:webHidden/>
              </w:rPr>
              <w:tab/>
            </w:r>
            <w:r>
              <w:rPr>
                <w:noProof/>
                <w:webHidden/>
              </w:rPr>
              <w:fldChar w:fldCharType="begin"/>
            </w:r>
            <w:r>
              <w:rPr>
                <w:noProof/>
                <w:webHidden/>
              </w:rPr>
              <w:instrText xml:space="preserve"> PAGEREF _Toc239373342 \h </w:instrText>
            </w:r>
            <w:r>
              <w:rPr>
                <w:noProof/>
                <w:webHidden/>
              </w:rPr>
            </w:r>
            <w:r>
              <w:rPr>
                <w:noProof/>
                <w:webHidden/>
              </w:rPr>
              <w:fldChar w:fldCharType="separate"/>
            </w:r>
            <w:r>
              <w:rPr>
                <w:noProof/>
                <w:webHidden/>
              </w:rPr>
              <w:t>14</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43" w:history="1">
            <w:r w:rsidRPr="006A6600">
              <w:rPr>
                <w:rStyle w:val="Hyperlink"/>
                <w:noProof/>
              </w:rPr>
              <w:t>3.4 Strategic Frameworks for Business Development</w:t>
            </w:r>
            <w:r>
              <w:rPr>
                <w:noProof/>
                <w:webHidden/>
              </w:rPr>
              <w:tab/>
            </w:r>
            <w:r>
              <w:rPr>
                <w:noProof/>
                <w:webHidden/>
              </w:rPr>
              <w:fldChar w:fldCharType="begin"/>
            </w:r>
            <w:r>
              <w:rPr>
                <w:noProof/>
                <w:webHidden/>
              </w:rPr>
              <w:instrText xml:space="preserve"> PAGEREF _Toc239373343 \h </w:instrText>
            </w:r>
            <w:r>
              <w:rPr>
                <w:noProof/>
                <w:webHidden/>
              </w:rPr>
            </w:r>
            <w:r>
              <w:rPr>
                <w:noProof/>
                <w:webHidden/>
              </w:rPr>
              <w:fldChar w:fldCharType="separate"/>
            </w:r>
            <w:r>
              <w:rPr>
                <w:noProof/>
                <w:webHidden/>
              </w:rPr>
              <w:t>16</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44" w:history="1">
            <w:r w:rsidRPr="006A6600">
              <w:rPr>
                <w:rStyle w:val="Hyperlink"/>
                <w:noProof/>
              </w:rPr>
              <w:t>3.5 Synthesis and Research Gap</w:t>
            </w:r>
            <w:r>
              <w:rPr>
                <w:noProof/>
                <w:webHidden/>
              </w:rPr>
              <w:tab/>
            </w:r>
            <w:r>
              <w:rPr>
                <w:noProof/>
                <w:webHidden/>
              </w:rPr>
              <w:fldChar w:fldCharType="begin"/>
            </w:r>
            <w:r>
              <w:rPr>
                <w:noProof/>
                <w:webHidden/>
              </w:rPr>
              <w:instrText xml:space="preserve"> PAGEREF _Toc239373344 \h </w:instrText>
            </w:r>
            <w:r>
              <w:rPr>
                <w:noProof/>
                <w:webHidden/>
              </w:rPr>
            </w:r>
            <w:r>
              <w:rPr>
                <w:noProof/>
                <w:webHidden/>
              </w:rPr>
              <w:fldChar w:fldCharType="separate"/>
            </w:r>
            <w:r>
              <w:rPr>
                <w:noProof/>
                <w:webHidden/>
              </w:rPr>
              <w:t>16</w:t>
            </w:r>
            <w:r>
              <w:rPr>
                <w:noProof/>
                <w:webHidden/>
              </w:rPr>
              <w:fldChar w:fldCharType="end"/>
            </w:r>
          </w:hyperlink>
        </w:p>
        <w:p w:rsidR="00105F69" w:rsidRDefault="00105F69">
          <w:pPr>
            <w:pStyle w:val="TOC1"/>
            <w:tabs>
              <w:tab w:val="right" w:leader="dot" w:pos="9350"/>
            </w:tabs>
            <w:rPr>
              <w:rFonts w:asciiTheme="minorHAnsi" w:eastAsiaTheme="minorEastAsia" w:hAnsiTheme="minorHAnsi" w:cstheme="minorBidi"/>
              <w:noProof/>
              <w:sz w:val="22"/>
              <w:szCs w:val="22"/>
              <w:lang w:eastAsia="en-US"/>
            </w:rPr>
          </w:pPr>
          <w:hyperlink w:anchor="_Toc239373345" w:history="1">
            <w:r w:rsidRPr="006A6600">
              <w:rPr>
                <w:rStyle w:val="Hyperlink"/>
                <w:noProof/>
              </w:rPr>
              <w:t>4. Methodology</w:t>
            </w:r>
            <w:r>
              <w:rPr>
                <w:noProof/>
                <w:webHidden/>
              </w:rPr>
              <w:tab/>
            </w:r>
            <w:r>
              <w:rPr>
                <w:noProof/>
                <w:webHidden/>
              </w:rPr>
              <w:fldChar w:fldCharType="begin"/>
            </w:r>
            <w:r>
              <w:rPr>
                <w:noProof/>
                <w:webHidden/>
              </w:rPr>
              <w:instrText xml:space="preserve"> PAGEREF _Toc239373345 \h </w:instrText>
            </w:r>
            <w:r>
              <w:rPr>
                <w:noProof/>
                <w:webHidden/>
              </w:rPr>
            </w:r>
            <w:r>
              <w:rPr>
                <w:noProof/>
                <w:webHidden/>
              </w:rPr>
              <w:fldChar w:fldCharType="separate"/>
            </w:r>
            <w:r>
              <w:rPr>
                <w:noProof/>
                <w:webHidden/>
              </w:rPr>
              <w:t>17</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46" w:history="1">
            <w:r w:rsidRPr="006A6600">
              <w:rPr>
                <w:rStyle w:val="Hyperlink"/>
                <w:noProof/>
              </w:rPr>
              <w:t>4.1 Methodological Approach to Opportunity Identification</w:t>
            </w:r>
            <w:r>
              <w:rPr>
                <w:noProof/>
                <w:webHidden/>
              </w:rPr>
              <w:tab/>
            </w:r>
            <w:r>
              <w:rPr>
                <w:noProof/>
                <w:webHidden/>
              </w:rPr>
              <w:fldChar w:fldCharType="begin"/>
            </w:r>
            <w:r>
              <w:rPr>
                <w:noProof/>
                <w:webHidden/>
              </w:rPr>
              <w:instrText xml:space="preserve"> PAGEREF _Toc239373346 \h </w:instrText>
            </w:r>
            <w:r>
              <w:rPr>
                <w:noProof/>
                <w:webHidden/>
              </w:rPr>
            </w:r>
            <w:r>
              <w:rPr>
                <w:noProof/>
                <w:webHidden/>
              </w:rPr>
              <w:fldChar w:fldCharType="separate"/>
            </w:r>
            <w:r>
              <w:rPr>
                <w:noProof/>
                <w:webHidden/>
              </w:rPr>
              <w:t>17</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47" w:history="1">
            <w:r w:rsidRPr="006A6600">
              <w:rPr>
                <w:rStyle w:val="Hyperlink"/>
                <w:noProof/>
              </w:rPr>
              <w:t>4.2 Market Insight Collection</w:t>
            </w:r>
            <w:r>
              <w:rPr>
                <w:noProof/>
                <w:webHidden/>
              </w:rPr>
              <w:tab/>
            </w:r>
            <w:r>
              <w:rPr>
                <w:noProof/>
                <w:webHidden/>
              </w:rPr>
              <w:fldChar w:fldCharType="begin"/>
            </w:r>
            <w:r>
              <w:rPr>
                <w:noProof/>
                <w:webHidden/>
              </w:rPr>
              <w:instrText xml:space="preserve"> PAGEREF _Toc239373347 \h </w:instrText>
            </w:r>
            <w:r>
              <w:rPr>
                <w:noProof/>
                <w:webHidden/>
              </w:rPr>
            </w:r>
            <w:r>
              <w:rPr>
                <w:noProof/>
                <w:webHidden/>
              </w:rPr>
              <w:fldChar w:fldCharType="separate"/>
            </w:r>
            <w:r>
              <w:rPr>
                <w:noProof/>
                <w:webHidden/>
              </w:rPr>
              <w:t>17</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48" w:history="1">
            <w:r w:rsidRPr="006A6600">
              <w:rPr>
                <w:rStyle w:val="Hyperlink"/>
                <w:noProof/>
              </w:rPr>
              <w:t>4.3 Market Data Gathering</w:t>
            </w:r>
            <w:r>
              <w:rPr>
                <w:noProof/>
                <w:webHidden/>
              </w:rPr>
              <w:tab/>
            </w:r>
            <w:r>
              <w:rPr>
                <w:noProof/>
                <w:webHidden/>
              </w:rPr>
              <w:fldChar w:fldCharType="begin"/>
            </w:r>
            <w:r>
              <w:rPr>
                <w:noProof/>
                <w:webHidden/>
              </w:rPr>
              <w:instrText xml:space="preserve"> PAGEREF _Toc239373348 \h </w:instrText>
            </w:r>
            <w:r>
              <w:rPr>
                <w:noProof/>
                <w:webHidden/>
              </w:rPr>
            </w:r>
            <w:r>
              <w:rPr>
                <w:noProof/>
                <w:webHidden/>
              </w:rPr>
              <w:fldChar w:fldCharType="separate"/>
            </w:r>
            <w:r>
              <w:rPr>
                <w:noProof/>
                <w:webHidden/>
              </w:rPr>
              <w:t>18</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49" w:history="1">
            <w:r w:rsidRPr="006A6600">
              <w:rPr>
                <w:rStyle w:val="Hyperlink"/>
                <w:noProof/>
              </w:rPr>
              <w:t>4.4 Data Analysis</w:t>
            </w:r>
            <w:r>
              <w:rPr>
                <w:noProof/>
                <w:webHidden/>
              </w:rPr>
              <w:tab/>
            </w:r>
            <w:r>
              <w:rPr>
                <w:noProof/>
                <w:webHidden/>
              </w:rPr>
              <w:fldChar w:fldCharType="begin"/>
            </w:r>
            <w:r>
              <w:rPr>
                <w:noProof/>
                <w:webHidden/>
              </w:rPr>
              <w:instrText xml:space="preserve"> PAGEREF _Toc239373349 \h </w:instrText>
            </w:r>
            <w:r>
              <w:rPr>
                <w:noProof/>
                <w:webHidden/>
              </w:rPr>
            </w:r>
            <w:r>
              <w:rPr>
                <w:noProof/>
                <w:webHidden/>
              </w:rPr>
              <w:fldChar w:fldCharType="separate"/>
            </w:r>
            <w:r>
              <w:rPr>
                <w:noProof/>
                <w:webHidden/>
              </w:rPr>
              <w:t>18</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50" w:history="1">
            <w:r w:rsidRPr="006A6600">
              <w:rPr>
                <w:rStyle w:val="Hyperlink"/>
                <w:noProof/>
              </w:rPr>
              <w:t>4.5 Models and Frameworks</w:t>
            </w:r>
            <w:r>
              <w:rPr>
                <w:noProof/>
                <w:webHidden/>
              </w:rPr>
              <w:tab/>
            </w:r>
            <w:r>
              <w:rPr>
                <w:noProof/>
                <w:webHidden/>
              </w:rPr>
              <w:fldChar w:fldCharType="begin"/>
            </w:r>
            <w:r>
              <w:rPr>
                <w:noProof/>
                <w:webHidden/>
              </w:rPr>
              <w:instrText xml:space="preserve"> PAGEREF _Toc239373350 \h </w:instrText>
            </w:r>
            <w:r>
              <w:rPr>
                <w:noProof/>
                <w:webHidden/>
              </w:rPr>
            </w:r>
            <w:r>
              <w:rPr>
                <w:noProof/>
                <w:webHidden/>
              </w:rPr>
              <w:fldChar w:fldCharType="separate"/>
            </w:r>
            <w:r>
              <w:rPr>
                <w:noProof/>
                <w:webHidden/>
              </w:rPr>
              <w:t>19</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51" w:history="1">
            <w:r w:rsidRPr="006A6600">
              <w:rPr>
                <w:rStyle w:val="Hyperlink"/>
                <w:noProof/>
              </w:rPr>
              <w:t>4.6 Limitations and Ethical Considerations</w:t>
            </w:r>
            <w:r>
              <w:rPr>
                <w:noProof/>
                <w:webHidden/>
              </w:rPr>
              <w:tab/>
            </w:r>
            <w:r>
              <w:rPr>
                <w:noProof/>
                <w:webHidden/>
              </w:rPr>
              <w:fldChar w:fldCharType="begin"/>
            </w:r>
            <w:r>
              <w:rPr>
                <w:noProof/>
                <w:webHidden/>
              </w:rPr>
              <w:instrText xml:space="preserve"> PAGEREF _Toc239373351 \h </w:instrText>
            </w:r>
            <w:r>
              <w:rPr>
                <w:noProof/>
                <w:webHidden/>
              </w:rPr>
            </w:r>
            <w:r>
              <w:rPr>
                <w:noProof/>
                <w:webHidden/>
              </w:rPr>
              <w:fldChar w:fldCharType="separate"/>
            </w:r>
            <w:r>
              <w:rPr>
                <w:noProof/>
                <w:webHidden/>
              </w:rPr>
              <w:t>19</w:t>
            </w:r>
            <w:r>
              <w:rPr>
                <w:noProof/>
                <w:webHidden/>
              </w:rPr>
              <w:fldChar w:fldCharType="end"/>
            </w:r>
          </w:hyperlink>
        </w:p>
        <w:p w:rsidR="00105F69" w:rsidRDefault="00105F69">
          <w:pPr>
            <w:pStyle w:val="TOC1"/>
            <w:tabs>
              <w:tab w:val="right" w:leader="dot" w:pos="9350"/>
            </w:tabs>
            <w:rPr>
              <w:rFonts w:asciiTheme="minorHAnsi" w:eastAsiaTheme="minorEastAsia" w:hAnsiTheme="minorHAnsi" w:cstheme="minorBidi"/>
              <w:noProof/>
              <w:sz w:val="22"/>
              <w:szCs w:val="22"/>
              <w:lang w:eastAsia="en-US"/>
            </w:rPr>
          </w:pPr>
          <w:hyperlink w:anchor="_Toc239373352" w:history="1">
            <w:r w:rsidRPr="006A6600">
              <w:rPr>
                <w:rStyle w:val="Hyperlink"/>
                <w:noProof/>
              </w:rPr>
              <w:t>Chapter 5: Market Opportunity Analysis</w:t>
            </w:r>
            <w:r>
              <w:rPr>
                <w:noProof/>
                <w:webHidden/>
              </w:rPr>
              <w:tab/>
            </w:r>
            <w:r>
              <w:rPr>
                <w:noProof/>
                <w:webHidden/>
              </w:rPr>
              <w:fldChar w:fldCharType="begin"/>
            </w:r>
            <w:r>
              <w:rPr>
                <w:noProof/>
                <w:webHidden/>
              </w:rPr>
              <w:instrText xml:space="preserve"> PAGEREF _Toc239373352 \h </w:instrText>
            </w:r>
            <w:r>
              <w:rPr>
                <w:noProof/>
                <w:webHidden/>
              </w:rPr>
            </w:r>
            <w:r>
              <w:rPr>
                <w:noProof/>
                <w:webHidden/>
              </w:rPr>
              <w:fldChar w:fldCharType="separate"/>
            </w:r>
            <w:r>
              <w:rPr>
                <w:noProof/>
                <w:webHidden/>
              </w:rPr>
              <w:t>21</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53" w:history="1">
            <w:r w:rsidRPr="006A6600">
              <w:rPr>
                <w:rStyle w:val="Hyperlink"/>
                <w:noProof/>
              </w:rPr>
              <w:t>5.1 Scope and Market Definition</w:t>
            </w:r>
            <w:r>
              <w:rPr>
                <w:noProof/>
                <w:webHidden/>
              </w:rPr>
              <w:tab/>
            </w:r>
            <w:r>
              <w:rPr>
                <w:noProof/>
                <w:webHidden/>
              </w:rPr>
              <w:fldChar w:fldCharType="begin"/>
            </w:r>
            <w:r>
              <w:rPr>
                <w:noProof/>
                <w:webHidden/>
              </w:rPr>
              <w:instrText xml:space="preserve"> PAGEREF _Toc239373353 \h </w:instrText>
            </w:r>
            <w:r>
              <w:rPr>
                <w:noProof/>
                <w:webHidden/>
              </w:rPr>
            </w:r>
            <w:r>
              <w:rPr>
                <w:noProof/>
                <w:webHidden/>
              </w:rPr>
              <w:fldChar w:fldCharType="separate"/>
            </w:r>
            <w:r>
              <w:rPr>
                <w:noProof/>
                <w:webHidden/>
              </w:rPr>
              <w:t>21</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54" w:history="1">
            <w:r w:rsidRPr="006A6600">
              <w:rPr>
                <w:rStyle w:val="Hyperlink"/>
                <w:noProof/>
              </w:rPr>
              <w:t>5.2 Market Size and Growth</w:t>
            </w:r>
            <w:r>
              <w:rPr>
                <w:noProof/>
                <w:webHidden/>
              </w:rPr>
              <w:tab/>
            </w:r>
            <w:r>
              <w:rPr>
                <w:noProof/>
                <w:webHidden/>
              </w:rPr>
              <w:fldChar w:fldCharType="begin"/>
            </w:r>
            <w:r>
              <w:rPr>
                <w:noProof/>
                <w:webHidden/>
              </w:rPr>
              <w:instrText xml:space="preserve"> PAGEREF _Toc239373354 \h </w:instrText>
            </w:r>
            <w:r>
              <w:rPr>
                <w:noProof/>
                <w:webHidden/>
              </w:rPr>
            </w:r>
            <w:r>
              <w:rPr>
                <w:noProof/>
                <w:webHidden/>
              </w:rPr>
              <w:fldChar w:fldCharType="separate"/>
            </w:r>
            <w:r>
              <w:rPr>
                <w:noProof/>
                <w:webHidden/>
              </w:rPr>
              <w:t>21</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55" w:history="1">
            <w:r w:rsidRPr="006A6600">
              <w:rPr>
                <w:rStyle w:val="Hyperlink"/>
                <w:noProof/>
              </w:rPr>
              <w:t>5.3 Segmentation and Target Customer</w:t>
            </w:r>
            <w:r>
              <w:rPr>
                <w:noProof/>
                <w:webHidden/>
              </w:rPr>
              <w:tab/>
            </w:r>
            <w:r>
              <w:rPr>
                <w:noProof/>
                <w:webHidden/>
              </w:rPr>
              <w:fldChar w:fldCharType="begin"/>
            </w:r>
            <w:r>
              <w:rPr>
                <w:noProof/>
                <w:webHidden/>
              </w:rPr>
              <w:instrText xml:space="preserve"> PAGEREF _Toc239373355 \h </w:instrText>
            </w:r>
            <w:r>
              <w:rPr>
                <w:noProof/>
                <w:webHidden/>
              </w:rPr>
            </w:r>
            <w:r>
              <w:rPr>
                <w:noProof/>
                <w:webHidden/>
              </w:rPr>
              <w:fldChar w:fldCharType="separate"/>
            </w:r>
            <w:r>
              <w:rPr>
                <w:noProof/>
                <w:webHidden/>
              </w:rPr>
              <w:t>22</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56" w:history="1">
            <w:r w:rsidRPr="006A6600">
              <w:rPr>
                <w:rStyle w:val="Hyperlink"/>
                <w:noProof/>
              </w:rPr>
              <w:t>5.4 Pain Points, Unmet Needs and Demand</w:t>
            </w:r>
            <w:r>
              <w:rPr>
                <w:noProof/>
                <w:webHidden/>
              </w:rPr>
              <w:tab/>
            </w:r>
            <w:r>
              <w:rPr>
                <w:noProof/>
                <w:webHidden/>
              </w:rPr>
              <w:fldChar w:fldCharType="begin"/>
            </w:r>
            <w:r>
              <w:rPr>
                <w:noProof/>
                <w:webHidden/>
              </w:rPr>
              <w:instrText xml:space="preserve"> PAGEREF _Toc239373356 \h </w:instrText>
            </w:r>
            <w:r>
              <w:rPr>
                <w:noProof/>
                <w:webHidden/>
              </w:rPr>
            </w:r>
            <w:r>
              <w:rPr>
                <w:noProof/>
                <w:webHidden/>
              </w:rPr>
              <w:fldChar w:fldCharType="separate"/>
            </w:r>
            <w:r>
              <w:rPr>
                <w:noProof/>
                <w:webHidden/>
              </w:rPr>
              <w:t>25</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57" w:history="1">
            <w:r w:rsidRPr="006A6600">
              <w:rPr>
                <w:rStyle w:val="Hyperlink"/>
                <w:noProof/>
              </w:rPr>
              <w:t>5.5 Economic and Geographic Conditions</w:t>
            </w:r>
            <w:r>
              <w:rPr>
                <w:noProof/>
                <w:webHidden/>
              </w:rPr>
              <w:tab/>
            </w:r>
            <w:r>
              <w:rPr>
                <w:noProof/>
                <w:webHidden/>
              </w:rPr>
              <w:fldChar w:fldCharType="begin"/>
            </w:r>
            <w:r>
              <w:rPr>
                <w:noProof/>
                <w:webHidden/>
              </w:rPr>
              <w:instrText xml:space="preserve"> PAGEREF _Toc239373357 \h </w:instrText>
            </w:r>
            <w:r>
              <w:rPr>
                <w:noProof/>
                <w:webHidden/>
              </w:rPr>
            </w:r>
            <w:r>
              <w:rPr>
                <w:noProof/>
                <w:webHidden/>
              </w:rPr>
              <w:fldChar w:fldCharType="separate"/>
            </w:r>
            <w:r>
              <w:rPr>
                <w:noProof/>
                <w:webHidden/>
              </w:rPr>
              <w:t>26</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58" w:history="1">
            <w:r w:rsidRPr="006A6600">
              <w:rPr>
                <w:rStyle w:val="Hyperlink"/>
                <w:noProof/>
              </w:rPr>
              <w:t>5.6 Research Findings and Opportunity Synthesis</w:t>
            </w:r>
            <w:r>
              <w:rPr>
                <w:noProof/>
                <w:webHidden/>
              </w:rPr>
              <w:tab/>
            </w:r>
            <w:r>
              <w:rPr>
                <w:noProof/>
                <w:webHidden/>
              </w:rPr>
              <w:fldChar w:fldCharType="begin"/>
            </w:r>
            <w:r>
              <w:rPr>
                <w:noProof/>
                <w:webHidden/>
              </w:rPr>
              <w:instrText xml:space="preserve"> PAGEREF _Toc239373358 \h </w:instrText>
            </w:r>
            <w:r>
              <w:rPr>
                <w:noProof/>
                <w:webHidden/>
              </w:rPr>
            </w:r>
            <w:r>
              <w:rPr>
                <w:noProof/>
                <w:webHidden/>
              </w:rPr>
              <w:fldChar w:fldCharType="separate"/>
            </w:r>
            <w:r>
              <w:rPr>
                <w:noProof/>
                <w:webHidden/>
              </w:rPr>
              <w:t>27</w:t>
            </w:r>
            <w:r>
              <w:rPr>
                <w:noProof/>
                <w:webHidden/>
              </w:rPr>
              <w:fldChar w:fldCharType="end"/>
            </w:r>
          </w:hyperlink>
        </w:p>
        <w:p w:rsidR="00105F69" w:rsidRDefault="00105F69">
          <w:pPr>
            <w:pStyle w:val="TOC1"/>
            <w:tabs>
              <w:tab w:val="right" w:leader="dot" w:pos="9350"/>
            </w:tabs>
            <w:rPr>
              <w:rFonts w:asciiTheme="minorHAnsi" w:eastAsiaTheme="minorEastAsia" w:hAnsiTheme="minorHAnsi" w:cstheme="minorBidi"/>
              <w:noProof/>
              <w:sz w:val="22"/>
              <w:szCs w:val="22"/>
              <w:lang w:eastAsia="en-US"/>
            </w:rPr>
          </w:pPr>
          <w:hyperlink w:anchor="_Toc239373359" w:history="1">
            <w:r w:rsidRPr="006A6600">
              <w:rPr>
                <w:rStyle w:val="Hyperlink"/>
                <w:noProof/>
              </w:rPr>
              <w:t>Chapter 6: Competitive Environment Analysis</w:t>
            </w:r>
            <w:r>
              <w:rPr>
                <w:noProof/>
                <w:webHidden/>
              </w:rPr>
              <w:tab/>
            </w:r>
            <w:r>
              <w:rPr>
                <w:noProof/>
                <w:webHidden/>
              </w:rPr>
              <w:fldChar w:fldCharType="begin"/>
            </w:r>
            <w:r>
              <w:rPr>
                <w:noProof/>
                <w:webHidden/>
              </w:rPr>
              <w:instrText xml:space="preserve"> PAGEREF _Toc239373359 \h </w:instrText>
            </w:r>
            <w:r>
              <w:rPr>
                <w:noProof/>
                <w:webHidden/>
              </w:rPr>
            </w:r>
            <w:r>
              <w:rPr>
                <w:noProof/>
                <w:webHidden/>
              </w:rPr>
              <w:fldChar w:fldCharType="separate"/>
            </w:r>
            <w:r>
              <w:rPr>
                <w:noProof/>
                <w:webHidden/>
              </w:rPr>
              <w:t>28</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60" w:history="1">
            <w:r w:rsidRPr="006A6600">
              <w:rPr>
                <w:rStyle w:val="Hyperlink"/>
                <w:noProof/>
              </w:rPr>
              <w:t>6.1 Scope, Frameworks and Competitive Set</w:t>
            </w:r>
            <w:r>
              <w:rPr>
                <w:noProof/>
                <w:webHidden/>
              </w:rPr>
              <w:tab/>
            </w:r>
            <w:r>
              <w:rPr>
                <w:noProof/>
                <w:webHidden/>
              </w:rPr>
              <w:fldChar w:fldCharType="begin"/>
            </w:r>
            <w:r>
              <w:rPr>
                <w:noProof/>
                <w:webHidden/>
              </w:rPr>
              <w:instrText xml:space="preserve"> PAGEREF _Toc239373360 \h </w:instrText>
            </w:r>
            <w:r>
              <w:rPr>
                <w:noProof/>
                <w:webHidden/>
              </w:rPr>
            </w:r>
            <w:r>
              <w:rPr>
                <w:noProof/>
                <w:webHidden/>
              </w:rPr>
              <w:fldChar w:fldCharType="separate"/>
            </w:r>
            <w:r>
              <w:rPr>
                <w:noProof/>
                <w:webHidden/>
              </w:rPr>
              <w:t>28</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61" w:history="1">
            <w:r w:rsidRPr="006A6600">
              <w:rPr>
                <w:rStyle w:val="Hyperlink"/>
                <w:noProof/>
              </w:rPr>
              <w:t>6.2 Key Success Factors</w:t>
            </w:r>
            <w:r>
              <w:rPr>
                <w:noProof/>
                <w:webHidden/>
              </w:rPr>
              <w:tab/>
            </w:r>
            <w:r>
              <w:rPr>
                <w:noProof/>
                <w:webHidden/>
              </w:rPr>
              <w:fldChar w:fldCharType="begin"/>
            </w:r>
            <w:r>
              <w:rPr>
                <w:noProof/>
                <w:webHidden/>
              </w:rPr>
              <w:instrText xml:space="preserve"> PAGEREF _Toc239373361 \h </w:instrText>
            </w:r>
            <w:r>
              <w:rPr>
                <w:noProof/>
                <w:webHidden/>
              </w:rPr>
            </w:r>
            <w:r>
              <w:rPr>
                <w:noProof/>
                <w:webHidden/>
              </w:rPr>
              <w:fldChar w:fldCharType="separate"/>
            </w:r>
            <w:r>
              <w:rPr>
                <w:noProof/>
                <w:webHidden/>
              </w:rPr>
              <w:t>29</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62" w:history="1">
            <w:r w:rsidRPr="006A6600">
              <w:rPr>
                <w:rStyle w:val="Hyperlink"/>
                <w:noProof/>
              </w:rPr>
              <w:t>6.3 Main Competitors and Positioning</w:t>
            </w:r>
            <w:r>
              <w:rPr>
                <w:noProof/>
                <w:webHidden/>
              </w:rPr>
              <w:tab/>
            </w:r>
            <w:r>
              <w:rPr>
                <w:noProof/>
                <w:webHidden/>
              </w:rPr>
              <w:fldChar w:fldCharType="begin"/>
            </w:r>
            <w:r>
              <w:rPr>
                <w:noProof/>
                <w:webHidden/>
              </w:rPr>
              <w:instrText xml:space="preserve"> PAGEREF _Toc239373362 \h </w:instrText>
            </w:r>
            <w:r>
              <w:rPr>
                <w:noProof/>
                <w:webHidden/>
              </w:rPr>
            </w:r>
            <w:r>
              <w:rPr>
                <w:noProof/>
                <w:webHidden/>
              </w:rPr>
              <w:fldChar w:fldCharType="separate"/>
            </w:r>
            <w:r>
              <w:rPr>
                <w:noProof/>
                <w:webHidden/>
              </w:rPr>
              <w:t>30</w:t>
            </w:r>
            <w:r>
              <w:rPr>
                <w:noProof/>
                <w:webHidden/>
              </w:rPr>
              <w:fldChar w:fldCharType="end"/>
            </w:r>
          </w:hyperlink>
        </w:p>
        <w:p w:rsidR="00105F69" w:rsidRDefault="00105F69">
          <w:pPr>
            <w:pStyle w:val="TOC3"/>
            <w:tabs>
              <w:tab w:val="right" w:leader="dot" w:pos="9350"/>
            </w:tabs>
            <w:rPr>
              <w:rFonts w:asciiTheme="minorHAnsi" w:eastAsiaTheme="minorEastAsia" w:hAnsiTheme="minorHAnsi" w:cstheme="minorBidi"/>
              <w:noProof/>
              <w:sz w:val="22"/>
              <w:szCs w:val="22"/>
              <w:lang w:eastAsia="en-US"/>
            </w:rPr>
          </w:pPr>
          <w:hyperlink w:anchor="_Toc239373363" w:history="1">
            <w:r w:rsidRPr="006A6600">
              <w:rPr>
                <w:rStyle w:val="Hyperlink"/>
                <w:noProof/>
              </w:rPr>
              <w:t>6.3.1 Competitor Analysis</w:t>
            </w:r>
            <w:r>
              <w:rPr>
                <w:noProof/>
                <w:webHidden/>
              </w:rPr>
              <w:tab/>
            </w:r>
            <w:r>
              <w:rPr>
                <w:noProof/>
                <w:webHidden/>
              </w:rPr>
              <w:fldChar w:fldCharType="begin"/>
            </w:r>
            <w:r>
              <w:rPr>
                <w:noProof/>
                <w:webHidden/>
              </w:rPr>
              <w:instrText xml:space="preserve"> PAGEREF _Toc239373363 \h </w:instrText>
            </w:r>
            <w:r>
              <w:rPr>
                <w:noProof/>
                <w:webHidden/>
              </w:rPr>
            </w:r>
            <w:r>
              <w:rPr>
                <w:noProof/>
                <w:webHidden/>
              </w:rPr>
              <w:fldChar w:fldCharType="separate"/>
            </w:r>
            <w:r>
              <w:rPr>
                <w:noProof/>
                <w:webHidden/>
              </w:rPr>
              <w:t>30</w:t>
            </w:r>
            <w:r>
              <w:rPr>
                <w:noProof/>
                <w:webHidden/>
              </w:rPr>
              <w:fldChar w:fldCharType="end"/>
            </w:r>
          </w:hyperlink>
        </w:p>
        <w:p w:rsidR="00105F69" w:rsidRDefault="00105F69">
          <w:pPr>
            <w:pStyle w:val="TOC3"/>
            <w:tabs>
              <w:tab w:val="right" w:leader="dot" w:pos="9350"/>
            </w:tabs>
            <w:rPr>
              <w:rFonts w:asciiTheme="minorHAnsi" w:eastAsiaTheme="minorEastAsia" w:hAnsiTheme="minorHAnsi" w:cstheme="minorBidi"/>
              <w:noProof/>
              <w:sz w:val="22"/>
              <w:szCs w:val="22"/>
              <w:lang w:eastAsia="en-US"/>
            </w:rPr>
          </w:pPr>
          <w:hyperlink w:anchor="_Toc239373364" w:history="1">
            <w:r w:rsidRPr="006A6600">
              <w:rPr>
                <w:rStyle w:val="Hyperlink"/>
                <w:noProof/>
              </w:rPr>
              <w:t>6.3.2 Positioning Map</w:t>
            </w:r>
            <w:r>
              <w:rPr>
                <w:noProof/>
                <w:webHidden/>
              </w:rPr>
              <w:tab/>
            </w:r>
            <w:r>
              <w:rPr>
                <w:noProof/>
                <w:webHidden/>
              </w:rPr>
              <w:fldChar w:fldCharType="begin"/>
            </w:r>
            <w:r>
              <w:rPr>
                <w:noProof/>
                <w:webHidden/>
              </w:rPr>
              <w:instrText xml:space="preserve"> PAGEREF _Toc239373364 \h </w:instrText>
            </w:r>
            <w:r>
              <w:rPr>
                <w:noProof/>
                <w:webHidden/>
              </w:rPr>
            </w:r>
            <w:r>
              <w:rPr>
                <w:noProof/>
                <w:webHidden/>
              </w:rPr>
              <w:fldChar w:fldCharType="separate"/>
            </w:r>
            <w:r>
              <w:rPr>
                <w:noProof/>
                <w:webHidden/>
              </w:rPr>
              <w:t>31</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65" w:history="1">
            <w:r w:rsidRPr="006A6600">
              <w:rPr>
                <w:rStyle w:val="Hyperlink"/>
                <w:noProof/>
              </w:rPr>
              <w:t>6.4 Porter’s Five Forces</w:t>
            </w:r>
            <w:r>
              <w:rPr>
                <w:noProof/>
                <w:webHidden/>
              </w:rPr>
              <w:tab/>
            </w:r>
            <w:r>
              <w:rPr>
                <w:noProof/>
                <w:webHidden/>
              </w:rPr>
              <w:fldChar w:fldCharType="begin"/>
            </w:r>
            <w:r>
              <w:rPr>
                <w:noProof/>
                <w:webHidden/>
              </w:rPr>
              <w:instrText xml:space="preserve"> PAGEREF _Toc239373365 \h </w:instrText>
            </w:r>
            <w:r>
              <w:rPr>
                <w:noProof/>
                <w:webHidden/>
              </w:rPr>
            </w:r>
            <w:r>
              <w:rPr>
                <w:noProof/>
                <w:webHidden/>
              </w:rPr>
              <w:fldChar w:fldCharType="separate"/>
            </w:r>
            <w:r>
              <w:rPr>
                <w:noProof/>
                <w:webHidden/>
              </w:rPr>
              <w:t>32</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66" w:history="1">
            <w:r w:rsidRPr="006A6600">
              <w:rPr>
                <w:rStyle w:val="Hyperlink"/>
                <w:noProof/>
              </w:rPr>
              <w:t>6.5 PESTLE and External Change</w:t>
            </w:r>
            <w:r>
              <w:rPr>
                <w:noProof/>
                <w:webHidden/>
              </w:rPr>
              <w:tab/>
            </w:r>
            <w:r>
              <w:rPr>
                <w:noProof/>
                <w:webHidden/>
              </w:rPr>
              <w:fldChar w:fldCharType="begin"/>
            </w:r>
            <w:r>
              <w:rPr>
                <w:noProof/>
                <w:webHidden/>
              </w:rPr>
              <w:instrText xml:space="preserve"> PAGEREF _Toc239373366 \h </w:instrText>
            </w:r>
            <w:r>
              <w:rPr>
                <w:noProof/>
                <w:webHidden/>
              </w:rPr>
            </w:r>
            <w:r>
              <w:rPr>
                <w:noProof/>
                <w:webHidden/>
              </w:rPr>
              <w:fldChar w:fldCharType="separate"/>
            </w:r>
            <w:r>
              <w:rPr>
                <w:noProof/>
                <w:webHidden/>
              </w:rPr>
              <w:t>33</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67" w:history="1">
            <w:r w:rsidRPr="006A6600">
              <w:rPr>
                <w:rStyle w:val="Hyperlink"/>
                <w:noProof/>
              </w:rPr>
              <w:t>6.6 Industry Attractiveness, Market Gaps and Synthesis</w:t>
            </w:r>
            <w:r>
              <w:rPr>
                <w:noProof/>
                <w:webHidden/>
              </w:rPr>
              <w:tab/>
            </w:r>
            <w:r>
              <w:rPr>
                <w:noProof/>
                <w:webHidden/>
              </w:rPr>
              <w:fldChar w:fldCharType="begin"/>
            </w:r>
            <w:r>
              <w:rPr>
                <w:noProof/>
                <w:webHidden/>
              </w:rPr>
              <w:instrText xml:space="preserve"> PAGEREF _Toc239373367 \h </w:instrText>
            </w:r>
            <w:r>
              <w:rPr>
                <w:noProof/>
                <w:webHidden/>
              </w:rPr>
            </w:r>
            <w:r>
              <w:rPr>
                <w:noProof/>
                <w:webHidden/>
              </w:rPr>
              <w:fldChar w:fldCharType="separate"/>
            </w:r>
            <w:r>
              <w:rPr>
                <w:noProof/>
                <w:webHidden/>
              </w:rPr>
              <w:t>34</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68" w:history="1">
            <w:r w:rsidRPr="006A6600">
              <w:rPr>
                <w:rStyle w:val="Hyperlink"/>
                <w:noProof/>
              </w:rPr>
              <w:t>6.7 Chapter Summary</w:t>
            </w:r>
            <w:r>
              <w:rPr>
                <w:noProof/>
                <w:webHidden/>
              </w:rPr>
              <w:tab/>
            </w:r>
            <w:r>
              <w:rPr>
                <w:noProof/>
                <w:webHidden/>
              </w:rPr>
              <w:fldChar w:fldCharType="begin"/>
            </w:r>
            <w:r>
              <w:rPr>
                <w:noProof/>
                <w:webHidden/>
              </w:rPr>
              <w:instrText xml:space="preserve"> PAGEREF _Toc239373368 \h </w:instrText>
            </w:r>
            <w:r>
              <w:rPr>
                <w:noProof/>
                <w:webHidden/>
              </w:rPr>
            </w:r>
            <w:r>
              <w:rPr>
                <w:noProof/>
                <w:webHidden/>
              </w:rPr>
              <w:fldChar w:fldCharType="separate"/>
            </w:r>
            <w:r>
              <w:rPr>
                <w:noProof/>
                <w:webHidden/>
              </w:rPr>
              <w:t>35</w:t>
            </w:r>
            <w:r>
              <w:rPr>
                <w:noProof/>
                <w:webHidden/>
              </w:rPr>
              <w:fldChar w:fldCharType="end"/>
            </w:r>
          </w:hyperlink>
        </w:p>
        <w:p w:rsidR="00105F69" w:rsidRDefault="00105F69">
          <w:pPr>
            <w:pStyle w:val="TOC1"/>
            <w:tabs>
              <w:tab w:val="right" w:leader="dot" w:pos="9350"/>
            </w:tabs>
            <w:rPr>
              <w:rFonts w:asciiTheme="minorHAnsi" w:eastAsiaTheme="minorEastAsia" w:hAnsiTheme="minorHAnsi" w:cstheme="minorBidi"/>
              <w:noProof/>
              <w:sz w:val="22"/>
              <w:szCs w:val="22"/>
              <w:lang w:eastAsia="en-US"/>
            </w:rPr>
          </w:pPr>
          <w:hyperlink w:anchor="_Toc239373369" w:history="1">
            <w:r w:rsidRPr="006A6600">
              <w:rPr>
                <w:rStyle w:val="Hyperlink"/>
                <w:noProof/>
              </w:rPr>
              <w:t>Chapter 7. Business Strategy</w:t>
            </w:r>
            <w:r>
              <w:rPr>
                <w:noProof/>
                <w:webHidden/>
              </w:rPr>
              <w:tab/>
            </w:r>
            <w:r>
              <w:rPr>
                <w:noProof/>
                <w:webHidden/>
              </w:rPr>
              <w:fldChar w:fldCharType="begin"/>
            </w:r>
            <w:r>
              <w:rPr>
                <w:noProof/>
                <w:webHidden/>
              </w:rPr>
              <w:instrText xml:space="preserve"> PAGEREF _Toc239373369 \h </w:instrText>
            </w:r>
            <w:r>
              <w:rPr>
                <w:noProof/>
                <w:webHidden/>
              </w:rPr>
            </w:r>
            <w:r>
              <w:rPr>
                <w:noProof/>
                <w:webHidden/>
              </w:rPr>
              <w:fldChar w:fldCharType="separate"/>
            </w:r>
            <w:r>
              <w:rPr>
                <w:noProof/>
                <w:webHidden/>
              </w:rPr>
              <w:t>36</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70" w:history="1">
            <w:r w:rsidRPr="006A6600">
              <w:rPr>
                <w:rStyle w:val="Hyperlink"/>
                <w:noProof/>
              </w:rPr>
              <w:t>7.1 Strategic Introduction</w:t>
            </w:r>
            <w:r>
              <w:rPr>
                <w:noProof/>
                <w:webHidden/>
              </w:rPr>
              <w:tab/>
            </w:r>
            <w:r>
              <w:rPr>
                <w:noProof/>
                <w:webHidden/>
              </w:rPr>
              <w:fldChar w:fldCharType="begin"/>
            </w:r>
            <w:r>
              <w:rPr>
                <w:noProof/>
                <w:webHidden/>
              </w:rPr>
              <w:instrText xml:space="preserve"> PAGEREF _Toc239373370 \h </w:instrText>
            </w:r>
            <w:r>
              <w:rPr>
                <w:noProof/>
                <w:webHidden/>
              </w:rPr>
            </w:r>
            <w:r>
              <w:rPr>
                <w:noProof/>
                <w:webHidden/>
              </w:rPr>
              <w:fldChar w:fldCharType="separate"/>
            </w:r>
            <w:r>
              <w:rPr>
                <w:noProof/>
                <w:webHidden/>
              </w:rPr>
              <w:t>36</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71" w:history="1">
            <w:r w:rsidRPr="006A6600">
              <w:rPr>
                <w:rStyle w:val="Hyperlink"/>
                <w:noProof/>
              </w:rPr>
              <w:t>7.2 External Strategic Analysis</w:t>
            </w:r>
            <w:r>
              <w:rPr>
                <w:noProof/>
                <w:webHidden/>
              </w:rPr>
              <w:tab/>
            </w:r>
            <w:r>
              <w:rPr>
                <w:noProof/>
                <w:webHidden/>
              </w:rPr>
              <w:fldChar w:fldCharType="begin"/>
            </w:r>
            <w:r>
              <w:rPr>
                <w:noProof/>
                <w:webHidden/>
              </w:rPr>
              <w:instrText xml:space="preserve"> PAGEREF _Toc239373371 \h </w:instrText>
            </w:r>
            <w:r>
              <w:rPr>
                <w:noProof/>
                <w:webHidden/>
              </w:rPr>
            </w:r>
            <w:r>
              <w:rPr>
                <w:noProof/>
                <w:webHidden/>
              </w:rPr>
              <w:fldChar w:fldCharType="separate"/>
            </w:r>
            <w:r>
              <w:rPr>
                <w:noProof/>
                <w:webHidden/>
              </w:rPr>
              <w:t>36</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72" w:history="1">
            <w:r w:rsidRPr="006A6600">
              <w:rPr>
                <w:rStyle w:val="Hyperlink"/>
                <w:noProof/>
              </w:rPr>
              <w:t>7.3 Internal Analysis: VRIO</w:t>
            </w:r>
            <w:r>
              <w:rPr>
                <w:noProof/>
                <w:webHidden/>
              </w:rPr>
              <w:tab/>
            </w:r>
            <w:r>
              <w:rPr>
                <w:noProof/>
                <w:webHidden/>
              </w:rPr>
              <w:fldChar w:fldCharType="begin"/>
            </w:r>
            <w:r>
              <w:rPr>
                <w:noProof/>
                <w:webHidden/>
              </w:rPr>
              <w:instrText xml:space="preserve"> PAGEREF _Toc239373372 \h </w:instrText>
            </w:r>
            <w:r>
              <w:rPr>
                <w:noProof/>
                <w:webHidden/>
              </w:rPr>
            </w:r>
            <w:r>
              <w:rPr>
                <w:noProof/>
                <w:webHidden/>
              </w:rPr>
              <w:fldChar w:fldCharType="separate"/>
            </w:r>
            <w:r>
              <w:rPr>
                <w:noProof/>
                <w:webHidden/>
              </w:rPr>
              <w:t>38</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73" w:history="1">
            <w:r w:rsidRPr="006A6600">
              <w:rPr>
                <w:rStyle w:val="Hyperlink"/>
                <w:noProof/>
              </w:rPr>
              <w:t>7.4 SWOT and Strategic Implications</w:t>
            </w:r>
            <w:r>
              <w:rPr>
                <w:noProof/>
                <w:webHidden/>
              </w:rPr>
              <w:tab/>
            </w:r>
            <w:r>
              <w:rPr>
                <w:noProof/>
                <w:webHidden/>
              </w:rPr>
              <w:fldChar w:fldCharType="begin"/>
            </w:r>
            <w:r>
              <w:rPr>
                <w:noProof/>
                <w:webHidden/>
              </w:rPr>
              <w:instrText xml:space="preserve"> PAGEREF _Toc239373373 \h </w:instrText>
            </w:r>
            <w:r>
              <w:rPr>
                <w:noProof/>
                <w:webHidden/>
              </w:rPr>
            </w:r>
            <w:r>
              <w:rPr>
                <w:noProof/>
                <w:webHidden/>
              </w:rPr>
              <w:fldChar w:fldCharType="separate"/>
            </w:r>
            <w:r>
              <w:rPr>
                <w:noProof/>
                <w:webHidden/>
              </w:rPr>
              <w:t>40</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74" w:history="1">
            <w:r w:rsidRPr="006A6600">
              <w:rPr>
                <w:rStyle w:val="Hyperlink"/>
                <w:noProof/>
              </w:rPr>
              <w:t>7.5 Strategic Choice</w:t>
            </w:r>
            <w:r>
              <w:rPr>
                <w:noProof/>
                <w:webHidden/>
              </w:rPr>
              <w:tab/>
            </w:r>
            <w:r>
              <w:rPr>
                <w:noProof/>
                <w:webHidden/>
              </w:rPr>
              <w:fldChar w:fldCharType="begin"/>
            </w:r>
            <w:r>
              <w:rPr>
                <w:noProof/>
                <w:webHidden/>
              </w:rPr>
              <w:instrText xml:space="preserve"> PAGEREF _Toc239373374 \h </w:instrText>
            </w:r>
            <w:r>
              <w:rPr>
                <w:noProof/>
                <w:webHidden/>
              </w:rPr>
            </w:r>
            <w:r>
              <w:rPr>
                <w:noProof/>
                <w:webHidden/>
              </w:rPr>
              <w:fldChar w:fldCharType="separate"/>
            </w:r>
            <w:r>
              <w:rPr>
                <w:noProof/>
                <w:webHidden/>
              </w:rPr>
              <w:t>41</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75" w:history="1">
            <w:r w:rsidRPr="006A6600">
              <w:rPr>
                <w:rStyle w:val="Hyperlink"/>
                <w:noProof/>
              </w:rPr>
              <w:t>7.6 USP and Value Proposition</w:t>
            </w:r>
            <w:r>
              <w:rPr>
                <w:noProof/>
                <w:webHidden/>
              </w:rPr>
              <w:tab/>
            </w:r>
            <w:r>
              <w:rPr>
                <w:noProof/>
                <w:webHidden/>
              </w:rPr>
              <w:fldChar w:fldCharType="begin"/>
            </w:r>
            <w:r>
              <w:rPr>
                <w:noProof/>
                <w:webHidden/>
              </w:rPr>
              <w:instrText xml:space="preserve"> PAGEREF _Toc239373375 \h </w:instrText>
            </w:r>
            <w:r>
              <w:rPr>
                <w:noProof/>
                <w:webHidden/>
              </w:rPr>
            </w:r>
            <w:r>
              <w:rPr>
                <w:noProof/>
                <w:webHidden/>
              </w:rPr>
              <w:fldChar w:fldCharType="separate"/>
            </w:r>
            <w:r>
              <w:rPr>
                <w:noProof/>
                <w:webHidden/>
              </w:rPr>
              <w:t>42</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76" w:history="1">
            <w:r w:rsidRPr="006A6600">
              <w:rPr>
                <w:rStyle w:val="Hyperlink"/>
                <w:noProof/>
              </w:rPr>
              <w:t>7.7 Competitive Advantage</w:t>
            </w:r>
            <w:r>
              <w:rPr>
                <w:noProof/>
                <w:webHidden/>
              </w:rPr>
              <w:tab/>
            </w:r>
            <w:r>
              <w:rPr>
                <w:noProof/>
                <w:webHidden/>
              </w:rPr>
              <w:fldChar w:fldCharType="begin"/>
            </w:r>
            <w:r>
              <w:rPr>
                <w:noProof/>
                <w:webHidden/>
              </w:rPr>
              <w:instrText xml:space="preserve"> PAGEREF _Toc239373376 \h </w:instrText>
            </w:r>
            <w:r>
              <w:rPr>
                <w:noProof/>
                <w:webHidden/>
              </w:rPr>
            </w:r>
            <w:r>
              <w:rPr>
                <w:noProof/>
                <w:webHidden/>
              </w:rPr>
              <w:fldChar w:fldCharType="separate"/>
            </w:r>
            <w:r>
              <w:rPr>
                <w:noProof/>
                <w:webHidden/>
              </w:rPr>
              <w:t>43</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77" w:history="1">
            <w:r w:rsidRPr="006A6600">
              <w:rPr>
                <w:rStyle w:val="Hyperlink"/>
                <w:noProof/>
              </w:rPr>
              <w:t>7.8 Key Success Factors</w:t>
            </w:r>
            <w:r>
              <w:rPr>
                <w:noProof/>
                <w:webHidden/>
              </w:rPr>
              <w:tab/>
            </w:r>
            <w:r>
              <w:rPr>
                <w:noProof/>
                <w:webHidden/>
              </w:rPr>
              <w:fldChar w:fldCharType="begin"/>
            </w:r>
            <w:r>
              <w:rPr>
                <w:noProof/>
                <w:webHidden/>
              </w:rPr>
              <w:instrText xml:space="preserve"> PAGEREF _Toc239373377 \h </w:instrText>
            </w:r>
            <w:r>
              <w:rPr>
                <w:noProof/>
                <w:webHidden/>
              </w:rPr>
            </w:r>
            <w:r>
              <w:rPr>
                <w:noProof/>
                <w:webHidden/>
              </w:rPr>
              <w:fldChar w:fldCharType="separate"/>
            </w:r>
            <w:r>
              <w:rPr>
                <w:noProof/>
                <w:webHidden/>
              </w:rPr>
              <w:t>43</w:t>
            </w:r>
            <w:r>
              <w:rPr>
                <w:noProof/>
                <w:webHidden/>
              </w:rPr>
              <w:fldChar w:fldCharType="end"/>
            </w:r>
          </w:hyperlink>
        </w:p>
        <w:p w:rsidR="00105F69" w:rsidRDefault="00105F69">
          <w:pPr>
            <w:pStyle w:val="TOC1"/>
            <w:tabs>
              <w:tab w:val="right" w:leader="dot" w:pos="9350"/>
            </w:tabs>
            <w:rPr>
              <w:rFonts w:asciiTheme="minorHAnsi" w:eastAsiaTheme="minorEastAsia" w:hAnsiTheme="minorHAnsi" w:cstheme="minorBidi"/>
              <w:noProof/>
              <w:sz w:val="22"/>
              <w:szCs w:val="22"/>
              <w:lang w:eastAsia="en-US"/>
            </w:rPr>
          </w:pPr>
          <w:hyperlink w:anchor="_Toc239373378" w:history="1">
            <w:r w:rsidRPr="006A6600">
              <w:rPr>
                <w:rStyle w:val="Hyperlink"/>
                <w:noProof/>
              </w:rPr>
              <w:t>Chapter 8. Business Model Canvas</w:t>
            </w:r>
            <w:r>
              <w:rPr>
                <w:noProof/>
                <w:webHidden/>
              </w:rPr>
              <w:tab/>
            </w:r>
            <w:r>
              <w:rPr>
                <w:noProof/>
                <w:webHidden/>
              </w:rPr>
              <w:fldChar w:fldCharType="begin"/>
            </w:r>
            <w:r>
              <w:rPr>
                <w:noProof/>
                <w:webHidden/>
              </w:rPr>
              <w:instrText xml:space="preserve"> PAGEREF _Toc239373378 \h </w:instrText>
            </w:r>
            <w:r>
              <w:rPr>
                <w:noProof/>
                <w:webHidden/>
              </w:rPr>
            </w:r>
            <w:r>
              <w:rPr>
                <w:noProof/>
                <w:webHidden/>
              </w:rPr>
              <w:fldChar w:fldCharType="separate"/>
            </w:r>
            <w:r>
              <w:rPr>
                <w:noProof/>
                <w:webHidden/>
              </w:rPr>
              <w:t>44</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79" w:history="1">
            <w:r w:rsidRPr="006A6600">
              <w:rPr>
                <w:rStyle w:val="Hyperlink"/>
                <w:noProof/>
              </w:rPr>
              <w:t>8.1 BMC Introduction</w:t>
            </w:r>
            <w:r>
              <w:rPr>
                <w:noProof/>
                <w:webHidden/>
              </w:rPr>
              <w:tab/>
            </w:r>
            <w:r>
              <w:rPr>
                <w:noProof/>
                <w:webHidden/>
              </w:rPr>
              <w:fldChar w:fldCharType="begin"/>
            </w:r>
            <w:r>
              <w:rPr>
                <w:noProof/>
                <w:webHidden/>
              </w:rPr>
              <w:instrText xml:space="preserve"> PAGEREF _Toc239373379 \h </w:instrText>
            </w:r>
            <w:r>
              <w:rPr>
                <w:noProof/>
                <w:webHidden/>
              </w:rPr>
            </w:r>
            <w:r>
              <w:rPr>
                <w:noProof/>
                <w:webHidden/>
              </w:rPr>
              <w:fldChar w:fldCharType="separate"/>
            </w:r>
            <w:r>
              <w:rPr>
                <w:noProof/>
                <w:webHidden/>
              </w:rPr>
              <w:t>44</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80" w:history="1">
            <w:r w:rsidRPr="006A6600">
              <w:rPr>
                <w:rStyle w:val="Hyperlink"/>
                <w:noProof/>
              </w:rPr>
              <w:t>8.2 Customer Segments</w:t>
            </w:r>
            <w:r>
              <w:rPr>
                <w:noProof/>
                <w:webHidden/>
              </w:rPr>
              <w:tab/>
            </w:r>
            <w:r>
              <w:rPr>
                <w:noProof/>
                <w:webHidden/>
              </w:rPr>
              <w:fldChar w:fldCharType="begin"/>
            </w:r>
            <w:r>
              <w:rPr>
                <w:noProof/>
                <w:webHidden/>
              </w:rPr>
              <w:instrText xml:space="preserve"> PAGEREF _Toc239373380 \h </w:instrText>
            </w:r>
            <w:r>
              <w:rPr>
                <w:noProof/>
                <w:webHidden/>
              </w:rPr>
            </w:r>
            <w:r>
              <w:rPr>
                <w:noProof/>
                <w:webHidden/>
              </w:rPr>
              <w:fldChar w:fldCharType="separate"/>
            </w:r>
            <w:r>
              <w:rPr>
                <w:noProof/>
                <w:webHidden/>
              </w:rPr>
              <w:t>44</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81" w:history="1">
            <w:r w:rsidRPr="006A6600">
              <w:rPr>
                <w:rStyle w:val="Hyperlink"/>
                <w:noProof/>
              </w:rPr>
              <w:t>8.3 Value Proposition</w:t>
            </w:r>
            <w:r>
              <w:rPr>
                <w:noProof/>
                <w:webHidden/>
              </w:rPr>
              <w:tab/>
            </w:r>
            <w:r>
              <w:rPr>
                <w:noProof/>
                <w:webHidden/>
              </w:rPr>
              <w:fldChar w:fldCharType="begin"/>
            </w:r>
            <w:r>
              <w:rPr>
                <w:noProof/>
                <w:webHidden/>
              </w:rPr>
              <w:instrText xml:space="preserve"> PAGEREF _Toc239373381 \h </w:instrText>
            </w:r>
            <w:r>
              <w:rPr>
                <w:noProof/>
                <w:webHidden/>
              </w:rPr>
            </w:r>
            <w:r>
              <w:rPr>
                <w:noProof/>
                <w:webHidden/>
              </w:rPr>
              <w:fldChar w:fldCharType="separate"/>
            </w:r>
            <w:r>
              <w:rPr>
                <w:noProof/>
                <w:webHidden/>
              </w:rPr>
              <w:t>44</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82" w:history="1">
            <w:r w:rsidRPr="006A6600">
              <w:rPr>
                <w:rStyle w:val="Hyperlink"/>
                <w:noProof/>
              </w:rPr>
              <w:t>8.4 Channels</w:t>
            </w:r>
            <w:r>
              <w:rPr>
                <w:noProof/>
                <w:webHidden/>
              </w:rPr>
              <w:tab/>
            </w:r>
            <w:r>
              <w:rPr>
                <w:noProof/>
                <w:webHidden/>
              </w:rPr>
              <w:fldChar w:fldCharType="begin"/>
            </w:r>
            <w:r>
              <w:rPr>
                <w:noProof/>
                <w:webHidden/>
              </w:rPr>
              <w:instrText xml:space="preserve"> PAGEREF _Toc239373382 \h </w:instrText>
            </w:r>
            <w:r>
              <w:rPr>
                <w:noProof/>
                <w:webHidden/>
              </w:rPr>
            </w:r>
            <w:r>
              <w:rPr>
                <w:noProof/>
                <w:webHidden/>
              </w:rPr>
              <w:fldChar w:fldCharType="separate"/>
            </w:r>
            <w:r>
              <w:rPr>
                <w:noProof/>
                <w:webHidden/>
              </w:rPr>
              <w:t>45</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83" w:history="1">
            <w:r w:rsidRPr="006A6600">
              <w:rPr>
                <w:rStyle w:val="Hyperlink"/>
                <w:noProof/>
              </w:rPr>
              <w:t>8.5 Customer Relationships</w:t>
            </w:r>
            <w:r>
              <w:rPr>
                <w:noProof/>
                <w:webHidden/>
              </w:rPr>
              <w:tab/>
            </w:r>
            <w:r>
              <w:rPr>
                <w:noProof/>
                <w:webHidden/>
              </w:rPr>
              <w:fldChar w:fldCharType="begin"/>
            </w:r>
            <w:r>
              <w:rPr>
                <w:noProof/>
                <w:webHidden/>
              </w:rPr>
              <w:instrText xml:space="preserve"> PAGEREF _Toc239373383 \h </w:instrText>
            </w:r>
            <w:r>
              <w:rPr>
                <w:noProof/>
                <w:webHidden/>
              </w:rPr>
            </w:r>
            <w:r>
              <w:rPr>
                <w:noProof/>
                <w:webHidden/>
              </w:rPr>
              <w:fldChar w:fldCharType="separate"/>
            </w:r>
            <w:r>
              <w:rPr>
                <w:noProof/>
                <w:webHidden/>
              </w:rPr>
              <w:t>45</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84" w:history="1">
            <w:r w:rsidRPr="006A6600">
              <w:rPr>
                <w:rStyle w:val="Hyperlink"/>
                <w:noProof/>
              </w:rPr>
              <w:t>8.6 Revenue Streams</w:t>
            </w:r>
            <w:r>
              <w:rPr>
                <w:noProof/>
                <w:webHidden/>
              </w:rPr>
              <w:tab/>
            </w:r>
            <w:r>
              <w:rPr>
                <w:noProof/>
                <w:webHidden/>
              </w:rPr>
              <w:fldChar w:fldCharType="begin"/>
            </w:r>
            <w:r>
              <w:rPr>
                <w:noProof/>
                <w:webHidden/>
              </w:rPr>
              <w:instrText xml:space="preserve"> PAGEREF _Toc239373384 \h </w:instrText>
            </w:r>
            <w:r>
              <w:rPr>
                <w:noProof/>
                <w:webHidden/>
              </w:rPr>
            </w:r>
            <w:r>
              <w:rPr>
                <w:noProof/>
                <w:webHidden/>
              </w:rPr>
              <w:fldChar w:fldCharType="separate"/>
            </w:r>
            <w:r>
              <w:rPr>
                <w:noProof/>
                <w:webHidden/>
              </w:rPr>
              <w:t>45</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85" w:history="1">
            <w:r w:rsidRPr="006A6600">
              <w:rPr>
                <w:rStyle w:val="Hyperlink"/>
                <w:noProof/>
              </w:rPr>
              <w:t>8.7 Key Resources</w:t>
            </w:r>
            <w:r>
              <w:rPr>
                <w:noProof/>
                <w:webHidden/>
              </w:rPr>
              <w:tab/>
            </w:r>
            <w:r>
              <w:rPr>
                <w:noProof/>
                <w:webHidden/>
              </w:rPr>
              <w:fldChar w:fldCharType="begin"/>
            </w:r>
            <w:r>
              <w:rPr>
                <w:noProof/>
                <w:webHidden/>
              </w:rPr>
              <w:instrText xml:space="preserve"> PAGEREF _Toc239373385 \h </w:instrText>
            </w:r>
            <w:r>
              <w:rPr>
                <w:noProof/>
                <w:webHidden/>
              </w:rPr>
            </w:r>
            <w:r>
              <w:rPr>
                <w:noProof/>
                <w:webHidden/>
              </w:rPr>
              <w:fldChar w:fldCharType="separate"/>
            </w:r>
            <w:r>
              <w:rPr>
                <w:noProof/>
                <w:webHidden/>
              </w:rPr>
              <w:t>46</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86" w:history="1">
            <w:r w:rsidRPr="006A6600">
              <w:rPr>
                <w:rStyle w:val="Hyperlink"/>
                <w:noProof/>
              </w:rPr>
              <w:t>8.8 Key Activities</w:t>
            </w:r>
            <w:r>
              <w:rPr>
                <w:noProof/>
                <w:webHidden/>
              </w:rPr>
              <w:tab/>
            </w:r>
            <w:r>
              <w:rPr>
                <w:noProof/>
                <w:webHidden/>
              </w:rPr>
              <w:fldChar w:fldCharType="begin"/>
            </w:r>
            <w:r>
              <w:rPr>
                <w:noProof/>
                <w:webHidden/>
              </w:rPr>
              <w:instrText xml:space="preserve"> PAGEREF _Toc239373386 \h </w:instrText>
            </w:r>
            <w:r>
              <w:rPr>
                <w:noProof/>
                <w:webHidden/>
              </w:rPr>
            </w:r>
            <w:r>
              <w:rPr>
                <w:noProof/>
                <w:webHidden/>
              </w:rPr>
              <w:fldChar w:fldCharType="separate"/>
            </w:r>
            <w:r>
              <w:rPr>
                <w:noProof/>
                <w:webHidden/>
              </w:rPr>
              <w:t>46</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87" w:history="1">
            <w:r w:rsidRPr="006A6600">
              <w:rPr>
                <w:rStyle w:val="Hyperlink"/>
                <w:noProof/>
              </w:rPr>
              <w:t>8.9 Key Partnerships</w:t>
            </w:r>
            <w:r>
              <w:rPr>
                <w:noProof/>
                <w:webHidden/>
              </w:rPr>
              <w:tab/>
            </w:r>
            <w:r>
              <w:rPr>
                <w:noProof/>
                <w:webHidden/>
              </w:rPr>
              <w:fldChar w:fldCharType="begin"/>
            </w:r>
            <w:r>
              <w:rPr>
                <w:noProof/>
                <w:webHidden/>
              </w:rPr>
              <w:instrText xml:space="preserve"> PAGEREF _Toc239373387 \h </w:instrText>
            </w:r>
            <w:r>
              <w:rPr>
                <w:noProof/>
                <w:webHidden/>
              </w:rPr>
            </w:r>
            <w:r>
              <w:rPr>
                <w:noProof/>
                <w:webHidden/>
              </w:rPr>
              <w:fldChar w:fldCharType="separate"/>
            </w:r>
            <w:r>
              <w:rPr>
                <w:noProof/>
                <w:webHidden/>
              </w:rPr>
              <w:t>46</w:t>
            </w:r>
            <w:r>
              <w:rPr>
                <w:noProof/>
                <w:webHidden/>
              </w:rPr>
              <w:fldChar w:fldCharType="end"/>
            </w:r>
          </w:hyperlink>
        </w:p>
        <w:p w:rsidR="00105F69" w:rsidRDefault="00105F69">
          <w:pPr>
            <w:pStyle w:val="TOC2"/>
            <w:tabs>
              <w:tab w:val="right" w:leader="dot" w:pos="9350"/>
            </w:tabs>
            <w:rPr>
              <w:rFonts w:asciiTheme="minorHAnsi" w:eastAsiaTheme="minorEastAsia" w:hAnsiTheme="minorHAnsi" w:cstheme="minorBidi"/>
              <w:noProof/>
              <w:sz w:val="22"/>
              <w:szCs w:val="22"/>
              <w:lang w:eastAsia="en-US"/>
            </w:rPr>
          </w:pPr>
          <w:hyperlink w:anchor="_Toc239373388" w:history="1">
            <w:r w:rsidRPr="006A6600">
              <w:rPr>
                <w:rStyle w:val="Hyperlink"/>
                <w:noProof/>
              </w:rPr>
              <w:t>8.10 Cost Structure</w:t>
            </w:r>
            <w:r>
              <w:rPr>
                <w:noProof/>
                <w:webHidden/>
              </w:rPr>
              <w:tab/>
            </w:r>
            <w:r>
              <w:rPr>
                <w:noProof/>
                <w:webHidden/>
              </w:rPr>
              <w:fldChar w:fldCharType="begin"/>
            </w:r>
            <w:r>
              <w:rPr>
                <w:noProof/>
                <w:webHidden/>
              </w:rPr>
              <w:instrText xml:space="preserve"> PAGEREF _Toc239373388 \h </w:instrText>
            </w:r>
            <w:r>
              <w:rPr>
                <w:noProof/>
                <w:webHidden/>
              </w:rPr>
            </w:r>
            <w:r>
              <w:rPr>
                <w:noProof/>
                <w:webHidden/>
              </w:rPr>
              <w:fldChar w:fldCharType="separate"/>
            </w:r>
            <w:r>
              <w:rPr>
                <w:noProof/>
                <w:webHidden/>
              </w:rPr>
              <w:t>47</w:t>
            </w:r>
            <w:r>
              <w:rPr>
                <w:noProof/>
                <w:webHidden/>
              </w:rPr>
              <w:fldChar w:fldCharType="end"/>
            </w:r>
          </w:hyperlink>
        </w:p>
        <w:p w:rsidR="00105F69" w:rsidRDefault="00105F69">
          <w:pPr>
            <w:pStyle w:val="TOC1"/>
            <w:tabs>
              <w:tab w:val="right" w:leader="dot" w:pos="9350"/>
            </w:tabs>
            <w:rPr>
              <w:rFonts w:asciiTheme="minorHAnsi" w:eastAsiaTheme="minorEastAsia" w:hAnsiTheme="minorHAnsi" w:cstheme="minorBidi"/>
              <w:noProof/>
              <w:sz w:val="22"/>
              <w:szCs w:val="22"/>
              <w:lang w:eastAsia="en-US"/>
            </w:rPr>
          </w:pPr>
          <w:hyperlink w:anchor="_Toc239373389" w:history="1">
            <w:r w:rsidRPr="006A6600">
              <w:rPr>
                <w:rStyle w:val="Hyperlink"/>
                <w:noProof/>
              </w:rPr>
              <w:t>References</w:t>
            </w:r>
            <w:r>
              <w:rPr>
                <w:noProof/>
                <w:webHidden/>
              </w:rPr>
              <w:tab/>
            </w:r>
            <w:r>
              <w:rPr>
                <w:noProof/>
                <w:webHidden/>
              </w:rPr>
              <w:fldChar w:fldCharType="begin"/>
            </w:r>
            <w:r>
              <w:rPr>
                <w:noProof/>
                <w:webHidden/>
              </w:rPr>
              <w:instrText xml:space="preserve"> PAGEREF _Toc239373389 \h </w:instrText>
            </w:r>
            <w:r>
              <w:rPr>
                <w:noProof/>
                <w:webHidden/>
              </w:rPr>
            </w:r>
            <w:r>
              <w:rPr>
                <w:noProof/>
                <w:webHidden/>
              </w:rPr>
              <w:fldChar w:fldCharType="separate"/>
            </w:r>
            <w:r>
              <w:rPr>
                <w:noProof/>
                <w:webHidden/>
              </w:rPr>
              <w:t>48</w:t>
            </w:r>
            <w:r>
              <w:rPr>
                <w:noProof/>
                <w:webHidden/>
              </w:rPr>
              <w:fldChar w:fldCharType="end"/>
            </w:r>
          </w:hyperlink>
        </w:p>
        <w:p w:rsidR="004F6403" w:rsidRDefault="00082632">
          <w:r>
            <w:fldChar w:fldCharType="end"/>
          </w:r>
        </w:p>
      </w:sdtContent>
    </w:sdt>
    <w:p w:rsidR="002C2BC8" w:rsidRDefault="002C2BC8">
      <w:pPr>
        <w:pStyle w:val="Heading1"/>
        <w:keepNext w:val="0"/>
        <w:keepLines w:val="0"/>
      </w:pPr>
    </w:p>
    <w:p w:rsidR="002C2BC8" w:rsidRDefault="00FC2205">
      <w:pPr>
        <w:pStyle w:val="Heading1"/>
        <w:keepNext w:val="0"/>
        <w:keepLines w:val="0"/>
      </w:pPr>
      <w:bookmarkStart w:id="7" w:name="_heading=h.sgphu611uu83" w:colFirst="0" w:colLast="0"/>
      <w:bookmarkEnd w:id="7"/>
      <w:r>
        <w:br w:type="page"/>
      </w:r>
    </w:p>
    <w:p w:rsidR="002C2BC8" w:rsidRDefault="00FC2205" w:rsidP="002043AA">
      <w:pPr>
        <w:pStyle w:val="Heading1"/>
        <w:keepNext w:val="0"/>
        <w:keepLines w:val="0"/>
        <w:numPr>
          <w:ilvl w:val="0"/>
          <w:numId w:val="11"/>
        </w:numPr>
      </w:pPr>
      <w:bookmarkStart w:id="8" w:name="_Toc239373323"/>
      <w:r>
        <w:lastRenderedPageBreak/>
        <w:t>Introduction</w:t>
      </w:r>
      <w:bookmarkEnd w:id="8"/>
    </w:p>
    <w:p w:rsidR="002043AA" w:rsidRDefault="002043AA" w:rsidP="002043AA">
      <w:pPr>
        <w:pStyle w:val="Heading2"/>
        <w:keepNext w:val="0"/>
        <w:keepLines w:val="0"/>
      </w:pPr>
      <w:bookmarkStart w:id="9" w:name="_Toc239373324"/>
      <w:r>
        <w:t>1.1 Background / Context</w:t>
      </w:r>
      <w:bookmarkEnd w:id="9"/>
    </w:p>
    <w:p w:rsidR="002043AA" w:rsidRDefault="002043AA" w:rsidP="002043AA">
      <w:r>
        <w:t>Hybrid working, pressure on costs and sustainability demands are changing the face of the UK's workplace. Rather, ONS, (2023) reports that the percentage of working adults who hybrid worked between January and March 2025 was 28 percent of working adults in Great Britain, where the requirements in the workplace are no longer fixed. EcoLoop's subscription service could mean that businesses can change out furniture without having to buy it multiple times.</w:t>
      </w:r>
    </w:p>
    <w:p w:rsidR="002043AA" w:rsidRDefault="002043AA" w:rsidP="002043AA">
      <w:pPr>
        <w:jc w:val="center"/>
        <w:rPr>
          <w:b/>
          <w:bCs/>
          <w:i/>
          <w:iCs/>
        </w:rPr>
      </w:pPr>
      <w:r>
        <w:rPr>
          <w:b/>
          <w:bCs/>
          <w:i/>
          <w:iCs/>
          <w:noProof/>
          <w:lang w:eastAsia="en-US"/>
        </w:rPr>
        <w:drawing>
          <wp:inline distT="114300" distB="114300" distL="114300" distR="114300">
            <wp:extent cx="4829175" cy="2878931"/>
            <wp:effectExtent l="12700" t="12700" r="12700" b="127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cstate="print"/>
                    <a:srcRect/>
                    <a:stretch>
                      <a:fillRect/>
                    </a:stretch>
                  </pic:blipFill>
                  <pic:spPr>
                    <a:xfrm>
                      <a:off x="0" y="0"/>
                      <a:ext cx="4829175" cy="2878931"/>
                    </a:xfrm>
                    <a:prstGeom prst="rect">
                      <a:avLst/>
                    </a:prstGeom>
                    <a:ln w="12700">
                      <a:solidFill>
                        <a:srgbClr val="000000"/>
                      </a:solidFill>
                      <a:prstDash val="solid"/>
                    </a:ln>
                  </pic:spPr>
                </pic:pic>
              </a:graphicData>
            </a:graphic>
          </wp:inline>
        </w:drawing>
      </w:r>
    </w:p>
    <w:p w:rsidR="002043AA" w:rsidRDefault="002043AA" w:rsidP="002043AA">
      <w:pPr>
        <w:jc w:val="center"/>
        <w:rPr>
          <w:b/>
          <w:bCs/>
          <w:i/>
          <w:iCs/>
        </w:rPr>
      </w:pPr>
      <w:r>
        <w:rPr>
          <w:b/>
          <w:bCs/>
          <w:i/>
          <w:iCs/>
        </w:rPr>
        <w:t>Figure 2 : Working from Home Statistics UK (2025)</w:t>
      </w:r>
    </w:p>
    <w:p w:rsidR="002043AA" w:rsidRDefault="002043AA" w:rsidP="002043AA">
      <w:pPr>
        <w:jc w:val="center"/>
        <w:rPr>
          <w:b/>
          <w:bCs/>
          <w:i/>
          <w:iCs/>
        </w:rPr>
      </w:pPr>
      <w:r>
        <w:rPr>
          <w:b/>
          <w:bCs/>
          <w:i/>
          <w:iCs/>
        </w:rPr>
        <w:t>Source:(Dalton, 2025)</w:t>
      </w:r>
    </w:p>
    <w:p w:rsidR="002043AA" w:rsidRDefault="002043AA" w:rsidP="002043AA">
      <w:r>
        <w:t>Technology has the potential to enhance the opportunity by aligning subscriptions, inventory, maintenance, replacement and ESG reporting. Policy is another motivator. There is clear evidence that sustainability is becoming part of the standards for furniture and textiles procurement, with UK government guidelines covering both materials. Furniture and textiles are both covered by UK government procurement standards, making sustainability an ever-</w:t>
      </w:r>
      <w:r>
        <w:lastRenderedPageBreak/>
        <w:t>increasing part of the purchasing criteria. However, regulation can make things more complicated for the operators without necessarily creating demand.</w:t>
      </w:r>
    </w:p>
    <w:p w:rsidR="002043AA" w:rsidRPr="002043AA" w:rsidRDefault="002043AA" w:rsidP="002043AA"/>
    <w:p w:rsidR="002C2BC8" w:rsidRDefault="009644E8">
      <w:pPr>
        <w:pStyle w:val="Heading2"/>
        <w:keepNext w:val="0"/>
        <w:keepLines w:val="0"/>
      </w:pPr>
      <w:bookmarkStart w:id="10" w:name="_Toc239373325"/>
      <w:r>
        <w:t>1</w:t>
      </w:r>
      <w:r w:rsidR="002043AA">
        <w:t>.2</w:t>
      </w:r>
      <w:r w:rsidR="00FC2205">
        <w:t xml:space="preserve"> Problem / Opportunity Statement</w:t>
      </w:r>
      <w:bookmarkEnd w:id="10"/>
    </w:p>
    <w:p w:rsidR="002C2BC8" w:rsidRDefault="00FC2205">
      <w:r>
        <w:t xml:space="preserve">Businesses in the UK are increasingly facing fluctuating office needs, but the furniture business model doesn't match the needs, as furniture purchases are usually made as a fixed asset.EcoLoop Office is a response to a gap in the UK corporate furniture industry, as businesses often buy furniture as a fixed asset in the face of ever-changing work environments. Furniture that may still be useful, but has been left under-used or thrown out due to relocation, downsizing, refurbishment and redesign. This is important as London is cited as the world's second highest office fit-out cost market, with a focus on reducing head-investment (Consultancy UK, 2026). </w:t>
      </w:r>
    </w:p>
    <w:p w:rsidR="002C2BC8" w:rsidRDefault="00FC2205">
      <w:pPr>
        <w:jc w:val="center"/>
        <w:rPr>
          <w:b/>
          <w:bCs/>
          <w:i/>
          <w:iCs/>
        </w:rPr>
      </w:pPr>
      <w:r>
        <w:rPr>
          <w:b/>
          <w:bCs/>
          <w:i/>
          <w:iCs/>
          <w:noProof/>
          <w:lang w:eastAsia="en-US"/>
        </w:rPr>
        <w:drawing>
          <wp:inline distT="114300" distB="114300" distL="114300" distR="114300">
            <wp:extent cx="4041775" cy="3523599"/>
            <wp:effectExtent l="12700" t="12700" r="12700" b="12700"/>
            <wp:docPr id="2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t="11086" b="17705"/>
                    <a:stretch>
                      <a:fillRect/>
                    </a:stretch>
                  </pic:blipFill>
                  <pic:spPr>
                    <a:xfrm>
                      <a:off x="0" y="0"/>
                      <a:ext cx="4041775" cy="3523599"/>
                    </a:xfrm>
                    <a:prstGeom prst="rect">
                      <a:avLst/>
                    </a:prstGeom>
                    <a:ln w="12700">
                      <a:solidFill>
                        <a:srgbClr val="000000"/>
                      </a:solidFill>
                      <a:prstDash val="solid"/>
                    </a:ln>
                  </pic:spPr>
                </pic:pic>
              </a:graphicData>
            </a:graphic>
          </wp:inline>
        </w:drawing>
      </w:r>
    </w:p>
    <w:p w:rsidR="002C2BC8" w:rsidRDefault="00FC2205">
      <w:pPr>
        <w:jc w:val="center"/>
        <w:rPr>
          <w:b/>
          <w:bCs/>
          <w:i/>
          <w:iCs/>
        </w:rPr>
      </w:pPr>
      <w:r>
        <w:rPr>
          <w:b/>
          <w:bCs/>
          <w:i/>
          <w:iCs/>
        </w:rPr>
        <w:t>Figure 1 : The number of VAT and/or PAYE businesses in the UK increased by 0.4% in the past year</w:t>
      </w:r>
    </w:p>
    <w:p w:rsidR="002C2BC8" w:rsidRDefault="00FC2205">
      <w:pPr>
        <w:jc w:val="center"/>
        <w:rPr>
          <w:b/>
          <w:bCs/>
          <w:i/>
          <w:iCs/>
        </w:rPr>
      </w:pPr>
      <w:r>
        <w:rPr>
          <w:b/>
          <w:bCs/>
          <w:i/>
          <w:iCs/>
        </w:rPr>
        <w:lastRenderedPageBreak/>
        <w:t>Source: (Business Registers Strategy and Outputs team, 2025)</w:t>
      </w:r>
    </w:p>
    <w:p w:rsidR="002C2BC8" w:rsidRDefault="00FC2205" w:rsidP="002043AA">
      <w:r>
        <w:t xml:space="preserve">There were also 2.73 million VAT and/or PAYE businesses in the UK in March 2025, which suggests a significant potential ON organising customer base (ONS, 2025). But, for sustainability to be a benefit, the costs of reverse logistics, storage, maintenance and quality control need to be less than the benefits. This separation is key as it's possible to achieve circularity and save on materials without also cutting down on service fees. Therefore, for commercial scalability to be assumed, there is a need to have evidence of repeat demand, acceptable price, high asset utilisation, and dependable refurbishment quality, for EcoLoop. </w:t>
      </w:r>
    </w:p>
    <w:p w:rsidR="002C2BC8" w:rsidRDefault="009644E8">
      <w:pPr>
        <w:pStyle w:val="Heading2"/>
        <w:keepNext w:val="0"/>
        <w:keepLines w:val="0"/>
      </w:pPr>
      <w:bookmarkStart w:id="11" w:name="_Toc239373326"/>
      <w:r>
        <w:t>1</w:t>
      </w:r>
      <w:r w:rsidR="00FC2205">
        <w:t>.3 Initial Observation of Demand</w:t>
      </w:r>
      <w:bookmarkEnd w:id="11"/>
    </w:p>
    <w:p w:rsidR="002C2BC8" w:rsidRDefault="00FC2205">
      <w:r>
        <w:t>SMEs and scale-ups, corporate tenants and flexible-workspace operators identified in the proposal are showing early signs of demand. The potential for reuse in the public sector is illustrated in practice by the following figures: In 2024/25, Homes England diverted 21 tonnes of office furniture from disposal and redistributed 543 furniture and office-asset items during office moves and floor-space rationalisation (Homes England, 2025). But this is only proof of their willingness to pay for subscriptions. Customer adoption is still unclear, especially if customers feel that the refurbished furniture is less good than the original, or owning it means that they have control over it.</w:t>
      </w:r>
    </w:p>
    <w:p w:rsidR="009644E8" w:rsidRDefault="009644E8" w:rsidP="009644E8">
      <w:pPr>
        <w:pStyle w:val="Heading2"/>
        <w:keepNext w:val="0"/>
        <w:keepLines w:val="0"/>
      </w:pPr>
      <w:bookmarkStart w:id="12" w:name="_Toc239373327"/>
      <w:r>
        <w:t>1</w:t>
      </w:r>
      <w:r w:rsidR="00FC2205">
        <w:t xml:space="preserve">.4 </w:t>
      </w:r>
      <w:r>
        <w:t>Aim ,Objectives and Research Questions</w:t>
      </w:r>
      <w:bookmarkEnd w:id="12"/>
    </w:p>
    <w:p w:rsidR="009644E8" w:rsidRDefault="009644E8" w:rsidP="009644E8">
      <w:pPr>
        <w:pStyle w:val="Heading2"/>
        <w:keepNext w:val="0"/>
        <w:keepLines w:val="0"/>
      </w:pPr>
      <w:bookmarkStart w:id="13" w:name="_Toc237818461"/>
      <w:r>
        <w:t xml:space="preserve"> </w:t>
      </w:r>
      <w:bookmarkStart w:id="14" w:name="_Toc238052221"/>
      <w:bookmarkStart w:id="15" w:name="_Toc239373328"/>
      <w:r>
        <w:t>Research Aim</w:t>
      </w:r>
      <w:bookmarkEnd w:id="13"/>
      <w:bookmarkEnd w:id="14"/>
      <w:bookmarkEnd w:id="15"/>
    </w:p>
    <w:p w:rsidR="009644E8" w:rsidRDefault="009644E8" w:rsidP="009644E8">
      <w:r>
        <w:t>This research will be used to determine the market viability and commercial feasibility of EcoLoop Office as a viable circular furniture subscription and refurbishment platform for the UK.</w:t>
      </w:r>
    </w:p>
    <w:p w:rsidR="009644E8" w:rsidRDefault="009644E8" w:rsidP="009644E8">
      <w:pPr>
        <w:pStyle w:val="Heading2"/>
        <w:keepNext w:val="0"/>
        <w:keepLines w:val="0"/>
      </w:pPr>
      <w:bookmarkStart w:id="16" w:name="_tpdcyutfwscu" w:colFirst="0" w:colLast="0"/>
      <w:bookmarkStart w:id="17" w:name="_Toc237818462"/>
      <w:bookmarkEnd w:id="16"/>
      <w:r>
        <w:t xml:space="preserve"> </w:t>
      </w:r>
      <w:bookmarkStart w:id="18" w:name="_Toc238052222"/>
    </w:p>
    <w:p w:rsidR="009644E8" w:rsidRDefault="009644E8" w:rsidP="009644E8">
      <w:pPr>
        <w:pStyle w:val="Heading2"/>
        <w:keepNext w:val="0"/>
        <w:keepLines w:val="0"/>
      </w:pPr>
      <w:bookmarkStart w:id="19" w:name="_Toc239373329"/>
      <w:r>
        <w:t>Research Objectives</w:t>
      </w:r>
      <w:bookmarkEnd w:id="17"/>
      <w:bookmarkEnd w:id="18"/>
      <w:bookmarkEnd w:id="19"/>
    </w:p>
    <w:p w:rsidR="009644E8" w:rsidRDefault="009644E8" w:rsidP="009644E8">
      <w:pPr>
        <w:numPr>
          <w:ilvl w:val="0"/>
          <w:numId w:val="9"/>
        </w:numPr>
        <w:spacing w:after="0"/>
        <w:jc w:val="left"/>
      </w:pPr>
      <w:r>
        <w:lastRenderedPageBreak/>
        <w:t>To assess the demand (subscriptions) for office furniture in the UK and the market conditions.</w:t>
      </w:r>
    </w:p>
    <w:p w:rsidR="009644E8" w:rsidRDefault="009644E8" w:rsidP="009644E8">
      <w:pPr>
        <w:numPr>
          <w:ilvl w:val="0"/>
          <w:numId w:val="9"/>
        </w:numPr>
        <w:spacing w:before="0" w:after="0"/>
        <w:jc w:val="left"/>
      </w:pPr>
      <w:r>
        <w:t>To evaluate furniture renting and refurbishing benefits, compared to cost flexibility, and ESG dimension.</w:t>
      </w:r>
    </w:p>
    <w:p w:rsidR="009644E8" w:rsidRDefault="009644E8" w:rsidP="009644E8">
      <w:pPr>
        <w:numPr>
          <w:ilvl w:val="0"/>
          <w:numId w:val="9"/>
        </w:numPr>
        <w:spacing w:before="0" w:after="0"/>
        <w:jc w:val="left"/>
      </w:pPr>
      <w:r>
        <w:t>To see how EcoLoop Office could be viable in the marketplace, and investigate its operating model, its cost and value-added proposition.</w:t>
      </w:r>
    </w:p>
    <w:p w:rsidR="009644E8" w:rsidRDefault="009644E8" w:rsidP="009644E8">
      <w:pPr>
        <w:numPr>
          <w:ilvl w:val="0"/>
          <w:numId w:val="9"/>
        </w:numPr>
        <w:spacing w:before="0"/>
        <w:jc w:val="left"/>
      </w:pPr>
      <w:r>
        <w:t>To identify Key opportunities for UK circular office furniture platforms to be identified, as well as competitive pressures, regulatory factors and barriers.</w:t>
      </w:r>
    </w:p>
    <w:p w:rsidR="009644E8" w:rsidRDefault="009644E8" w:rsidP="009644E8">
      <w:pPr>
        <w:pStyle w:val="Heading2"/>
        <w:keepNext w:val="0"/>
        <w:keepLines w:val="0"/>
      </w:pPr>
      <w:bookmarkStart w:id="20" w:name="_79c7ct832o6x" w:colFirst="0" w:colLast="0"/>
      <w:bookmarkStart w:id="21" w:name="_Toc237818463"/>
      <w:bookmarkEnd w:id="20"/>
      <w:r>
        <w:t xml:space="preserve"> </w:t>
      </w:r>
      <w:bookmarkStart w:id="22" w:name="_Toc238052223"/>
      <w:bookmarkStart w:id="23" w:name="_Toc239373330"/>
      <w:r>
        <w:t>Research Questions</w:t>
      </w:r>
      <w:bookmarkEnd w:id="21"/>
      <w:bookmarkEnd w:id="22"/>
      <w:bookmarkEnd w:id="23"/>
    </w:p>
    <w:p w:rsidR="009644E8" w:rsidRDefault="009644E8" w:rsidP="009644E8">
      <w:pPr>
        <w:numPr>
          <w:ilvl w:val="0"/>
          <w:numId w:val="10"/>
        </w:numPr>
        <w:spacing w:after="0"/>
        <w:jc w:val="left"/>
      </w:pPr>
      <w:r>
        <w:t>How much of a market exists for subscription furniture in the UK Office Fit-out Industry?</w:t>
      </w:r>
    </w:p>
    <w:p w:rsidR="009644E8" w:rsidRDefault="009644E8" w:rsidP="009644E8">
      <w:pPr>
        <w:numPr>
          <w:ilvl w:val="0"/>
          <w:numId w:val="10"/>
        </w:numPr>
        <w:spacing w:before="0" w:after="0"/>
        <w:jc w:val="left"/>
      </w:pPr>
      <w:r>
        <w:t>What is the business case for furniture subscription and refurbishment, offering cost and value flexibility for UK businesses in terms of ESG value?</w:t>
      </w:r>
    </w:p>
    <w:p w:rsidR="002C2BC8" w:rsidRDefault="002C2BC8">
      <w:pPr>
        <w:pStyle w:val="Heading2"/>
        <w:keepNext w:val="0"/>
        <w:keepLines w:val="0"/>
      </w:pPr>
    </w:p>
    <w:p w:rsidR="009644E8" w:rsidRDefault="009644E8" w:rsidP="009644E8">
      <w:pPr>
        <w:pStyle w:val="Heading2"/>
        <w:keepNext w:val="0"/>
        <w:keepLines w:val="0"/>
      </w:pPr>
      <w:bookmarkStart w:id="24" w:name="_Toc239373331"/>
      <w:r>
        <w:t>1</w:t>
      </w:r>
      <w:r w:rsidR="00FC2205">
        <w:t xml:space="preserve">.5 </w:t>
      </w:r>
      <w:r>
        <w:t>Scope of Analysis</w:t>
      </w:r>
      <w:bookmarkEnd w:id="24"/>
    </w:p>
    <w:p w:rsidR="009644E8" w:rsidRDefault="009644E8" w:rsidP="009644E8">
      <w:pPr>
        <w:pStyle w:val="normal0"/>
      </w:pPr>
      <w:r>
        <w:t xml:space="preserve">The analysis concentrates on the UK corporate office fit-out and refurbishment market, specifically looking at demand, customer value, competition, cost flexibility, ESG value, regulation and commercial viability of EcoLoop Office. It does not include consumer markets that are not primary, related to the house and interviews/surveys that are not primary. The study is based mainly on secondary evidence, which is in accordance with the proposal. </w:t>
      </w:r>
    </w:p>
    <w:p w:rsidR="002C2BC8" w:rsidRDefault="002C2BC8">
      <w:pPr>
        <w:pStyle w:val="Heading2"/>
        <w:keepNext w:val="0"/>
        <w:keepLines w:val="0"/>
      </w:pPr>
    </w:p>
    <w:p w:rsidR="002C2BC8" w:rsidRDefault="009644E8">
      <w:pPr>
        <w:pStyle w:val="Heading2"/>
        <w:keepNext w:val="0"/>
        <w:keepLines w:val="0"/>
      </w:pPr>
      <w:bookmarkStart w:id="25" w:name="_Toc239373332"/>
      <w:r>
        <w:t>1</w:t>
      </w:r>
      <w:r w:rsidR="00FC2205">
        <w:t>.6 Structure of the Report</w:t>
      </w:r>
      <w:bookmarkEnd w:id="25"/>
    </w:p>
    <w:p w:rsidR="002C2BC8" w:rsidRDefault="00FC2205">
      <w:r>
        <w:t xml:space="preserve">This introduction is followed by a critical review of relevant literature and theories, an explanation of the secondary research method, an assessment of market opportunity and </w:t>
      </w:r>
      <w:r>
        <w:lastRenderedPageBreak/>
        <w:t>assessment of the external environment, findings analysis, business model and commercial feasibility analysis, all leading to evidence based recommendations.</w:t>
      </w:r>
    </w:p>
    <w:p w:rsidR="002C2BC8" w:rsidRDefault="008230A6">
      <w:pPr>
        <w:pStyle w:val="Heading1"/>
        <w:keepNext w:val="0"/>
        <w:keepLines w:val="0"/>
      </w:pPr>
      <w:bookmarkStart w:id="26" w:name="_Toc239373333"/>
      <w:r>
        <w:t>2</w:t>
      </w:r>
      <w:r w:rsidR="00FC2205">
        <w:t>. Company Description</w:t>
      </w:r>
      <w:bookmarkEnd w:id="26"/>
    </w:p>
    <w:p w:rsidR="002C2BC8" w:rsidRDefault="008230A6">
      <w:pPr>
        <w:pStyle w:val="Heading2"/>
        <w:keepNext w:val="0"/>
        <w:keepLines w:val="0"/>
      </w:pPr>
      <w:bookmarkStart w:id="27" w:name="_Toc239373334"/>
      <w:r>
        <w:t>2</w:t>
      </w:r>
      <w:r w:rsidR="00FC2205">
        <w:t xml:space="preserve">.1 Business Identity, </w:t>
      </w:r>
      <w:r w:rsidR="002043AA">
        <w:t xml:space="preserve">Legal </w:t>
      </w:r>
      <w:r w:rsidR="00FC2205">
        <w:t>Structure</w:t>
      </w:r>
      <w:bookmarkEnd w:id="27"/>
      <w:r w:rsidR="00FC2205">
        <w:t xml:space="preserve"> </w:t>
      </w:r>
    </w:p>
    <w:p w:rsidR="002C2BC8" w:rsidRDefault="00FC2205">
      <w:r>
        <w:t xml:space="preserve">EcoLoop Office is a proposed business-to-business, circular furniture platform in the UK, which facilitates access over the ownership of office furniture. EcoLoop does not identify an existing incorporated entity, so it is important to consider the possibility of a proposed private limited company (Ltd), with headquarters initially in London, with UK-wide digital reach and logistics partnerships. </w:t>
      </w:r>
    </w:p>
    <w:p w:rsidR="002C2BC8" w:rsidRDefault="00FC2205">
      <w:pPr>
        <w:jc w:val="center"/>
        <w:rPr>
          <w:b/>
          <w:bCs/>
          <w:i/>
          <w:iCs/>
        </w:rPr>
      </w:pPr>
      <w:r>
        <w:rPr>
          <w:b/>
          <w:bCs/>
          <w:i/>
          <w:iCs/>
          <w:noProof/>
          <w:lang w:eastAsia="en-US"/>
        </w:rPr>
        <w:drawing>
          <wp:inline distT="114300" distB="114300" distL="114300" distR="114300">
            <wp:extent cx="4929188" cy="3286125"/>
            <wp:effectExtent l="12700" t="12700" r="12700" b="12700"/>
            <wp:docPr id="2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cstate="print"/>
                    <a:srcRect/>
                    <a:stretch>
                      <a:fillRect/>
                    </a:stretch>
                  </pic:blipFill>
                  <pic:spPr>
                    <a:xfrm>
                      <a:off x="0" y="0"/>
                      <a:ext cx="4929188" cy="3286125"/>
                    </a:xfrm>
                    <a:prstGeom prst="rect">
                      <a:avLst/>
                    </a:prstGeom>
                    <a:ln w="12700">
                      <a:solidFill>
                        <a:srgbClr val="000000"/>
                      </a:solidFill>
                      <a:prstDash val="solid"/>
                    </a:ln>
                  </pic:spPr>
                </pic:pic>
              </a:graphicData>
            </a:graphic>
          </wp:inline>
        </w:drawing>
      </w:r>
    </w:p>
    <w:p w:rsidR="002C2BC8" w:rsidRDefault="00FC2205">
      <w:pPr>
        <w:jc w:val="center"/>
        <w:rPr>
          <w:b/>
          <w:bCs/>
          <w:i/>
          <w:iCs/>
        </w:rPr>
      </w:pPr>
      <w:r>
        <w:rPr>
          <w:b/>
          <w:bCs/>
          <w:i/>
          <w:iCs/>
        </w:rPr>
        <w:t>Figure 3: Ecoloop</w:t>
      </w:r>
    </w:p>
    <w:p w:rsidR="002C2BC8" w:rsidRDefault="00FC2205">
      <w:pPr>
        <w:jc w:val="center"/>
        <w:rPr>
          <w:b/>
          <w:bCs/>
          <w:i/>
          <w:iCs/>
        </w:rPr>
      </w:pPr>
      <w:r>
        <w:rPr>
          <w:b/>
          <w:bCs/>
          <w:i/>
          <w:iCs/>
        </w:rPr>
        <w:t>Source: Self-developed</w:t>
      </w:r>
    </w:p>
    <w:p w:rsidR="002C2BC8" w:rsidRDefault="00FC2205">
      <w:r>
        <w:t xml:space="preserve">This is an adequate structure to meet the needs of the model, which need investment in inventory, refurbishment costs, technology and working capital, and where founders also have </w:t>
      </w:r>
      <w:r>
        <w:lastRenderedPageBreak/>
        <w:t>limited personal liability. It aims to be more flexible, affordable and circular in the world of office furniture and aspires to be a scalable platform for furniture-as-a-service in the UK. Core values are circularity, affordability, reliability, transparency and customer flexibility.</w:t>
      </w:r>
    </w:p>
    <w:p w:rsidR="002C2BC8" w:rsidRDefault="008230A6">
      <w:pPr>
        <w:pStyle w:val="Heading2"/>
        <w:keepNext w:val="0"/>
        <w:keepLines w:val="0"/>
      </w:pPr>
      <w:bookmarkStart w:id="28" w:name="_Toc239373335"/>
      <w:r>
        <w:t>2</w:t>
      </w:r>
      <w:r w:rsidR="00FC2205">
        <w:t>.2 Product/Service and Problem Solved</w:t>
      </w:r>
      <w:bookmarkEnd w:id="28"/>
    </w:p>
    <w:p w:rsidR="002C2BC8" w:rsidRDefault="00FC2205">
      <w:r>
        <w:t>EcoLoop Office provides the following furniture subscription solutions: delivery &amp; installation, maintenance, refurbishment, flexible swap out, take back, resale and ESG impact reporting. The model thus transforms furniture from an asset to a service. This directly tackles the issue of high initial costs of procurement, excess furniture as a result of relocation or downsizing, and the disposal process of the excess furniture. The potential is huge – the UK discards approximately 1.2m desks and 1.8m chairs each year, and 17% of desks are recyclable (WRAP, 2025). This is why it is commercially relevant but EcoLoop cannot guarantee that the environment's needs are equivalent to customer demand, therefore, the quality, hygiene, availability and monthly prices need to be competitive.</w:t>
      </w:r>
    </w:p>
    <w:p w:rsidR="002C2BC8" w:rsidRDefault="008230A6">
      <w:pPr>
        <w:pStyle w:val="Heading2"/>
        <w:keepNext w:val="0"/>
        <w:keepLines w:val="0"/>
      </w:pPr>
      <w:bookmarkStart w:id="29" w:name="_Toc239373336"/>
      <w:r>
        <w:t>2</w:t>
      </w:r>
      <w:r w:rsidR="00FC2205">
        <w:t>.3</w:t>
      </w:r>
      <w:r w:rsidR="00FF2D7A">
        <w:t xml:space="preserve"> </w:t>
      </w:r>
      <w:r w:rsidR="00FC2205">
        <w:t>Founding Idea</w:t>
      </w:r>
      <w:r w:rsidR="00FF2D7A">
        <w:t xml:space="preserve"> and History</w:t>
      </w:r>
      <w:bookmarkEnd w:id="29"/>
    </w:p>
    <w:p w:rsidR="002C2BC8" w:rsidRDefault="00FC2205">
      <w:r>
        <w:t xml:space="preserve">EcoLoop Office is not a company; it is a proposed new venture and a founder biography and operating history is not provided. The founding concept is based on the identified gap of the conventional furniture purchase-use-dispose cycle and furniture circular management. The idea is a mix of subscription model and refurbishment, re-use, replacement and lifecycle reporting. </w:t>
      </w:r>
    </w:p>
    <w:p w:rsidR="002C2BC8" w:rsidRDefault="00FC2205">
      <w:pPr>
        <w:jc w:val="center"/>
        <w:rPr>
          <w:b/>
          <w:bCs/>
          <w:i/>
          <w:iCs/>
        </w:rPr>
      </w:pPr>
      <w:r>
        <w:rPr>
          <w:b/>
          <w:bCs/>
          <w:i/>
          <w:iCs/>
          <w:noProof/>
          <w:lang w:eastAsia="en-US"/>
        </w:rPr>
        <w:lastRenderedPageBreak/>
        <w:drawing>
          <wp:inline distT="114300" distB="114300" distL="114300" distR="114300">
            <wp:extent cx="5943600" cy="2765310"/>
            <wp:effectExtent l="12700" t="12700" r="12700" b="12700"/>
            <wp:docPr id="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t="8639" b="8732"/>
                    <a:stretch>
                      <a:fillRect/>
                    </a:stretch>
                  </pic:blipFill>
                  <pic:spPr>
                    <a:xfrm>
                      <a:off x="0" y="0"/>
                      <a:ext cx="5943600" cy="2765310"/>
                    </a:xfrm>
                    <a:prstGeom prst="rect">
                      <a:avLst/>
                    </a:prstGeom>
                    <a:ln w="12700">
                      <a:solidFill>
                        <a:srgbClr val="000000"/>
                      </a:solidFill>
                      <a:prstDash val="solid"/>
                    </a:ln>
                  </pic:spPr>
                </pic:pic>
              </a:graphicData>
            </a:graphic>
          </wp:inline>
        </w:drawing>
      </w:r>
    </w:p>
    <w:p w:rsidR="002C2BC8" w:rsidRDefault="00FC2205">
      <w:pPr>
        <w:jc w:val="center"/>
        <w:rPr>
          <w:b/>
          <w:bCs/>
          <w:i/>
          <w:iCs/>
        </w:rPr>
      </w:pPr>
      <w:r>
        <w:rPr>
          <w:b/>
          <w:bCs/>
          <w:i/>
          <w:iCs/>
        </w:rPr>
        <w:t>Figure 4: UK Eco-friendly Furniture Market Size &amp; Outlook, 2033</w:t>
      </w:r>
    </w:p>
    <w:p w:rsidR="002C2BC8" w:rsidRDefault="00FC2205">
      <w:pPr>
        <w:jc w:val="center"/>
        <w:rPr>
          <w:b/>
          <w:bCs/>
          <w:i/>
          <w:iCs/>
        </w:rPr>
      </w:pPr>
      <w:r>
        <w:rPr>
          <w:b/>
          <w:bCs/>
          <w:i/>
          <w:iCs/>
        </w:rPr>
        <w:t>Source: (Grand View Research, 2024)</w:t>
      </w:r>
    </w:p>
    <w:p w:rsidR="002C2BC8" w:rsidRDefault="00FC2205">
      <w:r>
        <w:t>This is timely as the UK procurement market is becoming more circular with a 2025 sustainable-furniture framework having specific lots for refurbishment/repair and redistribution/re-use estimated at £250m (excluding VAT) for the office-furniture sector (Find a Tender, 2025). However, the evidence suggests that circular procurement has been adopted at the institutions, though not necessarily at a large enough scale for commercial success in implementing a subscription model.</w:t>
      </w:r>
    </w:p>
    <w:p w:rsidR="002C2BC8" w:rsidRDefault="008230A6">
      <w:pPr>
        <w:pStyle w:val="Heading2"/>
        <w:keepNext w:val="0"/>
        <w:keepLines w:val="0"/>
      </w:pPr>
      <w:bookmarkStart w:id="30" w:name="_Toc239373337"/>
      <w:r>
        <w:t>2</w:t>
      </w:r>
      <w:r w:rsidR="00FC2205">
        <w:t>.4 SMART Business Objectives and Goals</w:t>
      </w:r>
      <w:bookmarkEnd w:id="30"/>
    </w:p>
    <w:p w:rsidR="002C2BC8" w:rsidRDefault="00FC2205">
      <w:r>
        <w:t>EcoLoop needs to articulate its idea in concrete goals. In the first 12 months after launch, recruit 50 paying business customers from the UK, using direct sales and partnerships. Secondly, make sure to get 70% average utilisation of subscription furniture inventory within month 18, with minimal idle assets and storage costs. Third: in 24 months, make sure at least 80% of the furniture returned are reused or refurbished; and not disposed of. Fourth, gain a minimum of 75% of customers by the end of year two. These are suggested SMART goals and not the results of the past—results from the feasibility analysis will be needed to validate.</w:t>
      </w:r>
    </w:p>
    <w:p w:rsidR="002C2BC8" w:rsidRDefault="008230A6">
      <w:pPr>
        <w:pStyle w:val="Heading2"/>
        <w:keepNext w:val="0"/>
        <w:keepLines w:val="0"/>
      </w:pPr>
      <w:bookmarkStart w:id="31" w:name="_Toc239373338"/>
      <w:r>
        <w:lastRenderedPageBreak/>
        <w:t>2</w:t>
      </w:r>
      <w:r w:rsidR="00FC2205">
        <w:t>.5 Core Values and Trend Alignment</w:t>
      </w:r>
      <w:bookmarkEnd w:id="31"/>
    </w:p>
    <w:p w:rsidR="002C2BC8" w:rsidRDefault="00FC2205">
      <w:r>
        <w:t>EcoLoop philosophy resonates well with the concept of the circular economy and flexibility of workplaces. Two in every three working adults hybrid worked throughout January to March 2025, further supporting the argument for the need of flexible workplace resources (ONS 2025). Government modelling also suggests the policies for furniture resource-efficiency could result in a reduction of territorial greenhouse-gas emissions in the UK of 4 MtCO2e from 2021 to 2050 (Department for Environment, Food and Rural Affairs, 2023). EcoLoop therefore combines value for the environment with operational flexibility. Its differentiation, however, has to be proven through measurable cost savings, utilisation, re-use, and reliability of service, and not just the sustainability claims. As such, operational measurement becomes a key element of credibility and a successful long-term commercial positioning.</w:t>
      </w:r>
    </w:p>
    <w:p w:rsidR="002C2BC8" w:rsidRDefault="008230A6">
      <w:pPr>
        <w:pStyle w:val="Heading1"/>
        <w:keepNext w:val="0"/>
        <w:keepLines w:val="0"/>
      </w:pPr>
      <w:bookmarkStart w:id="32" w:name="_Toc239373339"/>
      <w:r>
        <w:t>3</w:t>
      </w:r>
      <w:r w:rsidR="00FC2205">
        <w:t>. Literature Review</w:t>
      </w:r>
      <w:bookmarkEnd w:id="32"/>
    </w:p>
    <w:p w:rsidR="002C2BC8" w:rsidRDefault="008230A6">
      <w:pPr>
        <w:pStyle w:val="Heading2"/>
        <w:keepNext w:val="0"/>
        <w:keepLines w:val="0"/>
      </w:pPr>
      <w:bookmarkStart w:id="33" w:name="_Toc239373340"/>
      <w:r>
        <w:t>3</w:t>
      </w:r>
      <w:r w:rsidR="00FC2205">
        <w:t>.1 UK Office Fit-Out and Furniture Market</w:t>
      </w:r>
      <w:bookmarkEnd w:id="33"/>
    </w:p>
    <w:p w:rsidR="002C2BC8" w:rsidRDefault="00FC2205">
      <w:r>
        <w:t>Flexible working, changing configurations, cost pressures and sustainability pressures are driving the UK office fit-out and furniture market to change. Sustainable commercial refurbishment is highlighted by McAllister and Nase (2023) and increased flexibility is linked to post-COVID workplaces by Surma</w:t>
      </w:r>
      <w:r w:rsidR="00596FD4" w:rsidRPr="00596FD4">
        <w:rPr>
          <w:i/>
          <w:iCs/>
        </w:rPr>
        <w:t>et al</w:t>
      </w:r>
      <w:r>
        <w:rPr>
          <w:i/>
          <w:iCs/>
        </w:rPr>
        <w:t xml:space="preserve">. </w:t>
      </w:r>
      <w:r>
        <w:t>(2021). These shifts make mobility a requirement for furniture.These shifts mean that furniture that can be moved, replaced or reconfigured is in demand. But flexibility doesn't necessarily mean that there's a demand for subscriptions. NjølstadSlotsvik, Gould and Hayes (2025) highlight procurement reliability issues in the context of organisational change, and Pei, Italia and Melazzini (2024) demonstrate how circular design can help to increase the lifetime of furniture. Having</w:t>
      </w:r>
      <w:r w:rsidR="00596FD4" w:rsidRPr="00596FD4">
        <w:rPr>
          <w:i/>
          <w:iCs/>
        </w:rPr>
        <w:t>et al</w:t>
      </w:r>
      <w:r>
        <w:rPr>
          <w:i/>
          <w:iCs/>
        </w:rPr>
        <w:t>.</w:t>
      </w:r>
      <w:r>
        <w:t xml:space="preserve"> (2019) and Bennett and Mayouf (2021) agree that whole-life value management is a solution, and flexible design is a solution, according to Daglio</w:t>
      </w:r>
      <w:r w:rsidR="00596FD4" w:rsidRPr="00596FD4">
        <w:rPr>
          <w:i/>
          <w:iCs/>
        </w:rPr>
        <w:t>et al</w:t>
      </w:r>
      <w:r>
        <w:rPr>
          <w:i/>
          <w:iCs/>
        </w:rPr>
        <w:t>.</w:t>
      </w:r>
      <w:r>
        <w:t xml:space="preserve"> (2023). Measurable outcomes are also becoming a growing element of ESG pressures, as noted by Halat</w:t>
      </w:r>
      <w:r w:rsidR="00596FD4" w:rsidRPr="00596FD4">
        <w:rPr>
          <w:i/>
          <w:iCs/>
        </w:rPr>
        <w:t>et al</w:t>
      </w:r>
      <w:r>
        <w:t>. (2026) in their consideration of Scope 3 pressures. EcoLoop's opportunity is therefore based on measurable value to the community that is financial, operational and environmental.</w:t>
      </w:r>
    </w:p>
    <w:p w:rsidR="002C2BC8" w:rsidRDefault="008230A6">
      <w:pPr>
        <w:pStyle w:val="Heading2"/>
        <w:keepNext w:val="0"/>
        <w:keepLines w:val="0"/>
      </w:pPr>
      <w:bookmarkStart w:id="34" w:name="_Toc239373341"/>
      <w:r>
        <w:lastRenderedPageBreak/>
        <w:t>3</w:t>
      </w:r>
      <w:r w:rsidR="00FC2205">
        <w:t>.2 Circular Economy Theory</w:t>
      </w:r>
      <w:bookmarkEnd w:id="34"/>
    </w:p>
    <w:p w:rsidR="002C2BC8" w:rsidRDefault="00FC2205">
      <w:r>
        <w:t>EcoLoop is based on Circular Economy (CE) Theory, which is grounded in the principles of reducing, reusing and recycling, by keeping products, value and materials in use for longer than they are currently in use. Morseletto (2023) considers circularity to be a transition and Milios (2021) defines product-life extension as an intervention in the business. Thus, the refurbishment, re-use, maintenance, swapping and selling of the items that EcoLoop does is in line with the CE principles. But, circularity doesn't equal recycling or environmental claims. Among the indicators of circularity, Kusumo</w:t>
      </w:r>
      <w:r w:rsidR="00596FD4" w:rsidRPr="00596FD4">
        <w:rPr>
          <w:i/>
          <w:iCs/>
        </w:rPr>
        <w:t>et al</w:t>
      </w:r>
      <w:r>
        <w:rPr>
          <w:i/>
          <w:iCs/>
        </w:rPr>
        <w:t>.</w:t>
      </w:r>
      <w:r>
        <w:t xml:space="preserve"> (2022) and Cisinaro</w:t>
      </w:r>
      <w:r w:rsidR="00596FD4" w:rsidRPr="00596FD4">
        <w:rPr>
          <w:i/>
          <w:iCs/>
        </w:rPr>
        <w:t>et al</w:t>
      </w:r>
      <w:r>
        <w:rPr>
          <w:i/>
          <w:iCs/>
        </w:rPr>
        <w:t xml:space="preserve">. </w:t>
      </w:r>
      <w:r>
        <w:t xml:space="preserve">(2022) emphasise indicators of circularity. Kans and HettiArachchige and Paulin (2024) agree that re-use and prolonging the value of furniture is possible, provided the furniture has to be durable, there are collection systems in place, and the quality of refurbishment and customers' acceptance. </w:t>
      </w:r>
    </w:p>
    <w:p w:rsidR="002C2BC8" w:rsidRDefault="00FC2205">
      <w:pPr>
        <w:jc w:val="center"/>
        <w:rPr>
          <w:b/>
          <w:bCs/>
          <w:i/>
          <w:iCs/>
        </w:rPr>
      </w:pPr>
      <w:r>
        <w:rPr>
          <w:b/>
          <w:bCs/>
          <w:i/>
          <w:iCs/>
          <w:noProof/>
          <w:lang w:eastAsia="en-US"/>
        </w:rPr>
        <w:drawing>
          <wp:inline distT="114300" distB="114300" distL="114300" distR="114300">
            <wp:extent cx="4711700" cy="3981450"/>
            <wp:effectExtent l="12700" t="12700" r="12700" b="12700"/>
            <wp:docPr id="2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l="6197" t="14573" r="4513" b="9921"/>
                    <a:stretch>
                      <a:fillRect/>
                    </a:stretch>
                  </pic:blipFill>
                  <pic:spPr>
                    <a:xfrm>
                      <a:off x="0" y="0"/>
                      <a:ext cx="4711700" cy="3981450"/>
                    </a:xfrm>
                    <a:prstGeom prst="rect">
                      <a:avLst/>
                    </a:prstGeom>
                    <a:ln w="12700">
                      <a:solidFill>
                        <a:srgbClr val="000000"/>
                      </a:solidFill>
                      <a:prstDash val="solid"/>
                    </a:ln>
                  </pic:spPr>
                </pic:pic>
              </a:graphicData>
            </a:graphic>
          </wp:inline>
        </w:drawing>
      </w:r>
    </w:p>
    <w:p w:rsidR="002C2BC8" w:rsidRDefault="00FC2205">
      <w:pPr>
        <w:jc w:val="center"/>
        <w:rPr>
          <w:b/>
          <w:bCs/>
          <w:i/>
          <w:iCs/>
        </w:rPr>
      </w:pPr>
      <w:r>
        <w:rPr>
          <w:b/>
          <w:bCs/>
          <w:i/>
          <w:iCs/>
        </w:rPr>
        <w:t>Figure 5: The Circular Economy</w:t>
      </w:r>
    </w:p>
    <w:p w:rsidR="002C2BC8" w:rsidRDefault="00FC2205">
      <w:pPr>
        <w:jc w:val="center"/>
        <w:rPr>
          <w:b/>
          <w:bCs/>
          <w:i/>
          <w:iCs/>
        </w:rPr>
      </w:pPr>
      <w:r>
        <w:rPr>
          <w:b/>
          <w:bCs/>
          <w:i/>
          <w:iCs/>
        </w:rPr>
        <w:lastRenderedPageBreak/>
        <w:t>Source: (Bio-powder.com, 2023)</w:t>
      </w:r>
    </w:p>
    <w:p w:rsidR="002C2BC8" w:rsidRDefault="00FC2205">
      <w:r>
        <w:t xml:space="preserve">Product-as-a-service and access-based consumption as a strategy for circular transitions is suggested by Hidalgo-Crespo </w:t>
      </w:r>
      <w:r w:rsidR="00596FD4" w:rsidRPr="00596FD4">
        <w:rPr>
          <w:i/>
          <w:iCs/>
        </w:rPr>
        <w:t>et al</w:t>
      </w:r>
      <w:r>
        <w:rPr>
          <w:i/>
          <w:iCs/>
        </w:rPr>
        <w:t xml:space="preserve">. </w:t>
      </w:r>
      <w:r>
        <w:t>(2024) and Baden and Frei (2021). HoweverBressanelli, Saccani and Perona (2022) demonstrate that adoption may be limited by user acceptance and business potential. In addition, coordinated activities within a circular service model are highlighted by Alcayaga and Hansen (2025). CE thus carries environmental reasoning as a driver behind EcoLoop but without evidence on pricing, utilisation and logistics, CE does not have the ability to create commercial viability.</w:t>
      </w:r>
    </w:p>
    <w:p w:rsidR="002C2BC8" w:rsidRDefault="008230A6">
      <w:pPr>
        <w:pStyle w:val="Heading2"/>
      </w:pPr>
      <w:bookmarkStart w:id="35" w:name="_Toc239373342"/>
      <w:r>
        <w:t>3</w:t>
      </w:r>
      <w:r w:rsidR="00FC2205">
        <w:t>.3 Sustainable Business Model Innovation</w:t>
      </w:r>
      <w:bookmarkEnd w:id="35"/>
    </w:p>
    <w:p w:rsidR="002C2BC8" w:rsidRDefault="00FC2205">
      <w:r>
        <w:t>Sustainable Business Model Innovation (SBMI) takes sustainable development into value creation, delivery and capture. The authors of the two papers cited above, as well as the authors of the articles, are convinced that companies need to rethink their business logic, and that other business models can include sustainability. Böttcher</w:t>
      </w:r>
      <w:r w:rsidR="00596FD4" w:rsidRPr="00596FD4">
        <w:rPr>
          <w:i/>
          <w:iCs/>
        </w:rPr>
        <w:t>et al</w:t>
      </w:r>
      <w:r>
        <w:rPr>
          <w:i/>
          <w:iCs/>
        </w:rPr>
        <w:t>.</w:t>
      </w:r>
      <w:r>
        <w:t xml:space="preserve"> (2024) point to digital technology as a facilitator of sustainable business models. </w:t>
      </w:r>
    </w:p>
    <w:p w:rsidR="002C2BC8" w:rsidRDefault="00FC2205">
      <w:pPr>
        <w:jc w:val="center"/>
        <w:rPr>
          <w:b/>
          <w:bCs/>
          <w:i/>
          <w:iCs/>
        </w:rPr>
      </w:pPr>
      <w:r>
        <w:rPr>
          <w:b/>
          <w:bCs/>
          <w:i/>
          <w:iCs/>
          <w:noProof/>
          <w:lang w:eastAsia="en-US"/>
        </w:rPr>
        <w:lastRenderedPageBreak/>
        <w:drawing>
          <wp:inline distT="114300" distB="114300" distL="114300" distR="114300">
            <wp:extent cx="5943600" cy="3987800"/>
            <wp:effectExtent l="12700" t="12700" r="12700" b="12700"/>
            <wp:docPr id="2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943600" cy="3987800"/>
                    </a:xfrm>
                    <a:prstGeom prst="rect">
                      <a:avLst/>
                    </a:prstGeom>
                    <a:ln w="12700">
                      <a:solidFill>
                        <a:srgbClr val="000000"/>
                      </a:solidFill>
                      <a:prstDash val="solid"/>
                    </a:ln>
                  </pic:spPr>
                </pic:pic>
              </a:graphicData>
            </a:graphic>
          </wp:inline>
        </w:drawing>
      </w:r>
    </w:p>
    <w:p w:rsidR="002C2BC8" w:rsidRDefault="00FC2205">
      <w:pPr>
        <w:jc w:val="center"/>
        <w:rPr>
          <w:b/>
          <w:bCs/>
          <w:i/>
          <w:iCs/>
        </w:rPr>
      </w:pPr>
      <w:r>
        <w:rPr>
          <w:b/>
          <w:bCs/>
          <w:i/>
          <w:iCs/>
        </w:rPr>
        <w:t>Figure 6 : A Sustainable Business Model</w:t>
      </w:r>
    </w:p>
    <w:p w:rsidR="002C2BC8" w:rsidRDefault="00FC2205">
      <w:pPr>
        <w:jc w:val="center"/>
        <w:rPr>
          <w:b/>
          <w:bCs/>
          <w:i/>
          <w:iCs/>
        </w:rPr>
      </w:pPr>
      <w:r>
        <w:rPr>
          <w:b/>
          <w:bCs/>
          <w:i/>
          <w:iCs/>
        </w:rPr>
        <w:t>Source: (Briggs, 2023)</w:t>
      </w:r>
    </w:p>
    <w:p w:rsidR="002C2BC8" w:rsidRDefault="00FC2205">
      <w:r>
        <w:t xml:space="preserve">For EcoLoop, SBMI translates to a furniture subscription replacing the one-off furniture sale, maintenance, refurbishment, swapping-out and resale. Poldner, Overdiek and Evangelista (2022), and Su </w:t>
      </w:r>
      <w:r w:rsidR="00596FD4" w:rsidRPr="00596FD4">
        <w:rPr>
          <w:i/>
          <w:iCs/>
        </w:rPr>
        <w:t>et al</w:t>
      </w:r>
      <w:r>
        <w:rPr>
          <w:i/>
          <w:iCs/>
        </w:rPr>
        <w:t xml:space="preserve">. </w:t>
      </w:r>
      <w:r>
        <w:t>(2025) provide examples of how product-service models can drive the change in consumption from ownership to access. However, there could be a rise in the expenses incurred in warehousing, refurbishment, reverse-logistics, and maintenance, as in the case of sustainable innovation. Smiley and Bocken (2022) thus suggest that the ecosystem effects should be taken into account. EcoLoop will be testing the viability of recurring revenue and lifecycle control to overcome the operational complexity.</w:t>
      </w:r>
    </w:p>
    <w:p w:rsidR="00FD1741" w:rsidRDefault="00FD1741">
      <w:pPr>
        <w:pStyle w:val="Heading2"/>
        <w:keepNext w:val="0"/>
        <w:keepLines w:val="0"/>
      </w:pPr>
    </w:p>
    <w:p w:rsidR="002C2BC8" w:rsidRDefault="008230A6">
      <w:pPr>
        <w:pStyle w:val="Heading2"/>
        <w:keepNext w:val="0"/>
        <w:keepLines w:val="0"/>
      </w:pPr>
      <w:bookmarkStart w:id="36" w:name="_Toc239373343"/>
      <w:r>
        <w:lastRenderedPageBreak/>
        <w:t>3</w:t>
      </w:r>
      <w:r w:rsidR="00FC2205">
        <w:t>.4 Strategic Frameworks for Business Development</w:t>
      </w:r>
      <w:bookmarkEnd w:id="36"/>
    </w:p>
    <w:p w:rsidR="002C2BC8" w:rsidRDefault="00FC2205">
      <w:r>
        <w:t>Jobs to be done (JTBD) uncovers customer needs for furnishing, moving in and out, growing and shrinking, and reveals issues with ownership, cleanliness and remanufactured quality. But it is not able to evaluate broader market conditions. PESTLE therefore looks at the external factors which are likely to affect the business and not at competitive strength.</w:t>
      </w:r>
    </w:p>
    <w:p w:rsidR="002C2BC8" w:rsidRDefault="00FC2205">
      <w:r>
        <w:t>Porter's Five Forces are concerned with competitive feasibility, considering competition, buyer power, supplier power, new entrants and substitutes. The price and flexibility expectations are emphasized by Andersen and Kreye (2023) and the availability and warehousing costs are emphasized by Pratiwi</w:t>
      </w:r>
      <w:r w:rsidR="00596FD4" w:rsidRPr="00596FD4">
        <w:rPr>
          <w:i/>
          <w:iCs/>
        </w:rPr>
        <w:t>et al</w:t>
      </w:r>
      <w:r>
        <w:rPr>
          <w:i/>
          <w:iCs/>
        </w:rPr>
        <w:t>.</w:t>
      </w:r>
      <w:r>
        <w:t xml:space="preserve"> (2025). Therefore, Porter is used to seeing if EcoLoop's customer proposition is going to be competitive.</w:t>
      </w:r>
    </w:p>
    <w:p w:rsidR="002C2BC8" w:rsidRDefault="00FC2205">
      <w:r>
        <w:t>The Business Model Canvas (BMC) looks at the operational and financial viability, including the mapping of the partners, activities, resources, costs and revenues. The Value Proposition Canvas (VPC) on the other hand verifies the fit of a value proposition: customer gains and pains, and flexibility, the cost of service and refurbishment, and the reporting of ESG benefits are assessed. Then STP looks at the market focus - priority segments and positioning EcoLoop against alternatives.</w:t>
      </w:r>
    </w:p>
    <w:p w:rsidR="002C2BC8" w:rsidRDefault="00FC2205">
      <w:r>
        <w:t>So, these frameworks are not duplicated analysis, but complementary. JTBD is used to find out what the customer needs, PESTLE is used to study external factors, Porter is used to study competition, VPC is used to assess value fit, BMC is used to study the business-model logic, and STP is used to determine positioning in the target market. When used in combination, these applications allow for a more comprehensive evaluation of EcoLoop across the customer demand, environmental conditions, competitive pressures, value creation, role in the operational design and market positioning, which strengthens the basis for evaluating the overall commercial feasibility.</w:t>
      </w:r>
    </w:p>
    <w:p w:rsidR="002C2BC8" w:rsidRDefault="008230A6">
      <w:pPr>
        <w:pStyle w:val="Heading2"/>
        <w:keepNext w:val="0"/>
        <w:keepLines w:val="0"/>
      </w:pPr>
      <w:bookmarkStart w:id="37" w:name="_Toc239373344"/>
      <w:r>
        <w:t>3</w:t>
      </w:r>
      <w:r w:rsidR="00FC2205">
        <w:t>.5 Synthesis and Research Gap</w:t>
      </w:r>
      <w:bookmarkEnd w:id="37"/>
    </w:p>
    <w:p w:rsidR="002C2BC8" w:rsidRDefault="00FC2205">
      <w:r>
        <w:t xml:space="preserve">Theories supporting circular furniture and sustainable service models are fragmented in the literature, ranging from CE to SBMI, acceptance and strategic analysis. The real question isn't if </w:t>
      </w:r>
      <w:r>
        <w:lastRenderedPageBreak/>
        <w:t>circularity is good or bad, it's whether subscription furniture can be commercially viable in the context of UK office fit-out. The existing evidence is not as well connected as it could be to include market demand, customer value, cost flexibility, refurbishment economics, ESG benefits, competition and regulation. EcoLoop fills this void by integrating CE Theory, SBMI with the principles of JTBD, PESTLE, Porter's Five Forces, BMC and VPC and STP. This holistic process is an analysis of customer issues, external factors, competition, value creation and revenue logic. Most importantly, the frameworks should stimulate, rather than dictate, the outcome: EcoLoop needs to prove that sustainability can be customer value and marketable processes.</w:t>
      </w:r>
    </w:p>
    <w:p w:rsidR="002C2BC8" w:rsidRDefault="008230A6">
      <w:pPr>
        <w:pStyle w:val="Heading1"/>
        <w:keepNext w:val="0"/>
        <w:keepLines w:val="0"/>
      </w:pPr>
      <w:bookmarkStart w:id="38" w:name="_Toc239373345"/>
      <w:r>
        <w:t>4</w:t>
      </w:r>
      <w:r w:rsidR="00FC2205">
        <w:t>. Methodology</w:t>
      </w:r>
      <w:bookmarkEnd w:id="38"/>
    </w:p>
    <w:p w:rsidR="002C2BC8" w:rsidRDefault="008230A6">
      <w:pPr>
        <w:pStyle w:val="Heading2"/>
        <w:keepNext w:val="0"/>
        <w:keepLines w:val="0"/>
      </w:pPr>
      <w:bookmarkStart w:id="39" w:name="_Toc239373346"/>
      <w:r>
        <w:t>4</w:t>
      </w:r>
      <w:r w:rsidR="00FC2205">
        <w:t>.1 Methodological Approach to Opportunity Identification</w:t>
      </w:r>
      <w:bookmarkEnd w:id="39"/>
    </w:p>
    <w:p w:rsidR="002C2BC8" w:rsidRDefault="00FC2205">
      <w:r>
        <w:t>For the methodology, it takes a secondary investigation approach, but in accordance with the approved scope of the EcoLoop Office proposal. They are not conducting surveys, interviews or customer conversations or other research involving human participants, but rather systematically gathering, screening and comparing academic, government and industry evidence. It centres on the UK corporate office furniture, fit-out and refurbishment market and events from 2021 to 2026, with older seminal events kept if required. This is suitable since it is not the aim to obtain primary behavioural data but to evaluate if the product is commercially viable. The opportunity is defined by four related issues: Workplace needs are evolving, Furniture purchasing cost is on the rise, Furniture waste, and Rising ESG expectations.</w:t>
      </w:r>
    </w:p>
    <w:p w:rsidR="002C2BC8" w:rsidRDefault="008230A6">
      <w:pPr>
        <w:pStyle w:val="Heading2"/>
        <w:keepNext w:val="0"/>
        <w:keepLines w:val="0"/>
      </w:pPr>
      <w:bookmarkStart w:id="40" w:name="_Toc239373347"/>
      <w:r>
        <w:t>4</w:t>
      </w:r>
      <w:r w:rsidR="00FC2205">
        <w:t>.2 Market Insight Collection</w:t>
      </w:r>
      <w:bookmarkEnd w:id="40"/>
    </w:p>
    <w:p w:rsidR="002C2BC8" w:rsidRDefault="00FC2205">
      <w:r>
        <w:t xml:space="preserve">The information gathered from the market to create insights is not from the actual customers but from reputable secondary sources. Sources are peer-reviewed journal articles, UK Government publication, Office for National Statistics datasets and industry reports, procurement notices and business sources (Liu </w:t>
      </w:r>
      <w:r w:rsidR="00596FD4" w:rsidRPr="00596FD4">
        <w:rPr>
          <w:i/>
          <w:iCs/>
        </w:rPr>
        <w:t>et al</w:t>
      </w:r>
      <w:r>
        <w:rPr>
          <w:i/>
          <w:iCs/>
        </w:rPr>
        <w:t>.</w:t>
      </w:r>
      <w:r>
        <w:t xml:space="preserve">, 2026). The sources are chosen based on their relevance to the UK furniture market for offices, their approach to circular economy, refurbishment, flexible working, procurement, regulation, competition and sustainability. Evidence is documented by source, </w:t>
      </w:r>
      <w:r>
        <w:lastRenderedPageBreak/>
        <w:t>publication year, market relevance, numerical evidence/implications for EcoLoop Office. This establishes a process that can be replicated to evaluate evidence that is in opposition to the proposal objectives.</w:t>
      </w:r>
    </w:p>
    <w:p w:rsidR="002C2BC8" w:rsidRDefault="00FC2205">
      <w:r>
        <w:t>Importantly, the proposal excludes activities like customer conversations, store visits and mystery shopping, as the design clearly calls for the collection of secondary data and there are no human subjects involved. Competitor benchmarking is therefore carried out on publicly available data on existing providers, such as their service propositions, positioning with regard to circularity, subscription or rental models and customer-facing offerings (Stabler</w:t>
      </w:r>
      <w:r w:rsidR="00596FD4" w:rsidRPr="00596FD4">
        <w:rPr>
          <w:i/>
          <w:iCs/>
        </w:rPr>
        <w:t>et al</w:t>
      </w:r>
      <w:r>
        <w:rPr>
          <w:i/>
          <w:iCs/>
        </w:rPr>
        <w:t>.</w:t>
      </w:r>
      <w:r>
        <w:t>, 2024). This reduces the number of uninformed inferences about competitor performance.</w:t>
      </w:r>
    </w:p>
    <w:p w:rsidR="002C2BC8" w:rsidRDefault="008230A6">
      <w:pPr>
        <w:pStyle w:val="Heading2"/>
        <w:keepNext w:val="0"/>
        <w:keepLines w:val="0"/>
      </w:pPr>
      <w:bookmarkStart w:id="41" w:name="_Toc239373348"/>
      <w:r>
        <w:t>4</w:t>
      </w:r>
      <w:r w:rsidR="00FC2205">
        <w:t>.3 Market Data Gathering</w:t>
      </w:r>
      <w:bookmarkEnd w:id="41"/>
    </w:p>
    <w:p w:rsidR="002C2BC8" w:rsidRDefault="00FC2205">
      <w:r>
        <w:t>The study uses a secondary data collection of quantitative and qualitative types. Examples of quantitative data are market-size estimates, business statistics, patterns of office working, procurement values, public pricing, furniture-waste indicators and demand signals. Academic evidence, Policy statements, Industry commentary, Competitor propositions and documented customer needs. Authoritative data sources (such as ONS and publications by the UK government) are prioritised, with peer reviewed literature and industry evidence used to support this.</w:t>
      </w:r>
    </w:p>
    <w:p w:rsidR="002C2BC8" w:rsidRDefault="00FC2205">
      <w:r>
        <w:t>Data are obtained from searching academic and public and industry sources. The evidence is then organised into the five areas of market demand, customer value, cost, ESG, regulation, competition and operational feasibility (Dauerer, 2025). This classification directly reflects the research objectives and it does not allow irrelevant evidence to affect the business decision.</w:t>
      </w:r>
    </w:p>
    <w:p w:rsidR="008230A6" w:rsidRDefault="008230A6">
      <w:pPr>
        <w:pStyle w:val="Heading2"/>
        <w:keepNext w:val="0"/>
        <w:keepLines w:val="0"/>
      </w:pPr>
    </w:p>
    <w:p w:rsidR="002C2BC8" w:rsidRDefault="008230A6">
      <w:pPr>
        <w:pStyle w:val="Heading2"/>
        <w:keepNext w:val="0"/>
        <w:keepLines w:val="0"/>
      </w:pPr>
      <w:bookmarkStart w:id="42" w:name="_Toc239373349"/>
      <w:r>
        <w:t>4</w:t>
      </w:r>
      <w:r w:rsidR="00FC2205">
        <w:t>.4 Data Analysis</w:t>
      </w:r>
      <w:bookmarkEnd w:id="42"/>
    </w:p>
    <w:p w:rsidR="002C2BC8" w:rsidRDefault="00FC2205">
      <w:r>
        <w:t xml:space="preserve">Analysis is mostly in the thematic and comparative style and not in the statistical hypothesis testing style. Thematic analysis detects comparable themes/patterns in the secondary evidence, such as cost flexibility, adaptability in the workplace, refurbishment, reuse, ESG reporting, </w:t>
      </w:r>
      <w:r>
        <w:lastRenderedPageBreak/>
        <w:t>quality aspects, operational issues. The comparison of ownership versus subscription, new furniture versus refurbished furniture and EcoLoop versus competing and comparable products. No regression analysis is performed as there is no primary respondent dataset in the study, numerical indications are used in a descriptive manner to establish market scale, signals of demand, cost pressure and environmental significance.</w:t>
      </w:r>
    </w:p>
    <w:p w:rsidR="002C2BC8" w:rsidRDefault="00FC2205">
      <w:r>
        <w:t>The evidence is assessed by weighing up the findings in favour of the evidence against it. This is important as sustainability benefits are not quantitative enough to ensure profitability. For instance, while furniture can last longer if they are reused, storage, refitting and maintenance can lead to higher operation costs. The assessment takes into account opportunity strength and risk.</w:t>
      </w:r>
    </w:p>
    <w:p w:rsidR="002C2BC8" w:rsidRDefault="008230A6">
      <w:pPr>
        <w:pStyle w:val="Heading2"/>
        <w:keepNext w:val="0"/>
        <w:keepLines w:val="0"/>
      </w:pPr>
      <w:bookmarkStart w:id="43" w:name="_Toc239373350"/>
      <w:r>
        <w:t>4</w:t>
      </w:r>
      <w:r w:rsidR="00FC2205">
        <w:t>.5 Models and Frameworks</w:t>
      </w:r>
      <w:bookmarkEnd w:id="43"/>
    </w:p>
    <w:p w:rsidR="002C2BC8" w:rsidRDefault="00FC2205">
      <w:r>
        <w:t>The frameworks used in the literature review are used as complimentary analysis tools. Jobs-to-be-Done focuses on real world issues customers need to have addressed, like furniture and moving out, expansion and downsizing (Kalbach</w:t>
      </w:r>
      <w:r w:rsidR="00596FD4" w:rsidRPr="00596FD4">
        <w:rPr>
          <w:i/>
          <w:iCs/>
        </w:rPr>
        <w:t>et al</w:t>
      </w:r>
      <w:r>
        <w:rPr>
          <w:i/>
          <w:iCs/>
        </w:rPr>
        <w:t>.,</w:t>
      </w:r>
      <w:r>
        <w:t xml:space="preserve"> 2024). PESTLE considers political, economic, social, technological, legal and environmental factors impacting the opportunity. Porter's 5 Forces analysis looks at buyer power, supplier power, rivalry, substitutes and entry barriers. The Business Model Canvas visualizes the following elements: partners, activities, resources, value proposition, customer segments, channels, relationships, costs and revenues. The Value Proposition Canvas is used to check if the advantages EcoLoop offers customers meet their jobs, pains and gains. Then, STP transforms the evidence into segments, customer personas and positioning. The theoretical background for the interpretation of the proposed model that will create sustainability and business value is provided by Circular Economy Theory and Sustainable Business Model Innovation. These tools can be combined to allow for triangulation of market, customer, competitive and business-model evidence.</w:t>
      </w:r>
    </w:p>
    <w:p w:rsidR="002C2BC8" w:rsidRDefault="008230A6">
      <w:pPr>
        <w:pStyle w:val="Heading2"/>
        <w:keepNext w:val="0"/>
        <w:keepLines w:val="0"/>
      </w:pPr>
      <w:bookmarkStart w:id="44" w:name="_Toc239373351"/>
      <w:r>
        <w:t>4</w:t>
      </w:r>
      <w:r w:rsidR="00FC2205">
        <w:t>.6 Limitations and Ethical Considerations</w:t>
      </w:r>
      <w:bookmarkEnd w:id="44"/>
    </w:p>
    <w:p w:rsidR="002C2BC8" w:rsidRDefault="00FC2205">
      <w:r>
        <w:t xml:space="preserve">The primary constraint is reliance on secondary information, which can be incomplete, inconsistent and/or commercially sensitive. Commercial estimates may also be less accurate because public pricing and customers' demand data may be inadequate. Competitor claims may </w:t>
      </w:r>
      <w:r>
        <w:lastRenderedPageBreak/>
        <w:t>include promotion bias and datasets may have varying definitions. It is therefore not based on a single data source, but rather findings are triangulated across multiple credible sources (Fu, Nicholson and Easton, 2024).</w:t>
      </w:r>
    </w:p>
    <w:p w:rsidR="002C2BC8" w:rsidRDefault="00FC2205">
      <w:r>
        <w:t>Ethically the study does not involve human beings, personal information and confidential organisational information. Sources are represented accurately, referenced and interpreted without manipulating evidence to support EcoLoop Office. The methodology is transparent and is repeatable and consistent with the secondary-research boundary of the proposal where commercially appropriate.</w:t>
      </w:r>
      <w:r>
        <w:br w:type="page"/>
      </w:r>
    </w:p>
    <w:p w:rsidR="002C2BC8" w:rsidRDefault="008230A6">
      <w:pPr>
        <w:pStyle w:val="Heading1"/>
      </w:pPr>
      <w:bookmarkStart w:id="45" w:name="_heading=h.u0rhiczi2trm" w:colFirst="0" w:colLast="0"/>
      <w:bookmarkStart w:id="46" w:name="_Toc239373352"/>
      <w:bookmarkEnd w:id="45"/>
      <w:r>
        <w:lastRenderedPageBreak/>
        <w:t>Chapter 5</w:t>
      </w:r>
      <w:r w:rsidR="00FC2205">
        <w:t>: Market Opportunity Analysis</w:t>
      </w:r>
      <w:bookmarkEnd w:id="46"/>
    </w:p>
    <w:p w:rsidR="002C2BC8" w:rsidRDefault="008230A6">
      <w:pPr>
        <w:pStyle w:val="Heading2"/>
      </w:pPr>
      <w:bookmarkStart w:id="47" w:name="_heading=h.87tql0lxfwwb" w:colFirst="0" w:colLast="0"/>
      <w:bookmarkStart w:id="48" w:name="_Toc239373353"/>
      <w:bookmarkEnd w:id="47"/>
      <w:r>
        <w:t>5</w:t>
      </w:r>
      <w:r w:rsidR="00FC2205">
        <w:t>.1 Scope and Market Definition</w:t>
      </w:r>
      <w:bookmarkEnd w:id="48"/>
    </w:p>
    <w:p w:rsidR="002C2BC8" w:rsidRDefault="00FC2205">
      <w:r>
        <w:t>EcoLoop Office is a component of the UK B2B office furniture circular economy market, providing furniture on a subscription basis instead of traditional ownership along with delivery services, furniture maintenance, swap-out, take back, refurbishment, re-sale and ESG reporting. The relevant customers are customers who have varying needs in their work area, particularly the customers of SMEs, scale-ups and flexible workspace operators (Zahari</w:t>
      </w:r>
      <w:r w:rsidR="00596FD4" w:rsidRPr="00596FD4">
        <w:rPr>
          <w:i/>
        </w:rPr>
        <w:t>et al</w:t>
      </w:r>
      <w:r>
        <w:t>., 2023). Current evidence has been used for the analysis of the UK market, along with contractual direct distribution channels focusing on B2B distribution arrangements. This is relevant because the office-furniture industry is much bigger than a market that a subscription scheme would possibly be able to penetrate. Thus, this chapter reviews not just the demand for a product, but if the demand is great enough, accessible and commercially viable for the EcoLoop.</w:t>
      </w:r>
    </w:p>
    <w:p w:rsidR="002C2BC8" w:rsidRDefault="008230A6">
      <w:pPr>
        <w:pStyle w:val="Heading2"/>
      </w:pPr>
      <w:bookmarkStart w:id="49" w:name="_heading=h.2txalrhrm7ig" w:colFirst="0" w:colLast="0"/>
      <w:bookmarkStart w:id="50" w:name="_Toc239373354"/>
      <w:bookmarkEnd w:id="49"/>
      <w:r>
        <w:t>5</w:t>
      </w:r>
      <w:r w:rsidR="00FC2205">
        <w:t>.2 Market Size and Growth</w:t>
      </w:r>
      <w:bookmarkEnd w:id="50"/>
    </w:p>
    <w:p w:rsidR="002C2BC8" w:rsidRDefault="00FC2205">
      <w:r>
        <w:t>Boasting a significant customer base of around 2.73 million VAT and/or PAYE businesses (Government of UK, 2025), the UK is home to a significant B2B market. This number should not be taken as a measure of EcoLoop's addressable market, though. Many businesses could actually have a lower likelihood of needing to move their offices, regular furniture layouts, or not be interested in procurement through subscriptions (Ma and Chang, 2024). This definition of the relevant market thus needs to be limited from the overall business sector to those enterprises that are interested in acquiring office furniture, are undergoing establishment or restructuring of the office space, and have a reasonable basis for considering flexibility.</w:t>
      </w:r>
    </w:p>
    <w:p w:rsidR="002C2BC8" w:rsidRDefault="00FC2205">
      <w:r>
        <w:t>There is compelling evidence that around 1.2 million desks and 1.8 million chairs are thrown away every year (Gorecka, 2025), which is supported by the circular opportunity. This points to large amounts of furniture that is available to be reused and refurbished, but does not show a demand for subscription. In fact, furniture waste and furniture demand are two entirely different indicators: the former represents an underused asset pool, the latter a company's demand for breaking the laws of access to furniture. (Pei, Italia and Melazzini, 2024).</w:t>
      </w:r>
    </w:p>
    <w:tbl>
      <w:tblPr>
        <w:tblStyle w:val="a"/>
        <w:tblW w:w="9045" w:type="dxa"/>
        <w:tblInd w:w="0" w:type="dxa"/>
        <w:tblBorders>
          <w:top w:val="nil"/>
          <w:left w:val="nil"/>
          <w:bottom w:val="nil"/>
          <w:right w:val="nil"/>
          <w:insideH w:val="nil"/>
          <w:insideV w:val="nil"/>
        </w:tblBorders>
        <w:tblLayout w:type="fixed"/>
        <w:tblLook w:val="0600"/>
      </w:tblPr>
      <w:tblGrid>
        <w:gridCol w:w="5115"/>
        <w:gridCol w:w="3930"/>
      </w:tblGrid>
      <w:tr w:rsidR="002C2BC8">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lastRenderedPageBreak/>
              <w:t>Market level</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Relevance to EcoLoop</w:t>
            </w:r>
          </w:p>
        </w:tc>
      </w:tr>
      <w:tr w:rsidR="002C2BC8">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Total UK businesses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Broad potential population</w:t>
            </w:r>
          </w:p>
        </w:tc>
      </w:tr>
      <w:tr w:rsidR="002C2BC8">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Businesses with offices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Relevant customer pool</w:t>
            </w:r>
          </w:p>
        </w:tc>
      </w:tr>
      <w:tr w:rsidR="002C2BC8">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Businesses with changing requirements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More realistic potential market</w:t>
            </w:r>
          </w:p>
        </w:tc>
      </w:tr>
      <w:tr w:rsidR="002C2BC8">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Businesses receptive to flexible access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Serviceable market</w:t>
            </w:r>
          </w:p>
        </w:tc>
      </w:tr>
      <w:tr w:rsidR="002C2BC8">
        <w:trPr>
          <w:trHeight w:val="515"/>
        </w:trPr>
        <w:tc>
          <w:tcPr>
            <w:tcW w:w="51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SMEs/scale-ups and flexible workspaces</w:t>
            </w:r>
          </w:p>
        </w:tc>
        <w:tc>
          <w:tcPr>
            <w:tcW w:w="39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Priority initial target</w:t>
            </w:r>
          </w:p>
        </w:tc>
      </w:tr>
    </w:tbl>
    <w:p w:rsidR="002C2BC8" w:rsidRDefault="00FC2205">
      <w:r>
        <w:t>The direction of the market is also not clear. Climate change, changing occupancy, and redesigning offices can drive up the need for flexibility and are an impetus for reusing space through hybrid working. Alternatively, the response can be for organisations to keep existing furniture or reduce space (e.g. through downsizing) or buy modular furniture products (Mokhtar, Xifeng and Wenming, 2025). So overall trends are good in the workplace, which translates to a need for adaptability, but not growth in the particular subscription space. The experience of a single consumer in the office-furniture sector makes it difficult to determine how consumers feel and what they are willing to pay for subscription relationships.</w:t>
      </w:r>
    </w:p>
    <w:p w:rsidR="002C2BC8" w:rsidRDefault="008230A6">
      <w:pPr>
        <w:pStyle w:val="Heading2"/>
      </w:pPr>
      <w:bookmarkStart w:id="51" w:name="_heading=h.r6qib2sanun1" w:colFirst="0" w:colLast="0"/>
      <w:bookmarkStart w:id="52" w:name="_Toc239373355"/>
      <w:bookmarkEnd w:id="51"/>
      <w:r>
        <w:t>5</w:t>
      </w:r>
      <w:r w:rsidR="00FC2205">
        <w:t>.3 Segmentation and Target Customer</w:t>
      </w:r>
      <w:bookmarkEnd w:id="52"/>
    </w:p>
    <w:p w:rsidR="002C2BC8" w:rsidRDefault="00FC2205">
      <w:r>
        <w:t>EcoLoop's segmentation should be based on factors influencing need, affordability, frequency of exchange and willingness to apply flexible procurement; and not be limited to only those businesses that are potential customers. Firmographic features like size and growth rate are especially significant, and behavioural attributes like relocations, expansions, furniture turnover and environmental, social and economic (ESG) considerations for purchasing furniture bear particular relevance for the identification of genuine prospects (Kaluvilla, Mulla and Zahidi, 2025).</w:t>
      </w:r>
    </w:p>
    <w:p w:rsidR="002C2BC8" w:rsidRDefault="00FC2205">
      <w:r>
        <w:lastRenderedPageBreak/>
        <w:t>SMEs and scale-ups are appealing as growing and shrinking cottages/relocating can render ownership relatively inflexible. While some might find this appealing, cost constraints could make it more appealing for them to buy a copy than to subscribe (Amasino, Dolgin and Huettel, 2023). While there are greater purchasing power and ESG benefits from corporate tenants, there are increased challenges regarding procurement and arrangements from suppliers, due to established supplier relationships. Among the various types of flex workplaces, the flexible-workspace operators seem to have greater appeal, as tenants typically move in and out of the flexible workspace, reconfiguring, replacing or relocating the furniture on each occasion (Flexible Workspace, 2015). However, their buying power could also lead to a good negotiating price. Environments where sustainability alignment exists may be less accessible in public-sector organisations as this might require formal procurement.</w:t>
      </w:r>
    </w:p>
    <w:p w:rsidR="002C2BC8" w:rsidRDefault="00FC2205">
      <w:pPr>
        <w:rPr>
          <w:b/>
          <w:bCs/>
        </w:rPr>
      </w:pPr>
      <w:r>
        <w:rPr>
          <w:b/>
          <w:bCs/>
        </w:rPr>
        <w:t>Table. Segmentaion</w:t>
      </w:r>
    </w:p>
    <w:tbl>
      <w:tblPr>
        <w:tblStyle w:val="a0"/>
        <w:tblW w:w="9235" w:type="dxa"/>
        <w:tblInd w:w="0" w:type="dxa"/>
        <w:tblBorders>
          <w:top w:val="nil"/>
          <w:left w:val="nil"/>
          <w:bottom w:val="nil"/>
          <w:right w:val="nil"/>
          <w:insideH w:val="nil"/>
          <w:insideV w:val="nil"/>
        </w:tblBorders>
        <w:tblLayout w:type="fixed"/>
        <w:tblLook w:val="0600"/>
      </w:tblPr>
      <w:tblGrid>
        <w:gridCol w:w="2645"/>
        <w:gridCol w:w="6590"/>
      </w:tblGrid>
      <w:tr w:rsidR="002C2BC8">
        <w:trPr>
          <w:trHeight w:val="800"/>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Segmentation Dimension</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Analysis</w:t>
            </w:r>
          </w:p>
        </w:tc>
      </w:tr>
      <w:tr w:rsidR="002C2BC8">
        <w:trPr>
          <w:trHeight w:val="800"/>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Demographic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SMEs, corporates, flexible-workspace operators and public organisations.</w:t>
            </w:r>
          </w:p>
        </w:tc>
      </w:tr>
      <w:tr w:rsidR="002C2BC8">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Geographic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UK commercial centres with strong office activity.</w:t>
            </w:r>
          </w:p>
        </w:tc>
      </w:tr>
      <w:tr w:rsidR="002C2BC8">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Psychographic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Cost-conscious, flexibility- and sustainability-oriented.</w:t>
            </w:r>
          </w:p>
        </w:tc>
      </w:tr>
      <w:tr w:rsidR="002C2BC8">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Behavioural</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Relocation, expansion, downsizing and refurbishment.</w:t>
            </w:r>
          </w:p>
        </w:tc>
      </w:tr>
      <w:tr w:rsidR="002C2BC8">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Economic</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Varying purchasing capacity and price sensitivity.</w:t>
            </w:r>
          </w:p>
        </w:tc>
      </w:tr>
      <w:tr w:rsidR="002C2BC8">
        <w:trPr>
          <w:trHeight w:val="515"/>
        </w:trPr>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Overall</w:t>
            </w:r>
          </w:p>
        </w:tc>
        <w:tc>
          <w:tcPr>
            <w:tcW w:w="6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Strongest fit: SMEs/scale-ups and flexible workspaces.</w:t>
            </w:r>
          </w:p>
        </w:tc>
      </w:tr>
    </w:tbl>
    <w:p w:rsidR="008230A6" w:rsidRDefault="008230A6">
      <w:pPr>
        <w:spacing w:before="280" w:after="80"/>
        <w:rPr>
          <w:b/>
          <w:bCs/>
        </w:rPr>
      </w:pPr>
    </w:p>
    <w:p w:rsidR="008230A6" w:rsidRDefault="008230A6">
      <w:pPr>
        <w:spacing w:before="280" w:after="80"/>
        <w:rPr>
          <w:b/>
          <w:bCs/>
        </w:rPr>
      </w:pPr>
    </w:p>
    <w:p w:rsidR="002C2BC8" w:rsidRDefault="00FC2205">
      <w:pPr>
        <w:spacing w:before="280" w:after="80"/>
        <w:rPr>
          <w:b/>
          <w:bCs/>
        </w:rPr>
      </w:pPr>
      <w:r>
        <w:rPr>
          <w:b/>
          <w:bCs/>
        </w:rPr>
        <w:lastRenderedPageBreak/>
        <w:t>Table 2. Customer Persona 1</w:t>
      </w:r>
    </w:p>
    <w:sdt>
      <w:sdtPr>
        <w:tag w:val="goog_rdk_0"/>
        <w:id w:val="2077180295"/>
        <w:lock w:val="contentLocked"/>
      </w:sdtPr>
      <w:sdtContent>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2C2BC8">
            <w:tc>
              <w:tcPr>
                <w:tcW w:w="4680" w:type="dxa"/>
                <w:shd w:val="clear" w:color="auto" w:fill="F4CCCC"/>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pPr>
                <w:r>
                  <w:rPr>
                    <w:noProof/>
                    <w:lang w:eastAsia="en-US"/>
                  </w:rPr>
                  <w:drawing>
                    <wp:inline distT="114300" distB="114300" distL="114300" distR="114300">
                      <wp:extent cx="2838450" cy="1892300"/>
                      <wp:effectExtent l="12700" t="12700" r="12700" b="12700"/>
                      <wp:docPr id="1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cstate="print"/>
                              <a:srcRect/>
                              <a:stretch>
                                <a:fillRect/>
                              </a:stretch>
                            </pic:blipFill>
                            <pic:spPr>
                              <a:xfrm>
                                <a:off x="0" y="0"/>
                                <a:ext cx="2838450" cy="1892300"/>
                              </a:xfrm>
                              <a:prstGeom prst="rect">
                                <a:avLst/>
                              </a:prstGeom>
                              <a:ln w="12700">
                                <a:solidFill>
                                  <a:srgbClr val="000000"/>
                                </a:solidFill>
                                <a:prstDash val="solid"/>
                              </a:ln>
                            </pic:spPr>
                          </pic:pic>
                        </a:graphicData>
                      </a:graphic>
                    </wp:inline>
                  </w:drawing>
                </w:r>
              </w:p>
            </w:tc>
            <w:tc>
              <w:tcPr>
                <w:tcW w:w="4680" w:type="dxa"/>
                <w:shd w:val="clear" w:color="auto" w:fill="F4CCCC"/>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pPr>
                <w:r>
                  <w:t>Works for a large company with dynamic growth who have fluctuating office space needs - staff of 80+ He appreciates cost containment, flexibility and convenience, and does not want to buy items of furniture when he understands that he will be able to avoid an excess after expansion or relocation.</w:t>
                </w:r>
              </w:p>
            </w:tc>
          </w:tr>
          <w:tr w:rsidR="002C2BC8">
            <w:tc>
              <w:tcPr>
                <w:tcW w:w="4680" w:type="dxa"/>
                <w:shd w:val="clear" w:color="auto" w:fill="F4CCCC"/>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rPr>
                    <w:b/>
                    <w:bCs/>
                  </w:rPr>
                </w:pPr>
                <w:r>
                  <w:rPr>
                    <w:b/>
                    <w:bCs/>
                  </w:rPr>
                  <w:t>Name: James Wilson</w:t>
                </w:r>
              </w:p>
              <w:p w:rsidR="002C2BC8" w:rsidRDefault="00FC2205">
                <w:pPr>
                  <w:widowControl w:val="0"/>
                  <w:pBdr>
                    <w:top w:val="nil"/>
                    <w:left w:val="nil"/>
                    <w:bottom w:val="nil"/>
                    <w:right w:val="nil"/>
                    <w:between w:val="nil"/>
                  </w:pBdr>
                  <w:spacing w:before="0" w:after="0" w:line="240" w:lineRule="auto"/>
                </w:pPr>
                <w:r>
                  <w:t>Age: 34</w:t>
                </w:r>
              </w:p>
              <w:p w:rsidR="002C2BC8" w:rsidRDefault="00FC2205">
                <w:pPr>
                  <w:widowControl w:val="0"/>
                  <w:pBdr>
                    <w:top w:val="nil"/>
                    <w:left w:val="nil"/>
                    <w:bottom w:val="nil"/>
                    <w:right w:val="nil"/>
                    <w:between w:val="nil"/>
                  </w:pBdr>
                  <w:spacing w:before="0" w:after="0" w:line="240" w:lineRule="auto"/>
                </w:pPr>
                <w:r>
                  <w:t>Location: London</w:t>
                </w:r>
              </w:p>
              <w:p w:rsidR="002C2BC8" w:rsidRDefault="00FC2205">
                <w:pPr>
                  <w:widowControl w:val="0"/>
                  <w:pBdr>
                    <w:top w:val="nil"/>
                    <w:left w:val="nil"/>
                    <w:bottom w:val="nil"/>
                    <w:right w:val="nil"/>
                    <w:between w:val="nil"/>
                  </w:pBdr>
                  <w:spacing w:before="0" w:after="0" w:line="240" w:lineRule="auto"/>
                </w:pPr>
                <w:r>
                  <w:t>Role: Operations Manager – Growth-Stage SME</w:t>
                </w:r>
              </w:p>
            </w:tc>
            <w:tc>
              <w:tcPr>
                <w:tcW w:w="4680" w:type="dxa"/>
                <w:shd w:val="clear" w:color="auto" w:fill="F4CCCC"/>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pPr>
                <w:r>
                  <w:t>Work style</w:t>
                </w:r>
              </w:p>
              <w:p w:rsidR="002C2BC8" w:rsidRDefault="00FC2205">
                <w:pPr>
                  <w:widowControl w:val="0"/>
                  <w:numPr>
                    <w:ilvl w:val="0"/>
                    <w:numId w:val="1"/>
                  </w:numPr>
                  <w:pBdr>
                    <w:top w:val="nil"/>
                    <w:left w:val="nil"/>
                    <w:bottom w:val="nil"/>
                    <w:right w:val="nil"/>
                    <w:between w:val="nil"/>
                  </w:pBdr>
                  <w:spacing w:before="0" w:after="0" w:line="240" w:lineRule="auto"/>
                </w:pPr>
                <w:r>
                  <w:t>Hybrid</w:t>
                </w:r>
              </w:p>
              <w:p w:rsidR="002C2BC8" w:rsidRDefault="00FC2205">
                <w:pPr>
                  <w:widowControl w:val="0"/>
                  <w:numPr>
                    <w:ilvl w:val="0"/>
                    <w:numId w:val="1"/>
                  </w:numPr>
                  <w:pBdr>
                    <w:top w:val="nil"/>
                    <w:left w:val="nil"/>
                    <w:bottom w:val="nil"/>
                    <w:right w:val="nil"/>
                    <w:between w:val="nil"/>
                  </w:pBdr>
                  <w:spacing w:before="0" w:after="0" w:line="240" w:lineRule="auto"/>
                </w:pPr>
                <w:r>
                  <w:t>Rapidly expanding</w:t>
                </w:r>
              </w:p>
            </w:tc>
          </w:tr>
          <w:tr w:rsidR="002C2BC8">
            <w:tc>
              <w:tcPr>
                <w:tcW w:w="4680" w:type="dxa"/>
                <w:shd w:val="clear" w:color="auto" w:fill="F4CCCC"/>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rPr>
                    <w:b/>
                    <w:bCs/>
                  </w:rPr>
                </w:pPr>
                <w:r>
                  <w:rPr>
                    <w:b/>
                    <w:bCs/>
                  </w:rPr>
                  <w:t>Goal</w:t>
                </w:r>
              </w:p>
              <w:p w:rsidR="002C2BC8" w:rsidRDefault="00FC2205">
                <w:pPr>
                  <w:widowControl w:val="0"/>
                  <w:numPr>
                    <w:ilvl w:val="0"/>
                    <w:numId w:val="3"/>
                  </w:numPr>
                  <w:pBdr>
                    <w:top w:val="nil"/>
                    <w:left w:val="nil"/>
                    <w:bottom w:val="nil"/>
                    <w:right w:val="nil"/>
                    <w:between w:val="nil"/>
                  </w:pBdr>
                  <w:spacing w:before="0" w:after="0" w:line="240" w:lineRule="auto"/>
                </w:pPr>
                <w:r>
                  <w:t xml:space="preserve">Reduce upfront furniture expenditure </w:t>
                </w:r>
              </w:p>
            </w:tc>
            <w:tc>
              <w:tcPr>
                <w:tcW w:w="4680" w:type="dxa"/>
                <w:shd w:val="clear" w:color="auto" w:fill="F4CCCC"/>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rPr>
                    <w:b/>
                    <w:bCs/>
                  </w:rPr>
                </w:pPr>
                <w:r>
                  <w:rPr>
                    <w:b/>
                    <w:bCs/>
                  </w:rPr>
                  <w:t>Need</w:t>
                </w:r>
              </w:p>
              <w:p w:rsidR="002C2BC8" w:rsidRDefault="00FC2205">
                <w:pPr>
                  <w:widowControl w:val="0"/>
                  <w:numPr>
                    <w:ilvl w:val="0"/>
                    <w:numId w:val="2"/>
                  </w:numPr>
                  <w:pBdr>
                    <w:top w:val="nil"/>
                    <w:left w:val="nil"/>
                    <w:bottom w:val="nil"/>
                    <w:right w:val="nil"/>
                    <w:between w:val="nil"/>
                  </w:pBdr>
                  <w:spacing w:before="0" w:after="0" w:line="240" w:lineRule="auto"/>
                </w:pPr>
                <w:r>
                  <w:t>Flexible furniture for expansion</w:t>
                </w:r>
              </w:p>
              <w:p w:rsidR="002C2BC8" w:rsidRDefault="00FC2205">
                <w:pPr>
                  <w:widowControl w:val="0"/>
                  <w:numPr>
                    <w:ilvl w:val="0"/>
                    <w:numId w:val="2"/>
                  </w:numPr>
                  <w:pBdr>
                    <w:top w:val="nil"/>
                    <w:left w:val="nil"/>
                    <w:bottom w:val="nil"/>
                    <w:right w:val="nil"/>
                    <w:between w:val="nil"/>
                  </w:pBdr>
                  <w:spacing w:before="0" w:after="0" w:line="240" w:lineRule="auto"/>
                </w:pPr>
                <w:r>
                  <w:t xml:space="preserve">Relocation </w:t>
                </w:r>
              </w:p>
            </w:tc>
          </w:tr>
          <w:tr w:rsidR="002C2BC8">
            <w:trPr>
              <w:trHeight w:val="440"/>
            </w:trPr>
            <w:tc>
              <w:tcPr>
                <w:tcW w:w="9360" w:type="dxa"/>
                <w:gridSpan w:val="2"/>
                <w:shd w:val="clear" w:color="auto" w:fill="D0E0E3"/>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rPr>
                    <w:b/>
                    <w:bCs/>
                  </w:rPr>
                </w:pPr>
                <w:r>
                  <w:rPr>
                    <w:b/>
                    <w:bCs/>
                  </w:rPr>
                  <w:t>Pain points</w:t>
                </w:r>
              </w:p>
              <w:p w:rsidR="002C2BC8" w:rsidRDefault="00FC2205">
                <w:pPr>
                  <w:widowControl w:val="0"/>
                  <w:numPr>
                    <w:ilvl w:val="0"/>
                    <w:numId w:val="4"/>
                  </w:numPr>
                  <w:pBdr>
                    <w:top w:val="nil"/>
                    <w:left w:val="nil"/>
                    <w:bottom w:val="nil"/>
                    <w:right w:val="nil"/>
                    <w:between w:val="nil"/>
                  </w:pBdr>
                  <w:spacing w:before="0" w:after="0" w:line="240" w:lineRule="auto"/>
                </w:pPr>
                <w:r>
                  <w:t>Storage</w:t>
                </w:r>
              </w:p>
              <w:p w:rsidR="002C2BC8" w:rsidRDefault="00FC2205">
                <w:pPr>
                  <w:widowControl w:val="0"/>
                  <w:numPr>
                    <w:ilvl w:val="0"/>
                    <w:numId w:val="4"/>
                  </w:numPr>
                  <w:pBdr>
                    <w:top w:val="nil"/>
                    <w:left w:val="nil"/>
                    <w:bottom w:val="nil"/>
                    <w:right w:val="nil"/>
                    <w:between w:val="nil"/>
                  </w:pBdr>
                  <w:spacing w:before="0" w:after="0" w:line="240" w:lineRule="auto"/>
                </w:pPr>
                <w:r>
                  <w:t>Disposal</w:t>
                </w:r>
              </w:p>
              <w:p w:rsidR="002C2BC8" w:rsidRDefault="00FC2205">
                <w:pPr>
                  <w:widowControl w:val="0"/>
                  <w:numPr>
                    <w:ilvl w:val="0"/>
                    <w:numId w:val="4"/>
                  </w:numPr>
                  <w:pBdr>
                    <w:top w:val="nil"/>
                    <w:left w:val="nil"/>
                    <w:bottom w:val="nil"/>
                    <w:right w:val="nil"/>
                    <w:between w:val="nil"/>
                  </w:pBdr>
                  <w:spacing w:before="0" w:after="0" w:line="240" w:lineRule="auto"/>
                </w:pPr>
                <w:r>
                  <w:t xml:space="preserve">Stranded furniture </w:t>
                </w:r>
              </w:p>
            </w:tc>
          </w:tr>
        </w:tbl>
      </w:sdtContent>
    </w:sdt>
    <w:p w:rsidR="002C2BC8" w:rsidRDefault="00FC2205">
      <w:pPr>
        <w:rPr>
          <w:b/>
          <w:bCs/>
        </w:rPr>
      </w:pPr>
      <w:r>
        <w:rPr>
          <w:b/>
          <w:bCs/>
        </w:rPr>
        <w:t>Table. Customer Persona 2</w:t>
      </w:r>
    </w:p>
    <w:sdt>
      <w:sdtPr>
        <w:tag w:val="goog_rdk_1"/>
        <w:id w:val="373724744"/>
        <w:lock w:val="contentLocked"/>
      </w:sdtPr>
      <w:sdtContent>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2C2BC8">
            <w:tc>
              <w:tcPr>
                <w:tcW w:w="4680" w:type="dxa"/>
                <w:shd w:val="clear" w:color="auto" w:fill="B6D7A8"/>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pPr>
                <w:r>
                  <w:rPr>
                    <w:noProof/>
                    <w:lang w:eastAsia="en-US"/>
                  </w:rPr>
                  <w:drawing>
                    <wp:inline distT="114300" distB="114300" distL="114300" distR="114300">
                      <wp:extent cx="2838450" cy="1892300"/>
                      <wp:effectExtent l="12700" t="12700" r="12700" b="1270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cstate="print"/>
                              <a:srcRect/>
                              <a:stretch>
                                <a:fillRect/>
                              </a:stretch>
                            </pic:blipFill>
                            <pic:spPr>
                              <a:xfrm>
                                <a:off x="0" y="0"/>
                                <a:ext cx="2838450" cy="1892300"/>
                              </a:xfrm>
                              <a:prstGeom prst="rect">
                                <a:avLst/>
                              </a:prstGeom>
                              <a:ln w="12700">
                                <a:solidFill>
                                  <a:srgbClr val="000000"/>
                                </a:solidFill>
                                <a:prstDash val="solid"/>
                              </a:ln>
                            </pic:spPr>
                          </pic:pic>
                        </a:graphicData>
                      </a:graphic>
                    </wp:inline>
                  </w:drawing>
                </w:r>
              </w:p>
            </w:tc>
            <w:tc>
              <w:tcPr>
                <w:tcW w:w="4680" w:type="dxa"/>
                <w:shd w:val="clear" w:color="auto" w:fill="B6D7A8"/>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pPr>
                <w:r>
                  <w:t>Supervises a multi-tenant workspace that is subject to turnover and needs to have furniture often reconfigured and replaced quickly. Chemistry is her key focus, where she values: being available, service reliability, operational flexibility.</w:t>
                </w:r>
              </w:p>
            </w:tc>
          </w:tr>
          <w:tr w:rsidR="002C2BC8">
            <w:tc>
              <w:tcPr>
                <w:tcW w:w="4680" w:type="dxa"/>
                <w:shd w:val="clear" w:color="auto" w:fill="FFE599"/>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rPr>
                    <w:b/>
                    <w:bCs/>
                  </w:rPr>
                </w:pPr>
                <w:r>
                  <w:rPr>
                    <w:b/>
                    <w:bCs/>
                  </w:rPr>
                  <w:t>Name: Sarah Patel</w:t>
                </w:r>
              </w:p>
              <w:p w:rsidR="002C2BC8" w:rsidRDefault="00FC2205">
                <w:pPr>
                  <w:widowControl w:val="0"/>
                  <w:pBdr>
                    <w:top w:val="nil"/>
                    <w:left w:val="nil"/>
                    <w:bottom w:val="nil"/>
                    <w:right w:val="nil"/>
                    <w:between w:val="nil"/>
                  </w:pBdr>
                  <w:spacing w:before="0" w:after="0" w:line="240" w:lineRule="auto"/>
                </w:pPr>
                <w:r>
                  <w:lastRenderedPageBreak/>
                  <w:t>Age: 41</w:t>
                </w:r>
              </w:p>
              <w:p w:rsidR="002C2BC8" w:rsidRDefault="00FC2205">
                <w:pPr>
                  <w:widowControl w:val="0"/>
                  <w:pBdr>
                    <w:top w:val="nil"/>
                    <w:left w:val="nil"/>
                    <w:bottom w:val="nil"/>
                    <w:right w:val="nil"/>
                    <w:between w:val="nil"/>
                  </w:pBdr>
                  <w:spacing w:before="0" w:after="0" w:line="240" w:lineRule="auto"/>
                </w:pPr>
                <w:r>
                  <w:t>Job: Workplace Manager</w:t>
                </w:r>
              </w:p>
              <w:p w:rsidR="002C2BC8" w:rsidRDefault="00FC2205">
                <w:pPr>
                  <w:widowControl w:val="0"/>
                  <w:pBdr>
                    <w:top w:val="nil"/>
                    <w:left w:val="nil"/>
                    <w:bottom w:val="nil"/>
                    <w:right w:val="nil"/>
                    <w:between w:val="nil"/>
                  </w:pBdr>
                  <w:spacing w:before="0" w:after="0" w:line="240" w:lineRule="auto"/>
                </w:pPr>
                <w:r>
                  <w:t>Location: UK</w:t>
                </w:r>
              </w:p>
            </w:tc>
            <w:tc>
              <w:tcPr>
                <w:tcW w:w="4680" w:type="dxa"/>
                <w:shd w:val="clear" w:color="auto" w:fill="B6D7A8"/>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rPr>
                    <w:b/>
                    <w:bCs/>
                  </w:rPr>
                </w:pPr>
                <w:r>
                  <w:rPr>
                    <w:b/>
                    <w:bCs/>
                  </w:rPr>
                  <w:lastRenderedPageBreak/>
                  <w:t>Personality</w:t>
                </w:r>
              </w:p>
              <w:p w:rsidR="002C2BC8" w:rsidRDefault="00FC2205">
                <w:pPr>
                  <w:widowControl w:val="0"/>
                  <w:numPr>
                    <w:ilvl w:val="0"/>
                    <w:numId w:val="6"/>
                  </w:numPr>
                  <w:pBdr>
                    <w:top w:val="nil"/>
                    <w:left w:val="nil"/>
                    <w:bottom w:val="nil"/>
                    <w:right w:val="nil"/>
                    <w:between w:val="nil"/>
                  </w:pBdr>
                  <w:spacing w:before="0" w:after="0" w:line="240" w:lineRule="auto"/>
                </w:pPr>
                <w:r>
                  <w:lastRenderedPageBreak/>
                  <w:t>Adaptability</w:t>
                </w:r>
              </w:p>
              <w:p w:rsidR="002C2BC8" w:rsidRDefault="00FC2205">
                <w:pPr>
                  <w:widowControl w:val="0"/>
                  <w:numPr>
                    <w:ilvl w:val="0"/>
                    <w:numId w:val="6"/>
                  </w:numPr>
                  <w:pBdr>
                    <w:top w:val="nil"/>
                    <w:left w:val="nil"/>
                    <w:bottom w:val="nil"/>
                    <w:right w:val="nil"/>
                    <w:between w:val="nil"/>
                  </w:pBdr>
                  <w:spacing w:before="0" w:after="0" w:line="240" w:lineRule="auto"/>
                </w:pPr>
                <w:r>
                  <w:t>Efficiency-focused</w:t>
                </w:r>
              </w:p>
            </w:tc>
          </w:tr>
          <w:tr w:rsidR="002C2BC8">
            <w:tc>
              <w:tcPr>
                <w:tcW w:w="4680" w:type="dxa"/>
                <w:shd w:val="clear" w:color="auto" w:fill="B6D7A8"/>
                <w:tcMar>
                  <w:top w:w="100" w:type="dxa"/>
                  <w:left w:w="100" w:type="dxa"/>
                  <w:bottom w:w="100" w:type="dxa"/>
                  <w:right w:w="100" w:type="dxa"/>
                </w:tcMar>
              </w:tcPr>
              <w:p w:rsidR="002C2BC8" w:rsidRDefault="00FC2205">
                <w:pPr>
                  <w:widowControl w:val="0"/>
                  <w:pBdr>
                    <w:top w:val="nil"/>
                    <w:left w:val="nil"/>
                    <w:bottom w:val="nil"/>
                    <w:right w:val="nil"/>
                    <w:between w:val="nil"/>
                  </w:pBdr>
                  <w:spacing w:before="0" w:after="0" w:line="240" w:lineRule="auto"/>
                  <w:rPr>
                    <w:b/>
                    <w:bCs/>
                  </w:rPr>
                </w:pPr>
                <w:r>
                  <w:rPr>
                    <w:b/>
                    <w:bCs/>
                  </w:rPr>
                  <w:lastRenderedPageBreak/>
                  <w:t>Goal</w:t>
                </w:r>
              </w:p>
              <w:p w:rsidR="002C2BC8" w:rsidRDefault="00FC2205">
                <w:pPr>
                  <w:widowControl w:val="0"/>
                  <w:numPr>
                    <w:ilvl w:val="0"/>
                    <w:numId w:val="5"/>
                  </w:numPr>
                  <w:pBdr>
                    <w:top w:val="nil"/>
                    <w:left w:val="nil"/>
                    <w:bottom w:val="nil"/>
                    <w:right w:val="nil"/>
                    <w:between w:val="nil"/>
                  </w:pBdr>
                  <w:spacing w:before="0" w:after="0" w:line="240" w:lineRule="auto"/>
                </w:pPr>
                <w:r>
                  <w:t>Reconfigure workspaces quickly</w:t>
                </w:r>
              </w:p>
            </w:tc>
            <w:tc>
              <w:tcPr>
                <w:tcW w:w="4680" w:type="dxa"/>
                <w:shd w:val="clear" w:color="auto" w:fill="FFE599"/>
                <w:tcMar>
                  <w:top w:w="100" w:type="dxa"/>
                  <w:left w:w="100" w:type="dxa"/>
                  <w:bottom w:w="100" w:type="dxa"/>
                  <w:right w:w="100" w:type="dxa"/>
                </w:tcMar>
              </w:tcPr>
              <w:p w:rsidR="002C2BC8" w:rsidRDefault="00FC2205">
                <w:pPr>
                  <w:widowControl w:val="0"/>
                  <w:spacing w:before="0" w:after="0" w:line="240" w:lineRule="auto"/>
                  <w:rPr>
                    <w:b/>
                    <w:bCs/>
                  </w:rPr>
                </w:pPr>
                <w:r>
                  <w:rPr>
                    <w:b/>
                    <w:bCs/>
                  </w:rPr>
                  <w:t>Need</w:t>
                </w:r>
              </w:p>
              <w:p w:rsidR="002C2BC8" w:rsidRDefault="00FC2205">
                <w:pPr>
                  <w:widowControl w:val="0"/>
                  <w:numPr>
                    <w:ilvl w:val="0"/>
                    <w:numId w:val="8"/>
                  </w:numPr>
                  <w:spacing w:before="0" w:after="0" w:line="240" w:lineRule="auto"/>
                </w:pPr>
                <w:r>
                  <w:t>Reliable furniture availability</w:t>
                </w:r>
              </w:p>
              <w:p w:rsidR="002C2BC8" w:rsidRDefault="00FC2205">
                <w:pPr>
                  <w:widowControl w:val="0"/>
                  <w:numPr>
                    <w:ilvl w:val="0"/>
                    <w:numId w:val="8"/>
                  </w:numPr>
                  <w:spacing w:before="0" w:after="0" w:line="240" w:lineRule="auto"/>
                </w:pPr>
                <w:r>
                  <w:t>Replacement</w:t>
                </w:r>
              </w:p>
            </w:tc>
          </w:tr>
          <w:tr w:rsidR="002C2BC8">
            <w:trPr>
              <w:trHeight w:val="440"/>
            </w:trPr>
            <w:tc>
              <w:tcPr>
                <w:tcW w:w="9360" w:type="dxa"/>
                <w:gridSpan w:val="2"/>
                <w:shd w:val="clear" w:color="auto" w:fill="B6D7A8"/>
                <w:tcMar>
                  <w:top w:w="100" w:type="dxa"/>
                  <w:left w:w="100" w:type="dxa"/>
                  <w:bottom w:w="100" w:type="dxa"/>
                  <w:right w:w="100" w:type="dxa"/>
                </w:tcMar>
              </w:tcPr>
              <w:p w:rsidR="002C2BC8" w:rsidRDefault="00FC2205">
                <w:pPr>
                  <w:widowControl w:val="0"/>
                  <w:spacing w:before="0" w:after="0" w:line="240" w:lineRule="auto"/>
                  <w:rPr>
                    <w:b/>
                    <w:bCs/>
                  </w:rPr>
                </w:pPr>
                <w:r>
                  <w:rPr>
                    <w:b/>
                    <w:bCs/>
                  </w:rPr>
                  <w:t>Pain points</w:t>
                </w:r>
              </w:p>
              <w:p w:rsidR="002C2BC8" w:rsidRDefault="00FC2205">
                <w:pPr>
                  <w:widowControl w:val="0"/>
                  <w:numPr>
                    <w:ilvl w:val="0"/>
                    <w:numId w:val="7"/>
                  </w:numPr>
                  <w:spacing w:before="0" w:after="0" w:line="240" w:lineRule="auto"/>
                </w:pPr>
                <w:r>
                  <w:t>Turnover</w:t>
                </w:r>
              </w:p>
              <w:p w:rsidR="002C2BC8" w:rsidRDefault="00FC2205">
                <w:pPr>
                  <w:widowControl w:val="0"/>
                  <w:numPr>
                    <w:ilvl w:val="0"/>
                    <w:numId w:val="7"/>
                  </w:numPr>
                  <w:spacing w:before="0" w:after="0" w:line="240" w:lineRule="auto"/>
                </w:pPr>
                <w:r>
                  <w:t>Storage</w:t>
                </w:r>
              </w:p>
              <w:p w:rsidR="002C2BC8" w:rsidRDefault="00FC2205">
                <w:pPr>
                  <w:widowControl w:val="0"/>
                  <w:numPr>
                    <w:ilvl w:val="0"/>
                    <w:numId w:val="7"/>
                  </w:numPr>
                  <w:spacing w:before="0" w:after="0" w:line="240" w:lineRule="auto"/>
                </w:pPr>
                <w:r>
                  <w:t>Downtime</w:t>
                </w:r>
              </w:p>
            </w:tc>
          </w:tr>
        </w:tbl>
      </w:sdtContent>
    </w:sdt>
    <w:p w:rsidR="002C2BC8" w:rsidRDefault="008230A6">
      <w:pPr>
        <w:pStyle w:val="Heading2"/>
        <w:keepNext w:val="0"/>
        <w:keepLines w:val="0"/>
      </w:pPr>
      <w:bookmarkStart w:id="53" w:name="_heading=h.mmdptskjzc7z" w:colFirst="0" w:colLast="0"/>
      <w:bookmarkStart w:id="54" w:name="_Toc239373356"/>
      <w:bookmarkEnd w:id="53"/>
      <w:r>
        <w:t>5</w:t>
      </w:r>
      <w:r w:rsidR="00FC2205">
        <w:t>.4 Pain Points, Unmet Needs and Demand</w:t>
      </w:r>
      <w:bookmarkEnd w:id="54"/>
    </w:p>
    <w:p w:rsidR="002C2BC8" w:rsidRDefault="00FC2205">
      <w:r>
        <w:t>The primary problem is that office furniture is costly, but office furniture that fits that office's needs is a problem that's inefficiently solved by ownership. In the event of relocation, expansion, downsizing and refurbishment, organisations may have surplus separation and disposal responsibilities, storage costs (Öngel, Gonçalves and da Silva, 2025) and assets to manage and maintain. One method of overcoming this rigidity with EcoLoop is by implementing a subscription service, second-life use and swapping out batteries, and take-back. All of these problems, though, do not create demand for EcoLoop's solution.</w:t>
      </w:r>
    </w:p>
    <w:p w:rsidR="002C2BC8" w:rsidRDefault="00FC2205">
      <w:r>
        <w:t>Customers are also provided with an option to buy assets (new or second-hand), rent assets, own existing assets or repair existing assets. This can be beneficial if these options appear more familiar, more controlled or have perceived less risk. Likewise, hybrid work might require more flexibility in the workplace, and correspondingly, companies may need to cut down on office space and not subscribe to furniture (Alfieri, Mariotti and Rossi 2025). The preferences for sustainability don't necessarily take precedence over issues of quality, ownership, and long-term cost.</w:t>
      </w:r>
    </w:p>
    <w:p w:rsidR="002C2BC8" w:rsidRDefault="00FC2205">
      <w:r>
        <w:t xml:space="preserve">Thus, there is likely to be a difference in demand depending on how often furniture is being changed, how price sensitive, the switching costs, and the perceived risk. The advantage of subscription is greater when organisations are required to frequently reconfigure their furniture arrangements, as well as have limited capital. On the other hand, owning furniture may be </w:t>
      </w:r>
      <w:r>
        <w:lastRenderedPageBreak/>
        <w:t>advantageous for organisations in which furniture is expected to last for a long time (Pourrahimian</w:t>
      </w:r>
      <w:r w:rsidR="00596FD4" w:rsidRPr="00596FD4">
        <w:rPr>
          <w:i/>
        </w:rPr>
        <w:t>et al</w:t>
      </w:r>
      <w:r>
        <w:t>., 2026). The limiting factor is willingness to pay. Without primary evidence from the customers, they can only be potential customers; actual purchasing behaviour cannot be determined. Thus, EcoLoop has found a valid unmet opportunity, which has yet to be validated in terms of commercial need.</w:t>
      </w:r>
    </w:p>
    <w:p w:rsidR="002C2BC8" w:rsidRDefault="008230A6">
      <w:pPr>
        <w:pStyle w:val="Heading2"/>
      </w:pPr>
      <w:bookmarkStart w:id="55" w:name="_heading=h.ycd53uyptxw" w:colFirst="0" w:colLast="0"/>
      <w:bookmarkStart w:id="56" w:name="_Toc239373357"/>
      <w:bookmarkEnd w:id="55"/>
      <w:r>
        <w:t>5</w:t>
      </w:r>
      <w:r w:rsidR="00FC2205">
        <w:t>.5 Economic and Geographic Conditions</w:t>
      </w:r>
      <w:bookmarkEnd w:id="56"/>
    </w:p>
    <w:p w:rsidR="002C2BC8" w:rsidRDefault="00FC2205">
      <w:r>
        <w:t>Economic conditions are counterintuitive for EcoLoop. It can be favourable to avoid heavy initial investment as the cost of fit-out and procurement of office furniture can be high. Subscription can also help in terms of predictability of expenditures and lower financial risk of adaptive response to the changing needs in the work environment (Markiewicz and Ziobrowska-Sztuczka, 2026). However, regular repayments are an agreement which may cost more than owning in the long term.</w:t>
      </w:r>
    </w:p>
    <w:p w:rsidR="002C2BC8" w:rsidRDefault="00FC2205">
      <w:r>
        <w:t>This tension exists due to inflation too. This may lead to a higher awareness of furniture costs and procurement costs, which can enhance refurbishment and cost-flexible methods, but can also eat into businesses' budgets. SMEs might appreciate flexibility and may therefore delay the expenditure, or even make no expenses. Likewise, higher financing rates can make it less attractive to have a large investment, but it doesn't necessarily mean that people will opt for subscriptions (Elarabi and Khalifa, 2025).</w:t>
      </w:r>
    </w:p>
    <w:tbl>
      <w:tblPr>
        <w:tblStyle w:val="a3"/>
        <w:tblW w:w="9210" w:type="dxa"/>
        <w:tblInd w:w="0" w:type="dxa"/>
        <w:tblBorders>
          <w:top w:val="nil"/>
          <w:left w:val="nil"/>
          <w:bottom w:val="nil"/>
          <w:right w:val="nil"/>
          <w:insideH w:val="nil"/>
          <w:insideV w:val="nil"/>
        </w:tblBorders>
        <w:tblLayout w:type="fixed"/>
        <w:tblLook w:val="0600"/>
      </w:tblPr>
      <w:tblGrid>
        <w:gridCol w:w="2565"/>
        <w:gridCol w:w="3360"/>
        <w:gridCol w:w="3285"/>
      </w:tblGrid>
      <w:tr w:rsidR="002C2BC8">
        <w:trPr>
          <w:trHeight w:val="515"/>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Economic condition</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Potential opportunity</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Counter-effect</w:t>
            </w:r>
          </w:p>
        </w:tc>
      </w:tr>
      <w:tr w:rsidR="002C2BC8">
        <w:trPr>
          <w:trHeight w:val="515"/>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Inflation</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Greater interest in reuse</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Lower business budgets</w:t>
            </w:r>
          </w:p>
        </w:tc>
      </w:tr>
      <w:tr w:rsidR="002C2BC8">
        <w:trPr>
          <w:trHeight w:val="515"/>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High fit-out costs</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Lower upfront commitment</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Investment postponement</w:t>
            </w:r>
          </w:p>
        </w:tc>
      </w:tr>
      <w:tr w:rsidR="002C2BC8">
        <w:trPr>
          <w:trHeight w:val="515"/>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Financing pressure</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Access instead of ownership</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Recurring payments remain</w:t>
            </w:r>
          </w:p>
        </w:tc>
      </w:tr>
      <w:tr w:rsidR="002C2BC8">
        <w:trPr>
          <w:trHeight w:val="515"/>
        </w:trPr>
        <w:tc>
          <w:tcPr>
            <w:tcW w:w="2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Business uncertainty</w:t>
            </w:r>
          </w:p>
        </w:tc>
        <w:tc>
          <w:tcPr>
            <w:tcW w:w="33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Greater value of flexibility</w:t>
            </w:r>
          </w:p>
        </w:tc>
        <w:tc>
          <w:tcPr>
            <w:tcW w:w="3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Lower overall spending</w:t>
            </w:r>
          </w:p>
        </w:tc>
      </w:tr>
    </w:tbl>
    <w:p w:rsidR="002C2BC8" w:rsidRDefault="00FC2205">
      <w:r>
        <w:lastRenderedPageBreak/>
        <w:t>As a geographical viewpoint, EcoLoop should target geographical areas where there is a high density of businesses, which have a significant amount of office activities as well as practical facility access. Working out of the main commercial hubs and London might have more demand as the value of flexibility also rises due to workplace costs, and more organisations are complex. But the attribute of geographical attractiveness is to be balanced with delivery/collection costs, storage and refurbishment costs (Mohri</w:t>
      </w:r>
      <w:r w:rsidR="00596FD4" w:rsidRPr="00596FD4">
        <w:rPr>
          <w:i/>
        </w:rPr>
        <w:t>et al</w:t>
      </w:r>
      <w:r>
        <w:t>., 2024) Although geographically dense markets may yield greater demand, poor margins can also result when there are high reverse logistics costs. As a result, in addition to influencing customer acquisition, geography plays a role in the economics of the circular model as well.</w:t>
      </w:r>
    </w:p>
    <w:p w:rsidR="002C2BC8" w:rsidRDefault="008230A6">
      <w:pPr>
        <w:pStyle w:val="Heading2"/>
      </w:pPr>
      <w:bookmarkStart w:id="57" w:name="_heading=h.gv1vogf10whr" w:colFirst="0" w:colLast="0"/>
      <w:bookmarkStart w:id="58" w:name="_Toc239373358"/>
      <w:bookmarkEnd w:id="57"/>
      <w:r>
        <w:t>5</w:t>
      </w:r>
      <w:r w:rsidR="00FC2205">
        <w:t>.6 Research Findings and Opportunity Synthesis</w:t>
      </w:r>
      <w:bookmarkEnd w:id="58"/>
    </w:p>
    <w:p w:rsidR="002C2BC8" w:rsidRDefault="00FC2205">
      <w:r>
        <w:t>There is evidence that there may be a commercially attractive market opportunity for Weben, although it is not an established high-growth market.</w:t>
      </w:r>
    </w:p>
    <w:tbl>
      <w:tblPr>
        <w:tblStyle w:val="a4"/>
        <w:tblW w:w="9360" w:type="dxa"/>
        <w:tblInd w:w="0" w:type="dxa"/>
        <w:tblBorders>
          <w:top w:val="nil"/>
          <w:left w:val="nil"/>
          <w:bottom w:val="nil"/>
          <w:right w:val="nil"/>
          <w:insideH w:val="nil"/>
          <w:insideV w:val="nil"/>
        </w:tblBorders>
        <w:tblLayout w:type="fixed"/>
        <w:tblLook w:val="0600"/>
      </w:tblPr>
      <w:tblGrid>
        <w:gridCol w:w="2103"/>
        <w:gridCol w:w="1775"/>
        <w:gridCol w:w="5482"/>
      </w:tblGrid>
      <w:tr w:rsidR="002C2BC8">
        <w:trPr>
          <w:trHeight w:val="515"/>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Criterion</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Assessment</w:t>
            </w:r>
          </w:p>
        </w:tc>
        <w:tc>
          <w:tcPr>
            <w:tcW w:w="54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Critical judgement</w:t>
            </w:r>
          </w:p>
        </w:tc>
      </w:tr>
      <w:tr w:rsidR="002C2BC8">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Need strength</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Strong</w:t>
            </w:r>
          </w:p>
        </w:tc>
        <w:tc>
          <w:tcPr>
            <w:tcW w:w="54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Change in the workplace and surplus furniture are real issues</w:t>
            </w:r>
          </w:p>
        </w:tc>
      </w:tr>
      <w:tr w:rsidR="002C2BC8">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Market scale</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Strong</w:t>
            </w:r>
          </w:p>
        </w:tc>
        <w:tc>
          <w:tcPr>
            <w:tcW w:w="54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A lot of lines for B2B – but half of them are not realistic numbers that can be targeted.</w:t>
            </w:r>
          </w:p>
        </w:tc>
      </w:tr>
      <w:tr w:rsidR="002C2BC8">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Target accessibility</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Moderate–Strong</w:t>
            </w:r>
          </w:p>
        </w:tc>
        <w:tc>
          <w:tcPr>
            <w:tcW w:w="54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It is beneficial to SMEs and flexible spaces, but needs to be validated.</w:t>
            </w:r>
          </w:p>
        </w:tc>
      </w:tr>
      <w:tr w:rsidR="002C2BC8">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Demand quality</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Moderate</w:t>
            </w:r>
          </w:p>
        </w:tc>
        <w:tc>
          <w:tcPr>
            <w:tcW w:w="54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There is a need, but it is not clear if it will be adopted in a subscription.</w:t>
            </w:r>
          </w:p>
        </w:tc>
      </w:tr>
      <w:tr w:rsidR="002C2BC8">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Economic resilience</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Moderate</w:t>
            </w:r>
          </w:p>
        </w:tc>
        <w:tc>
          <w:tcPr>
            <w:tcW w:w="54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Fewer will be able to afford as much flexibility as before, and budgets will shrink.</w:t>
            </w:r>
          </w:p>
        </w:tc>
      </w:tr>
      <w:tr w:rsidR="002C2BC8">
        <w:trPr>
          <w:trHeight w:val="800"/>
        </w:trPr>
        <w:tc>
          <w:tcPr>
            <w:tcW w:w="2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lastRenderedPageBreak/>
              <w:t>Evidence confidence</w:t>
            </w:r>
          </w:p>
        </w:tc>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Moderate</w:t>
            </w:r>
          </w:p>
        </w:tc>
        <w:tc>
          <w:tcPr>
            <w:tcW w:w="54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Customer willingness is untried and customer usefulness is helpful.</w:t>
            </w:r>
          </w:p>
        </w:tc>
      </w:tr>
    </w:tbl>
    <w:p w:rsidR="002C2BC8" w:rsidRDefault="00FC2205">
      <w:r>
        <w:t>Put simply, the synergy of hybrid working, evolving space needs, waste from office furniture, sustainability considerations and a need for multi-functionality and working capital freedom enhance EcoLoop's value. Those are elements which create retail conditions, but do not ensure sales. The biggest ambiguities are those of willingness to pay, customer switching, customer retention, acceptance of refurbished furniture, and reverse logistics costs.</w:t>
      </w:r>
    </w:p>
    <w:p w:rsidR="002C2BC8" w:rsidRDefault="00FC2205">
      <w:r>
        <w:t>This is because the opportunity is best realised when there are customers who undergo changes in their workplace/practice, or high furniture turnover, and SMEs/scale-ups as well as operators of flexible workspaces seem to be ideal first players (Hokmabadi, Rezvani and de Matos, 2024). A subscription pricing-controlled pilot needs to be performed before scaling out, assessing asset utilisation, customer retention and refurbishment costs, and evaluating collection economics (Kowalkowski and Ulaga, 2024). This would make the existing hypothesis on the opportunity hypothesis "evidence-based" into "commercial evidence. The final result on the other hand, is a conditional one, as EcoLoop also provides solutions to potentially valid market issues, and will need to be shown to deliver the value of flexibility to customers at a profitable price. But with no primary research sources, the willingness to pay is yet unknown and pricey forecasts for subscription and switching rates are accepted. This reduces the certainty in the ability of market attractiveness to be translated into commercial forecasts. It is also essential that the proposed circular model can be shown to increase the marginal costs of collection, storage, refurbishment, and re-distribution without causing the subscription revenues to decline.</w:t>
      </w:r>
    </w:p>
    <w:p w:rsidR="002C2BC8" w:rsidRDefault="008230A6">
      <w:pPr>
        <w:pStyle w:val="Heading1"/>
      </w:pPr>
      <w:bookmarkStart w:id="59" w:name="_heading=h.usnfr23we6nm" w:colFirst="0" w:colLast="0"/>
      <w:bookmarkStart w:id="60" w:name="_Toc239373359"/>
      <w:bookmarkEnd w:id="59"/>
      <w:r>
        <w:t>Chapter 6</w:t>
      </w:r>
      <w:r w:rsidR="00FC2205">
        <w:t>: Competitive Environment Analysis</w:t>
      </w:r>
      <w:bookmarkEnd w:id="60"/>
    </w:p>
    <w:p w:rsidR="002C2BC8" w:rsidRDefault="008230A6">
      <w:pPr>
        <w:pStyle w:val="Heading2"/>
        <w:keepNext w:val="0"/>
        <w:keepLines w:val="0"/>
      </w:pPr>
      <w:bookmarkStart w:id="61" w:name="_heading=h.5thj80i70ung" w:colFirst="0" w:colLast="0"/>
      <w:bookmarkStart w:id="62" w:name="_Toc239373360"/>
      <w:bookmarkEnd w:id="61"/>
      <w:r>
        <w:t>6</w:t>
      </w:r>
      <w:r w:rsidR="00FC2205">
        <w:t>.1 Scope, Frameworks and Competitive Set</w:t>
      </w:r>
      <w:bookmarkEnd w:id="62"/>
    </w:p>
    <w:p w:rsidR="002C2BC8" w:rsidRDefault="00FC2205">
      <w:r>
        <w:t xml:space="preserve">While the UK-based EcoLoop is active in the corporate office furniture/workplace solutions market, the challenge it faces is not just from traditional office furniture suppliers. The requirements can be met in the same way by another party through ownership, refurbishment, </w:t>
      </w:r>
      <w:r>
        <w:lastRenderedPageBreak/>
        <w:t>letting, repairs, and retaining the assets (Dao, Cooper and Watkins, 2026). But it is not only on the product availability that a competition will be conducted; it also relies on price/value, flexibility, quality, reliability, ease of use and sustainability. Traditional furniture vendors are best known for furniture ownership-based requirements, whereas refurbished, hire and circular providers make better business model comparisons. The substitutes are existing furniture or those who fix/alter the old furniture, while established suppliers that are coming into the furniture-as-service model are potential entrants. As per the research methodology, analysis of the competitors is then done through positioning and key success factors and then through Porter's five forces and PESTLE.</w:t>
      </w:r>
    </w:p>
    <w:p w:rsidR="002C2BC8" w:rsidRDefault="008230A6">
      <w:pPr>
        <w:pStyle w:val="Heading2"/>
      </w:pPr>
      <w:bookmarkStart w:id="63" w:name="_heading=h.2iieftkyawjg" w:colFirst="0" w:colLast="0"/>
      <w:bookmarkStart w:id="64" w:name="_Toc239373361"/>
      <w:bookmarkEnd w:id="63"/>
      <w:r>
        <w:t>6</w:t>
      </w:r>
      <w:r w:rsidR="00FC2205">
        <w:t>.2 Key Success Factors</w:t>
      </w:r>
      <w:bookmarkEnd w:id="64"/>
    </w:p>
    <w:p w:rsidR="002C2BC8" w:rsidRDefault="00FC2205">
      <w:r>
        <w:t>Service reliability and availability are more important to EcoLoop than it is to traditional ownership models, as the customer relies on the service provider for delivery, installation, maintenance, and replacement. Traditional suppliers can provide more robust service structures while EcoLoop's service structure needs to be demonstrated as equally strong in a more complicated lifecycle model.</w:t>
      </w:r>
    </w:p>
    <w:p w:rsidR="002C2BC8" w:rsidRDefault="00FC2205">
      <w:r>
        <w:t xml:space="preserve">Another key consideration is price – value performance. Both conventional and EcoLoop buying have their advantages and disadvantages, with conventional putting in more money up front but yielding ownership, and EcoLoop saving money in the long run but committing to less ownership. Hence, subscription revenues need to exhibit an outstanding life cycle value, not just high upfront revenues (Liu </w:t>
      </w:r>
      <w:r w:rsidR="00596FD4" w:rsidRPr="00596FD4">
        <w:rPr>
          <w:i/>
        </w:rPr>
        <w:t>et al</w:t>
      </w:r>
      <w:r>
        <w:t>., 2025).</w:t>
      </w:r>
    </w:p>
    <w:p w:rsidR="002C2BC8" w:rsidRDefault="00FC2205">
      <w:r>
        <w:t>Circular and refurbishment capability could be one of the indications of the difference between circular and linear providers. Take-back, reuse, refurbishment and resale increase the value of the asset; however, quality and hygiene as well as durability are expectations for refurbished furniture. Despite the fact that there are communication companies that achieve remarkable sustainability results, their weak product performance may not be enough to offset it (p. 410, Pérez-Sánchez, Velasco-Fernández and Giampietro, 2022).</w:t>
      </w:r>
    </w:p>
    <w:p w:rsidR="002C2BC8" w:rsidRDefault="00FC2205">
      <w:r>
        <w:lastRenderedPageBreak/>
        <w:t>Access to improved operating efficiency can make a profit. Storage, reverse logistics, maintenance and inventory can be potential threats to EcoLoop's recurring revenue. While conventional suppliers have an advantage in their one-way business, companies have an advantage in terms of reaching high asset utilisation values necessary to make circularity commercially viable (Kudrenko</w:t>
      </w:r>
      <w:r w:rsidR="00596FD4" w:rsidRPr="00596FD4">
        <w:rPr>
          <w:i/>
        </w:rPr>
        <w:t>et al</w:t>
      </w:r>
      <w:r>
        <w:t>., 2025). The research specifies some key conditions such as logistics, utilisation quality and refurbishment quality.</w:t>
      </w:r>
    </w:p>
    <w:p w:rsidR="002C2BC8" w:rsidRDefault="00FC2205">
      <w:r>
        <w:t>Last but not least, trust and the credibility of ESG. EcoLoop has the potential to provide more than just potential systems; it can provide measurable reuse and ESG reporting, unlike suppliers that may not have as integrated sustainability information. However, the claims do only make the cut when backed up by clear-cut proof.</w:t>
      </w:r>
    </w:p>
    <w:p w:rsidR="002C2BC8" w:rsidRDefault="008230A6">
      <w:pPr>
        <w:pStyle w:val="Heading2"/>
        <w:keepNext w:val="0"/>
        <w:keepLines w:val="0"/>
        <w:spacing w:before="360"/>
      </w:pPr>
      <w:bookmarkStart w:id="65" w:name="_heading=h.g7i55534ku4t" w:colFirst="0" w:colLast="0"/>
      <w:bookmarkStart w:id="66" w:name="_Toc239373362"/>
      <w:bookmarkEnd w:id="65"/>
      <w:r>
        <w:t>6</w:t>
      </w:r>
      <w:r w:rsidR="00FC2205">
        <w:t>.3 Main Competitors and Positioning</w:t>
      </w:r>
      <w:bookmarkEnd w:id="66"/>
    </w:p>
    <w:p w:rsidR="002C2BC8" w:rsidRDefault="008230A6">
      <w:pPr>
        <w:pStyle w:val="Heading3"/>
      </w:pPr>
      <w:bookmarkStart w:id="67" w:name="_heading=h.6iazy6smaul3" w:colFirst="0" w:colLast="0"/>
      <w:bookmarkStart w:id="68" w:name="_Toc239373363"/>
      <w:bookmarkEnd w:id="67"/>
      <w:r>
        <w:t>6</w:t>
      </w:r>
      <w:r w:rsidR="00FC2205">
        <w:t>.3.1 Competitor Analysis</w:t>
      </w:r>
      <w:bookmarkEnd w:id="68"/>
    </w:p>
    <w:tbl>
      <w:tblPr>
        <w:tblStyle w:val="a5"/>
        <w:tblW w:w="9360" w:type="dxa"/>
        <w:tblInd w:w="0" w:type="dxa"/>
        <w:tblBorders>
          <w:top w:val="nil"/>
          <w:left w:val="nil"/>
          <w:bottom w:val="nil"/>
          <w:right w:val="nil"/>
          <w:insideH w:val="nil"/>
          <w:insideV w:val="nil"/>
        </w:tblBorders>
        <w:tblLayout w:type="fixed"/>
        <w:tblLook w:val="0600"/>
      </w:tblPr>
      <w:tblGrid>
        <w:gridCol w:w="1924"/>
        <w:gridCol w:w="4142"/>
        <w:gridCol w:w="3294"/>
      </w:tblGrid>
      <w:tr w:rsidR="002C2BC8">
        <w:trPr>
          <w:trHeight w:val="800"/>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Competitor</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Strength</w:t>
            </w:r>
          </w:p>
        </w:tc>
        <w:tc>
          <w:tcPr>
            <w:tcW w:w="32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EcoLoop Competitive Gap/Threat</w:t>
            </w:r>
          </w:p>
        </w:tc>
      </w:tr>
      <w:tr w:rsidR="002C2BC8">
        <w:trPr>
          <w:trHeight w:val="800"/>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Traditional suppliers</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Product range, reliability, procurement relationships</w:t>
            </w:r>
          </w:p>
        </w:tc>
        <w:tc>
          <w:tcPr>
            <w:tcW w:w="32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Limited flexibility; strong incumbent advantage</w:t>
            </w:r>
          </w:p>
        </w:tc>
      </w:tr>
      <w:tr w:rsidR="002C2BC8">
        <w:trPr>
          <w:trHeight w:val="800"/>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Refurbished providers</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Lower prices, reuse, circularity</w:t>
            </w:r>
          </w:p>
        </w:tc>
        <w:tc>
          <w:tcPr>
            <w:tcW w:w="32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Mainly ownership-based</w:t>
            </w:r>
          </w:p>
        </w:tc>
      </w:tr>
      <w:tr w:rsidR="002C2BC8">
        <w:trPr>
          <w:trHeight w:val="515"/>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Rental providers</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Access, flexibility, lower upfront cost</w:t>
            </w:r>
          </w:p>
        </w:tc>
        <w:tc>
          <w:tcPr>
            <w:tcW w:w="32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Circular integration varies</w:t>
            </w:r>
          </w:p>
        </w:tc>
      </w:tr>
      <w:tr w:rsidR="002C2BC8">
        <w:trPr>
          <w:trHeight w:val="800"/>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Circular providers</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Refurbishment, reuse, lifecycle services</w:t>
            </w:r>
          </w:p>
        </w:tc>
        <w:tc>
          <w:tcPr>
            <w:tcW w:w="32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Increasingly similar proposition</w:t>
            </w:r>
          </w:p>
        </w:tc>
      </w:tr>
      <w:tr w:rsidR="002C2BC8">
        <w:trPr>
          <w:trHeight w:val="800"/>
        </w:trPr>
        <w:tc>
          <w:tcPr>
            <w:tcW w:w="192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EcoLoop</w:t>
            </w:r>
          </w:p>
        </w:tc>
        <w:tc>
          <w:tcPr>
            <w:tcW w:w="41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Subscription, take-back, refurbishment, maintenance and ESG</w:t>
            </w:r>
          </w:p>
        </w:tc>
        <w:tc>
          <w:tcPr>
            <w:tcW w:w="32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New entrant; high logistics and validation risks</w:t>
            </w:r>
          </w:p>
        </w:tc>
      </w:tr>
    </w:tbl>
    <w:p w:rsidR="002C2BC8" w:rsidRDefault="00FC2205">
      <w:r>
        <w:lastRenderedPageBreak/>
        <w:t>This analysis reveals that in addition to not having a single competitor, EcoLoop actually competes with several different types of business models. Scale and reliability are the advantage of traditional suppliers, and affordability and circularity can be competitive options of refurbished suppliers. Flexibility is facilitated by rental providers and circular companies are increasingly executing reuse in combination with lifecycle services (Stabler</w:t>
      </w:r>
      <w:r w:rsidR="00596FD4" w:rsidRPr="00596FD4">
        <w:rPr>
          <w:i/>
        </w:rPr>
        <w:t>et al</w:t>
      </w:r>
      <w:r>
        <w:t>., 2024). Namely, because of its newness, the complexity of logistics and the lack of validated acceptance by customers, the integrated subscription model has the potential to differentiate but cannot be defended. It's not merely positioning for sustainability that will win you competitive advantage, but also the execution of your operations.</w:t>
      </w:r>
    </w:p>
    <w:p w:rsidR="002C2BC8" w:rsidRDefault="008230A6">
      <w:pPr>
        <w:pStyle w:val="Heading3"/>
      </w:pPr>
      <w:bookmarkStart w:id="69" w:name="_heading=h.wn6idg1poh0m" w:colFirst="0" w:colLast="0"/>
      <w:bookmarkStart w:id="70" w:name="_Toc239373364"/>
      <w:bookmarkEnd w:id="69"/>
      <w:r>
        <w:t>6</w:t>
      </w:r>
      <w:r w:rsidR="00FC2205">
        <w:t>.3.2 Positioning Map</w:t>
      </w:r>
      <w:bookmarkEnd w:id="70"/>
    </w:p>
    <w:p w:rsidR="002C2BC8" w:rsidRDefault="00FC2205">
      <w:pPr>
        <w:rPr>
          <w:b/>
          <w:bCs/>
        </w:rPr>
      </w:pPr>
      <w:r>
        <w:rPr>
          <w:b/>
          <w:bCs/>
        </w:rPr>
        <w:t>Figure. Positioning Map</w:t>
      </w:r>
    </w:p>
    <w:p w:rsidR="002C2BC8" w:rsidRDefault="00FC2205">
      <w:r>
        <w:rPr>
          <w:noProof/>
          <w:lang w:eastAsia="en-US"/>
        </w:rPr>
        <w:drawing>
          <wp:inline distT="114300" distB="114300" distL="114300" distR="114300">
            <wp:extent cx="5943600" cy="3865178"/>
            <wp:effectExtent l="12700" t="12700" r="12700" b="12700"/>
            <wp:docPr id="1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cstate="print"/>
                    <a:srcRect t="13292"/>
                    <a:stretch>
                      <a:fillRect/>
                    </a:stretch>
                  </pic:blipFill>
                  <pic:spPr>
                    <a:xfrm>
                      <a:off x="0" y="0"/>
                      <a:ext cx="5943600" cy="3865178"/>
                    </a:xfrm>
                    <a:prstGeom prst="rect">
                      <a:avLst/>
                    </a:prstGeom>
                    <a:ln w="12700">
                      <a:solidFill>
                        <a:srgbClr val="000000"/>
                      </a:solidFill>
                      <a:prstDash val="solid"/>
                    </a:ln>
                  </pic:spPr>
                </pic:pic>
              </a:graphicData>
            </a:graphic>
          </wp:inline>
        </w:drawing>
      </w:r>
    </w:p>
    <w:p w:rsidR="002C2BC8" w:rsidRDefault="00FC2205">
      <w:r>
        <w:t xml:space="preserve">As identified through the positioning map, the position of EcoLoop is potentially attractive regarding 'high use of eligibility – high use of circularity' that is associated with 'subscription – </w:t>
      </w:r>
      <w:r>
        <w:lastRenderedPageBreak/>
        <w:t>lifecycle management'. Fluid is flexible religious and secular clothing is acceptable but doesn't look as round, and Coggin looks more round, although less flexible. While differentiated, not unique, Circular Office Group is the closest strategic competitor to EcoLoop. So, while positioning is important, it is only a matter of 'how' rather than 'where'. It is what counts are asset utilisation, quality of refurbishment and measured ESG performance, as well as reliability of the service itself.</w:t>
      </w:r>
    </w:p>
    <w:p w:rsidR="002C2BC8" w:rsidRDefault="008230A6">
      <w:pPr>
        <w:pStyle w:val="Heading2"/>
      </w:pPr>
      <w:bookmarkStart w:id="71" w:name="_heading=h.8yse92d6mz0w" w:colFirst="0" w:colLast="0"/>
      <w:bookmarkStart w:id="72" w:name="_Toc239373365"/>
      <w:bookmarkEnd w:id="71"/>
      <w:r>
        <w:t>6</w:t>
      </w:r>
      <w:r w:rsidR="00FC2205">
        <w:t>.4 Porter’s Five Forces</w:t>
      </w:r>
      <w:bookmarkEnd w:id="72"/>
    </w:p>
    <w:p w:rsidR="002C2BC8" w:rsidRDefault="00FC2205">
      <w:pPr>
        <w:rPr>
          <w:b/>
          <w:bCs/>
        </w:rPr>
      </w:pPr>
      <w:r>
        <w:rPr>
          <w:b/>
          <w:bCs/>
        </w:rPr>
        <w:t>Table. Porter’s Five Forces Analysis</w:t>
      </w:r>
    </w:p>
    <w:tbl>
      <w:tblPr>
        <w:tblStyle w:val="a6"/>
        <w:tblW w:w="9360" w:type="dxa"/>
        <w:tblInd w:w="0" w:type="dxa"/>
        <w:tblBorders>
          <w:top w:val="nil"/>
          <w:left w:val="nil"/>
          <w:bottom w:val="nil"/>
          <w:right w:val="nil"/>
          <w:insideH w:val="nil"/>
          <w:insideV w:val="nil"/>
        </w:tblBorders>
        <w:tblLayout w:type="fixed"/>
        <w:tblLook w:val="0600"/>
      </w:tblPr>
      <w:tblGrid>
        <w:gridCol w:w="1701"/>
        <w:gridCol w:w="4857"/>
        <w:gridCol w:w="2802"/>
      </w:tblGrid>
      <w:tr w:rsidR="002C2BC8">
        <w:trPr>
          <w:trHeight w:val="515"/>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Force / Factor</w:t>
            </w:r>
          </w:p>
        </w:tc>
        <w:tc>
          <w:tcPr>
            <w:tcW w:w="48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Analysis</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Impact on EcoLoop</w:t>
            </w:r>
          </w:p>
        </w:tc>
      </w:tr>
      <w:tr w:rsidR="002C2BC8">
        <w:trPr>
          <w:trHeight w:val="1085"/>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Competitive rivalry</w:t>
            </w:r>
          </w:p>
        </w:tc>
        <w:tc>
          <w:tcPr>
            <w:tcW w:w="48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There are overlaps between established, refurbished, rental and circular business models that are possible to 'imitate' (Davis and Charter, 2025).</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Low: pricing and differentiation pressure.</w:t>
            </w:r>
          </w:p>
        </w:tc>
      </w:tr>
      <w:tr w:rsidR="002C2BC8">
        <w:trPr>
          <w:trHeight w:val="1085"/>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Buyer power</w:t>
            </w:r>
          </w:p>
        </w:tc>
        <w:tc>
          <w:tcPr>
            <w:tcW w:w="48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Corporate buyers can choose between several different suppliers, can discuss and negotiate contracts, and can switch between purchasing, renting and refurbishing equipment (Budler, Quiroga and Trkman, 2023).</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High: limits pricing power.</w:t>
            </w:r>
          </w:p>
        </w:tc>
      </w:tr>
      <w:tr w:rsidR="002C2BC8">
        <w:trPr>
          <w:trHeight w:val="1085"/>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Supplier power</w:t>
            </w:r>
          </w:p>
        </w:tc>
        <w:tc>
          <w:tcPr>
            <w:tcW w:w="48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An essential element for EcoLoop is manufacturers and refurbishment partners, quality used stock, as well as logistics services.</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Medium: availability and logistics may affect margins.</w:t>
            </w:r>
          </w:p>
        </w:tc>
      </w:tr>
      <w:tr w:rsidR="002C2BC8">
        <w:trPr>
          <w:trHeight w:val="800"/>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Substitutes</w:t>
            </w:r>
          </w:p>
        </w:tc>
        <w:tc>
          <w:tcPr>
            <w:tcW w:w="48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Furniture that is new or refurbished, rented, leased, repaired or retained could meet this need.</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High: restricts demand and pricing freedom.</w:t>
            </w:r>
          </w:p>
        </w:tc>
      </w:tr>
      <w:tr w:rsidR="002C2BC8">
        <w:trPr>
          <w:trHeight w:val="1085"/>
        </w:trPr>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New entrants</w:t>
            </w:r>
          </w:p>
        </w:tc>
        <w:tc>
          <w:tcPr>
            <w:tcW w:w="48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t>Trust, capability to refurbish, logistics and inventory are still barriers and digital platforms have decreased entry barriers (Connor-Crabb, Hemingray and Toms, 2026).</w:t>
            </w:r>
          </w:p>
        </w:tc>
        <w:tc>
          <w:tcPr>
            <w:tcW w:w="28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line="240" w:lineRule="auto"/>
            </w:pPr>
            <w:r>
              <w:rPr>
                <w:b/>
                <w:bCs/>
              </w:rPr>
              <w:t>Medium: incumbents can also imitate subscriptions.</w:t>
            </w:r>
          </w:p>
        </w:tc>
      </w:tr>
    </w:tbl>
    <w:p w:rsidR="002C2BC8" w:rsidRDefault="00FC2205">
      <w:r>
        <w:t xml:space="preserve">The Five Forces shows a moderately attractive, but highly competitive industry. Buyer power and substitutes place the most pressure since the consumer has a number of substitutes, will </w:t>
      </w:r>
      <w:r>
        <w:lastRenderedPageBreak/>
        <w:t>negotiate for price and service. Then, rivalry becomes important as rivals merge flexibility and circularity in the hearts and minds of corporate buyers and contractors, according to Davis and Charter (2025). While supplier power and barriers to entry must be seen as being at a moderate level, issues related to logistics and inventory and refurbishment make scalability difficult. This means that margins of EcoLoop may come under pressure if it is unable to gain asset utilization and operational efficiencies. Therefore, its strategic freedom is restricted: If it is constrained to compete on price alone, it's more difficult, so the focus on the reliability of the service, its life value, and measurable circularity by that determinant could be more protected strategic elements.</w:t>
      </w:r>
    </w:p>
    <w:p w:rsidR="002C2BC8" w:rsidRDefault="008230A6">
      <w:pPr>
        <w:pStyle w:val="Heading2"/>
        <w:keepNext w:val="0"/>
        <w:keepLines w:val="0"/>
      </w:pPr>
      <w:bookmarkStart w:id="73" w:name="_heading=h.2f8r5rfxu7yt" w:colFirst="0" w:colLast="0"/>
      <w:bookmarkStart w:id="74" w:name="_Toc239373366"/>
      <w:bookmarkEnd w:id="73"/>
      <w:r>
        <w:t>6</w:t>
      </w:r>
      <w:r w:rsidR="00FC2205">
        <w:t>.5 PESTLE and External Change</w:t>
      </w:r>
      <w:bookmarkEnd w:id="74"/>
    </w:p>
    <w:p w:rsidR="002C2BC8" w:rsidRDefault="00FC2205">
      <w:pPr>
        <w:rPr>
          <w:b/>
          <w:bCs/>
        </w:rPr>
      </w:pPr>
      <w:r>
        <w:rPr>
          <w:b/>
          <w:bCs/>
        </w:rPr>
        <w:t>Table. PESTLE Analysis</w:t>
      </w:r>
    </w:p>
    <w:tbl>
      <w:tblPr>
        <w:tblStyle w:val="a7"/>
        <w:tblW w:w="9360" w:type="dxa"/>
        <w:tblInd w:w="0" w:type="dxa"/>
        <w:tblBorders>
          <w:top w:val="nil"/>
          <w:left w:val="nil"/>
          <w:bottom w:val="nil"/>
          <w:right w:val="nil"/>
          <w:insideH w:val="nil"/>
          <w:insideV w:val="nil"/>
        </w:tblBorders>
        <w:tblLayout w:type="fixed"/>
        <w:tblLook w:val="0600"/>
      </w:tblPr>
      <w:tblGrid>
        <w:gridCol w:w="1830"/>
        <w:gridCol w:w="4935"/>
        <w:gridCol w:w="2595"/>
      </w:tblGrid>
      <w:tr w:rsidR="002C2BC8">
        <w:trPr>
          <w:trHeight w:val="515"/>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Factor</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UK Market Analysis</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Impact</w:t>
            </w:r>
          </w:p>
        </w:tc>
      </w:tr>
      <w:tr w:rsidR="002C2BC8">
        <w:trPr>
          <w:trHeight w:val="80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Political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t>Reuse and circularity are more common elements of sustainable public procurement (Torkki</w:t>
            </w:r>
            <w:r w:rsidR="00596FD4" w:rsidRPr="00596FD4">
              <w:rPr>
                <w:i/>
              </w:rPr>
              <w:t>et al</w:t>
            </w:r>
            <w:r>
              <w:t>., 2024).</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High: Strong procurement support</w:t>
            </w:r>
          </w:p>
        </w:tc>
      </w:tr>
      <w:tr w:rsidR="002C2BC8">
        <w:trPr>
          <w:trHeight w:val="515"/>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Economic</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t>Business spending is affected by costs of inflation, financing and fit-out.</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High: Significant cost pressures</w:t>
            </w:r>
          </w:p>
        </w:tc>
      </w:tr>
      <w:tr w:rsidR="002C2BC8">
        <w:trPr>
          <w:trHeight w:val="80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Social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t xml:space="preserve">Many factors can influence adoption, including hybrid working and attitudes to the refurbished furniture (Holman </w:t>
            </w:r>
            <w:r w:rsidR="00596FD4" w:rsidRPr="00596FD4">
              <w:rPr>
                <w:i/>
              </w:rPr>
              <w:t>et al</w:t>
            </w:r>
            <w:r>
              <w:t>., 2026).</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High: Changing workplace behaviour</w:t>
            </w:r>
          </w:p>
        </w:tc>
      </w:tr>
      <w:tr w:rsidR="002C2BC8">
        <w:trPr>
          <w:trHeight w:val="80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Technological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t>Digital inventory, tracking and ESG solutions aid lifecycle management (Chen and Perry, 2026).</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High: Improved operational efficiency</w:t>
            </w:r>
          </w:p>
        </w:tc>
      </w:tr>
      <w:tr w:rsidR="002C2BC8">
        <w:trPr>
          <w:trHeight w:val="80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Legal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t>Market participation driven by procurement and contractual and environmental requirements.</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Low: Limited direct influence</w:t>
            </w:r>
          </w:p>
        </w:tc>
      </w:tr>
      <w:tr w:rsidR="002C2BC8">
        <w:trPr>
          <w:trHeight w:val="800"/>
        </w:trPr>
        <w:tc>
          <w:tcPr>
            <w:tcW w:w="18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lastRenderedPageBreak/>
              <w:t>Environmental</w:t>
            </w:r>
          </w:p>
        </w:tc>
        <w:tc>
          <w:tcPr>
            <w:tcW w:w="4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t xml:space="preserve">There is a potential for reuse and refurbishment based on furniture waste and pressure of circular economy (Das </w:t>
            </w:r>
            <w:r w:rsidR="00596FD4" w:rsidRPr="00596FD4">
              <w:rPr>
                <w:i/>
              </w:rPr>
              <w:t>et al</w:t>
            </w:r>
            <w:r>
              <w:t>., 2025).</w:t>
            </w:r>
          </w:p>
        </w:tc>
        <w:tc>
          <w:tcPr>
            <w:tcW w:w="2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C2BC8" w:rsidRDefault="00FC2205">
            <w:pPr>
              <w:spacing w:before="0" w:after="0"/>
            </w:pPr>
            <w:r>
              <w:rPr>
                <w:b/>
                <w:bCs/>
              </w:rPr>
              <w:t>High: Growing circular demand</w:t>
            </w:r>
          </w:p>
        </w:tc>
      </w:tr>
    </w:tbl>
    <w:p w:rsidR="002C2BC8" w:rsidRDefault="00FC2205">
      <w:r>
        <w:t>As shown by the PESTLE analysis, the factors of politics, economics, social, technology and environment are variously present with high impacts on EcoLoop. Circular procurement and re-use becomes strengthened by political and environmental pressures in favour of what EcoLoop proposes. Flexible models can be good in an economic uncertainty as cost pressure could lead to the use of flexible models, while high refurbishment and logistics costs could have a negative impact on margins. Social acceptance of areas where employees work of a blended (or used) nature is supportive of use but is somewhat uncertain. The technology brings advantages in stock management, subscription management and ESG reporting, but has the potential to open new possibilities for copycat clones of the EcoLoop business model. Legal is impactful, but with a low direct impact, and is a requirement for market participation.</w:t>
      </w:r>
    </w:p>
    <w:p w:rsidR="002C2BC8" w:rsidRDefault="008230A6">
      <w:pPr>
        <w:pStyle w:val="Heading2"/>
        <w:keepNext w:val="0"/>
        <w:keepLines w:val="0"/>
      </w:pPr>
      <w:bookmarkStart w:id="75" w:name="_heading=h.2o372ynpm0fu" w:colFirst="0" w:colLast="0"/>
      <w:bookmarkStart w:id="76" w:name="_Toc239373367"/>
      <w:bookmarkEnd w:id="75"/>
      <w:r>
        <w:t>6</w:t>
      </w:r>
      <w:r w:rsidR="00FC2205">
        <w:t>.6 Industry Attractiveness, Market Gaps and Synthesis</w:t>
      </w:r>
      <w:bookmarkEnd w:id="76"/>
    </w:p>
    <w:p w:rsidR="002C2BC8" w:rsidRDefault="00FC2205">
      <w:r>
        <w:t>EcoLoop is going to be a moderately interesting and competitive market. Competition is high, and buyer power is high, while there are substitutes which make price elasticity and switching costs low. Subscription and circular features can be emulated by established competitors, which involves a high operational challenge due to inventory, logistics, refurbishment and entry restrictions. Thus, it is necessary to make assets used more efficiently and provide reliable services for profitability.</w:t>
      </w:r>
    </w:p>
    <w:p w:rsidR="002C2BC8" w:rsidRDefault="00FC2205">
      <w:r>
        <w:t>The potential market opportunity is "access at will" along with circular life-cycle management and measurable ESG reporting (Telukdarie and Nyathi, 2026). It is a way of adding value to the customer, flexibility, and sustainability –but it is not actually an area of difference, as there are other forms of existing rental, refurbishment and circular models from which to choose that aid in our vision and aims for a more sustainable future. Payability of the customer continues to be important.</w:t>
      </w:r>
    </w:p>
    <w:p w:rsidR="002C2BC8" w:rsidRDefault="00FC2205">
      <w:r>
        <w:lastRenderedPageBreak/>
        <w:t>Structural conditions generally are improving according to competitor evidence, Five Forces and PESTLE evidence, but there is a high level of competition. This means that EcoLoop's line of thinking is promising, not defensive. Not only the concept of the subscription, but the execution is superior, the measurable environmental impact, and the superior service and life cycle cost savings, that will form the basis of sustainable differentiation.</w:t>
      </w:r>
    </w:p>
    <w:p w:rsidR="002C2BC8" w:rsidRDefault="008230A6">
      <w:pPr>
        <w:pStyle w:val="Heading2"/>
        <w:keepNext w:val="0"/>
        <w:keepLines w:val="0"/>
      </w:pPr>
      <w:bookmarkStart w:id="77" w:name="_heading=h.x7pydgnrken2" w:colFirst="0" w:colLast="0"/>
      <w:bookmarkStart w:id="78" w:name="_Toc239373368"/>
      <w:bookmarkEnd w:id="77"/>
      <w:r>
        <w:t>6</w:t>
      </w:r>
      <w:r w:rsidR="00FC2205">
        <w:t>.7 Chapter Summary</w:t>
      </w:r>
      <w:bookmarkEnd w:id="78"/>
    </w:p>
    <w:p w:rsidR="002C2BC8" w:rsidRDefault="00FC2205">
      <w:r>
        <w:t>The environment of EcoLoop is moderately good, however, is still highly competitive, where low bargaining power and substitute products and rivalry pose the biggest pressures on the market. Maintaining a high level of reliability and efficiency of asset usage, competitive lifecycle value, refurbishment capability and credible evidence of environmental, social and governance (ESG) is essential for success. One might suggest a market opportunity that combines "flexible access" and 'circular lifecycle management' and also measures sustainability impact, though the competitors could be able to build the same sorts of features. For this EcoLoop thus has a conditionally competitive advantage which it has to demonstrate and validate with customers. These conclusions are then translated into a business strategy and market entry approach in the next chapter.</w:t>
      </w:r>
    </w:p>
    <w:p w:rsidR="00942264" w:rsidRDefault="00942264"/>
    <w:p w:rsidR="00942264" w:rsidRDefault="00942264"/>
    <w:p w:rsidR="00942264" w:rsidRDefault="00942264" w:rsidP="00942264">
      <w:pPr>
        <w:pStyle w:val="Heading1"/>
      </w:pPr>
    </w:p>
    <w:p w:rsidR="00942264" w:rsidRDefault="00942264" w:rsidP="00942264">
      <w:pPr>
        <w:pStyle w:val="Heading1"/>
      </w:pPr>
    </w:p>
    <w:p w:rsidR="00942264" w:rsidRDefault="00942264" w:rsidP="00942264">
      <w:pPr>
        <w:pStyle w:val="Heading1"/>
      </w:pPr>
      <w:bookmarkStart w:id="79" w:name="_Toc239373369"/>
      <w:r>
        <w:t>Chapter 7. Business Strategy</w:t>
      </w:r>
      <w:bookmarkEnd w:id="79"/>
      <w:r>
        <w:t xml:space="preserve"> </w:t>
      </w:r>
    </w:p>
    <w:p w:rsidR="00942264" w:rsidRDefault="00942264" w:rsidP="00942264">
      <w:pPr>
        <w:pStyle w:val="Heading2"/>
      </w:pPr>
      <w:bookmarkStart w:id="80" w:name="_heading=h.6graucz6oy36" w:colFirst="0" w:colLast="0"/>
      <w:bookmarkStart w:id="81" w:name="_Toc239373370"/>
      <w:bookmarkEnd w:id="80"/>
      <w:r>
        <w:t>7.1 Strategic Introduction</w:t>
      </w:r>
      <w:bookmarkEnd w:id="81"/>
    </w:p>
    <w:p w:rsidR="00942264" w:rsidRDefault="00942264" w:rsidP="00942264">
      <w:pPr>
        <w:pStyle w:val="normal0"/>
      </w:pPr>
      <w:r>
        <w:t>EcoLoop Office's approach needs to be a viable, defensible commercial proposition that takes an achievable circular economy opportunity. In Chapter 6 and Chapter 7, I have set out the evidence that hybrid working, cost pressure, waste of resources and sustainability requirements are driving the transformation of UK office demand, but that at the same time – buyer power, multiple substitutes, operational complexity – are limiting profitability. The strategy then has a very clear 'golden thread', the external conditions are the opportunity, VRIO tests whether or not EcoLoop can come up with the strategy to exploit this, SWOT turns the evidence into strategic priorities, focused differentiation specifies the market position and the USP and capability system defines how the value will be defended. The goal is not sustainability for sustainability's sake, it is about customer value, reliability and economically viable circularity.</w:t>
      </w:r>
    </w:p>
    <w:p w:rsidR="00942264" w:rsidRDefault="00942264" w:rsidP="00942264">
      <w:pPr>
        <w:pStyle w:val="Heading2"/>
      </w:pPr>
      <w:bookmarkStart w:id="82" w:name="_heading=h.5zikzkvhueog" w:colFirst="0" w:colLast="0"/>
      <w:bookmarkStart w:id="83" w:name="_Toc239373371"/>
      <w:bookmarkEnd w:id="82"/>
      <w:r>
        <w:t>7.2 External Strategic Analysis</w:t>
      </w:r>
      <w:bookmarkEnd w:id="83"/>
    </w:p>
    <w:p w:rsidR="00942264" w:rsidRDefault="00942264" w:rsidP="00942264">
      <w:pPr>
        <w:pStyle w:val="normal0"/>
      </w:pPr>
      <w:r>
        <w:t>The evidence suggests that EcoLoop is making its way into a market in which sustainable expectations and flexible working are met, while economic expectations and compliance are limiting flexibility and strategic choices.</w:t>
      </w:r>
    </w:p>
    <w:p w:rsidR="00942264" w:rsidRDefault="00942264" w:rsidP="00942264">
      <w:pPr>
        <w:pStyle w:val="normal0"/>
        <w:rPr>
          <w:b/>
          <w:bCs/>
        </w:rPr>
      </w:pPr>
    </w:p>
    <w:p w:rsidR="00942264" w:rsidRDefault="00942264" w:rsidP="00942264">
      <w:pPr>
        <w:pStyle w:val="normal0"/>
        <w:rPr>
          <w:b/>
          <w:bCs/>
        </w:rPr>
      </w:pPr>
    </w:p>
    <w:p w:rsidR="00942264" w:rsidRDefault="00942264" w:rsidP="00942264">
      <w:pPr>
        <w:pStyle w:val="normal0"/>
        <w:rPr>
          <w:b/>
          <w:bCs/>
        </w:rPr>
      </w:pPr>
    </w:p>
    <w:p w:rsidR="00942264" w:rsidRDefault="00942264" w:rsidP="00942264">
      <w:pPr>
        <w:pStyle w:val="normal0"/>
        <w:rPr>
          <w:b/>
          <w:bCs/>
        </w:rPr>
      </w:pPr>
    </w:p>
    <w:p w:rsidR="00942264" w:rsidRDefault="00942264" w:rsidP="00942264">
      <w:pPr>
        <w:pStyle w:val="normal0"/>
        <w:rPr>
          <w:b/>
          <w:bCs/>
        </w:rPr>
      </w:pPr>
      <w:r>
        <w:rPr>
          <w:b/>
          <w:bCs/>
        </w:rPr>
        <w:lastRenderedPageBreak/>
        <w:t>Table 10: External Strategic Analysis</w:t>
      </w:r>
    </w:p>
    <w:tbl>
      <w:tblPr>
        <w:tblW w:w="11025" w:type="dxa"/>
        <w:tblInd w:w="-800" w:type="dxa"/>
        <w:tblBorders>
          <w:top w:val="nil"/>
          <w:left w:val="nil"/>
          <w:bottom w:val="nil"/>
          <w:right w:val="nil"/>
          <w:insideH w:val="nil"/>
          <w:insideV w:val="nil"/>
        </w:tblBorders>
        <w:tblLayout w:type="fixed"/>
        <w:tblLook w:val="0600"/>
      </w:tblPr>
      <w:tblGrid>
        <w:gridCol w:w="2610"/>
        <w:gridCol w:w="4575"/>
        <w:gridCol w:w="3840"/>
      </w:tblGrid>
      <w:tr w:rsidR="00942264" w:rsidTr="00105F69">
        <w:trPr>
          <w:cantSplit/>
          <w:trHeight w:val="500"/>
          <w:tblHeader/>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jc w:val="center"/>
            </w:pPr>
            <w:r>
              <w:rPr>
                <w:b/>
                <w:bCs/>
              </w:rPr>
              <w:t>Factor</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jc w:val="center"/>
            </w:pPr>
            <w:r>
              <w:rPr>
                <w:b/>
                <w:bCs/>
              </w:rPr>
              <w:t>Numerical/strategic evidence</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jc w:val="center"/>
            </w:pPr>
            <w:r>
              <w:rPr>
                <w:b/>
                <w:bCs/>
              </w:rPr>
              <w:t>Implication for EcoLoop</w:t>
            </w:r>
          </w:p>
        </w:tc>
      </w:tr>
      <w:tr w:rsidR="00942264" w:rsidTr="00105F69">
        <w:trPr>
          <w:cantSplit/>
          <w:trHeight w:val="1310"/>
          <w:tblHeader/>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Political</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 xml:space="preserve">The 2025 Sustainable Furniture Solutions framework includes an office-furniture lot estimated at </w:t>
            </w:r>
            <w:r>
              <w:rPr>
                <w:b/>
                <w:bCs/>
              </w:rPr>
              <w:t>£250 million excluding VAT (Delta-esourcing.com, 2026)</w:t>
            </w:r>
            <w:r>
              <w:t>.</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Opportunity: circular procurement has institutional legitimacy.</w:t>
            </w:r>
          </w:p>
        </w:tc>
      </w:tr>
      <w:tr w:rsidR="00942264" w:rsidTr="00105F69">
        <w:trPr>
          <w:cantSplit/>
          <w:trHeight w:val="1040"/>
          <w:tblHeader/>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Economic</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 xml:space="preserve">UK CPI was </w:t>
            </w:r>
            <w:r>
              <w:rPr>
                <w:b/>
                <w:bCs/>
              </w:rPr>
              <w:t>2.6% in June 2026 (Bankofengland.co.uk, 2026)</w:t>
            </w:r>
            <w:r>
              <w:t>.</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Mixed: cost pressures may encourage flexibility but constrain SME budgets.</w:t>
            </w:r>
          </w:p>
        </w:tc>
      </w:tr>
      <w:tr w:rsidR="00942264" w:rsidTr="00105F69">
        <w:trPr>
          <w:cantSplit/>
          <w:trHeight w:val="1040"/>
          <w:tblHeader/>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Social</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rPr>
                <w:b/>
                <w:bCs/>
              </w:rPr>
              <w:t>28%</w:t>
            </w:r>
            <w:r>
              <w:t xml:space="preserve"> of working adults in Great Britain hybrid-worked between January and March 2025 (Public Policy and Economic Insights team, 2025).</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Opportunity: changing workplace configurations strengthen demand for adaptability.</w:t>
            </w:r>
          </w:p>
        </w:tc>
      </w:tr>
      <w:tr w:rsidR="00942264" w:rsidTr="00105F69">
        <w:trPr>
          <w:cantSplit/>
          <w:trHeight w:val="1040"/>
          <w:tblHeader/>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Technological</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 xml:space="preserve">Digital inventory, QR/barcode tracking, dashboards and analytics can support traceability (Udvaros </w:t>
            </w:r>
            <w:r>
              <w:rPr>
                <w:i/>
                <w:iCs/>
              </w:rPr>
              <w:t>et al</w:t>
            </w:r>
            <w:r>
              <w:t>., 2024).</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Opportunity: technology can improve transparency and reporting.</w:t>
            </w:r>
          </w:p>
        </w:tc>
      </w:tr>
      <w:tr w:rsidR="00942264" w:rsidTr="00105F69">
        <w:trPr>
          <w:cantSplit/>
          <w:trHeight w:val="1310"/>
          <w:tblHeader/>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Environmental</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 xml:space="preserve">England generated </w:t>
            </w:r>
            <w:r>
              <w:rPr>
                <w:b/>
                <w:bCs/>
              </w:rPr>
              <w:t>32.6 million tonnes</w:t>
            </w:r>
            <w:r>
              <w:t xml:space="preserve"> of commercial and industrial waste in 2023 (Department for Environment, Food &amp; Rural Affairs, 2022).</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Opportunity: substantial resource-management problem, although waste volume does not prove subscription demand.</w:t>
            </w:r>
          </w:p>
        </w:tc>
      </w:tr>
      <w:tr w:rsidR="00942264" w:rsidTr="00105F69">
        <w:trPr>
          <w:cantSplit/>
          <w:trHeight w:val="1040"/>
          <w:tblHeader/>
        </w:trPr>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Legal</w:t>
            </w:r>
          </w:p>
        </w:tc>
        <w:tc>
          <w:tcPr>
            <w:tcW w:w="4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 xml:space="preserve">Non-hazardous waste-transfer documentation must generally be retained for </w:t>
            </w:r>
            <w:r>
              <w:rPr>
                <w:b/>
                <w:bCs/>
              </w:rPr>
              <w:t>2 years</w:t>
            </w:r>
            <w:r>
              <w:t>.</w:t>
            </w:r>
          </w:p>
        </w:tc>
        <w:tc>
          <w:tcPr>
            <w:tcW w:w="38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Threat: compliance increases process requirements and liability.</w:t>
            </w:r>
          </w:p>
        </w:tc>
      </w:tr>
    </w:tbl>
    <w:p w:rsidR="00942264" w:rsidRDefault="00942264" w:rsidP="00942264">
      <w:pPr>
        <w:pStyle w:val="normal0"/>
        <w:rPr>
          <w:i/>
          <w:iCs/>
        </w:rPr>
      </w:pPr>
      <w:r>
        <w:rPr>
          <w:i/>
          <w:iCs/>
        </w:rPr>
        <w:t xml:space="preserve">                                                 Source: Self -developed</w:t>
      </w:r>
    </w:p>
    <w:p w:rsidR="00942264" w:rsidRDefault="00942264" w:rsidP="00942264">
      <w:pPr>
        <w:pStyle w:val="normal0"/>
        <w:rPr>
          <w:b/>
          <w:bCs/>
        </w:rPr>
      </w:pPr>
    </w:p>
    <w:p w:rsidR="00942264" w:rsidRDefault="00942264" w:rsidP="00942264">
      <w:pPr>
        <w:pStyle w:val="normal0"/>
        <w:rPr>
          <w:b/>
          <w:bCs/>
        </w:rPr>
      </w:pPr>
      <w:r>
        <w:rPr>
          <w:b/>
          <w:bCs/>
        </w:rPr>
        <w:lastRenderedPageBreak/>
        <w:t xml:space="preserve">Critical analysis </w:t>
      </w:r>
    </w:p>
    <w:p w:rsidR="00942264" w:rsidRDefault="00942264" w:rsidP="00942264">
      <w:pPr>
        <w:pStyle w:val="normal0"/>
      </w:pPr>
      <w:r>
        <w:t>EcoLoop's external environment is supportive, yet strategically ambivalent as indicated in the table. The NEUPC (2026) procurement notice also shows that circular and sustainable furniture purchasing is more and more becoming a formal procurement opportunity, in turn bolstering the political argument for EcoLoop! This should not be taken as a given demand, however. As for the economy, the Bank of England (2026) identifies ongoing inflationary and cost pressures, which means that EcoLoop will have to continue to have controlled pricing and route efficiency. In terms of social, the Public Policy and Economic Insights team (2025) states that 28% of working adults hybrid-worked in January – March 2025, which backs the demand for flexible working options. However, the Office for National Statistics (2025) count of 2.73 million VAT/PAYE businesses is much greater than EcoLoop's realistic "potential market". Political and environmental pressures create opportunity, but it is commercial viability that is determined by willingness to pay, compliance costs and operational efficiency.</w:t>
      </w:r>
    </w:p>
    <w:p w:rsidR="00942264" w:rsidRDefault="00942264" w:rsidP="00942264">
      <w:pPr>
        <w:pStyle w:val="Heading2"/>
      </w:pPr>
      <w:bookmarkStart w:id="84" w:name="_heading=h.gp6046gge0wk" w:colFirst="0" w:colLast="0"/>
      <w:bookmarkStart w:id="85" w:name="_Toc239373372"/>
      <w:bookmarkEnd w:id="84"/>
      <w:r>
        <w:t>7.3 Internal Analysis: VRIO</w:t>
      </w:r>
      <w:bookmarkEnd w:id="85"/>
    </w:p>
    <w:p w:rsidR="00942264" w:rsidRDefault="00942264" w:rsidP="00942264">
      <w:pPr>
        <w:pStyle w:val="normal0"/>
      </w:pPr>
      <w:r>
        <w:t>EcoLoop's resources and capabilities should be evaluated based on their value, rarity, inimitability and effectiveness in organization. The analysis is significant as the company will be a new business with limited resources and no reputation.</w:t>
      </w:r>
    </w:p>
    <w:p w:rsidR="00942264" w:rsidRDefault="00942264" w:rsidP="00942264">
      <w:pPr>
        <w:pStyle w:val="normal0"/>
        <w:rPr>
          <w:b/>
          <w:bCs/>
        </w:rPr>
      </w:pPr>
      <w:r>
        <w:rPr>
          <w:b/>
          <w:bCs/>
        </w:rPr>
        <w:t>Table 11. VRIO Analysis</w:t>
      </w:r>
    </w:p>
    <w:tbl>
      <w:tblPr>
        <w:tblW w:w="10635" w:type="dxa"/>
        <w:tblInd w:w="-639" w:type="dxa"/>
        <w:tblBorders>
          <w:top w:val="nil"/>
          <w:left w:val="nil"/>
          <w:bottom w:val="nil"/>
          <w:right w:val="nil"/>
          <w:insideH w:val="nil"/>
          <w:insideV w:val="nil"/>
        </w:tblBorders>
        <w:tblLayout w:type="fixed"/>
        <w:tblLook w:val="0600"/>
      </w:tblPr>
      <w:tblGrid>
        <w:gridCol w:w="2986"/>
        <w:gridCol w:w="975"/>
        <w:gridCol w:w="919"/>
        <w:gridCol w:w="895"/>
        <w:gridCol w:w="960"/>
        <w:gridCol w:w="3900"/>
      </w:tblGrid>
      <w:tr w:rsidR="00942264" w:rsidTr="00105F69">
        <w:trPr>
          <w:cantSplit/>
          <w:trHeight w:val="500"/>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jc w:val="center"/>
            </w:pPr>
            <w:r>
              <w:rPr>
                <w:b/>
                <w:bCs/>
              </w:rPr>
              <w:t>Resource/Capability</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jc w:val="center"/>
            </w:pPr>
            <w:r>
              <w:rPr>
                <w:b/>
                <w:bCs/>
              </w:rPr>
              <w:t>V</w:t>
            </w:r>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jc w:val="center"/>
            </w:pPr>
            <w:r>
              <w:rPr>
                <w:b/>
                <w:bCs/>
              </w:rPr>
              <w:t>R</w:t>
            </w: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jc w:val="center"/>
            </w:pPr>
            <w:r>
              <w:rPr>
                <w:b/>
                <w:bCs/>
              </w:rPr>
              <w:t>I</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jc w:val="center"/>
            </w:pPr>
            <w:r>
              <w:rPr>
                <w:b/>
                <w:bCs/>
              </w:rPr>
              <w:t>O</w:t>
            </w: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jc w:val="center"/>
            </w:pPr>
            <w:r>
              <w:rPr>
                <w:b/>
                <w:bCs/>
              </w:rPr>
              <w:t>Outcome</w:t>
            </w:r>
          </w:p>
        </w:tc>
      </w:tr>
      <w:tr w:rsidR="00942264" w:rsidTr="00105F69">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Circular office solution</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sdt>
              <w:sdtPr>
                <w:tag w:val="goog_rdk_2"/>
                <w:id w:val="1277783268"/>
              </w:sdtPr>
              <w:sdtContent>
                <w:r>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sdt>
              <w:sdtPr>
                <w:tag w:val="goog_rdk_3"/>
                <w:id w:val="781283557"/>
              </w:sdtPr>
              <w:sdtContent>
                <w:r>
                  <w:rPr>
                    <w:rFonts w:ascii="Arial Unicode MS" w:eastAsia="Arial Unicode MS" w:hAnsi="Arial Unicode MS" w:cs="Arial Unicode MS"/>
                  </w:rPr>
                  <w:t>✓</w:t>
                </w:r>
              </w:sdtContent>
            </w:sdt>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Competitive parity/potential temporary advantage</w:t>
            </w:r>
          </w:p>
        </w:tc>
      </w:tr>
      <w:tr w:rsidR="00942264" w:rsidTr="00105F69">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Digital tracking</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sdt>
              <w:sdtPr>
                <w:tag w:val="goog_rdk_4"/>
                <w:id w:val="-2012015450"/>
              </w:sdtPr>
              <w:sdtContent>
                <w:r>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sdt>
              <w:sdtPr>
                <w:tag w:val="goog_rdk_5"/>
                <w:id w:val="2000979299"/>
              </w:sdtPr>
              <w:sdtContent>
                <w:r>
                  <w:rPr>
                    <w:rFonts w:ascii="Arial Unicode MS" w:eastAsia="Arial Unicode MS" w:hAnsi="Arial Unicode MS" w:cs="Arial Unicode MS"/>
                  </w:rPr>
                  <w:t>✓</w:t>
                </w:r>
              </w:sdtContent>
            </w:sdt>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Competitive parity</w:t>
            </w:r>
          </w:p>
        </w:tc>
      </w:tr>
      <w:tr w:rsidR="00942264" w:rsidTr="00105F69">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Sustainability reporting</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sdt>
              <w:sdtPr>
                <w:tag w:val="goog_rdk_6"/>
                <w:id w:val="1194230760"/>
              </w:sdtPr>
              <w:sdtContent>
                <w:r>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sdt>
              <w:sdtPr>
                <w:tag w:val="goog_rdk_7"/>
                <w:id w:val="1906613834"/>
              </w:sdtPr>
              <w:sdtContent>
                <w:r>
                  <w:rPr>
                    <w:rFonts w:ascii="Arial Unicode MS" w:eastAsia="Arial Unicode MS" w:hAnsi="Arial Unicode MS" w:cs="Arial Unicode MS"/>
                  </w:rPr>
                  <w:t>✓</w:t>
                </w:r>
              </w:sdtContent>
            </w:sdt>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Competitive parity</w:t>
            </w:r>
          </w:p>
        </w:tc>
      </w:tr>
      <w:tr w:rsidR="00942264" w:rsidTr="00105F69">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lastRenderedPageBreak/>
              <w:t>Local collection network</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sdt>
              <w:sdtPr>
                <w:tag w:val="goog_rdk_8"/>
                <w:id w:val="-90399367"/>
              </w:sdtPr>
              <w:sdtContent>
                <w:r>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sdt>
              <w:sdtPr>
                <w:tag w:val="goog_rdk_9"/>
                <w:id w:val="-2055894829"/>
              </w:sdtPr>
              <w:sdtContent>
                <w:r>
                  <w:rPr>
                    <w:rFonts w:ascii="Arial Unicode MS" w:eastAsia="Arial Unicode MS" w:hAnsi="Arial Unicode MS" w:cs="Arial Unicode MS"/>
                  </w:rPr>
                  <w:t>✓</w:t>
                </w:r>
              </w:sdtContent>
            </w:sdt>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Potential temporary advantage</w:t>
            </w:r>
          </w:p>
        </w:tc>
      </w:tr>
      <w:tr w:rsidR="00942264" w:rsidTr="00105F69">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Supplier relationships</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sdt>
              <w:sdtPr>
                <w:tag w:val="goog_rdk_10"/>
                <w:id w:val="-1711681585"/>
              </w:sdtPr>
              <w:sdtContent>
                <w:r>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sdt>
              <w:sdtPr>
                <w:tag w:val="goog_rdk_11"/>
                <w:id w:val="-1011383932"/>
              </w:sdtPr>
              <w:sdtContent>
                <w:r>
                  <w:rPr>
                    <w:rFonts w:ascii="Arial Unicode MS" w:eastAsia="Arial Unicode MS" w:hAnsi="Arial Unicode MS" w:cs="Arial Unicode MS"/>
                  </w:rPr>
                  <w:t>✓</w:t>
                </w:r>
              </w:sdtContent>
            </w:sdt>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Competitive parity</w:t>
            </w:r>
          </w:p>
        </w:tc>
      </w:tr>
      <w:tr w:rsidR="00942264" w:rsidTr="00105F69">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Sustainability expertise</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sdt>
              <w:sdtPr>
                <w:tag w:val="goog_rdk_12"/>
                <w:id w:val="-774508883"/>
              </w:sdtPr>
              <w:sdtContent>
                <w:r>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sdt>
              <w:sdtPr>
                <w:tag w:val="goog_rdk_13"/>
                <w:id w:val="1572624939"/>
              </w:sdtPr>
              <w:sdtContent>
                <w:r>
                  <w:rPr>
                    <w:rFonts w:ascii="Arial Unicode MS" w:eastAsia="Arial Unicode MS" w:hAnsi="Arial Unicode MS" w:cs="Arial Unicode MS"/>
                  </w:rPr>
                  <w:t>✓</w:t>
                </w:r>
              </w:sdtContent>
            </w:sdt>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Competitive parity</w:t>
            </w:r>
          </w:p>
        </w:tc>
      </w:tr>
      <w:tr w:rsidR="00942264" w:rsidTr="00105F69">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Customer relationships</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sdt>
              <w:sdtPr>
                <w:tag w:val="goog_rdk_14"/>
                <w:id w:val="-999604273"/>
              </w:sdtPr>
              <w:sdtContent>
                <w:r>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Competitive parity</w:t>
            </w:r>
          </w:p>
        </w:tc>
      </w:tr>
      <w:tr w:rsidR="00942264" w:rsidTr="00105F69">
        <w:trPr>
          <w:cantSplit/>
          <w:trHeight w:val="545"/>
          <w:tblHeader/>
        </w:trPr>
        <w:tc>
          <w:tcPr>
            <w:tcW w:w="29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Brand reputation</w:t>
            </w:r>
          </w:p>
        </w:tc>
        <w:tc>
          <w:tcPr>
            <w:tcW w:w="9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sdt>
              <w:sdtPr>
                <w:tag w:val="goog_rdk_15"/>
                <w:id w:val="-1470286624"/>
              </w:sdtPr>
              <w:sdtContent>
                <w:r>
                  <w:rPr>
                    <w:rFonts w:ascii="Arial Unicode MS" w:eastAsia="Arial Unicode MS" w:hAnsi="Arial Unicode MS" w:cs="Arial Unicode MS"/>
                  </w:rPr>
                  <w:t>✓</w:t>
                </w:r>
              </w:sdtContent>
            </w:sdt>
          </w:p>
        </w:tc>
        <w:tc>
          <w:tcPr>
            <w:tcW w:w="9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8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New-entry weakness</w:t>
            </w:r>
          </w:p>
        </w:tc>
      </w:tr>
    </w:tbl>
    <w:p w:rsidR="00942264" w:rsidRDefault="00942264" w:rsidP="00942264">
      <w:pPr>
        <w:pStyle w:val="normal0"/>
      </w:pPr>
      <w:r>
        <w:t xml:space="preserve">The proposed </w:t>
      </w:r>
      <w:r>
        <w:rPr>
          <w:b/>
          <w:bCs/>
        </w:rPr>
        <w:t>£75,000 start-up budget</w:t>
      </w:r>
      <w:r>
        <w:t xml:space="preserve"> further indicates that financial resources are constrained and must be allocated selectively.</w:t>
      </w:r>
    </w:p>
    <w:p w:rsidR="00942264" w:rsidRDefault="00942264" w:rsidP="00942264">
      <w:pPr>
        <w:pStyle w:val="normal0"/>
        <w:rPr>
          <w:b/>
          <w:bCs/>
        </w:rPr>
      </w:pPr>
      <w:r>
        <w:rPr>
          <w:b/>
          <w:bCs/>
        </w:rPr>
        <w:t xml:space="preserve">Critical analysis </w:t>
      </w:r>
    </w:p>
    <w:p w:rsidR="00942264" w:rsidRDefault="00942264" w:rsidP="00942264">
      <w:pPr>
        <w:pStyle w:val="normal0"/>
      </w:pPr>
      <w:r>
        <w:t xml:space="preserve">EcoLoop's internal resource base is currently greater than what is demonstrated. The £75,000 lean start-up budget is the limiting constraint on financial resources, which restricts the company's ability to build up the same level of assets, geographic reach or purchasing power as mature competitors. Human capital need to meld together logistics, customer service, sustainability and digital skills – not be split amongst specialist departments. The use of technology is a useful tool for traceability but is not uncommon and easy to copy as other companies are able to acquire similar technology (Khan </w:t>
      </w:r>
      <w:r>
        <w:rPr>
          <w:i/>
          <w:iCs/>
        </w:rPr>
        <w:t>et al</w:t>
      </w:r>
      <w:r>
        <w:t>., 2022). Partnerships are an important strategic approach and will lower capital cost, and also expand refurbishment and recycling capacity. Customer relationships can be beneficial due to the knowledge gained and reporting experiences gained, but this only comes after contracts are won. Thus, the best way to get temporary advantage is to have local collection capability and to have integrated operational knowledge. Proprietary customer data and trusted networks, plus consistently better execution (Franzè, Paolucci and Pessot, 2024) would be needed for sustained advantage. An important strategic objective is, therefore, the structuring of resources into a stable operating system and not just resources that can be used for advantage.</w:t>
      </w:r>
    </w:p>
    <w:p w:rsidR="00942264" w:rsidRDefault="00942264" w:rsidP="00942264">
      <w:pPr>
        <w:pStyle w:val="Heading2"/>
      </w:pPr>
      <w:bookmarkStart w:id="86" w:name="_heading=h.453xp0emdu2r" w:colFirst="0" w:colLast="0"/>
      <w:bookmarkStart w:id="87" w:name="_Toc239373373"/>
      <w:bookmarkEnd w:id="86"/>
      <w:r>
        <w:lastRenderedPageBreak/>
        <w:t>7.4 SWOT and Strategic Implications</w:t>
      </w:r>
      <w:bookmarkEnd w:id="87"/>
    </w:p>
    <w:p w:rsidR="00942264" w:rsidRDefault="00942264" w:rsidP="00942264">
      <w:pPr>
        <w:pStyle w:val="normal0"/>
      </w:pPr>
      <w:r>
        <w:t>SWOT consolidates the preceding external and internal evidence. Its value lies not simply in listing factors but in identifying strategic combinations that can guide resource allocation and risk control.</w:t>
      </w:r>
    </w:p>
    <w:p w:rsidR="00942264" w:rsidRDefault="00942264" w:rsidP="00942264">
      <w:pPr>
        <w:pStyle w:val="normal0"/>
        <w:rPr>
          <w:b/>
          <w:bCs/>
        </w:rPr>
      </w:pPr>
      <w:r>
        <w:rPr>
          <w:b/>
          <w:bCs/>
        </w:rPr>
        <w:t>Table 12. SWOT Analysis</w:t>
      </w:r>
    </w:p>
    <w:tbl>
      <w:tblPr>
        <w:tblW w:w="10740" w:type="dxa"/>
        <w:tblInd w:w="-599" w:type="dxa"/>
        <w:tblBorders>
          <w:top w:val="nil"/>
          <w:left w:val="nil"/>
          <w:bottom w:val="nil"/>
          <w:right w:val="nil"/>
          <w:insideH w:val="nil"/>
          <w:insideV w:val="nil"/>
        </w:tblBorders>
        <w:tblLayout w:type="fixed"/>
        <w:tblLook w:val="0600"/>
      </w:tblPr>
      <w:tblGrid>
        <w:gridCol w:w="2430"/>
        <w:gridCol w:w="8310"/>
      </w:tblGrid>
      <w:tr w:rsidR="00942264" w:rsidTr="00105F69">
        <w:trPr>
          <w:cantSplit/>
          <w:trHeight w:val="50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jc w:val="center"/>
            </w:pPr>
            <w:r>
              <w:rPr>
                <w:b/>
                <w:bCs/>
              </w:rPr>
              <w:t>Category</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jc w:val="center"/>
            </w:pPr>
            <w:r>
              <w:rPr>
                <w:b/>
                <w:bCs/>
              </w:rPr>
              <w:t>Key factors</w:t>
            </w:r>
          </w:p>
        </w:tc>
      </w:tr>
      <w:tr w:rsidR="00942264" w:rsidTr="00105F69">
        <w:trPr>
          <w:cantSplit/>
          <w:trHeight w:val="77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rPr>
                <w:b/>
                <w:bCs/>
              </w:rPr>
              <w:t>Strengths</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Proposition for sustainability; positioning as circular economy; potential for recurring revenues; digital tracking/reporting; flexible service model (Ogiemwonyi, 2025).</w:t>
            </w:r>
          </w:p>
        </w:tc>
      </w:tr>
      <w:tr w:rsidR="00942264" w:rsidTr="00105F69">
        <w:trPr>
          <w:cantSplit/>
          <w:trHeight w:val="104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rPr>
                <w:b/>
                <w:bCs/>
              </w:rPr>
              <w:t>Weaknesses</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 xml:space="preserve">New entrant; limited initial resources; limited brand recognition; dependence on external reuse/recycling partners; initial technology and logistics costs (Kanda </w:t>
            </w:r>
            <w:r>
              <w:rPr>
                <w:i/>
                <w:iCs/>
              </w:rPr>
              <w:t>et al</w:t>
            </w:r>
            <w:r>
              <w:t>., 2024).</w:t>
            </w:r>
          </w:p>
        </w:tc>
      </w:tr>
      <w:tr w:rsidR="00942264" w:rsidTr="00105F69">
        <w:trPr>
          <w:cantSplit/>
          <w:trHeight w:val="104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rPr>
                <w:b/>
                <w:bCs/>
              </w:rPr>
              <w:t>Opportunities</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Raising sustainability demands; SMEs' need to outsource sustainability solutions; circular procurement; corporate sustainability reporting; partnerships with offices and property managers (Cooper, 2024).</w:t>
            </w:r>
          </w:p>
        </w:tc>
      </w:tr>
      <w:tr w:rsidR="00942264" w:rsidTr="00105F69">
        <w:trPr>
          <w:cantSplit/>
          <w:trHeight w:val="104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rPr>
                <w:b/>
                <w:bCs/>
              </w:rPr>
              <w:t>Threats</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 xml:space="preserve">Established waste-management firms; price competition; customer switching; regulatory changes; operational disruption; greenwashing concerns (Xu </w:t>
            </w:r>
            <w:r>
              <w:rPr>
                <w:i/>
                <w:iCs/>
              </w:rPr>
              <w:t>et al</w:t>
            </w:r>
            <w:r>
              <w:t>., 2025).</w:t>
            </w:r>
          </w:p>
        </w:tc>
      </w:tr>
      <w:tr w:rsidR="00942264" w:rsidTr="00105F69">
        <w:trPr>
          <w:cantSplit/>
          <w:trHeight w:val="50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rPr>
                <w:b/>
                <w:bCs/>
              </w:rPr>
              <w:t>SO strategy</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Combine sustainability expertise and technology to capture demand.</w:t>
            </w:r>
          </w:p>
        </w:tc>
      </w:tr>
      <w:tr w:rsidR="00942264" w:rsidTr="00105F69">
        <w:trPr>
          <w:cantSplit/>
          <w:trHeight w:val="50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rPr>
                <w:b/>
                <w:bCs/>
              </w:rPr>
              <w:t>WO strategy</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Use partnerships to overcome limited financial and operational resources.</w:t>
            </w:r>
          </w:p>
        </w:tc>
      </w:tr>
      <w:tr w:rsidR="00942264" w:rsidTr="00105F69">
        <w:trPr>
          <w:cantSplit/>
          <w:trHeight w:val="50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rPr>
                <w:b/>
                <w:bCs/>
              </w:rPr>
              <w:t>ST strategy</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Differentiate through service reliability and reporting rather than price.</w:t>
            </w:r>
          </w:p>
        </w:tc>
      </w:tr>
      <w:tr w:rsidR="00942264" w:rsidTr="00105F69">
        <w:trPr>
          <w:cantSplit/>
          <w:trHeight w:val="500"/>
          <w:tblHeader/>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rPr>
                <w:b/>
                <w:bCs/>
              </w:rPr>
              <w:t>WT strategy</w:t>
            </w:r>
          </w:p>
        </w:tc>
        <w:tc>
          <w:tcPr>
            <w:tcW w:w="83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942264" w:rsidRDefault="00942264" w:rsidP="00105F69">
            <w:pPr>
              <w:pStyle w:val="normal0"/>
              <w:spacing w:before="0" w:after="0"/>
            </w:pPr>
            <w:r>
              <w:t>Use a phased pilot to minimise financial and operational exposure.</w:t>
            </w:r>
          </w:p>
        </w:tc>
      </w:tr>
    </w:tbl>
    <w:p w:rsidR="00942264" w:rsidRDefault="00942264" w:rsidP="00942264">
      <w:pPr>
        <w:pStyle w:val="normal0"/>
        <w:rPr>
          <w:b/>
          <w:bCs/>
        </w:rPr>
      </w:pPr>
      <w:r>
        <w:rPr>
          <w:b/>
          <w:bCs/>
        </w:rPr>
        <w:lastRenderedPageBreak/>
        <w:t xml:space="preserve">Critical analysis </w:t>
      </w:r>
    </w:p>
    <w:p w:rsidR="00942264" w:rsidRDefault="00942264" w:rsidP="00942264">
      <w:pPr>
        <w:pStyle w:val="normal0"/>
      </w:pPr>
      <w:r>
        <w:t xml:space="preserve">The SWOT evidence shows that the best strategic fit for EcoLoop is a circular approach combined with digital transparency, but that potential benefit is limited by the small scale of use and a lack of recognition and trust of the brand with customers. While positioning as a circular economy can be a differentiator, sustainability is not enough to add value to customers (Ogiemwonyi 2025). Cooper (2024) also shows that integrating sustainability into procurement can enhance strategic alignment, but that does not mean that procurement commitment turns into adoption. Based on 70 circular new ventures identified, Kanda </w:t>
      </w:r>
      <w:r>
        <w:rPr>
          <w:i/>
          <w:iCs/>
        </w:rPr>
        <w:t>et al</w:t>
      </w:r>
      <w:r>
        <w:t xml:space="preserve">. (2024) point out the operational and commercial challenges encountered in the development of viable circular business models. EcoLoop should thus refrain from making significant fixed investments until the demand is confirmed. Relations with partners can overcome resource constraints by offering logistics, refurbishment and recycling services; a good service and reporting system can enhance the differentiation. What's more, Xu </w:t>
      </w:r>
      <w:r>
        <w:rPr>
          <w:i/>
          <w:iCs/>
        </w:rPr>
        <w:t>et al</w:t>
      </w:r>
      <w:r>
        <w:t>. (2025) point out that greenwashing has market implications, which further underscores the importance of credible environmental evidence. The willingness to pay, retention, collection economics and operational reliability should therefore be tested through a phased pilot before scaling.</w:t>
      </w:r>
    </w:p>
    <w:p w:rsidR="00942264" w:rsidRDefault="00942264" w:rsidP="00942264">
      <w:pPr>
        <w:pStyle w:val="Heading2"/>
      </w:pPr>
      <w:bookmarkStart w:id="88" w:name="_heading=h.fkq73p8gv8nu" w:colFirst="0" w:colLast="0"/>
      <w:bookmarkStart w:id="89" w:name="_Toc239373374"/>
      <w:bookmarkEnd w:id="88"/>
      <w:r>
        <w:t>7.5 Strategic Choice</w:t>
      </w:r>
      <w:bookmarkEnd w:id="89"/>
    </w:p>
    <w:p w:rsidR="00942264" w:rsidRDefault="00942264" w:rsidP="00942264">
      <w:pPr>
        <w:pStyle w:val="normal0"/>
      </w:pPr>
      <w:r>
        <w:t>The most logical strategic option is focused differentiation, as there is no need for a cost-leading strategy when a circular strategy is not scalable for EcoLoop, but it can be measured and attainable through specialist service design. It is recommended that the initial segment be SMEs and medium sized organisations rather than the total population of businesses, who have varying office needs. This focus is strategically warranted because of the widespread adoption of hybrid working, and the fact that ONS has identified 2.73M VAT/PAYE businesses, which are broad but do not necessarily represent demand that can be addressed (Business Registers Strategy and Outputs team, 2025). EcoLoop should therefore focus on companies undergoing a change in ownership, such as relocations, expansions, downsizing, and refurbishment, as there may be stranded assets and disposal requirements.</w:t>
      </w:r>
    </w:p>
    <w:p w:rsidR="00942264" w:rsidRDefault="00942264" w:rsidP="00942264">
      <w:pPr>
        <w:pStyle w:val="normal0"/>
      </w:pPr>
      <w:r>
        <w:lastRenderedPageBreak/>
        <w:t>The differentiation should be based on a comprehensive proposition that covers collection, reuse and refurbishment/recycling coordination, digital traceability, maintenance and sustainability reporting. The goal is to go on lifecycle value, not lowest price. The concept of cost leadership seems to be structurally impossible as the established operators have large-scale, strong procurement influence, logistics, and a loyal customer base (Pesce and Neirotti, 2023). Rather than adding switching value, EcoLoop should focus on providing convenient services, reliable service, transparency and commitment to providing reporting to the customer based on their specific needs.</w:t>
      </w:r>
    </w:p>
    <w:p w:rsidR="00942264" w:rsidRDefault="00942264" w:rsidP="00942264">
      <w:pPr>
        <w:pStyle w:val="normal0"/>
      </w:pPr>
      <w:r>
        <w:t>The strategy should also be regionally focused. This is suitable for a London-led pilot as it is identified that there is good office activity and fit out pressures, however, there is no automatic right to expand due to geographic density. However, reverse logistics can negatively impact the margins if the distances traveled for collecting, cost of storage and processing increase (Jenkins, 2024). Pilot, validate, standardise and scale, then, is therefore the recommended sequence. The pilot should evaluate customer acquisition, retention, contribution margin and collection reliability and resource utilisation, before a significant fixed investment is committed.</w:t>
      </w:r>
    </w:p>
    <w:p w:rsidR="00942264" w:rsidRDefault="00942264" w:rsidP="00942264">
      <w:pPr>
        <w:pStyle w:val="Heading2"/>
      </w:pPr>
      <w:bookmarkStart w:id="90" w:name="_heading=h.75g2io9epfxs" w:colFirst="0" w:colLast="0"/>
      <w:bookmarkStart w:id="91" w:name="_Toc239373375"/>
      <w:bookmarkEnd w:id="90"/>
      <w:r>
        <w:t>7.6 USP and Value Proposition</w:t>
      </w:r>
      <w:bookmarkEnd w:id="91"/>
    </w:p>
    <w:p w:rsidR="00942264" w:rsidRDefault="00942264" w:rsidP="00942264">
      <w:pPr>
        <w:pStyle w:val="normal0"/>
      </w:pPr>
      <w:r>
        <w:t xml:space="preserve">EcoLoop's proposed USP is: “The convenient collection of office resources, multi-purpose re-use, recycling and measurable sustainability reporting.” The proposition is a mixture of four types of value. The functional value is created by Collection, Sorting, Reuse, Recycling and Digital Monitoring. Economic value can be derived from better use of resources, potential savings on waste and sustainability management costs (outsourcing) (Sala-Garrido </w:t>
      </w:r>
      <w:r>
        <w:rPr>
          <w:i/>
          <w:iCs/>
        </w:rPr>
        <w:t>et al</w:t>
      </w:r>
      <w:r>
        <w:t>, 2024). Environmental value is related to the diversion of material from the disposal stream and to the increase of the lifespan of resources, reputational value is related to evidence-based sustainability reporting.</w:t>
      </w:r>
    </w:p>
    <w:p w:rsidR="00942264" w:rsidRDefault="00942264" w:rsidP="00942264">
      <w:pPr>
        <w:pStyle w:val="normal0"/>
      </w:pPr>
      <w:r>
        <w:t xml:space="preserve">The proposition is a solution to a significant problem of resource management. The scale of the challenge is demonstrated by the amount of commercial and industrial waste that England produced in 2023, which was 32.6 million tonnes, but is not indicative of demand for EcoLoop (Government of UK, 2024). As of March 2025, there were 2.73 million VAT and/or PAYE </w:t>
      </w:r>
      <w:r>
        <w:lastRenderedPageBreak/>
        <w:t>businesses in the UK, which is not the UK's addressable market for EcoLoop (ONS, 2025). Thus the USP needs to be targeted at actual customer results instead of the general sustainability statements.</w:t>
      </w:r>
    </w:p>
    <w:p w:rsidR="00942264" w:rsidRDefault="00942264" w:rsidP="00942264">
      <w:pPr>
        <w:pStyle w:val="normal0"/>
      </w:pPr>
      <w:r>
        <w:t xml:space="preserve">However, sustainability alone is not defensible since other people can copy circular services and customers can choose to buy goods instead of repair, rent or refurbish or to switch to incumbent waste-management contracts (Huis </w:t>
      </w:r>
      <w:r>
        <w:rPr>
          <w:i/>
          <w:iCs/>
        </w:rPr>
        <w:t>et al</w:t>
      </w:r>
      <w:r>
        <w:t>., 2026). Convenience, technology, and measurable data should be a part of EcoLoop. Customers should have the option to make collections, monitor the outcome of the usage of resources and receive credible impact reports. Collection reliability, reuse, satisfaction, retention, cost per collection should be used for validating the USP.</w:t>
      </w:r>
    </w:p>
    <w:p w:rsidR="00942264" w:rsidRDefault="00942264" w:rsidP="00942264">
      <w:pPr>
        <w:pStyle w:val="Heading2"/>
      </w:pPr>
      <w:bookmarkStart w:id="92" w:name="_heading=h.mdyztjfrg9lb" w:colFirst="0" w:colLast="0"/>
      <w:bookmarkStart w:id="93" w:name="_Toc239373376"/>
      <w:bookmarkEnd w:id="92"/>
      <w:r>
        <w:t>7.7 Competitive Advantage</w:t>
      </w:r>
      <w:bookmarkEnd w:id="93"/>
    </w:p>
    <w:p w:rsidR="00942264" w:rsidRDefault="00942264" w:rsidP="00942264">
      <w:pPr>
        <w:pStyle w:val="normal0"/>
      </w:pPr>
      <w:r>
        <w:t>EcoLoop's competitive edge should come from six capabilities that are interrelated: integrated circular service delivery, digital tracking, sustainability-impact reporting, flexible SME packages, local partnerships and customer specific recommendations. None is not necessarily rare on its own; competitors can do similar features. What is good is the way they are "packaged" together into a service system. Digital records enhance the reporting process, partnerships increase the potential for reuse, while customer data helps to provide customised recommendations (Wang, Wang and Liu, 2025). This makes it harder to imitate, but doesn't necessarily secure the advantage. So, competitive advantage will only be achieved if the operations are reliable, knowledge of customers is built up and they are executed at a low cost.</w:t>
      </w:r>
    </w:p>
    <w:p w:rsidR="00942264" w:rsidRDefault="00942264" w:rsidP="00942264">
      <w:pPr>
        <w:pStyle w:val="Heading2"/>
      </w:pPr>
      <w:bookmarkStart w:id="94" w:name="_heading=h.xx5njd9px4fl" w:colFirst="0" w:colLast="0"/>
      <w:bookmarkStart w:id="95" w:name="_Toc239373377"/>
      <w:bookmarkEnd w:id="94"/>
      <w:r>
        <w:t>7.8 Key Success Factors</w:t>
      </w:r>
      <w:bookmarkEnd w:id="95"/>
    </w:p>
    <w:p w:rsidR="00942264" w:rsidRDefault="00942264" w:rsidP="00942264">
      <w:pPr>
        <w:pStyle w:val="normal0"/>
      </w:pPr>
      <w:r>
        <w:t>The key to success is having reliable collections, competitive pricing, customer acquisition and retention, strong reuse/recycling partnerships, reliable technology, capable employees, measurable environmental outcomes, customer satisfaction, and positive cash flow. These should be made operational KPIs and linked directly to the Business Model Canvas, financial plan and operations plan and implementation programme. The test of the strategy is straightforward: EcoLoop has to prove that circularity enhances customer value while leaving the economics of logistics, processing and servicing intact.</w:t>
      </w:r>
    </w:p>
    <w:p w:rsidR="00942264" w:rsidRDefault="00942264" w:rsidP="00942264">
      <w:pPr>
        <w:pStyle w:val="Heading1"/>
      </w:pPr>
      <w:bookmarkStart w:id="96" w:name="_Toc239373378"/>
      <w:r>
        <w:lastRenderedPageBreak/>
        <w:t>Chapter 8. Business Model Canvas</w:t>
      </w:r>
      <w:bookmarkEnd w:id="96"/>
    </w:p>
    <w:p w:rsidR="00942264" w:rsidRDefault="00942264" w:rsidP="00942264">
      <w:pPr>
        <w:pStyle w:val="Heading2"/>
        <w:keepNext w:val="0"/>
        <w:keepLines w:val="0"/>
      </w:pPr>
      <w:bookmarkStart w:id="97" w:name="_heading=h.5d4wf8okxyn" w:colFirst="0" w:colLast="0"/>
      <w:bookmarkStart w:id="98" w:name="_Toc239373379"/>
      <w:bookmarkEnd w:id="97"/>
      <w:r>
        <w:t>8.1 BMC Introduction</w:t>
      </w:r>
      <w:bookmarkEnd w:id="98"/>
    </w:p>
    <w:p w:rsidR="00942264" w:rsidRDefault="00942264" w:rsidP="00942264">
      <w:pPr>
        <w:pStyle w:val="normal0"/>
      </w:pPr>
      <w:r>
        <w:t>The EcoLoop Office approach to focus-differentiation has been presented in the Business Model Canvas (BMC) which portrays the integrated creation, delivery and capture of value. It brings together the customer's problem (inefficient office resource and waste management) and collection, reuse, recycling and digital reporting. In 2023, England produced approximately 32.6 million tonnes of commercial and industrial waste, which presents a significant challenge for the management of resources. (Government of UK, 2024c) The BMC thus establishes commercial viability for all the 9 components against environmental value.</w:t>
      </w:r>
    </w:p>
    <w:p w:rsidR="00942264" w:rsidRDefault="00942264" w:rsidP="00942264">
      <w:pPr>
        <w:pStyle w:val="Heading2"/>
        <w:keepNext w:val="0"/>
        <w:keepLines w:val="0"/>
      </w:pPr>
      <w:bookmarkStart w:id="99" w:name="_heading=h.bz94iqv31zng" w:colFirst="0" w:colLast="0"/>
      <w:bookmarkStart w:id="100" w:name="_Toc239373380"/>
      <w:bookmarkEnd w:id="99"/>
      <w:r>
        <w:t>8.2 Customer Segments</w:t>
      </w:r>
      <w:bookmarkEnd w:id="100"/>
    </w:p>
    <w:p w:rsidR="00942264" w:rsidRDefault="00942264" w:rsidP="00942264">
      <w:pPr>
        <w:pStyle w:val="normal0"/>
      </w:pPr>
      <w:r>
        <w:t>EcoLoop should focus on SMEs and medium sized offices as this is a large market segment with the possibility of unmet demand for standardised waste services. As at the beginning of 2024, there were some 5.49 million SMEs in the UK, which comprised nearly 99.8% of private-sector businesses, though SMEs in the UK accounted for about 60% of private-sector employment and 52% of turnover (Government of UK, 2024a). But 74% of businesses were owned by business people only, and those that reported having employees other than business people were far less frequently smaller businesses. Higher numbers of smaller businesses were found in hotels and motels, driving services, and manufacturing, while gaming and retail trade had the fewest, (OECD, 2026). EcoLoop should thus adopt the strategy of engaging organisations. Other secondary segments comprise co-working spaces, educational organisations, professional-services firms and office/property managers.</w:t>
      </w:r>
    </w:p>
    <w:p w:rsidR="00942264" w:rsidRDefault="00942264" w:rsidP="00942264">
      <w:pPr>
        <w:pStyle w:val="Heading2"/>
        <w:keepNext w:val="0"/>
        <w:keepLines w:val="0"/>
      </w:pPr>
      <w:bookmarkStart w:id="101" w:name="_heading=h.uks3rhervje8" w:colFirst="0" w:colLast="0"/>
      <w:bookmarkStart w:id="102" w:name="_Toc239373381"/>
      <w:bookmarkEnd w:id="101"/>
      <w:r>
        <w:t>8.3 Value Proposition</w:t>
      </w:r>
      <w:bookmarkEnd w:id="102"/>
    </w:p>
    <w:p w:rsidR="00942264" w:rsidRDefault="00942264" w:rsidP="00942264">
      <w:pPr>
        <w:pStyle w:val="normal0"/>
      </w:pPr>
      <w:r>
        <w:t xml:space="preserve">The offer from EcoLoop need not be limited to “recycling,” but also integrated circular-office service. Customers enjoy convenient collection and reuse/recycling, digital tracking and sustainability reporting (Eslamipoor 2026). It will create functional value as it will decrease administrative burden and information value from collection activities by collecting them in </w:t>
      </w:r>
      <w:r>
        <w:lastRenderedPageBreak/>
        <w:t>measurable sustainability data. The UK recycling rate for household waste remains at 44.6% for 2023, and the commercial and institutional waste is still a significant amount (Green Space Innovations, 2025). By identifying what happens to resources after collection, EcoLoop can differentiate by demonstrating what is happening to the resources themselves after they leave the collection system. An environmental claim can however not be targeted, but substantiated with evidence, or else it risks becoming "green washed.</w:t>
      </w:r>
    </w:p>
    <w:p w:rsidR="00942264" w:rsidRDefault="00942264" w:rsidP="00942264">
      <w:pPr>
        <w:pStyle w:val="Heading2"/>
        <w:keepNext w:val="0"/>
        <w:keepLines w:val="0"/>
      </w:pPr>
      <w:bookmarkStart w:id="103" w:name="_heading=h.6bkvqke54qk3" w:colFirst="0" w:colLast="0"/>
      <w:bookmarkStart w:id="104" w:name="_Toc239373382"/>
      <w:bookmarkEnd w:id="103"/>
      <w:r>
        <w:t>8.4 Channels</w:t>
      </w:r>
      <w:bookmarkEnd w:id="104"/>
    </w:p>
    <w:p w:rsidR="00942264" w:rsidRDefault="00942264" w:rsidP="00942264">
      <w:pPr>
        <w:pStyle w:val="normal0"/>
      </w:pPr>
      <w:r>
        <w:t>Selling major items through a digitized and a B2B route (Shonubi, 2025) should be favored for the adoption of EcoLoop. Direct sales will be able to recognize the position, which has an appropriate amount of waste, and the website will help answer questions, sustainability evaluation and offer quotations (Shonubi, 2025). Target Office Managers, Operations Managers, Sustainability Decision makers – with Linkedin and Email marketing. Credibility can be won by holding sustainability events and operating networks of businesses.</w:t>
      </w:r>
      <w:r w:rsidR="00105F69">
        <w:t xml:space="preserve"> </w:t>
      </w:r>
      <w:r>
        <w:t>Credibility can be garnered from the hosting of sustainability events and networks of businesses. This is the better way to do things instead of digital advertising alone due to the need for trust during operational change.</w:t>
      </w:r>
    </w:p>
    <w:p w:rsidR="00942264" w:rsidRDefault="00942264" w:rsidP="00942264">
      <w:pPr>
        <w:pStyle w:val="Heading2"/>
        <w:keepNext w:val="0"/>
        <w:keepLines w:val="0"/>
      </w:pPr>
      <w:bookmarkStart w:id="105" w:name="_heading=h.8srxno93xboc" w:colFirst="0" w:colLast="0"/>
      <w:bookmarkStart w:id="106" w:name="_Toc239373383"/>
      <w:bookmarkEnd w:id="105"/>
      <w:r>
        <w:t>8.5 Customer Relationships</w:t>
      </w:r>
      <w:bookmarkEnd w:id="106"/>
    </w:p>
    <w:p w:rsidR="00942264" w:rsidRDefault="00942264" w:rsidP="00942264">
      <w:pPr>
        <w:pStyle w:val="normal0"/>
      </w:pPr>
      <w:r>
        <w:t>Relationships should be consultative and not transactional. EcoLoop should start by conducting an office sustainability assessment, to be followed by onboarding, regular collections, ongoing account management and regular impact reporting to the European Commission (2026). Outcomes of collection volumes and re-use and re-cycling can be reported on a dashboard. This can help bolster retention via amassed service records and reports. What should be at the core of the renewal process is not the environmental message. It should be all about reliability and the actual value to the customer.</w:t>
      </w:r>
    </w:p>
    <w:p w:rsidR="00942264" w:rsidRDefault="00942264" w:rsidP="00942264">
      <w:pPr>
        <w:pStyle w:val="Heading2"/>
        <w:keepNext w:val="0"/>
        <w:keepLines w:val="0"/>
      </w:pPr>
      <w:bookmarkStart w:id="107" w:name="_heading=h.nulwwqomma10" w:colFirst="0" w:colLast="0"/>
      <w:bookmarkStart w:id="108" w:name="_Toc239373384"/>
      <w:bookmarkEnd w:id="107"/>
      <w:r>
        <w:t>8.6 Revenue Streams</w:t>
      </w:r>
      <w:bookmarkEnd w:id="108"/>
    </w:p>
    <w:p w:rsidR="00942264" w:rsidRDefault="00942264" w:rsidP="00942264">
      <w:pPr>
        <w:pStyle w:val="normal0"/>
      </w:pPr>
      <w:r>
        <w:t xml:space="preserve">The revenue model should bring in periodic revenues, usage and value added revenues. Predictable monthly recurring revenue to invest in collection infrastructure, technology and staff. </w:t>
      </w:r>
      <w:r>
        <w:lastRenderedPageBreak/>
        <w:t xml:space="preserve">There are various ways to determine the collection fees; fees can be lower or higher depending on the volume, or based on the frequency of collection, similar to the cost of the operation (Lamichhane, Lama and Lopchan, 2024). Delivers options like premium sustainability analytics for customers that need to provide detailed reports, or consultancy that can convert office audits and improvement plans (PwC, 2025). Corporate contracts are available in larger companies. </w:t>
      </w:r>
    </w:p>
    <w:p w:rsidR="00942264" w:rsidRDefault="00942264" w:rsidP="00942264">
      <w:pPr>
        <w:pStyle w:val="Heading2"/>
        <w:keepNext w:val="0"/>
        <w:keepLines w:val="0"/>
      </w:pPr>
      <w:bookmarkStart w:id="109" w:name="_heading=h.6wgvcnukipcu" w:colFirst="0" w:colLast="0"/>
      <w:bookmarkStart w:id="110" w:name="_Toc239373385"/>
      <w:bookmarkEnd w:id="109"/>
      <w:r>
        <w:t>8.7 Key Resources</w:t>
      </w:r>
      <w:bookmarkEnd w:id="110"/>
    </w:p>
    <w:p w:rsidR="00942264" w:rsidRDefault="00942264" w:rsidP="00942264">
      <w:pPr>
        <w:pStyle w:val="normal0"/>
      </w:pPr>
      <w:r>
        <w:t xml:space="preserve">The human resources, Digital Platform, Collection Systems, Logistics Capacity, Customer Data, Brand Reputation, Supply Chain and Sustainability expertise are the key resources (Kam </w:t>
      </w:r>
      <w:r>
        <w:rPr>
          <w:i/>
          <w:iCs/>
        </w:rPr>
        <w:t>et al</w:t>
      </w:r>
      <w:r>
        <w:t>., 2026). A sustained competitive advantage won't necessarily be obtained through technology as similar technologies are possible to buy from a competitor. Therefore, EcoLoop needs to put technology together with business know-how, and together with the knowledge of customers and partnerships.</w:t>
      </w:r>
    </w:p>
    <w:p w:rsidR="00942264" w:rsidRDefault="00942264" w:rsidP="00942264">
      <w:pPr>
        <w:pStyle w:val="Heading2"/>
        <w:keepNext w:val="0"/>
        <w:keepLines w:val="0"/>
      </w:pPr>
      <w:bookmarkStart w:id="111" w:name="_heading=h.sf6tuebf27m" w:colFirst="0" w:colLast="0"/>
      <w:bookmarkStart w:id="112" w:name="_Toc239373386"/>
      <w:bookmarkEnd w:id="111"/>
      <w:r>
        <w:t>8.8 Key Activities</w:t>
      </w:r>
      <w:bookmarkEnd w:id="112"/>
    </w:p>
    <w:p w:rsidR="00942264" w:rsidRDefault="00942264" w:rsidP="00942264">
      <w:pPr>
        <w:pStyle w:val="normal0"/>
      </w:pPr>
      <w:r>
        <w:t xml:space="preserve">Core activities are: (i) Customer acquisition, (ii) Office and resource assessment, (iii) Collection, (iv) Sorting, (v) Coordination for reuse and recycling, (vi) Data management and (vii) Reporting of impacts and maintenance of good customer service (Petropoulos </w:t>
      </w:r>
      <w:r>
        <w:rPr>
          <w:i/>
          <w:iCs/>
        </w:rPr>
        <w:t>et al</w:t>
      </w:r>
      <w:r>
        <w:t>., 2025). If the activities are involved they need to be reinforcing the value proposition. Inaccurate data capture is especially significant since this impacts customer loyalty and segmentation if data is generated inaccurately.</w:t>
      </w:r>
    </w:p>
    <w:p w:rsidR="00942264" w:rsidRDefault="00942264" w:rsidP="00942264">
      <w:pPr>
        <w:pStyle w:val="Heading2"/>
        <w:keepNext w:val="0"/>
        <w:keepLines w:val="0"/>
      </w:pPr>
      <w:bookmarkStart w:id="113" w:name="_heading=h.cu65e4bdcdi3" w:colFirst="0" w:colLast="0"/>
      <w:bookmarkStart w:id="114" w:name="_Toc239373387"/>
      <w:bookmarkEnd w:id="113"/>
      <w:r>
        <w:t>8.9 Key Partnerships</w:t>
      </w:r>
      <w:bookmarkEnd w:id="114"/>
    </w:p>
    <w:p w:rsidR="00942264" w:rsidRDefault="00942264" w:rsidP="00942264">
      <w:pPr>
        <w:pStyle w:val="normal0"/>
      </w:pPr>
      <w:r>
        <w:t xml:space="preserve">By forming partnerships with recycling partners, reuse/refurbishment partners, logistics providers, technology suppliers, office landlords and sustainability specialists, EcoLoop enjoys access to capabilities without owning the entire value chain supply (Bals </w:t>
      </w:r>
      <w:r>
        <w:rPr>
          <w:i/>
          <w:iCs/>
        </w:rPr>
        <w:t>et al</w:t>
      </w:r>
      <w:r>
        <w:t>., 2024). Nigeria should therefore seek to assess its critical suppliers for reliability, compliance, environmental performance and cost, and find alternative suppliers if it can.</w:t>
      </w:r>
    </w:p>
    <w:p w:rsidR="00105F69" w:rsidRDefault="00105F69" w:rsidP="00942264">
      <w:pPr>
        <w:pStyle w:val="Heading2"/>
        <w:keepNext w:val="0"/>
        <w:keepLines w:val="0"/>
      </w:pPr>
      <w:bookmarkStart w:id="115" w:name="_heading=h.jnrs93dious" w:colFirst="0" w:colLast="0"/>
      <w:bookmarkEnd w:id="115"/>
    </w:p>
    <w:p w:rsidR="00942264" w:rsidRDefault="00942264" w:rsidP="00942264">
      <w:pPr>
        <w:pStyle w:val="Heading2"/>
        <w:keepNext w:val="0"/>
        <w:keepLines w:val="0"/>
      </w:pPr>
      <w:bookmarkStart w:id="116" w:name="_Toc239373388"/>
      <w:r>
        <w:lastRenderedPageBreak/>
        <w:t>8.10 Cost Structure</w:t>
      </w:r>
      <w:bookmarkEnd w:id="116"/>
    </w:p>
    <w:p w:rsidR="00942264" w:rsidRDefault="00942264" w:rsidP="00942264">
      <w:pPr>
        <w:pStyle w:val="normal0"/>
      </w:pPr>
      <w:r>
        <w:t>The fixed costs should include the salaries, technology, insurance, administration and storage costs, while the variable costs should involve logistics, processing, packaging costs, and fees paid to partners and costs of acquiring customers (Mostafa, Moustafa and Elshaer, 2023). The pilot needs to keep a core, low fixed cost initial base and build up variable capacity based on customers. This will help keep your cash flow intact and remain scalable with a differentiated service.</w:t>
      </w:r>
    </w:p>
    <w:p w:rsidR="00942264" w:rsidRDefault="00942264">
      <w:r>
        <w:t xml:space="preserve"> </w:t>
      </w:r>
    </w:p>
    <w:p w:rsidR="002C2BC8" w:rsidRDefault="002C2BC8">
      <w:pPr>
        <w:jc w:val="left"/>
      </w:pPr>
    </w:p>
    <w:p w:rsidR="002C2BC8" w:rsidRDefault="002C2BC8">
      <w:pPr>
        <w:jc w:val="left"/>
      </w:pPr>
    </w:p>
    <w:p w:rsidR="002C2BC8" w:rsidRDefault="002C2BC8"/>
    <w:p w:rsidR="002C2BC8" w:rsidRDefault="00FC2205">
      <w:pPr>
        <w:pStyle w:val="Heading1"/>
      </w:pPr>
      <w:bookmarkStart w:id="117" w:name="_heading=h.7ejrrnwillx6" w:colFirst="0" w:colLast="0"/>
      <w:bookmarkEnd w:id="117"/>
      <w:r>
        <w:br w:type="page"/>
      </w:r>
    </w:p>
    <w:p w:rsidR="002C2BC8" w:rsidRDefault="00FC2205">
      <w:pPr>
        <w:pStyle w:val="Heading1"/>
      </w:pPr>
      <w:bookmarkStart w:id="118" w:name="_heading=h.bnw7toipqgk3" w:colFirst="0" w:colLast="0"/>
      <w:bookmarkStart w:id="119" w:name="_Toc239373389"/>
      <w:bookmarkEnd w:id="118"/>
      <w:r>
        <w:lastRenderedPageBreak/>
        <w:t>References</w:t>
      </w:r>
      <w:bookmarkEnd w:id="119"/>
    </w:p>
    <w:p w:rsidR="003D104A" w:rsidRDefault="003D104A">
      <w:r>
        <w:t>‌Alcayaga, A. and Hansen, E.G., 2025. Smart circular economy as a service business model: an activity system framework and research agenda. R&amp;D Management, 55(2), pp.508-530.</w:t>
      </w:r>
      <w:hyperlink r:id="rId18">
        <w:r>
          <w:rPr>
            <w:color w:val="1155CC"/>
            <w:u w:val="single"/>
          </w:rPr>
          <w:t>https://onlinelibrary.wiley.com/doi/pdf/10.1111/radm.12707</w:t>
        </w:r>
      </w:hyperlink>
    </w:p>
    <w:p w:rsidR="003D104A" w:rsidRDefault="003D104A" w:rsidP="003D104A">
      <w:pPr>
        <w:pStyle w:val="NormalWeb"/>
        <w:spacing w:before="0" w:beforeAutospacing="0" w:after="240" w:afterAutospacing="0" w:line="360" w:lineRule="auto"/>
        <w:jc w:val="both"/>
      </w:pPr>
      <w:r>
        <w:rPr>
          <w:color w:val="000000"/>
        </w:rPr>
        <w:t xml:space="preserve">Alfieri, L., Mariotti, I. and Rossi, F. (2025). The twin transition and flexible work arrangements: A systematic literature review. </w:t>
      </w:r>
      <w:r>
        <w:rPr>
          <w:i/>
          <w:iCs/>
          <w:color w:val="000000"/>
        </w:rPr>
        <w:t>Journal of Environmental Management</w:t>
      </w:r>
      <w:r>
        <w:rPr>
          <w:color w:val="000000"/>
        </w:rPr>
        <w:t xml:space="preserve">, [online] 395, p.127988. Available at: </w:t>
      </w:r>
      <w:hyperlink r:id="rId19" w:history="1">
        <w:r>
          <w:rPr>
            <w:rStyle w:val="Hyperlink"/>
            <w:color w:val="1155CC"/>
          </w:rPr>
          <w:t>https://www.sciencedirect.com/science/article/pii/S0301479725039647?via%3Dihub</w:t>
        </w:r>
      </w:hyperlink>
      <w:r>
        <w:rPr>
          <w:color w:val="000000"/>
        </w:rPr>
        <w:t>  [Accessed 21 Aug. 2026].</w:t>
      </w:r>
    </w:p>
    <w:p w:rsidR="003D104A" w:rsidRDefault="003D104A" w:rsidP="003D104A">
      <w:pPr>
        <w:pStyle w:val="NormalWeb"/>
        <w:spacing w:before="0" w:beforeAutospacing="0" w:after="240" w:afterAutospacing="0" w:line="360" w:lineRule="auto"/>
        <w:jc w:val="both"/>
      </w:pPr>
      <w:r>
        <w:rPr>
          <w:color w:val="000000"/>
        </w:rPr>
        <w:t xml:space="preserve">Alfina, K.N., Ratnayake, C., Wibisono, D., Basri, M.H. and Mulyono, N.B. (2025). Enhancing resilience and sustainable healthcare supply chains: Integrating circular economy and dynamic barrier management. </w:t>
      </w:r>
      <w:r>
        <w:rPr>
          <w:i/>
          <w:iCs/>
          <w:color w:val="000000"/>
        </w:rPr>
        <w:t>Discover Sustainability</w:t>
      </w:r>
      <w:r>
        <w:rPr>
          <w:color w:val="000000"/>
        </w:rPr>
        <w:t xml:space="preserve">, [online] 6(1). Available at: </w:t>
      </w:r>
      <w:hyperlink r:id="rId20" w:history="1">
        <w:r>
          <w:rPr>
            <w:rStyle w:val="Hyperlink"/>
            <w:color w:val="1155CC"/>
          </w:rPr>
          <w:t>https://link.springer.com/article/10.1007/s43621-025-01270-1</w:t>
        </w:r>
      </w:hyperlink>
      <w:r>
        <w:rPr>
          <w:color w:val="000000"/>
        </w:rPr>
        <w:t>  [Accessed 21 Aug. 2026].</w:t>
      </w:r>
    </w:p>
    <w:p w:rsidR="003D104A" w:rsidRDefault="003D104A" w:rsidP="003D104A">
      <w:pPr>
        <w:pStyle w:val="NormalWeb"/>
        <w:spacing w:before="0" w:beforeAutospacing="0" w:after="240" w:afterAutospacing="0" w:line="360" w:lineRule="auto"/>
        <w:jc w:val="both"/>
      </w:pPr>
      <w:r>
        <w:rPr>
          <w:color w:val="000000"/>
        </w:rPr>
        <w:t xml:space="preserve">Amasino, D.R., Dolgin, J. and Huettel, S.A. (2023). Eyes on the account size: Interactions between attention and budget in consumer choice. </w:t>
      </w:r>
      <w:r>
        <w:rPr>
          <w:i/>
          <w:iCs/>
          <w:color w:val="000000"/>
        </w:rPr>
        <w:t>Journal of Economic Psychology</w:t>
      </w:r>
      <w:r>
        <w:rPr>
          <w:color w:val="000000"/>
        </w:rPr>
        <w:t xml:space="preserve">, [online] 97, pp.102632–102632. Available at: </w:t>
      </w:r>
      <w:hyperlink r:id="rId21" w:history="1">
        <w:r>
          <w:rPr>
            <w:rStyle w:val="Hyperlink"/>
            <w:color w:val="1155CC"/>
          </w:rPr>
          <w:t>https://www.sciencedirect.com/science/article/pii/S0167487023000338</w:t>
        </w:r>
      </w:hyperlink>
      <w:r>
        <w:rPr>
          <w:color w:val="000000"/>
        </w:rPr>
        <w:t>  [Accessed 21 Aug. 2026].</w:t>
      </w:r>
    </w:p>
    <w:p w:rsidR="003D104A" w:rsidRDefault="003D104A">
      <w:pPr>
        <w:spacing w:before="0"/>
      </w:pPr>
      <w:r>
        <w:t xml:space="preserve">Andersen, B.S. and Kreye, M.E. (2023). Implementing a centralised procurement strategy for global supplier base management. [online] pp.1–13. Available at: </w:t>
      </w:r>
      <w:hyperlink r:id="rId22">
        <w:r>
          <w:rPr>
            <w:color w:val="0000FF"/>
            <w:u w:val="single"/>
          </w:rPr>
          <w:t>https://www.tandfonline.com/doi/full/10.1080/09537287.2023.2217489</w:t>
        </w:r>
      </w:hyperlink>
      <w:r w:rsidR="002077D3">
        <w:t xml:space="preserve">  [Accessed 17</w:t>
      </w:r>
      <w:r>
        <w:t xml:space="preserve"> Aug. 2026].</w:t>
      </w:r>
    </w:p>
    <w:p w:rsidR="003D104A" w:rsidRDefault="003D104A">
      <w:pPr>
        <w:spacing w:before="0" w:after="160"/>
      </w:pPr>
      <w:r>
        <w:t>Baden, D. and Frei, R., 2021. Product returns: an opportunity to shift towards an access-based economy?. Sustainability, 14(1), p.410.</w:t>
      </w:r>
      <w:hyperlink r:id="rId23">
        <w:r>
          <w:rPr>
            <w:color w:val="1155CC"/>
            <w:u w:val="single"/>
          </w:rPr>
          <w:t>https://www.mdpi.com/2071-1050/14/1/410</w:t>
        </w:r>
      </w:hyperlink>
    </w:p>
    <w:p w:rsidR="003D104A" w:rsidRDefault="003D104A">
      <w:pPr>
        <w:spacing w:before="0" w:after="160"/>
      </w:pPr>
      <w:r>
        <w:lastRenderedPageBreak/>
        <w:t>Bennett, K. and Mayouf, M., 2021. Value management integration for whole life cycle: post COVID-19 strategy for the UK construction industry. Sustainability, 13(16), p.9274.</w:t>
      </w:r>
      <w:hyperlink r:id="rId24">
        <w:r>
          <w:rPr>
            <w:color w:val="1155CC"/>
            <w:u w:val="single"/>
          </w:rPr>
          <w:t>https://www.mdpi.com/2071-1050/13/16/9274</w:t>
        </w:r>
      </w:hyperlink>
    </w:p>
    <w:p w:rsidR="003D104A" w:rsidRDefault="003D104A">
      <w:pPr>
        <w:spacing w:before="0"/>
      </w:pPr>
      <w:r>
        <w:t xml:space="preserve">Bio-powder.com. (2023). </w:t>
      </w:r>
      <w:r>
        <w:rPr>
          <w:i/>
          <w:iCs/>
        </w:rPr>
        <w:t>Embracing Circular Economy: Profitable Sustainability for Modern Companies</w:t>
      </w:r>
      <w:r>
        <w:t>. [online] Available at: https://www.bio-powder.com/en/circular-economy/ [Accessed 18 Aug. 2026].</w:t>
      </w:r>
    </w:p>
    <w:p w:rsidR="003D104A" w:rsidRDefault="003D104A">
      <w:pPr>
        <w:spacing w:before="0" w:after="160"/>
      </w:pPr>
      <w:r>
        <w:t>Böttcher, T.P., Empelmann, S., Weking, J., Hein, A. and Krcmar, H., 2024. Digital sustainable business models: Using digital technology to integrate ecological sustainability into the core of business models. Information Systems Journal, 34(3), pp.736-761.</w:t>
      </w:r>
      <w:hyperlink r:id="rId25">
        <w:r>
          <w:rPr>
            <w:color w:val="1155CC"/>
            <w:u w:val="single"/>
          </w:rPr>
          <w:t>https://onlinelibrary.wiley.com/doi/pdfdirect/10.1111/isj.12436</w:t>
        </w:r>
      </w:hyperlink>
    </w:p>
    <w:p w:rsidR="003D104A" w:rsidRDefault="003D104A">
      <w:pPr>
        <w:spacing w:before="0" w:after="160"/>
      </w:pPr>
      <w:r>
        <w:t>Bressanelli, G., Saccani, N. and Perona, M., 2022. Investigating business potential and users’ acceptance of circular economy: a survey and an evaluation model. Sustainability, 14(2), p.609.</w:t>
      </w:r>
      <w:hyperlink r:id="rId26">
        <w:r>
          <w:rPr>
            <w:color w:val="1155CC"/>
            <w:u w:val="single"/>
          </w:rPr>
          <w:t>https://www.mdpi.com/2071-1050/14/2/609</w:t>
        </w:r>
      </w:hyperlink>
    </w:p>
    <w:p w:rsidR="003D104A" w:rsidRDefault="003D104A">
      <w:r>
        <w:t xml:space="preserve">‌Briggs, C. (2023). </w:t>
      </w:r>
      <w:r>
        <w:rPr>
          <w:i/>
          <w:iCs/>
        </w:rPr>
        <w:t>A Sustainable Business Model - Sustainable X</w:t>
      </w:r>
      <w:r>
        <w:t xml:space="preserve">. [online] Sustainable X. Available at: </w:t>
      </w:r>
      <w:hyperlink r:id="rId27">
        <w:r>
          <w:rPr>
            <w:color w:val="1155CC"/>
            <w:u w:val="single"/>
          </w:rPr>
          <w:t>https://www.sustainablex.co.uk/sustainable-business-model/</w:t>
        </w:r>
      </w:hyperlink>
      <w:r>
        <w:t xml:space="preserve">  [Accessed 18 Aug. 2026].</w:t>
      </w:r>
    </w:p>
    <w:p w:rsidR="003D104A" w:rsidRDefault="003D104A" w:rsidP="003D104A">
      <w:pPr>
        <w:pStyle w:val="NormalWeb"/>
        <w:spacing w:before="0" w:beforeAutospacing="0" w:after="240" w:afterAutospacing="0" w:line="360" w:lineRule="auto"/>
        <w:jc w:val="both"/>
      </w:pPr>
      <w:r>
        <w:rPr>
          <w:color w:val="000000"/>
        </w:rPr>
        <w:t xml:space="preserve">Budler, M., Quiroga, B.F. and Trkman, P. (2023). A review of supply chain transparency research: Antecedents, technologies, types, and outcomes. </w:t>
      </w:r>
      <w:r>
        <w:rPr>
          <w:i/>
          <w:iCs/>
          <w:color w:val="000000"/>
        </w:rPr>
        <w:t>Journal of Business Logistics</w:t>
      </w:r>
      <w:r>
        <w:rPr>
          <w:color w:val="000000"/>
        </w:rPr>
        <w:t xml:space="preserve">, [online] 45(1). Available at: </w:t>
      </w:r>
      <w:hyperlink r:id="rId28" w:history="1">
        <w:r>
          <w:rPr>
            <w:rStyle w:val="Hyperlink"/>
            <w:color w:val="1155CC"/>
          </w:rPr>
          <w:t>https://onlinelibrary.wiley.com/doi/10.1111/jbl.12368</w:t>
        </w:r>
      </w:hyperlink>
      <w:r>
        <w:rPr>
          <w:color w:val="000000"/>
        </w:rPr>
        <w:t>  [Accessed 21 Aug. 2026].</w:t>
      </w:r>
    </w:p>
    <w:p w:rsidR="003D104A" w:rsidRDefault="003D104A">
      <w:pPr>
        <w:spacing w:before="0"/>
      </w:pPr>
      <w:r>
        <w:t xml:space="preserve">Business Registers Strategy and Outputs team (2025). </w:t>
      </w:r>
      <w:r>
        <w:rPr>
          <w:i/>
          <w:iCs/>
        </w:rPr>
        <w:t>UK business; activity, size and location</w:t>
      </w:r>
      <w:r>
        <w:t xml:space="preserve">. [online] Ons.gov.uk. Available at: </w:t>
      </w:r>
      <w:hyperlink r:id="rId29">
        <w:r>
          <w:rPr>
            <w:color w:val="1155CC"/>
            <w:u w:val="single"/>
          </w:rPr>
          <w:t>https://www.ons.gov.uk/businessindustryandtrade/business/activitysizeandlocation/bulletins/ukbusinessactivitysizeandlocation/2025</w:t>
        </w:r>
      </w:hyperlink>
      <w:r>
        <w:t xml:space="preserve">  [Accessed 18 Aug. 2026].</w:t>
      </w:r>
    </w:p>
    <w:p w:rsidR="003D104A" w:rsidRDefault="003D104A" w:rsidP="003D104A">
      <w:pPr>
        <w:pStyle w:val="NormalWeb"/>
        <w:spacing w:before="0" w:beforeAutospacing="0" w:after="240" w:afterAutospacing="0" w:line="360" w:lineRule="auto"/>
        <w:jc w:val="both"/>
      </w:pPr>
      <w:r>
        <w:rPr>
          <w:color w:val="000000"/>
        </w:rPr>
        <w:t xml:space="preserve">Chen, R. and Perry, P. (2026). Configurational pathways for technology-enabled ESG value creation in global supply chains. </w:t>
      </w:r>
      <w:r>
        <w:rPr>
          <w:i/>
          <w:iCs/>
          <w:color w:val="000000"/>
        </w:rPr>
        <w:t>Journal of Business Research</w:t>
      </w:r>
      <w:r>
        <w:rPr>
          <w:color w:val="000000"/>
        </w:rPr>
        <w:t xml:space="preserve">, [online] 215, p.116356. </w:t>
      </w:r>
      <w:r>
        <w:rPr>
          <w:color w:val="000000"/>
        </w:rPr>
        <w:lastRenderedPageBreak/>
        <w:t xml:space="preserve">Available at: </w:t>
      </w:r>
      <w:hyperlink r:id="rId30" w:history="1">
        <w:r>
          <w:rPr>
            <w:rStyle w:val="Hyperlink"/>
            <w:color w:val="1155CC"/>
          </w:rPr>
          <w:t>https://www.sciencedirect.com/science/article/pii/S0148296326003917</w:t>
        </w:r>
      </w:hyperlink>
      <w:r w:rsidR="002077D3">
        <w:rPr>
          <w:color w:val="000000"/>
        </w:rPr>
        <w:t>  [Accessed 20</w:t>
      </w:r>
      <w:r>
        <w:rPr>
          <w:color w:val="000000"/>
        </w:rPr>
        <w:t xml:space="preserve"> Aug. 2026].</w:t>
      </w:r>
    </w:p>
    <w:p w:rsidR="003D104A" w:rsidRDefault="003D104A" w:rsidP="003D104A">
      <w:pPr>
        <w:pStyle w:val="NormalWeb"/>
        <w:spacing w:before="0" w:beforeAutospacing="0" w:after="240" w:afterAutospacing="0" w:line="360" w:lineRule="auto"/>
        <w:jc w:val="both"/>
      </w:pPr>
      <w:r>
        <w:rPr>
          <w:color w:val="000000"/>
        </w:rPr>
        <w:t xml:space="preserve">Connor-Crabb, A., Hemingray, C. and Toms, S. (2026). Can digital technologies support sufficiency in fashion? Evidence from innovative UK fashion SMEs. </w:t>
      </w:r>
      <w:r>
        <w:rPr>
          <w:i/>
          <w:iCs/>
          <w:color w:val="000000"/>
        </w:rPr>
        <w:t>Fashion Practice</w:t>
      </w:r>
      <w:r>
        <w:rPr>
          <w:color w:val="000000"/>
        </w:rPr>
        <w:t xml:space="preserve">, [online] pp.1–26. Available at: </w:t>
      </w:r>
      <w:hyperlink r:id="rId31" w:history="1">
        <w:r>
          <w:rPr>
            <w:rStyle w:val="Hyperlink"/>
            <w:color w:val="1155CC"/>
          </w:rPr>
          <w:t>https://www.tandfonline.com/doi/full/10.1080/17569370.2026.2639755</w:t>
        </w:r>
      </w:hyperlink>
      <w:r>
        <w:rPr>
          <w:color w:val="000000"/>
        </w:rPr>
        <w:t>  [Accessed 21 Aug. 2026].</w:t>
      </w:r>
    </w:p>
    <w:p w:rsidR="003D104A" w:rsidRDefault="003D104A">
      <w:pPr>
        <w:widowControl w:val="0"/>
      </w:pPr>
      <w:r>
        <w:t xml:space="preserve">Consultancy UK (2026) ‘London now world’s second most expensive office fit-out market’, </w:t>
      </w:r>
      <w:r>
        <w:rPr>
          <w:i/>
          <w:iCs/>
        </w:rPr>
        <w:t>Consultancy.uk</w:t>
      </w:r>
      <w:r>
        <w:t>, 2 June. Available at:</w:t>
      </w:r>
      <w:hyperlink r:id="rId32"/>
      <w:hyperlink r:id="rId33">
        <w:r>
          <w:rPr>
            <w:color w:val="1155CC"/>
            <w:u w:val="single"/>
          </w:rPr>
          <w:t>https://www.consultancy.uk/news/44287/london-now-worlds-second-most-expensive-office-fit-out-market</w:t>
        </w:r>
      </w:hyperlink>
      <w:r>
        <w:t xml:space="preserve">  (Accessed: 18 August 2026).</w:t>
      </w:r>
      <w:r>
        <w:rPr>
          <w:b/>
          <w:bCs/>
        </w:rPr>
        <w:br/>
      </w:r>
      <w:r>
        <w:t>Office for National Statistics (2025a) ‘UK business; activity, size and location: 2025’, 24 September. Available at:</w:t>
      </w:r>
      <w:hyperlink r:id="rId34"/>
      <w:hyperlink r:id="rId35">
        <w:r>
          <w:rPr>
            <w:color w:val="1155CC"/>
            <w:u w:val="single"/>
          </w:rPr>
          <w:t>https://www.ons.gov.uk/businessindustryandtrade/business/activitysizeandlocation/bulletins/ukbusinessactivitysizeandlocation/2025</w:t>
        </w:r>
      </w:hyperlink>
      <w:r w:rsidR="002077D3">
        <w:t xml:space="preserve"> (Accessed: 19</w:t>
      </w:r>
      <w:r>
        <w:t xml:space="preserve"> August 2026).</w:t>
      </w:r>
      <w:r>
        <w:rPr>
          <w:b/>
          <w:bCs/>
        </w:rPr>
        <w:br/>
      </w:r>
      <w:r>
        <w:t>Office for National Statistics (2025b) ‘Who has access to hybrid work in Great Britain?’, 11 June. Available at:</w:t>
      </w:r>
      <w:hyperlink r:id="rId36"/>
      <w:hyperlink r:id="rId37">
        <w:r>
          <w:rPr>
            <w:color w:val="1155CC"/>
            <w:u w:val="single"/>
          </w:rPr>
          <w:t>https://www.ons.gov.uk/employmentandlabourmarket/peopleinwork/employmentandemployeetypes/articles/whohasaccesstohybridworkingreatbritain/latest</w:t>
        </w:r>
      </w:hyperlink>
      <w:r w:rsidR="002077D3">
        <w:t xml:space="preserve"> (Accessed: 19</w:t>
      </w:r>
      <w:r>
        <w:t xml:space="preserve"> August 2026).</w:t>
      </w:r>
      <w:r>
        <w:rPr>
          <w:b/>
          <w:bCs/>
        </w:rPr>
        <w:br/>
      </w:r>
      <w:r>
        <w:t xml:space="preserve">Homes England (2025) </w:t>
      </w:r>
      <w:r>
        <w:rPr>
          <w:i/>
          <w:iCs/>
        </w:rPr>
        <w:t>Homes England annual report and accounts 2024 to 2025</w:t>
      </w:r>
      <w:r>
        <w:t>. Available at:</w:t>
      </w:r>
      <w:hyperlink r:id="rId38"/>
      <w:hyperlink r:id="rId39">
        <w:r>
          <w:rPr>
            <w:color w:val="1155CC"/>
            <w:u w:val="single"/>
          </w:rPr>
          <w:t>https://www.gov.uk/government/publications/homes-england-annual-report-and-accounts-2024-and-2025/homes-england-annual-report-2024-to-2025-chairs-foreword-and-performance-report-accessible-version</w:t>
        </w:r>
      </w:hyperlink>
      <w:r w:rsidR="002077D3">
        <w:t xml:space="preserve"> (Accessed: 19</w:t>
      </w:r>
      <w:r>
        <w:t xml:space="preserve"> August 2026).</w:t>
      </w:r>
    </w:p>
    <w:p w:rsidR="003D104A" w:rsidRDefault="003D104A">
      <w:pPr>
        <w:spacing w:before="0" w:after="160"/>
      </w:pPr>
      <w:r>
        <w:t>Daglio, L., Ginelli, E. and Vignati, G., 2023. Housing design: Furniture or fixtures? Accommodating change through technological and typological innovation. Buildings, 13(7), p.1862.</w:t>
      </w:r>
      <w:hyperlink r:id="rId40">
        <w:r>
          <w:rPr>
            <w:color w:val="1155CC"/>
            <w:u w:val="single"/>
          </w:rPr>
          <w:t>https://www.mdpi.com/2075-5309/13/7/1862</w:t>
        </w:r>
      </w:hyperlink>
    </w:p>
    <w:p w:rsidR="003D104A" w:rsidRDefault="003D104A">
      <w:r>
        <w:t xml:space="preserve">‌Dalton, L. (2025). </w:t>
      </w:r>
      <w:r>
        <w:rPr>
          <w:i/>
          <w:iCs/>
        </w:rPr>
        <w:t>Working from Home Statistics UK: The 2025 Report</w:t>
      </w:r>
      <w:r>
        <w:t xml:space="preserve">. [online] Working From Coffee Shops. Available at: </w:t>
      </w:r>
      <w:hyperlink r:id="rId41">
        <w:r>
          <w:rPr>
            <w:color w:val="1155CC"/>
            <w:u w:val="single"/>
          </w:rPr>
          <w:t>https://www.workingfromcoffeeshops.co.uk/blog/working-from-home-statistics-uk</w:t>
        </w:r>
      </w:hyperlink>
      <w:r w:rsidR="002077D3">
        <w:t xml:space="preserve">  [Accessed 21</w:t>
      </w:r>
      <w:r>
        <w:t xml:space="preserve"> Aug. 2026].</w:t>
      </w:r>
    </w:p>
    <w:p w:rsidR="003D104A" w:rsidRDefault="003D104A" w:rsidP="003D104A">
      <w:pPr>
        <w:pStyle w:val="NormalWeb"/>
        <w:spacing w:before="0" w:beforeAutospacing="0" w:after="240" w:afterAutospacing="0" w:line="360" w:lineRule="auto"/>
        <w:jc w:val="both"/>
      </w:pPr>
      <w:r>
        <w:rPr>
          <w:color w:val="000000"/>
        </w:rPr>
        <w:lastRenderedPageBreak/>
        <w:t xml:space="preserve">Dao, T., Cooper, T. and Watkins, M. (2026). Examining the ‘consumer repair journey’ and business intervention opportunities to enhance customer experience and satisfaction. </w:t>
      </w:r>
      <w:r>
        <w:rPr>
          <w:i/>
          <w:iCs/>
          <w:color w:val="000000"/>
        </w:rPr>
        <w:t>Circular Economy and Sustainability</w:t>
      </w:r>
      <w:r>
        <w:rPr>
          <w:color w:val="000000"/>
        </w:rPr>
        <w:t xml:space="preserve">, [online] 6(2). Available at: </w:t>
      </w:r>
      <w:hyperlink r:id="rId42" w:history="1">
        <w:r>
          <w:rPr>
            <w:rStyle w:val="Hyperlink"/>
            <w:color w:val="1155CC"/>
          </w:rPr>
          <w:t>https://link.springer.com/article/10.1007/s43615-026-00773-x</w:t>
        </w:r>
      </w:hyperlink>
      <w:r>
        <w:rPr>
          <w:color w:val="000000"/>
        </w:rPr>
        <w:t>  [Accessed 21 Aug. 2026].</w:t>
      </w:r>
    </w:p>
    <w:p w:rsidR="003D104A" w:rsidRDefault="003D104A" w:rsidP="003D104A">
      <w:pPr>
        <w:pStyle w:val="NormalWeb"/>
        <w:spacing w:before="0" w:beforeAutospacing="0" w:after="240" w:afterAutospacing="0" w:line="360" w:lineRule="auto"/>
        <w:jc w:val="both"/>
      </w:pPr>
      <w:r>
        <w:rPr>
          <w:color w:val="000000"/>
        </w:rPr>
        <w:t xml:space="preserve">Das, A.K., Hossain, M.F., Khan, B.U., Rahman, M.M., Asad, Z. and Akter, M. (2025). Circular economy: A sustainable model for waste reduction and wealth creation in the textile supply chain. </w:t>
      </w:r>
      <w:r>
        <w:rPr>
          <w:i/>
          <w:iCs/>
          <w:color w:val="000000"/>
        </w:rPr>
        <w:t>SPE Polymers</w:t>
      </w:r>
      <w:r>
        <w:rPr>
          <w:color w:val="000000"/>
        </w:rPr>
        <w:t xml:space="preserve">, [online] 6(1). Available at: </w:t>
      </w:r>
      <w:hyperlink r:id="rId43" w:history="1">
        <w:r>
          <w:rPr>
            <w:rStyle w:val="Hyperlink"/>
            <w:color w:val="1155CC"/>
          </w:rPr>
          <w:t>https://4spepublications.onlinelibrary.wiley.com/doi/10.1002/pls2.10171</w:t>
        </w:r>
      </w:hyperlink>
      <w:r w:rsidR="002077D3">
        <w:rPr>
          <w:color w:val="000000"/>
        </w:rPr>
        <w:t>  [Accessed 22</w:t>
      </w:r>
      <w:r>
        <w:rPr>
          <w:color w:val="000000"/>
        </w:rPr>
        <w:t xml:space="preserve"> Aug. 2026].</w:t>
      </w:r>
    </w:p>
    <w:p w:rsidR="003D104A" w:rsidRDefault="003D104A">
      <w:pPr>
        <w:spacing w:before="0"/>
      </w:pPr>
      <w:r>
        <w:t xml:space="preserve">Dauerer, A. (2025). A systematic literature review of performance measurement systems and the integration of ESG factors. </w:t>
      </w:r>
      <w:r>
        <w:rPr>
          <w:i/>
          <w:iCs/>
        </w:rPr>
        <w:t>Environmental and Sustainability Indicators</w:t>
      </w:r>
      <w:r>
        <w:t xml:space="preserve">, [online] 27, p.100746. </w:t>
      </w:r>
      <w:hyperlink r:id="rId44">
        <w:r>
          <w:rPr>
            <w:color w:val="1155CC"/>
            <w:u w:val="single"/>
          </w:rPr>
          <w:t>https://doi.org/10.1016/j.indic.2025.100746</w:t>
        </w:r>
      </w:hyperlink>
    </w:p>
    <w:p w:rsidR="003D104A" w:rsidRDefault="003D104A" w:rsidP="003D104A">
      <w:pPr>
        <w:pStyle w:val="NormalWeb"/>
        <w:spacing w:before="0" w:beforeAutospacing="0" w:after="240" w:afterAutospacing="0" w:line="360" w:lineRule="auto"/>
        <w:jc w:val="both"/>
      </w:pPr>
      <w:r>
        <w:rPr>
          <w:color w:val="000000"/>
        </w:rPr>
        <w:t xml:space="preserve">Davis, T. and Charter, M. (2025). Creative Industries and the circular economy: A reality check across global policy, practice, and research. </w:t>
      </w:r>
      <w:r>
        <w:rPr>
          <w:i/>
          <w:iCs/>
          <w:color w:val="000000"/>
        </w:rPr>
        <w:t>Sustainability</w:t>
      </w:r>
      <w:r>
        <w:rPr>
          <w:color w:val="000000"/>
        </w:rPr>
        <w:t xml:space="preserve">, [online] 17(23), p.10460. Available at: </w:t>
      </w:r>
      <w:hyperlink r:id="rId45" w:history="1">
        <w:r>
          <w:rPr>
            <w:rStyle w:val="Hyperlink"/>
            <w:color w:val="1155CC"/>
          </w:rPr>
          <w:t>https://www.mdpi.com/2071-1050/17/23/10460</w:t>
        </w:r>
      </w:hyperlink>
      <w:r>
        <w:rPr>
          <w:color w:val="000000"/>
        </w:rPr>
        <w:t>  [Accessed 21 Aug. 2026].</w:t>
      </w:r>
    </w:p>
    <w:p w:rsidR="003D104A" w:rsidRDefault="003D104A">
      <w:pPr>
        <w:widowControl w:val="0"/>
      </w:pPr>
      <w:r>
        <w:t xml:space="preserve">Department for Environment, Food and Rural Affairs (2023) </w:t>
      </w:r>
      <w:r>
        <w:rPr>
          <w:i/>
          <w:iCs/>
        </w:rPr>
        <w:t>Maximising resources, minimising waste: a circular economy approach to resource and waste management in England</w:t>
      </w:r>
      <w:r>
        <w:t xml:space="preserve">. Available at: </w:t>
      </w:r>
      <w:hyperlink r:id="rId46">
        <w:r>
          <w:rPr>
            <w:color w:val="1155CC"/>
            <w:u w:val="single"/>
          </w:rPr>
          <w:t>https://www.gov.uk/government/publications/waste-prevention-programme-for-england-maximising-resources-minimising-waste/the-waste-prevention-programme-for-england-maximising-resources-minimising-waste</w:t>
        </w:r>
      </w:hyperlink>
      <w:r w:rsidR="002077D3">
        <w:t xml:space="preserve"> (Accessed: 17</w:t>
      </w:r>
      <w:r>
        <w:t xml:space="preserve"> August 2026).</w:t>
      </w:r>
    </w:p>
    <w:p w:rsidR="003D104A" w:rsidRDefault="003D104A" w:rsidP="003D104A">
      <w:pPr>
        <w:pStyle w:val="NormalWeb"/>
        <w:spacing w:before="0" w:beforeAutospacing="0" w:after="240" w:afterAutospacing="0" w:line="360" w:lineRule="auto"/>
        <w:jc w:val="both"/>
      </w:pPr>
      <w:r>
        <w:rPr>
          <w:color w:val="000000"/>
        </w:rPr>
        <w:t xml:space="preserve">Elarabi, H.A.O. and Khalifa, W. (2025). Impact of sustainable finance on business financial performance: Insight from London Stock Exchange firms. </w:t>
      </w:r>
      <w:r>
        <w:rPr>
          <w:i/>
          <w:iCs/>
          <w:color w:val="000000"/>
        </w:rPr>
        <w:t>Sustainability</w:t>
      </w:r>
      <w:r>
        <w:rPr>
          <w:color w:val="000000"/>
        </w:rPr>
        <w:t xml:space="preserve">, [online] 17(11), p.4898. Available at: </w:t>
      </w:r>
      <w:hyperlink r:id="rId47" w:history="1">
        <w:r>
          <w:rPr>
            <w:rStyle w:val="Hyperlink"/>
            <w:color w:val="1155CC"/>
          </w:rPr>
          <w:t>https://www.mdpi.com/2071-1050/17/11/4898</w:t>
        </w:r>
      </w:hyperlink>
      <w:r>
        <w:rPr>
          <w:color w:val="000000"/>
        </w:rPr>
        <w:t>  [Accessed 21 Aug. 2026].</w:t>
      </w:r>
    </w:p>
    <w:p w:rsidR="003D104A" w:rsidRDefault="003D104A">
      <w:pPr>
        <w:widowControl w:val="0"/>
      </w:pPr>
      <w:r>
        <w:t xml:space="preserve">Find a Tender (2025) </w:t>
      </w:r>
      <w:r>
        <w:rPr>
          <w:i/>
          <w:iCs/>
        </w:rPr>
        <w:t>Sustainable Furniture Solutions</w:t>
      </w:r>
      <w:r>
        <w:t>. Available at:</w:t>
      </w:r>
      <w:hyperlink r:id="rId48"/>
      <w:hyperlink r:id="rId49">
        <w:r>
          <w:rPr>
            <w:color w:val="1155CC"/>
            <w:u w:val="single"/>
          </w:rPr>
          <w:t>https://www.find-tender.service.gov.uk/Notice/051565-2025</w:t>
        </w:r>
      </w:hyperlink>
      <w:r>
        <w:t>(Accessed: 18 August 2026).</w:t>
      </w:r>
    </w:p>
    <w:p w:rsidR="003D104A" w:rsidRDefault="003D104A">
      <w:pPr>
        <w:spacing w:before="0"/>
      </w:pPr>
      <w:r>
        <w:lastRenderedPageBreak/>
        <w:t xml:space="preserve">Fu, Q., Nicholson, G.L. and Easton, J.M. (2024). Understanding data quality in a data-driven industry context: Insights from the fundamentals. </w:t>
      </w:r>
      <w:r>
        <w:rPr>
          <w:i/>
          <w:iCs/>
        </w:rPr>
        <w:t>Journal of Industrial Information Integration</w:t>
      </w:r>
      <w:r>
        <w:t xml:space="preserve">, [online] 42, p.100729. </w:t>
      </w:r>
      <w:hyperlink r:id="rId50">
        <w:r>
          <w:rPr>
            <w:color w:val="1155CC"/>
            <w:u w:val="single"/>
          </w:rPr>
          <w:t>https://www.sciencedirect.com/journal/journal-of-industrial-information-integration/vol/42/suppl/C</w:t>
        </w:r>
      </w:hyperlink>
    </w:p>
    <w:p w:rsidR="003D104A" w:rsidRDefault="003D104A" w:rsidP="003D104A">
      <w:pPr>
        <w:pStyle w:val="NormalWeb"/>
        <w:spacing w:before="0" w:beforeAutospacing="0" w:after="240" w:afterAutospacing="0" w:line="360" w:lineRule="auto"/>
        <w:jc w:val="both"/>
      </w:pPr>
      <w:r>
        <w:rPr>
          <w:color w:val="000000"/>
        </w:rPr>
        <w:t xml:space="preserve">Fu, Y., Li, Y. and Li, X. (2023). Coexisting or coworking? The reconfigured office spaces in two emerging global cities. </w:t>
      </w:r>
      <w:r>
        <w:rPr>
          <w:i/>
          <w:iCs/>
          <w:color w:val="000000"/>
        </w:rPr>
        <w:t>Journal of Urban Affairs</w:t>
      </w:r>
      <w:r>
        <w:rPr>
          <w:color w:val="000000"/>
        </w:rPr>
        <w:t xml:space="preserve">, [online] pp.1–18. Available at: </w:t>
      </w:r>
      <w:hyperlink r:id="rId51" w:history="1">
        <w:r>
          <w:rPr>
            <w:rStyle w:val="Hyperlink"/>
            <w:color w:val="1155CC"/>
          </w:rPr>
          <w:t>https://www.researchgate.net/publication/373599608_Coexisting_or_coworking_The_reconfigured_office_spaces_in_two_emerging_global_citie</w:t>
        </w:r>
      </w:hyperlink>
      <w:r w:rsidR="002077D3">
        <w:rPr>
          <w:color w:val="000000"/>
        </w:rPr>
        <w:t xml:space="preserve"> s [Accessed 20</w:t>
      </w:r>
      <w:r>
        <w:rPr>
          <w:color w:val="000000"/>
        </w:rPr>
        <w:t xml:space="preserve"> Aug. 2026].</w:t>
      </w:r>
    </w:p>
    <w:p w:rsidR="003D104A" w:rsidRDefault="003D104A" w:rsidP="003D104A">
      <w:pPr>
        <w:pStyle w:val="NormalWeb"/>
        <w:spacing w:before="0" w:beforeAutospacing="0" w:after="240" w:afterAutospacing="0" w:line="360" w:lineRule="auto"/>
        <w:jc w:val="both"/>
      </w:pPr>
      <w:r>
        <w:rPr>
          <w:color w:val="000000"/>
        </w:rPr>
        <w:t xml:space="preserve">Gorecka, I. (2025). </w:t>
      </w:r>
      <w:r>
        <w:rPr>
          <w:i/>
          <w:iCs/>
          <w:color w:val="000000"/>
        </w:rPr>
        <w:t>Beyond recycling: The role of office furniture in a truly sustainable economy</w:t>
      </w:r>
      <w:r>
        <w:rPr>
          <w:color w:val="000000"/>
        </w:rPr>
        <w:t xml:space="preserve">. [online] Coggin-sos.co.uk. Available at: </w:t>
      </w:r>
      <w:hyperlink r:id="rId52" w:history="1">
        <w:r>
          <w:rPr>
            <w:rStyle w:val="Hyperlink"/>
            <w:color w:val="1155CC"/>
          </w:rPr>
          <w:t>https://www.coggin-sos.co.uk/beyond-recycling-the-role-of-office-furniture-in-a-truly-sustainable-econom</w:t>
        </w:r>
      </w:hyperlink>
      <w:r w:rsidR="002077D3">
        <w:rPr>
          <w:color w:val="000000"/>
        </w:rPr>
        <w:t xml:space="preserve"> y [Accessed 20</w:t>
      </w:r>
      <w:r>
        <w:rPr>
          <w:color w:val="000000"/>
        </w:rPr>
        <w:t xml:space="preserve"> Aug. 2026].</w:t>
      </w:r>
    </w:p>
    <w:p w:rsidR="003D104A" w:rsidRDefault="003D104A" w:rsidP="003D104A">
      <w:pPr>
        <w:pStyle w:val="NormalWeb"/>
        <w:spacing w:before="0" w:beforeAutospacing="0" w:after="240" w:afterAutospacing="0" w:line="360" w:lineRule="auto"/>
        <w:jc w:val="both"/>
      </w:pPr>
      <w:r>
        <w:rPr>
          <w:color w:val="000000"/>
        </w:rPr>
        <w:t xml:space="preserve">Government of UK (2025). </w:t>
      </w:r>
      <w:r>
        <w:rPr>
          <w:i/>
          <w:iCs/>
          <w:color w:val="000000"/>
        </w:rPr>
        <w:t>UK business; activity, size and location</w:t>
      </w:r>
      <w:r>
        <w:rPr>
          <w:color w:val="000000"/>
        </w:rPr>
        <w:t xml:space="preserve">. [online] Ons.gov.uk. Available at: </w:t>
      </w:r>
      <w:hyperlink r:id="rId53" w:history="1">
        <w:r>
          <w:rPr>
            <w:rStyle w:val="Hyperlink"/>
            <w:color w:val="1155CC"/>
          </w:rPr>
          <w:t>https://www.ons.gov.uk/businessindustryandtrade/business/activitysizeandlocation/bulletins/ukbusinessactivitysizeandlocation/2025</w:t>
        </w:r>
      </w:hyperlink>
      <w:r>
        <w:rPr>
          <w:color w:val="000000"/>
        </w:rPr>
        <w:t>  [Accessed 21 Aug. 2026].</w:t>
      </w:r>
    </w:p>
    <w:p w:rsidR="003D104A" w:rsidRDefault="003D104A">
      <w:pPr>
        <w:spacing w:before="0"/>
      </w:pPr>
      <w:r>
        <w:t xml:space="preserve">Grand View Research (2024). </w:t>
      </w:r>
      <w:r>
        <w:rPr>
          <w:i/>
          <w:iCs/>
        </w:rPr>
        <w:t>UK Eco-friendly Furniture Market Size &amp; Outlook, 2030</w:t>
      </w:r>
      <w:r>
        <w:t xml:space="preserve">. [online] </w:t>
      </w:r>
      <w:r>
        <w:rPr>
          <w:i/>
          <w:iCs/>
        </w:rPr>
        <w:t>Grandviewresearch.com</w:t>
      </w:r>
      <w:r>
        <w:t xml:space="preserve">. Available at: </w:t>
      </w:r>
      <w:hyperlink r:id="rId54">
        <w:r>
          <w:rPr>
            <w:color w:val="1155CC"/>
            <w:u w:val="single"/>
          </w:rPr>
          <w:t>https://www.grandviewresearch.com/horizon/outlook/eco-friendly-furniture-market/uk</w:t>
        </w:r>
      </w:hyperlink>
      <w:r>
        <w:t xml:space="preserve">. </w:t>
      </w:r>
    </w:p>
    <w:p w:rsidR="003D104A" w:rsidRDefault="003D104A">
      <w:pPr>
        <w:spacing w:before="0" w:after="160"/>
      </w:pPr>
      <w:r>
        <w:t>Halat, K., Childe, S., Golding, N. and Summerscales, J., 2026. Scope 3 Carbon Emissions Assessment for Manufacturing SMEs. Corporate Social Responsibility and Environmental Management.</w:t>
      </w:r>
      <w:hyperlink r:id="rId55">
        <w:r>
          <w:rPr>
            <w:color w:val="1155CC"/>
            <w:u w:val="single"/>
          </w:rPr>
          <w:t>https://onlinelibrary.wiley.com/doi/pdf/10.1002/csr.70489</w:t>
        </w:r>
      </w:hyperlink>
    </w:p>
    <w:p w:rsidR="003D104A" w:rsidRDefault="003D104A">
      <w:pPr>
        <w:spacing w:before="0" w:after="160"/>
      </w:pPr>
      <w:r>
        <w:t>Hidalgo-Crespo, J., Riel, A., Duberg, J.V., Bunodiere, A. and Golinska-Dawson, P., 2024. An exploratory study for product-as-a-service (PaaS) offers development for electrical and electronic equipment. Procedia CIRP, 122, pp.521-526.</w:t>
      </w:r>
      <w:hyperlink r:id="rId56">
        <w:r>
          <w:rPr>
            <w:color w:val="1155CC"/>
            <w:u w:val="single"/>
          </w:rPr>
          <w:t>https://www.sciencedirect.com/science/article/pii/S2212827124000933/pdf?md5=eef925a01737505493cc025e4f44a238&amp;pid=1-s2.0-S2212827124000933-main.pdf</w:t>
        </w:r>
      </w:hyperlink>
    </w:p>
    <w:p w:rsidR="003D104A" w:rsidRDefault="003D104A" w:rsidP="003D104A">
      <w:pPr>
        <w:pStyle w:val="NormalWeb"/>
        <w:spacing w:before="0" w:beforeAutospacing="0" w:after="240" w:afterAutospacing="0" w:line="360" w:lineRule="auto"/>
        <w:jc w:val="both"/>
      </w:pPr>
      <w:r>
        <w:rPr>
          <w:color w:val="000000"/>
        </w:rPr>
        <w:lastRenderedPageBreak/>
        <w:t xml:space="preserve">Hokmabadi, H., Rezvani, S.M.H.S. and de Matos, C.A. (2024). Business resilience for small and medium enterprises and startups by digital transformation and the role of marketing capabilities—A systematic review. </w:t>
      </w:r>
      <w:r>
        <w:rPr>
          <w:i/>
          <w:iCs/>
          <w:color w:val="000000"/>
        </w:rPr>
        <w:t>Systems</w:t>
      </w:r>
      <w:r>
        <w:rPr>
          <w:color w:val="000000"/>
        </w:rPr>
        <w:t xml:space="preserve">, [online] 12(6), p.220. Available at: </w:t>
      </w:r>
      <w:hyperlink r:id="rId57" w:history="1">
        <w:r>
          <w:rPr>
            <w:rStyle w:val="Hyperlink"/>
            <w:color w:val="1155CC"/>
          </w:rPr>
          <w:t>https://www.mdpi.com/2079-8954/12/6/220</w:t>
        </w:r>
      </w:hyperlink>
      <w:r w:rsidR="002077D3">
        <w:rPr>
          <w:color w:val="000000"/>
        </w:rPr>
        <w:t>  [Accessed 20</w:t>
      </w:r>
      <w:r>
        <w:rPr>
          <w:color w:val="000000"/>
        </w:rPr>
        <w:t xml:space="preserve"> Aug. 2026].</w:t>
      </w:r>
    </w:p>
    <w:p w:rsidR="003D104A" w:rsidRDefault="003D104A" w:rsidP="003D104A">
      <w:pPr>
        <w:pStyle w:val="NormalWeb"/>
        <w:spacing w:before="0" w:beforeAutospacing="0" w:after="240" w:afterAutospacing="0" w:line="360" w:lineRule="auto"/>
        <w:jc w:val="both"/>
      </w:pPr>
      <w:r>
        <w:rPr>
          <w:color w:val="000000"/>
        </w:rPr>
        <w:t xml:space="preserve">Holman, D., Davis, M., Escaffi-Schwarz, M. and Ono, M. (2026). The hybrid workspace: Testing an activity-based model of hybrid workspace design. </w:t>
      </w:r>
      <w:r>
        <w:rPr>
          <w:i/>
          <w:iCs/>
          <w:color w:val="000000"/>
        </w:rPr>
        <w:t>European Journal of Work and Organizational Psychology</w:t>
      </w:r>
      <w:r>
        <w:rPr>
          <w:color w:val="000000"/>
        </w:rPr>
        <w:t xml:space="preserve">, [online] pp.1–21. Available at: </w:t>
      </w:r>
      <w:hyperlink r:id="rId58" w:history="1">
        <w:r>
          <w:rPr>
            <w:rStyle w:val="Hyperlink"/>
            <w:color w:val="1155CC"/>
          </w:rPr>
          <w:t>https://www.tandfonline.com/doi/full/10.1080/1359432X.2026.2648294</w:t>
        </w:r>
      </w:hyperlink>
      <w:r w:rsidR="002077D3">
        <w:rPr>
          <w:color w:val="000000"/>
        </w:rPr>
        <w:t>  [Accessed 20</w:t>
      </w:r>
      <w:r>
        <w:rPr>
          <w:color w:val="000000"/>
        </w:rPr>
        <w:t xml:space="preserve"> Aug. 2026].</w:t>
      </w:r>
    </w:p>
    <w:p w:rsidR="003D104A" w:rsidRDefault="003D104A">
      <w:pPr>
        <w:spacing w:before="0"/>
      </w:pPr>
      <w:r>
        <w:t xml:space="preserve">Kalbach, J., Wermuth, Y., Duda, S. and Florin Ciontu (2024). Jobs-to-be-done at scale: Disrupting the status quo with customer focus. </w:t>
      </w:r>
      <w:r>
        <w:rPr>
          <w:i/>
          <w:iCs/>
        </w:rPr>
        <w:t>Journal of digital &amp; social media marketing.</w:t>
      </w:r>
      <w:r>
        <w:t xml:space="preserve">, [online] 12(3), pp.262–262. </w:t>
      </w:r>
      <w:hyperlink r:id="rId59">
        <w:r>
          <w:rPr>
            <w:color w:val="1155CC"/>
            <w:u w:val="single"/>
          </w:rPr>
          <w:t>https://doi.org/10.69554/NJQQ4314</w:t>
        </w:r>
      </w:hyperlink>
    </w:p>
    <w:p w:rsidR="003D104A" w:rsidRDefault="003D104A" w:rsidP="003D104A">
      <w:pPr>
        <w:pStyle w:val="NormalWeb"/>
        <w:spacing w:before="0" w:beforeAutospacing="0" w:after="240" w:afterAutospacing="0" w:line="360" w:lineRule="auto"/>
        <w:jc w:val="both"/>
      </w:pPr>
      <w:r>
        <w:rPr>
          <w:color w:val="000000"/>
        </w:rPr>
        <w:t xml:space="preserve">Kaluvilla, B.B., Mulla, T. and Zahidi, F. (2025). Driving sustainable choices through understanding consumer behaviour and underlying factors that influence the purchasing intention of refurbished furniture. </w:t>
      </w:r>
      <w:r>
        <w:rPr>
          <w:i/>
          <w:iCs/>
          <w:color w:val="000000"/>
        </w:rPr>
        <w:t>Discover Sustainability</w:t>
      </w:r>
      <w:r>
        <w:rPr>
          <w:color w:val="000000"/>
        </w:rPr>
        <w:t xml:space="preserve">, [online] 6(1). Available at: </w:t>
      </w:r>
      <w:hyperlink r:id="rId60" w:history="1">
        <w:r>
          <w:rPr>
            <w:rStyle w:val="Hyperlink"/>
            <w:color w:val="1155CC"/>
          </w:rPr>
          <w:t>https://link.springer.com/article/10.1007/s43621-025-01497-y</w:t>
        </w:r>
      </w:hyperlink>
      <w:r w:rsidR="002077D3">
        <w:rPr>
          <w:color w:val="000000"/>
        </w:rPr>
        <w:t>  [Accessed 19</w:t>
      </w:r>
      <w:r>
        <w:rPr>
          <w:color w:val="000000"/>
        </w:rPr>
        <w:t xml:space="preserve"> Aug. 2026].</w:t>
      </w:r>
    </w:p>
    <w:p w:rsidR="003D104A" w:rsidRDefault="003D104A">
      <w:pPr>
        <w:spacing w:before="0" w:after="160"/>
      </w:pPr>
      <w:r>
        <w:t>Kans, Mirka, ChamirangikaMadushaniHettiArachchige, and Dan Paulin. "Circular Strategies in the Swedish Furniture Industry–A Business Modelling Approach." In Sustainable Production through Advanced Manufacturing, Intelligent Automation and Work Integrated Learning: Proceedings of the 11th Swedish Production Symposium (SPS2024), pp. 552-563. 1 Oliver's Yard, 55 City Road, London, EC1Y 1SP: SAGE Publications, 2024.</w:t>
      </w:r>
      <w:hyperlink r:id="rId61">
        <w:r>
          <w:rPr>
            <w:color w:val="1155CC"/>
            <w:u w:val="single"/>
          </w:rPr>
          <w:t>https://journals.sagepub.com/doi/pdf/10.3233/ATDE240197</w:t>
        </w:r>
      </w:hyperlink>
    </w:p>
    <w:p w:rsidR="003D104A" w:rsidRDefault="003D104A" w:rsidP="003D104A">
      <w:pPr>
        <w:pStyle w:val="NormalWeb"/>
        <w:spacing w:before="0" w:beforeAutospacing="0" w:after="240" w:afterAutospacing="0" w:line="360" w:lineRule="auto"/>
        <w:jc w:val="both"/>
      </w:pPr>
      <w:r>
        <w:rPr>
          <w:color w:val="000000"/>
        </w:rPr>
        <w:t xml:space="preserve">Kowalkowski, C. and Ulaga, W. (2024). Subscription offers in business-to-business markets: Conceptualization, taxonomy, and framework for growth. </w:t>
      </w:r>
      <w:r>
        <w:rPr>
          <w:i/>
          <w:iCs/>
          <w:color w:val="000000"/>
        </w:rPr>
        <w:t>Industrial Marketing Management</w:t>
      </w:r>
      <w:r>
        <w:rPr>
          <w:color w:val="000000"/>
        </w:rPr>
        <w:t xml:space="preserve">, [online] 117, pp.440–456. Available at: </w:t>
      </w:r>
      <w:hyperlink r:id="rId62" w:history="1">
        <w:r>
          <w:rPr>
            <w:rStyle w:val="Hyperlink"/>
            <w:color w:val="1155CC"/>
          </w:rPr>
          <w:t>https://www.sciencedirect.com/science/article/pii/S0019850124000142</w:t>
        </w:r>
      </w:hyperlink>
      <w:r>
        <w:rPr>
          <w:color w:val="000000"/>
        </w:rPr>
        <w:t>  [Accessed 21 Aug. 2026].</w:t>
      </w:r>
    </w:p>
    <w:p w:rsidR="003D104A" w:rsidRDefault="003D104A" w:rsidP="003D104A">
      <w:pPr>
        <w:pStyle w:val="NormalWeb"/>
        <w:spacing w:before="0" w:beforeAutospacing="0" w:after="240" w:afterAutospacing="0" w:line="360" w:lineRule="auto"/>
        <w:jc w:val="both"/>
      </w:pPr>
      <w:r>
        <w:rPr>
          <w:color w:val="000000"/>
        </w:rPr>
        <w:lastRenderedPageBreak/>
        <w:t xml:space="preserve">Kudrenko, I., Mukhametov, A. and Aslanov, E.S. (2025). Structural modification of supply chains in the imperatives of circular economy. </w:t>
      </w:r>
      <w:r>
        <w:rPr>
          <w:i/>
          <w:iCs/>
          <w:color w:val="000000"/>
        </w:rPr>
        <w:t>Journal of Innovation and Entrepreneurship</w:t>
      </w:r>
      <w:r>
        <w:rPr>
          <w:color w:val="000000"/>
        </w:rPr>
        <w:t xml:space="preserve">, [online] 14(1). Available at: </w:t>
      </w:r>
      <w:hyperlink r:id="rId63" w:history="1">
        <w:r>
          <w:rPr>
            <w:rStyle w:val="Hyperlink"/>
            <w:color w:val="1155CC"/>
          </w:rPr>
          <w:t>https://link.springer.com/article/10.1186/s13731-025-00515-7</w:t>
        </w:r>
      </w:hyperlink>
      <w:r>
        <w:rPr>
          <w:color w:val="000000"/>
        </w:rPr>
        <w:t>  [Accessed 21 Aug. 2026].</w:t>
      </w:r>
    </w:p>
    <w:p w:rsidR="003D104A" w:rsidRDefault="003D104A">
      <w:pPr>
        <w:spacing w:before="0" w:after="160"/>
      </w:pPr>
      <w:r>
        <w:t>Kusumo, F., Mahlia, T.M.I., Pradhan, S., Ong, H.C., Silitonga, A.S., Fattah, I.R., Nghiem, L.D. and Mofijur, M., 2022. A framework to assess indicators of the circular economy in biological systems. Environmental Technology &amp; Innovation, 28, p.102945.</w:t>
      </w:r>
      <w:hyperlink r:id="rId64">
        <w:r>
          <w:rPr>
            <w:color w:val="1155CC"/>
            <w:u w:val="single"/>
          </w:rPr>
          <w:t>https://www.sciencedirect.com/science/article/pii/S2352186422003686</w:t>
        </w:r>
      </w:hyperlink>
    </w:p>
    <w:p w:rsidR="003D104A" w:rsidRDefault="003D104A">
      <w:r>
        <w:t xml:space="preserve">‌Liu, Q., Wang, R., Pareti, M., Castellini, A., Viaggi, D. and Canavari, M. (2026). Big data in consumer behavior research: a systematic review of data sources, analytical methods, and research questions. </w:t>
      </w:r>
      <w:r>
        <w:rPr>
          <w:i/>
          <w:iCs/>
        </w:rPr>
        <w:t>Journal of Marketing Analytics</w:t>
      </w:r>
      <w:r>
        <w:t xml:space="preserve">. [online] </w:t>
      </w:r>
      <w:hyperlink r:id="rId65" w:anchor="citeas">
        <w:r>
          <w:rPr>
            <w:color w:val="1155CC"/>
            <w:u w:val="single"/>
          </w:rPr>
          <w:t>https://link.springer.com/article/10.1057/s41270-026-00470-6#citeas</w:t>
        </w:r>
      </w:hyperlink>
    </w:p>
    <w:p w:rsidR="003D104A" w:rsidRDefault="003D104A" w:rsidP="003D104A">
      <w:pPr>
        <w:pStyle w:val="NormalWeb"/>
        <w:spacing w:before="0" w:beforeAutospacing="0" w:after="240" w:afterAutospacing="0" w:line="360" w:lineRule="auto"/>
        <w:jc w:val="both"/>
      </w:pPr>
      <w:r>
        <w:rPr>
          <w:color w:val="000000"/>
        </w:rPr>
        <w:t xml:space="preserve">Liu, X., Zhou, B., Qi, W., Li, Z. and Wang, J. (2025). Value-added service pricing strategies considering customer stickiness: A freemium perspective. </w:t>
      </w:r>
      <w:r>
        <w:rPr>
          <w:i/>
          <w:iCs/>
          <w:color w:val="000000"/>
        </w:rPr>
        <w:t>Journal of theoretical and applied electronic commerce research</w:t>
      </w:r>
      <w:r>
        <w:rPr>
          <w:color w:val="000000"/>
        </w:rPr>
        <w:t xml:space="preserve">, [online] 20(3), pp.201–201. Available at: </w:t>
      </w:r>
      <w:hyperlink r:id="rId66" w:history="1">
        <w:r>
          <w:rPr>
            <w:rStyle w:val="Hyperlink"/>
            <w:color w:val="1155CC"/>
          </w:rPr>
          <w:t>https://www.mdpi.com/0718-1876/20/3/201</w:t>
        </w:r>
      </w:hyperlink>
      <w:r w:rsidR="002077D3">
        <w:rPr>
          <w:color w:val="000000"/>
        </w:rPr>
        <w:t>  [Accessed 20</w:t>
      </w:r>
      <w:r>
        <w:rPr>
          <w:color w:val="000000"/>
        </w:rPr>
        <w:t xml:space="preserve"> Aug. 2026].</w:t>
      </w:r>
    </w:p>
    <w:p w:rsidR="003D104A" w:rsidRDefault="003D104A" w:rsidP="003D104A">
      <w:pPr>
        <w:pStyle w:val="NormalWeb"/>
        <w:spacing w:before="0" w:beforeAutospacing="0" w:after="240" w:afterAutospacing="0" w:line="360" w:lineRule="auto"/>
        <w:jc w:val="both"/>
      </w:pPr>
      <w:r>
        <w:rPr>
          <w:color w:val="000000"/>
        </w:rPr>
        <w:t xml:space="preserve">Ma, C.-C. and Chang, H.-P. (2024). The perception of consumer behaviors in subscription platforms for surplus food restaurants—An analytical view of the technology acceptance model. </w:t>
      </w:r>
      <w:r>
        <w:rPr>
          <w:i/>
          <w:iCs/>
          <w:color w:val="000000"/>
        </w:rPr>
        <w:t>Foods</w:t>
      </w:r>
      <w:r>
        <w:rPr>
          <w:color w:val="000000"/>
        </w:rPr>
        <w:t xml:space="preserve">, [online] 13(19), pp.3045–3045. Available at: </w:t>
      </w:r>
      <w:hyperlink r:id="rId67" w:history="1">
        <w:r>
          <w:rPr>
            <w:rStyle w:val="Hyperlink"/>
            <w:color w:val="1155CC"/>
          </w:rPr>
          <w:t>https://www.mdpi.com/2304-8158/13/19/3045</w:t>
        </w:r>
      </w:hyperlink>
      <w:r>
        <w:rPr>
          <w:color w:val="000000"/>
        </w:rPr>
        <w:t>  [Accessed 21 Aug. 2026].</w:t>
      </w:r>
    </w:p>
    <w:p w:rsidR="003D104A" w:rsidRDefault="003D104A" w:rsidP="003D104A">
      <w:pPr>
        <w:pStyle w:val="NormalWeb"/>
        <w:spacing w:before="0" w:beforeAutospacing="0" w:after="240" w:afterAutospacing="0" w:line="360" w:lineRule="auto"/>
        <w:jc w:val="both"/>
      </w:pPr>
      <w:r>
        <w:rPr>
          <w:color w:val="000000"/>
        </w:rPr>
        <w:t xml:space="preserve">Markiewicz, E. and Ziobrowska-Sztuczka, J. (2026). Subscription economy as a tool for promoting sustainable consumption in Poland. </w:t>
      </w:r>
      <w:r>
        <w:rPr>
          <w:i/>
          <w:iCs/>
          <w:color w:val="000000"/>
        </w:rPr>
        <w:t>Sustainability</w:t>
      </w:r>
      <w:r>
        <w:rPr>
          <w:color w:val="000000"/>
        </w:rPr>
        <w:t xml:space="preserve">, [online] 18(3), p.1484. Available at: </w:t>
      </w:r>
      <w:hyperlink r:id="rId68" w:history="1">
        <w:r>
          <w:rPr>
            <w:rStyle w:val="Hyperlink"/>
            <w:color w:val="1155CC"/>
          </w:rPr>
          <w:t>https://www.mdpi.com/2071-1050/18/3/1484</w:t>
        </w:r>
      </w:hyperlink>
      <w:r>
        <w:rPr>
          <w:color w:val="000000"/>
        </w:rPr>
        <w:t xml:space="preserve"> [Accessed 21 Aug. 2026].</w:t>
      </w:r>
    </w:p>
    <w:p w:rsidR="003D104A" w:rsidRDefault="003D104A">
      <w:pPr>
        <w:spacing w:before="0" w:after="160"/>
      </w:pPr>
      <w:r>
        <w:t xml:space="preserve">McAllister, P. and Nase, I., 2023. Minimum energy efficiency standards in the commercial real estate sector: A critical review of policy regimes. Journal of Cleaner Production, 393, p.136342. </w:t>
      </w:r>
      <w:hyperlink r:id="rId69">
        <w:r>
          <w:rPr>
            <w:color w:val="1155CC"/>
            <w:u w:val="single"/>
          </w:rPr>
          <w:t>https://www.sciencedirect.com/science/article/pii/S0959652623005000</w:t>
        </w:r>
      </w:hyperlink>
    </w:p>
    <w:p w:rsidR="003D104A" w:rsidRDefault="003D104A">
      <w:pPr>
        <w:spacing w:before="0" w:after="160"/>
      </w:pPr>
      <w:r>
        <w:lastRenderedPageBreak/>
        <w:t xml:space="preserve">Mignon, I. and Bankel, A., 2023. Sustainable business models and innovation strategies to realize them: A review of 87 empirical cases. Business Strategy and the Environment, 32(4), pp.1357-1372. </w:t>
      </w:r>
      <w:hyperlink r:id="rId70">
        <w:r>
          <w:rPr>
            <w:color w:val="1155CC"/>
            <w:u w:val="single"/>
          </w:rPr>
          <w:t>https://onlinelibrary.wiley.com/doi/pdf/10.1002/bse.3192</w:t>
        </w:r>
      </w:hyperlink>
    </w:p>
    <w:p w:rsidR="003D104A" w:rsidRDefault="003D104A">
      <w:pPr>
        <w:spacing w:before="0" w:after="160"/>
      </w:pPr>
      <w:r>
        <w:t>Milios, L., 2021. Overarching policy framework for product life extension in a circular economy—A bottom‐up business perspective. Environmental Policy and Governance, 31(4), pp.330-346.</w:t>
      </w:r>
      <w:hyperlink r:id="rId71">
        <w:r>
          <w:rPr>
            <w:color w:val="1155CC"/>
            <w:u w:val="single"/>
          </w:rPr>
          <w:t>https://onlinelibrary.wiley.com/doi/pdf/10.1002/eet.1927</w:t>
        </w:r>
      </w:hyperlink>
    </w:p>
    <w:p w:rsidR="003D104A" w:rsidRDefault="003D104A" w:rsidP="003D104A">
      <w:pPr>
        <w:pStyle w:val="NormalWeb"/>
        <w:spacing w:before="0" w:beforeAutospacing="0" w:after="240" w:afterAutospacing="0" w:line="360" w:lineRule="auto"/>
        <w:jc w:val="both"/>
      </w:pPr>
      <w:r>
        <w:rPr>
          <w:color w:val="000000"/>
        </w:rPr>
        <w:t xml:space="preserve">Mohri, S.S., Ghaderi, H., Woensel, T. Van, Mohammadi, M., Nassir, N. and Thompson, R.G. (2024). Contextualizing alternative delivery points in last mile delivery. </w:t>
      </w:r>
      <w:r>
        <w:rPr>
          <w:i/>
          <w:iCs/>
          <w:color w:val="000000"/>
        </w:rPr>
        <w:t>Transportation Research Part E: Logistics and Transportation Review</w:t>
      </w:r>
      <w:r>
        <w:rPr>
          <w:color w:val="000000"/>
        </w:rPr>
        <w:t xml:space="preserve">, [online] 192, p.103787. Available at: </w:t>
      </w:r>
      <w:hyperlink r:id="rId72" w:history="1">
        <w:r>
          <w:rPr>
            <w:rStyle w:val="Hyperlink"/>
            <w:color w:val="1155CC"/>
          </w:rPr>
          <w:t>https://www.sciencedirect.com/science/article/pii/S1366554524003788</w:t>
        </w:r>
      </w:hyperlink>
      <w:r>
        <w:rPr>
          <w:color w:val="000000"/>
        </w:rPr>
        <w:t>  [Accessed 21 Aug. 2026].</w:t>
      </w:r>
    </w:p>
    <w:p w:rsidR="003D104A" w:rsidRDefault="003D104A" w:rsidP="003D104A">
      <w:pPr>
        <w:pStyle w:val="NormalWeb"/>
        <w:spacing w:before="0" w:beforeAutospacing="0" w:after="240" w:afterAutospacing="0" w:line="360" w:lineRule="auto"/>
        <w:jc w:val="both"/>
      </w:pPr>
      <w:r>
        <w:rPr>
          <w:color w:val="000000"/>
        </w:rPr>
        <w:t xml:space="preserve">Mokhtar, N.S., Xifeng, N.C. and Wenming, N.Z. (2025). Modular system of cabinets for mass-customized furniture. </w:t>
      </w:r>
      <w:r>
        <w:rPr>
          <w:i/>
          <w:iCs/>
          <w:color w:val="000000"/>
        </w:rPr>
        <w:t>Environment-Behaviour Proceedings Journal</w:t>
      </w:r>
      <w:r>
        <w:rPr>
          <w:color w:val="000000"/>
        </w:rPr>
        <w:t xml:space="preserve">, [online] 10(SI29), pp.67–73. Available at: </w:t>
      </w:r>
      <w:hyperlink r:id="rId73" w:history="1">
        <w:r>
          <w:rPr>
            <w:rStyle w:val="Hyperlink"/>
            <w:color w:val="1155CC"/>
          </w:rPr>
          <w:t>https://www.researchgate.net/publication/394186609_Modular_System_of_Cabinets_for_Mass-Customized_Furniture</w:t>
        </w:r>
      </w:hyperlink>
      <w:r>
        <w:rPr>
          <w:color w:val="000000"/>
        </w:rPr>
        <w:t>  [Accessed 21 Aug. 2026].</w:t>
      </w:r>
    </w:p>
    <w:p w:rsidR="003D104A" w:rsidRDefault="003D104A">
      <w:pPr>
        <w:spacing w:before="0" w:after="160"/>
      </w:pPr>
      <w:r>
        <w:t>Morseletto, P., 2023. Sometimes linear, sometimes circular: States of the economy and transitions to the future. Journal of Cleaner Production, 390, p.136138.</w:t>
      </w:r>
      <w:hyperlink r:id="rId74">
        <w:r>
          <w:rPr>
            <w:color w:val="1155CC"/>
            <w:u w:val="single"/>
          </w:rPr>
          <w:t>https://www.sciencedirect.com/science/article/pii/S0959652623002962</w:t>
        </w:r>
      </w:hyperlink>
    </w:p>
    <w:p w:rsidR="003D104A" w:rsidRDefault="003D104A">
      <w:pPr>
        <w:spacing w:before="0"/>
      </w:pPr>
      <w:r>
        <w:t xml:space="preserve">NjølstadSlotsvik, T., Arne Pettersen Gould, K. and Hayes, J. (2025). Adapting to the rhythm of the procurement cycle. Organizational reliability implications of change processes in procured critical services. </w:t>
      </w:r>
      <w:r>
        <w:rPr>
          <w:i/>
          <w:iCs/>
        </w:rPr>
        <w:t>Safety Science</w:t>
      </w:r>
      <w:r>
        <w:t xml:space="preserve">, [online] 181, p.106672. Available at: </w:t>
      </w:r>
      <w:hyperlink r:id="rId75">
        <w:r>
          <w:rPr>
            <w:color w:val="1155CC"/>
            <w:u w:val="single"/>
          </w:rPr>
          <w:t>https://www.sciencedirect.com/science/article/pii/S0925753524002625</w:t>
        </w:r>
      </w:hyperlink>
      <w:r>
        <w:t xml:space="preserve">  [Accessed 14 Aug. 2026].</w:t>
      </w:r>
    </w:p>
    <w:p w:rsidR="003D104A" w:rsidRDefault="003D104A">
      <w:pPr>
        <w:widowControl w:val="0"/>
      </w:pPr>
      <w:r>
        <w:t>Office for National Statistics (2025) ‘Who has access to hybrid work in Great Britain?’, 11 June. Available at:</w:t>
      </w:r>
      <w:hyperlink r:id="rId76"/>
      <w:hyperlink r:id="rId77">
        <w:r>
          <w:rPr>
            <w:color w:val="1155CC"/>
            <w:u w:val="single"/>
          </w:rPr>
          <w:t>https://www.ons.gov.uk/employmentandlabourmarket/peopleinwork/employmentandemploye</w:t>
        </w:r>
        <w:r>
          <w:rPr>
            <w:color w:val="1155CC"/>
            <w:u w:val="single"/>
          </w:rPr>
          <w:lastRenderedPageBreak/>
          <w:t>etypes/articles/whohasaccesstohybridworkingreatbritain/latest</w:t>
        </w:r>
      </w:hyperlink>
      <w:r>
        <w:t xml:space="preserve"> (Accessed: 18 August 2026).</w:t>
      </w:r>
    </w:p>
    <w:p w:rsidR="003D104A" w:rsidRDefault="003D104A" w:rsidP="003D104A">
      <w:pPr>
        <w:pStyle w:val="NormalWeb"/>
        <w:spacing w:before="0" w:beforeAutospacing="0" w:after="240" w:afterAutospacing="0" w:line="360" w:lineRule="auto"/>
        <w:jc w:val="both"/>
      </w:pPr>
      <w:r>
        <w:rPr>
          <w:color w:val="000000"/>
        </w:rPr>
        <w:t xml:space="preserve">Öngel, F.S., Gonçalves, J. and da Silva, F.N. (2025). Industrial Relocation and Urban Restructuring: Between Decline and Global Connectivity in Setúbal. </w:t>
      </w:r>
      <w:r>
        <w:rPr>
          <w:i/>
          <w:iCs/>
          <w:color w:val="000000"/>
        </w:rPr>
        <w:t>Urban Science</w:t>
      </w:r>
      <w:r>
        <w:rPr>
          <w:color w:val="000000"/>
        </w:rPr>
        <w:t xml:space="preserve">, [online] 9(5), p.167. Available at: </w:t>
      </w:r>
      <w:hyperlink r:id="rId78" w:history="1">
        <w:r>
          <w:rPr>
            <w:rStyle w:val="Hyperlink"/>
            <w:color w:val="1155CC"/>
          </w:rPr>
          <w:t>https://www.mdpi.com/2413-8851/9/5/167</w:t>
        </w:r>
      </w:hyperlink>
      <w:r>
        <w:rPr>
          <w:color w:val="000000"/>
        </w:rPr>
        <w:t>  [Accessed 21 Aug. 2026].</w:t>
      </w:r>
    </w:p>
    <w:p w:rsidR="003D104A" w:rsidRDefault="003D104A">
      <w:pPr>
        <w:spacing w:before="0"/>
      </w:pPr>
      <w:r>
        <w:t xml:space="preserve">Pei, X., Italia, M. and Melazzini, M. (2024). Enhancing circular economy practices in the furniture industry through circular design strategies. </w:t>
      </w:r>
      <w:r>
        <w:rPr>
          <w:i/>
          <w:iCs/>
        </w:rPr>
        <w:t>Sustainability</w:t>
      </w:r>
      <w:r>
        <w:t xml:space="preserve">, [online] 16(15), pp.6544–6544. Available at: </w:t>
      </w:r>
      <w:hyperlink r:id="rId79">
        <w:r>
          <w:rPr>
            <w:color w:val="0000FF"/>
            <w:u w:val="single"/>
          </w:rPr>
          <w:t>https://www.mdpi.com/2071-1050/16/15/6544</w:t>
        </w:r>
      </w:hyperlink>
      <w:r>
        <w:t xml:space="preserve">  [Accessed 14 Aug. 2026].</w:t>
      </w:r>
    </w:p>
    <w:p w:rsidR="003D104A" w:rsidRDefault="003D104A" w:rsidP="003D104A">
      <w:pPr>
        <w:pStyle w:val="NormalWeb"/>
        <w:spacing w:before="0" w:beforeAutospacing="0" w:after="240" w:afterAutospacing="0" w:line="360" w:lineRule="auto"/>
        <w:jc w:val="both"/>
      </w:pPr>
      <w:r>
        <w:rPr>
          <w:color w:val="000000"/>
        </w:rPr>
        <w:t xml:space="preserve">Pei, X., Italia, M. and Melazzini, M. (2024). Enhancing circular economy practices in the furniture industry through circular design strategies. </w:t>
      </w:r>
      <w:r>
        <w:rPr>
          <w:i/>
          <w:iCs/>
          <w:color w:val="000000"/>
        </w:rPr>
        <w:t>Sustainability</w:t>
      </w:r>
      <w:r>
        <w:rPr>
          <w:color w:val="000000"/>
        </w:rPr>
        <w:t xml:space="preserve">, [online] 16(15), pp.6544–6544. Available at: </w:t>
      </w:r>
      <w:hyperlink r:id="rId80" w:history="1">
        <w:r>
          <w:rPr>
            <w:rStyle w:val="Hyperlink"/>
            <w:color w:val="1155CC"/>
          </w:rPr>
          <w:t>https://www.researchgate.net/publication/382751384_Enhancing_Circular_Economy_Practices_in_the_Furniture_Industry_through_Circular_Design_Strategies</w:t>
        </w:r>
      </w:hyperlink>
      <w:r>
        <w:rPr>
          <w:color w:val="000000"/>
        </w:rPr>
        <w:t>  [Accessed 21 Aug. 2026].</w:t>
      </w:r>
    </w:p>
    <w:p w:rsidR="003D104A" w:rsidRDefault="003D104A" w:rsidP="003D104A">
      <w:pPr>
        <w:pStyle w:val="NormalWeb"/>
        <w:spacing w:before="0" w:beforeAutospacing="0" w:after="240" w:afterAutospacing="0" w:line="360" w:lineRule="auto"/>
        <w:jc w:val="both"/>
      </w:pPr>
      <w:r>
        <w:rPr>
          <w:color w:val="000000"/>
        </w:rPr>
        <w:t xml:space="preserve">Pérez-Sánchez, L.À., Velasco-Fernández, R. and Giampietro, M. (2022). Factors and actions for the sustainability of the residential sector. The nexus of energy, materials, space, and time use. </w:t>
      </w:r>
      <w:r>
        <w:rPr>
          <w:i/>
          <w:iCs/>
          <w:color w:val="000000"/>
        </w:rPr>
        <w:t>Renewable and Sustainable Energy Reviews</w:t>
      </w:r>
      <w:r>
        <w:rPr>
          <w:color w:val="000000"/>
        </w:rPr>
        <w:t xml:space="preserve">, [online] 161, p.112388. Available at: </w:t>
      </w:r>
      <w:hyperlink r:id="rId81" w:history="1">
        <w:r>
          <w:rPr>
            <w:rStyle w:val="Hyperlink"/>
            <w:color w:val="1155CC"/>
          </w:rPr>
          <w:t>https://www.sciencedirect.com/science/article/pii/S1364032122002982</w:t>
        </w:r>
      </w:hyperlink>
      <w:r w:rsidR="002077D3">
        <w:rPr>
          <w:color w:val="000000"/>
        </w:rPr>
        <w:t>  [Accessed 19</w:t>
      </w:r>
      <w:r>
        <w:rPr>
          <w:color w:val="000000"/>
        </w:rPr>
        <w:t xml:space="preserve"> Aug. 2026].</w:t>
      </w:r>
    </w:p>
    <w:p w:rsidR="003D104A" w:rsidRDefault="003D104A">
      <w:pPr>
        <w:spacing w:before="0" w:after="160"/>
      </w:pPr>
      <w:r>
        <w:t>Poldner, K., Overdiek, A. and Evangelista, A., 2022. Fashion-as-a-service: Circular business model innovation in retail. Sustainability, 14(20), p.13273.</w:t>
      </w:r>
      <w:hyperlink r:id="rId82">
        <w:r>
          <w:rPr>
            <w:color w:val="1155CC"/>
            <w:u w:val="single"/>
          </w:rPr>
          <w:t>https://www.mdpi.com/2071-1050/14/20/13273</w:t>
        </w:r>
      </w:hyperlink>
    </w:p>
    <w:p w:rsidR="003D104A" w:rsidRDefault="003D104A" w:rsidP="003D104A">
      <w:pPr>
        <w:pStyle w:val="NormalWeb"/>
        <w:spacing w:before="0" w:beforeAutospacing="0" w:after="240" w:afterAutospacing="0" w:line="360" w:lineRule="auto"/>
        <w:jc w:val="both"/>
      </w:pPr>
      <w:r>
        <w:rPr>
          <w:color w:val="000000"/>
        </w:rPr>
        <w:t xml:space="preserve">Pourrahimian, P., Seyedzadeh, S., Arabi, B., Kahani, D. and Lotfian, S. (2026). Digital enablers of the circular economy: A systematic review of applications, barriers, and future directions. </w:t>
      </w:r>
      <w:r>
        <w:rPr>
          <w:i/>
          <w:iCs/>
          <w:color w:val="000000"/>
        </w:rPr>
        <w:t>Journal of Manufacturing and Materials Processing</w:t>
      </w:r>
      <w:r>
        <w:rPr>
          <w:color w:val="000000"/>
        </w:rPr>
        <w:t xml:space="preserve">, [online] 10(4). Available at: </w:t>
      </w:r>
      <w:hyperlink r:id="rId83" w:history="1">
        <w:r>
          <w:rPr>
            <w:rStyle w:val="Hyperlink"/>
            <w:color w:val="1155CC"/>
          </w:rPr>
          <w:t>https://www.mdpi.com/2504-4494/10/4/112</w:t>
        </w:r>
      </w:hyperlink>
      <w:r w:rsidR="002077D3">
        <w:rPr>
          <w:color w:val="000000"/>
        </w:rPr>
        <w:t>  [Accessed 19</w:t>
      </w:r>
      <w:r>
        <w:rPr>
          <w:color w:val="000000"/>
        </w:rPr>
        <w:t xml:space="preserve"> Aug. 2026].</w:t>
      </w:r>
    </w:p>
    <w:p w:rsidR="003D104A" w:rsidRDefault="003D104A">
      <w:pPr>
        <w:spacing w:before="0"/>
      </w:pPr>
      <w:r>
        <w:t xml:space="preserve">Pratiwi, I., Elizabeth, R., Fatari, N., Basrowi, N. and Nuryanto, U.W. (2025). Assessing pricing, distribution, and warehousing strategies in influencing consumer demand and purchase </w:t>
      </w:r>
      <w:r>
        <w:lastRenderedPageBreak/>
        <w:t xml:space="preserve">decisions: Evidence from Indonesia. </w:t>
      </w:r>
      <w:r>
        <w:rPr>
          <w:i/>
          <w:iCs/>
        </w:rPr>
        <w:t>Social Sciences &amp; Humanities Open</w:t>
      </w:r>
      <w:r>
        <w:t xml:space="preserve">, [online] 12, pp.101688–101688. Available at: </w:t>
      </w:r>
      <w:hyperlink r:id="rId84">
        <w:r>
          <w:rPr>
            <w:color w:val="0000FF"/>
            <w:u w:val="single"/>
          </w:rPr>
          <w:t>https://www.sciencedirect.com/science/article/pii/S2590291125004164</w:t>
        </w:r>
      </w:hyperlink>
      <w:r>
        <w:t xml:space="preserve">  [Accessed 14 Aug. 2026].</w:t>
      </w:r>
    </w:p>
    <w:p w:rsidR="003D104A" w:rsidRDefault="003D104A">
      <w:pPr>
        <w:spacing w:before="0" w:after="160"/>
      </w:pPr>
      <w:r>
        <w:t>Sinkovics, N., Gunaratne, D., Sinkovics, R.R. and Molina-Castillo, F.J., 2021. Sustainable business model innovation: An umbrella review. Sustainability, 13(13), p.7266.</w:t>
      </w:r>
      <w:hyperlink r:id="rId85">
        <w:r>
          <w:rPr>
            <w:color w:val="1155CC"/>
            <w:u w:val="single"/>
          </w:rPr>
          <w:t>https://www.mdpi.com/2071-1050/13/13/7266</w:t>
        </w:r>
      </w:hyperlink>
    </w:p>
    <w:p w:rsidR="003D104A" w:rsidRDefault="003D104A">
      <w:pPr>
        <w:spacing w:before="0" w:after="160"/>
      </w:pPr>
      <w:r>
        <w:t>Snihur, Y. and Bocken, N., 2022. A call for action: The impact of business model innovation on business ecosystems, society and planet. Long Range Planning, 55(6), p.102182.</w:t>
      </w:r>
      <w:hyperlink r:id="rId86">
        <w:r>
          <w:rPr>
            <w:color w:val="1155CC"/>
            <w:u w:val="single"/>
          </w:rPr>
          <w:t>https://www.sciencedirect.com/science/article/pii/S0024630122000012</w:t>
        </w:r>
      </w:hyperlink>
    </w:p>
    <w:p w:rsidR="003D104A" w:rsidRDefault="003D104A">
      <w:pPr>
        <w:spacing w:before="0"/>
      </w:pPr>
      <w:r>
        <w:t xml:space="preserve">Stabler, D., Hakala, H., Huikkola, T. and Mention, A.-L. (2024). Aligning servitization and circularity: The role of institutional confluence in sustainable business models. </w:t>
      </w:r>
      <w:r>
        <w:rPr>
          <w:i/>
          <w:iCs/>
        </w:rPr>
        <w:t>Journal of Cleaner Production</w:t>
      </w:r>
      <w:r>
        <w:t>, [online] 462, p.142666. doi:10.1016/j.jclepro.2024.142666.</w:t>
      </w:r>
    </w:p>
    <w:p w:rsidR="003D104A" w:rsidRDefault="003D104A" w:rsidP="003D104A">
      <w:pPr>
        <w:pStyle w:val="NormalWeb"/>
        <w:spacing w:before="0" w:beforeAutospacing="0" w:after="240" w:afterAutospacing="0" w:line="360" w:lineRule="auto"/>
        <w:jc w:val="both"/>
      </w:pPr>
      <w:r>
        <w:rPr>
          <w:color w:val="000000"/>
        </w:rPr>
        <w:t xml:space="preserve">Stabler, D., Hakala, H., Huikkola, T. and Mention, A.-L. (2024). Aligning servitization and circularity: The role of institutional confluence in sustainable business models. </w:t>
      </w:r>
      <w:r>
        <w:rPr>
          <w:i/>
          <w:iCs/>
          <w:color w:val="000000"/>
        </w:rPr>
        <w:t>Journal of cleaner production</w:t>
      </w:r>
      <w:r>
        <w:rPr>
          <w:color w:val="000000"/>
        </w:rPr>
        <w:t xml:space="preserve">, [online] 462, pp.142666–142666. Available at: </w:t>
      </w:r>
      <w:hyperlink r:id="rId87" w:history="1">
        <w:r>
          <w:rPr>
            <w:rStyle w:val="Hyperlink"/>
            <w:color w:val="1155CC"/>
          </w:rPr>
          <w:t>https://www.sciencedirect.com/science/article/pii/S0959652624021140</w:t>
        </w:r>
      </w:hyperlink>
      <w:r>
        <w:rPr>
          <w:color w:val="000000"/>
        </w:rPr>
        <w:t>  [Accessed 21 Aug. 2026].</w:t>
      </w:r>
    </w:p>
    <w:p w:rsidR="003D104A" w:rsidRDefault="003D104A">
      <w:pPr>
        <w:spacing w:before="0" w:after="160"/>
      </w:pPr>
      <w:r>
        <w:t>Su, H., Petrecca, A.C.C. and Vezzoli, C., 2025. Designing Environmentally Sustainable Product–Service Systems for Smart Mobile Devices: A Conceptual Framework and Archetypes. Sustainability, 17(19), p.8524.</w:t>
      </w:r>
      <w:hyperlink r:id="rId88">
        <w:r>
          <w:rPr>
            <w:color w:val="1155CC"/>
            <w:u w:val="single"/>
          </w:rPr>
          <w:t>https://onlinelibrary.wiley.com/doi/pdfdirect/10.1002/bse.3297</w:t>
        </w:r>
      </w:hyperlink>
    </w:p>
    <w:p w:rsidR="003D104A" w:rsidRDefault="003D104A">
      <w:pPr>
        <w:spacing w:before="0" w:after="160"/>
      </w:pPr>
      <w:r>
        <w:t xml:space="preserve">Surma, M.J., Nunes, R.J., Rook, C. and Loder, A., 2021. Assessing employee engagement in a post-COVID-19 workplace ecosystem. Sustainability, 13(20), p.11443. </w:t>
      </w:r>
      <w:hyperlink r:id="rId89">
        <w:r>
          <w:rPr>
            <w:color w:val="1155CC"/>
            <w:u w:val="single"/>
          </w:rPr>
          <w:t>https://www.mdpi.com/2071-1050/13/20/11443</w:t>
        </w:r>
      </w:hyperlink>
    </w:p>
    <w:p w:rsidR="003D104A" w:rsidRDefault="003D104A" w:rsidP="003D104A">
      <w:pPr>
        <w:pStyle w:val="NormalWeb"/>
        <w:spacing w:before="0" w:beforeAutospacing="0" w:after="240" w:afterAutospacing="0" w:line="360" w:lineRule="auto"/>
        <w:jc w:val="both"/>
      </w:pPr>
      <w:r>
        <w:rPr>
          <w:color w:val="000000"/>
        </w:rPr>
        <w:t xml:space="preserve">Telukdarie, A. and Nyathi, M.H.L. (2026). ESG and circular business models: Towards a sector-specific circular–ESG integration framework. </w:t>
      </w:r>
      <w:r>
        <w:rPr>
          <w:i/>
          <w:iCs/>
          <w:color w:val="000000"/>
        </w:rPr>
        <w:t>Sustainability</w:t>
      </w:r>
      <w:r>
        <w:rPr>
          <w:color w:val="000000"/>
        </w:rPr>
        <w:t xml:space="preserve">, [online] 18(8), p.4006. Available at: </w:t>
      </w:r>
      <w:hyperlink r:id="rId90" w:history="1">
        <w:r>
          <w:rPr>
            <w:rStyle w:val="Hyperlink"/>
            <w:color w:val="1155CC"/>
          </w:rPr>
          <w:t>https://www.mdpi.com/2071-1050/18/8/4006</w:t>
        </w:r>
      </w:hyperlink>
      <w:r w:rsidR="002077D3">
        <w:rPr>
          <w:color w:val="000000"/>
        </w:rPr>
        <w:t>  [Accessed 19</w:t>
      </w:r>
      <w:r>
        <w:rPr>
          <w:color w:val="000000"/>
        </w:rPr>
        <w:t xml:space="preserve"> Aug. 2026].</w:t>
      </w:r>
    </w:p>
    <w:p w:rsidR="003D104A" w:rsidRDefault="003D104A" w:rsidP="003D104A">
      <w:pPr>
        <w:pStyle w:val="NormalWeb"/>
        <w:spacing w:before="0" w:beforeAutospacing="0" w:after="240" w:afterAutospacing="0" w:line="360" w:lineRule="auto"/>
        <w:jc w:val="both"/>
      </w:pPr>
      <w:r>
        <w:rPr>
          <w:color w:val="000000"/>
        </w:rPr>
        <w:lastRenderedPageBreak/>
        <w:t xml:space="preserve">Torkki, P., Rotinen, L., SuvituuliaTaponen, S., Tella, S., Grönman, K., Deviatkin, I., Pitkänen, L.J., Venesoja, A., Koljonen, K., Repo, E. and Laatikainen, K. (2024). Increasing the role of sustainability in public procurement of personal protective equipment. </w:t>
      </w:r>
      <w:r>
        <w:rPr>
          <w:i/>
          <w:iCs/>
          <w:color w:val="000000"/>
        </w:rPr>
        <w:t>Journal of cleaner production</w:t>
      </w:r>
      <w:r>
        <w:rPr>
          <w:color w:val="000000"/>
        </w:rPr>
        <w:t xml:space="preserve">, [online] pp.142335–142335. Available at: </w:t>
      </w:r>
      <w:hyperlink r:id="rId91" w:history="1">
        <w:r>
          <w:rPr>
            <w:rStyle w:val="Hyperlink"/>
            <w:color w:val="1155CC"/>
          </w:rPr>
          <w:t>https://www.sciencedirect.com/science/article/abs/pii/S0959652624017839</w:t>
        </w:r>
      </w:hyperlink>
      <w:r>
        <w:rPr>
          <w:color w:val="000000"/>
        </w:rPr>
        <w:t>  [Accessed 21 Aug. 2026].</w:t>
      </w:r>
    </w:p>
    <w:p w:rsidR="003D104A" w:rsidRDefault="003D104A">
      <w:pPr>
        <w:widowControl w:val="0"/>
      </w:pPr>
      <w:r>
        <w:t>WRAP (2025) ‘Crown Workspace Ltd: Leading the way in office furniture reuse’, 16 October. Available at:</w:t>
      </w:r>
      <w:hyperlink r:id="rId92"/>
      <w:hyperlink r:id="rId93">
        <w:r>
          <w:rPr>
            <w:color w:val="1155CC"/>
            <w:u w:val="single"/>
          </w:rPr>
          <w:t>https://www.wrap.ngo/resources/case-study/crown-workspace-ltd-leading-way-office-furniture-reuse</w:t>
        </w:r>
      </w:hyperlink>
      <w:r>
        <w:t xml:space="preserve"> (Accessed: 18 August 2026).</w:t>
      </w:r>
    </w:p>
    <w:p w:rsidR="003D104A" w:rsidRDefault="003D104A" w:rsidP="003D104A">
      <w:pPr>
        <w:pStyle w:val="NormalWeb"/>
        <w:spacing w:before="0" w:beforeAutospacing="0" w:after="240" w:afterAutospacing="0" w:line="360" w:lineRule="auto"/>
        <w:jc w:val="both"/>
        <w:rPr>
          <w:color w:val="000000"/>
        </w:rPr>
      </w:pPr>
      <w:r>
        <w:rPr>
          <w:color w:val="000000"/>
        </w:rPr>
        <w:t xml:space="preserve">Zahari, A.I., Manan, A., Razali, F.M., Zolkaflil, S. and Said, J.B. (2023). Exploring the viability of remote work for SME. </w:t>
      </w:r>
      <w:r>
        <w:rPr>
          <w:i/>
          <w:iCs/>
          <w:color w:val="000000"/>
        </w:rPr>
        <w:t>Journal of Open Innovation: Technology, Market, and Complexity</w:t>
      </w:r>
      <w:r>
        <w:rPr>
          <w:color w:val="000000"/>
        </w:rPr>
        <w:t xml:space="preserve">, [online] 10(1), pp.100182–100182. Available at: </w:t>
      </w:r>
      <w:hyperlink r:id="rId94" w:history="1">
        <w:r>
          <w:rPr>
            <w:rStyle w:val="Hyperlink"/>
            <w:color w:val="1155CC"/>
          </w:rPr>
          <w:t>https://www.sciencedirect.com/science/article/pii/S2199853123002846</w:t>
        </w:r>
      </w:hyperlink>
      <w:r w:rsidR="002077D3">
        <w:rPr>
          <w:color w:val="000000"/>
        </w:rPr>
        <w:t>  [Accessed 22</w:t>
      </w:r>
      <w:r>
        <w:rPr>
          <w:color w:val="000000"/>
        </w:rPr>
        <w:t xml:space="preserve"> Aug. 2026].</w:t>
      </w:r>
    </w:p>
    <w:p w:rsidR="00105F69" w:rsidRDefault="00105F69" w:rsidP="00105F69">
      <w:pPr>
        <w:pStyle w:val="normal0"/>
        <w:widowControl w:val="0"/>
        <w:spacing w:before="0"/>
      </w:pPr>
      <w:r>
        <w:t xml:space="preserve">Delta-esourcing.com. (2026). </w:t>
      </w:r>
      <w:r>
        <w:rPr>
          <w:i/>
          <w:iCs/>
        </w:rPr>
        <w:t>View Notice | NEUPC Procurement Portal</w:t>
      </w:r>
      <w:r>
        <w:t>. [online] Available at: https://neupc.deltaesourcing.com/commonNoticeSearch/viewNotice.html?displayNoticeId=1043636322 [Accessed 30 Aug. 2026].</w:t>
      </w:r>
    </w:p>
    <w:p w:rsidR="00105F69" w:rsidRDefault="00105F69" w:rsidP="00105F69">
      <w:pPr>
        <w:pStyle w:val="normal0"/>
        <w:widowControl w:val="0"/>
      </w:pPr>
      <w:r>
        <w:t xml:space="preserve">‌Bankofengland.co.uk. (2026). </w:t>
      </w:r>
      <w:r>
        <w:rPr>
          <w:i/>
          <w:iCs/>
        </w:rPr>
        <w:t>Monetary Policy Report - July 2026</w:t>
      </w:r>
      <w:r>
        <w:t>. [online] Available at: https://www.bankofengland.co.uk/monetary-policy-report/2026/july-2026 [Accessed 30 Aug. 2026].</w:t>
      </w:r>
    </w:p>
    <w:p w:rsidR="00105F69" w:rsidRDefault="00105F69" w:rsidP="00105F69">
      <w:pPr>
        <w:pStyle w:val="normal0"/>
        <w:widowControl w:val="0"/>
      </w:pPr>
      <w:r>
        <w:t xml:space="preserve">‌Public Policy and Economic Insights team (2025). </w:t>
      </w:r>
      <w:r>
        <w:rPr>
          <w:i/>
          <w:iCs/>
        </w:rPr>
        <w:t>Who has access to hybrid work in Great Britain?</w:t>
      </w:r>
      <w:r>
        <w:t xml:space="preserve"> [online] Ons.gov.uk. Available at: https://www.ons.gov.uk/employmentandlabourmarket/peopleinwork/employmentandemployeetypes/articles/whohasaccesstohybridworkingreatbritain/2025-06-11 [Accessed 30 Aug. 2026].</w:t>
      </w:r>
    </w:p>
    <w:p w:rsidR="00105F69" w:rsidRDefault="00105F69" w:rsidP="00105F69">
      <w:pPr>
        <w:pStyle w:val="normal0"/>
        <w:widowControl w:val="0"/>
        <w:spacing w:before="0"/>
      </w:pPr>
      <w:r>
        <w:t xml:space="preserve">‌Udvaros, J., Forman, N., Tašić, J. and Szabó, L. (2024) ‘The Application of QR Codes in the Field of E-Business in the Case of Order Tracking and Logistics’, </w:t>
      </w:r>
      <w:r>
        <w:rPr>
          <w:i/>
          <w:iCs/>
        </w:rPr>
        <w:t>14th International Symposium Engineering Management and Competitiveness (EMC 2024)</w:t>
      </w:r>
      <w:r>
        <w:t xml:space="preserve">, Zrenjanin, Serbia. </w:t>
      </w:r>
      <w:hyperlink r:id="rId95">
        <w:r>
          <w:rPr>
            <w:color w:val="1155CC"/>
            <w:u w:val="single"/>
          </w:rPr>
          <w:t>https://www.researchgate.net/publication/381663947_The_Application_of_QR_Codes_in_the_Field_of_E-Business_in_the_Case_of_Order_Tracking_and_Logistics</w:t>
        </w:r>
      </w:hyperlink>
    </w:p>
    <w:p w:rsidR="00105F69" w:rsidRDefault="00105F69" w:rsidP="00105F69">
      <w:pPr>
        <w:pStyle w:val="normal0"/>
        <w:widowControl w:val="0"/>
        <w:spacing w:before="0"/>
      </w:pPr>
    </w:p>
    <w:p w:rsidR="00105F69" w:rsidRDefault="00105F69" w:rsidP="00105F69">
      <w:pPr>
        <w:pStyle w:val="normal0"/>
        <w:widowControl w:val="0"/>
        <w:spacing w:before="0"/>
      </w:pPr>
      <w:r>
        <w:t xml:space="preserve">Department for Environment, Food &amp; Rural Affairs (2022). </w:t>
      </w:r>
      <w:r>
        <w:rPr>
          <w:i/>
          <w:iCs/>
        </w:rPr>
        <w:t>UK statistics on waste</w:t>
      </w:r>
      <w:r>
        <w:t>. [online] GOV.UK. Available at: https://www.gov.uk/government/statistics/uk-waste-data/uk-statistics-on-waste [Accessed 30 Aug. 2026].</w:t>
      </w:r>
    </w:p>
    <w:p w:rsidR="00105F69" w:rsidRDefault="00105F69" w:rsidP="00105F69">
      <w:pPr>
        <w:pStyle w:val="normal0"/>
        <w:widowControl w:val="0"/>
        <w:spacing w:before="0"/>
      </w:pPr>
      <w:r>
        <w:t xml:space="preserve">Office for National Statistics (2026). </w:t>
      </w:r>
      <w:r>
        <w:rPr>
          <w:i/>
          <w:iCs/>
        </w:rPr>
        <w:t>Consumer price inflation, UK</w:t>
      </w:r>
      <w:r>
        <w:t xml:space="preserve">. [online] Ons.gov.uk. Available at: </w:t>
      </w:r>
      <w:hyperlink r:id="rId96">
        <w:r>
          <w:rPr>
            <w:color w:val="1155CC"/>
            <w:u w:val="single"/>
          </w:rPr>
          <w:t>https://www.ons.gov.uk/economy/inflationandpriceindices/bulletins/consumerpriceinflation/june2026</w:t>
        </w:r>
      </w:hyperlink>
      <w:r>
        <w:t xml:space="preserve">  [Accessed 30 Aug. 2026].</w:t>
      </w:r>
    </w:p>
    <w:p w:rsidR="00105F69" w:rsidRDefault="00105F69" w:rsidP="00105F69">
      <w:pPr>
        <w:pStyle w:val="normal0"/>
        <w:widowControl w:val="0"/>
        <w:spacing w:before="0"/>
      </w:pPr>
      <w:r>
        <w:t xml:space="preserve">‌Khan, M., Parvaiz, G.S., Dedahanov, A.T., Abdurazzakov, O.S. and Rakhmonov, D.A. (2022). The Impact of Technologies of Traceability and Transparency in Supply Chains. </w:t>
      </w:r>
      <w:r>
        <w:rPr>
          <w:i/>
          <w:iCs/>
        </w:rPr>
        <w:t>Sustainability</w:t>
      </w:r>
      <w:r>
        <w:t xml:space="preserve">, [online] 14(24), p.16336. </w:t>
      </w:r>
      <w:hyperlink r:id="rId97">
        <w:r>
          <w:rPr>
            <w:color w:val="1155CC"/>
            <w:u w:val="single"/>
          </w:rPr>
          <w:t>https://doi.org/10.3390/su142416336</w:t>
        </w:r>
      </w:hyperlink>
    </w:p>
    <w:p w:rsidR="00105F69" w:rsidRDefault="00105F69" w:rsidP="00105F69">
      <w:pPr>
        <w:pStyle w:val="normal0"/>
        <w:widowControl w:val="0"/>
        <w:spacing w:before="0"/>
      </w:pPr>
      <w:r>
        <w:t xml:space="preserve">Franzè, C., Paolucci, E. and Pessot, E. (2024). Sustained value creation driven by digital connectivity: A multiple case study in the mechanical components industry. </w:t>
      </w:r>
      <w:r>
        <w:rPr>
          <w:i/>
          <w:iCs/>
        </w:rPr>
        <w:t>Technovation</w:t>
      </w:r>
      <w:r>
        <w:t xml:space="preserve">, [online] 129, p.102918. </w:t>
      </w:r>
      <w:hyperlink r:id="rId98">
        <w:r>
          <w:rPr>
            <w:color w:val="1155CC"/>
            <w:u w:val="single"/>
          </w:rPr>
          <w:t>https://www.sciencedirect.com/journal/technovation/vol/129/suppl/C</w:t>
        </w:r>
      </w:hyperlink>
      <w:r>
        <w:t xml:space="preserve"> </w:t>
      </w:r>
    </w:p>
    <w:p w:rsidR="00105F69" w:rsidRDefault="00105F69" w:rsidP="00105F69">
      <w:pPr>
        <w:pStyle w:val="normal0"/>
        <w:widowControl w:val="0"/>
        <w:spacing w:before="0"/>
      </w:pPr>
    </w:p>
    <w:p w:rsidR="00105F69" w:rsidRDefault="00105F69" w:rsidP="00105F69">
      <w:pPr>
        <w:pStyle w:val="normal0"/>
        <w:widowControl w:val="0"/>
        <w:spacing w:before="0"/>
      </w:pPr>
      <w:r>
        <w:t xml:space="preserve">Ogiemwonyi, O. (2025). A conceptual review of circular economy position from a marketing perspective. </w:t>
      </w:r>
      <w:r>
        <w:rPr>
          <w:i/>
          <w:iCs/>
        </w:rPr>
        <w:t>Innovation and Green Development</w:t>
      </w:r>
      <w:r>
        <w:t xml:space="preserve">, [online] 4(4), p.100258. </w:t>
      </w:r>
      <w:hyperlink r:id="rId99">
        <w:r>
          <w:rPr>
            <w:color w:val="1155CC"/>
            <w:u w:val="single"/>
          </w:rPr>
          <w:t>https://doi.org/10.1016/j.igd.2025.100258</w:t>
        </w:r>
      </w:hyperlink>
      <w:r>
        <w:t xml:space="preserve"> </w:t>
      </w:r>
    </w:p>
    <w:p w:rsidR="00105F69" w:rsidRDefault="00105F69" w:rsidP="00105F69">
      <w:pPr>
        <w:pStyle w:val="normal0"/>
        <w:widowControl w:val="0"/>
        <w:spacing w:before="0"/>
      </w:pPr>
      <w:r>
        <w:t xml:space="preserve">Kanda, W., Klofsten, M., Bienkowska, D., Henry, M. and Hjelm, O. (2024). Challenges of circular new ventures: An empirical analysis of 70 cases. </w:t>
      </w:r>
      <w:r>
        <w:rPr>
          <w:i/>
          <w:iCs/>
        </w:rPr>
        <w:t>Journal of Cleaner Production</w:t>
      </w:r>
      <w:r>
        <w:t xml:space="preserve">, [online] 442, p.141103. </w:t>
      </w:r>
      <w:hyperlink r:id="rId100">
        <w:r>
          <w:rPr>
            <w:color w:val="1155CC"/>
            <w:u w:val="single"/>
          </w:rPr>
          <w:t>https://www.sciencedirect.com/journal/journal-of-cleaner-production/vol/442/suppl/C</w:t>
        </w:r>
      </w:hyperlink>
      <w:r>
        <w:t xml:space="preserve"> </w:t>
      </w:r>
    </w:p>
    <w:p w:rsidR="00105F69" w:rsidRDefault="00105F69" w:rsidP="00105F69">
      <w:pPr>
        <w:pStyle w:val="normal0"/>
        <w:widowControl w:val="0"/>
        <w:spacing w:before="0"/>
      </w:pPr>
      <w:r>
        <w:t xml:space="preserve">Cooper, M. (2024). Integrating Sustainability Into Procurement: Perspectives From Supply </w:t>
      </w:r>
      <w:r>
        <w:lastRenderedPageBreak/>
        <w:t xml:space="preserve">Chain Practitioners. </w:t>
      </w:r>
      <w:hyperlink r:id="rId101">
        <w:r>
          <w:rPr>
            <w:color w:val="1155CC"/>
            <w:u w:val="single"/>
          </w:rPr>
          <w:t>https://doi.org/10.20944/preprints202407.0614.v1</w:t>
        </w:r>
      </w:hyperlink>
    </w:p>
    <w:p w:rsidR="00105F69" w:rsidRDefault="00105F69" w:rsidP="00105F69">
      <w:pPr>
        <w:pStyle w:val="normal0"/>
        <w:widowControl w:val="0"/>
        <w:spacing w:before="0"/>
      </w:pPr>
      <w:r>
        <w:t xml:space="preserve">Xu, M., Tse, Y.K., Geng, R., Liu, Z. and Potter, A. (2025). Greenwashing and market value of firms: An empirical study. </w:t>
      </w:r>
      <w:r>
        <w:rPr>
          <w:i/>
          <w:iCs/>
        </w:rPr>
        <w:t>International Journal of Production Economics</w:t>
      </w:r>
      <w:r>
        <w:t xml:space="preserve">, [online] 284, p.109606. </w:t>
      </w:r>
      <w:hyperlink r:id="rId102">
        <w:r>
          <w:rPr>
            <w:color w:val="1155CC"/>
            <w:u w:val="single"/>
          </w:rPr>
          <w:t>https://www.sciencedirect.com/science/article/pii/S092552732500091X</w:t>
        </w:r>
      </w:hyperlink>
      <w:r>
        <w:t xml:space="preserve"> </w:t>
      </w:r>
    </w:p>
    <w:p w:rsidR="00105F69" w:rsidRDefault="00105F69" w:rsidP="00105F69">
      <w:pPr>
        <w:pStyle w:val="normal0"/>
        <w:widowControl w:val="0"/>
        <w:spacing w:before="0"/>
      </w:pPr>
      <w:r>
        <w:t xml:space="preserve">Business Registers Strategy and Outputs team (2025). </w:t>
      </w:r>
      <w:r>
        <w:rPr>
          <w:i/>
          <w:iCs/>
        </w:rPr>
        <w:t>UK business; activity, size and location</w:t>
      </w:r>
      <w:r>
        <w:t xml:space="preserve">. [online] Ons.gov.uk. Available at: </w:t>
      </w:r>
      <w:hyperlink r:id="rId103">
        <w:r>
          <w:rPr>
            <w:color w:val="1155CC"/>
            <w:u w:val="single"/>
          </w:rPr>
          <w:t>https://www.ons.gov.uk/businessindustryandtrade/business/activitysizeandlocation/bulletins/ukbusinessactivitysizeandlocation/2025</w:t>
        </w:r>
      </w:hyperlink>
      <w:r>
        <w:t xml:space="preserve">  [Accessed 31 Aug. 2026].</w:t>
      </w:r>
    </w:p>
    <w:p w:rsidR="00105F69" w:rsidRDefault="00105F69" w:rsidP="00105F69">
      <w:pPr>
        <w:pStyle w:val="normal0"/>
        <w:widowControl w:val="0"/>
        <w:spacing w:before="0"/>
      </w:pPr>
      <w:r>
        <w:t xml:space="preserve">‌Pesce, D. and Neirotti, P. (2023). The impact of IT–business strategic alignment on firm performance: The evolving role of IT in industries. </w:t>
      </w:r>
      <w:r>
        <w:rPr>
          <w:i/>
          <w:iCs/>
        </w:rPr>
        <w:t>Information &amp; Management</w:t>
      </w:r>
      <w:r>
        <w:t xml:space="preserve">, [online] 60(5), p.103800. </w:t>
      </w:r>
      <w:hyperlink r:id="rId104">
        <w:r>
          <w:rPr>
            <w:color w:val="1155CC"/>
            <w:u w:val="single"/>
          </w:rPr>
          <w:t>https://www.sciencedirect.com/journal/information-and-management/vol/60/issue/5</w:t>
        </w:r>
      </w:hyperlink>
    </w:p>
    <w:p w:rsidR="00105F69" w:rsidRDefault="00105F69" w:rsidP="00105F69">
      <w:pPr>
        <w:pStyle w:val="normal0"/>
        <w:widowControl w:val="0"/>
        <w:spacing w:before="0"/>
      </w:pPr>
      <w:r>
        <w:t xml:space="preserve">Jenkins, A. (2024). </w:t>
      </w:r>
      <w:r>
        <w:rPr>
          <w:i/>
          <w:iCs/>
        </w:rPr>
        <w:t>13 Reverse Logistics Challenges &amp; How to Overcome Them</w:t>
      </w:r>
      <w:r>
        <w:t>. [online] Oracle NetSuite. Available at: https://www.netsuite.com/portal/resource/articles/inventory-management/reverse-logistics-challenges.shtml [Accessed 31 Aug. 2026].</w:t>
      </w:r>
    </w:p>
    <w:p w:rsidR="00105F69" w:rsidRDefault="00105F69" w:rsidP="00105F69">
      <w:pPr>
        <w:pStyle w:val="normal0"/>
        <w:widowControl w:val="0"/>
        <w:spacing w:before="0"/>
      </w:pPr>
      <w:r>
        <w:t xml:space="preserve">‌Sala-Garrido, R., Mocholi-Arce, M., Maziotis, A. and Molinos-Senante, M. (2024). Eco-efficiency approach in sustainable waste management: An uncertainty analysis for Chile. </w:t>
      </w:r>
      <w:r>
        <w:rPr>
          <w:i/>
          <w:iCs/>
        </w:rPr>
        <w:t>Environmental Science &amp; Policy</w:t>
      </w:r>
      <w:r>
        <w:t xml:space="preserve">, [online] 160, p.103859. </w:t>
      </w:r>
      <w:hyperlink r:id="rId105">
        <w:r>
          <w:rPr>
            <w:color w:val="1155CC"/>
            <w:u w:val="single"/>
          </w:rPr>
          <w:t>https://doi.org/10.1016/j.envsci.2024.103859</w:t>
        </w:r>
      </w:hyperlink>
    </w:p>
    <w:p w:rsidR="00105F69" w:rsidRDefault="00105F69" w:rsidP="00105F69">
      <w:pPr>
        <w:pStyle w:val="normal0"/>
        <w:widowControl w:val="0"/>
        <w:spacing w:before="0"/>
      </w:pPr>
      <w:r>
        <w:t xml:space="preserve">Huis, C., Vallaster, C. and Müller, J.M. (2026) ‘The difficulties in finding value in waste: linking institutional dynamics and circular business model development’, </w:t>
      </w:r>
      <w:r>
        <w:rPr>
          <w:i/>
          <w:iCs/>
        </w:rPr>
        <w:t>Review of Managerial Science</w:t>
      </w:r>
      <w:r>
        <w:t xml:space="preserve">. </w:t>
      </w:r>
      <w:hyperlink r:id="rId106">
        <w:r>
          <w:rPr>
            <w:color w:val="1155CC"/>
            <w:u w:val="single"/>
          </w:rPr>
          <w:t>https://doi.org/10.1007/s11846-026-00971-9?urlappend=%3Futm_source%3Dresearchgate.net%26utm_medium%3Darticle</w:t>
        </w:r>
      </w:hyperlink>
    </w:p>
    <w:p w:rsidR="00105F69" w:rsidRDefault="00105F69" w:rsidP="00105F69">
      <w:pPr>
        <w:pStyle w:val="normal0"/>
        <w:widowControl w:val="0"/>
        <w:spacing w:before="0"/>
      </w:pPr>
      <w:r>
        <w:t xml:space="preserve">Wang, Y., Wang, D.D. and Liu, R. (2025). Impact of Digital Technology Adoption on the Similarity of Sustainability Reports. </w:t>
      </w:r>
      <w:r>
        <w:rPr>
          <w:i/>
          <w:iCs/>
        </w:rPr>
        <w:t>Sustainability</w:t>
      </w:r>
      <w:r>
        <w:t xml:space="preserve">, [online] 17(8), p.3728. </w:t>
      </w:r>
      <w:hyperlink r:id="rId107">
        <w:r>
          <w:rPr>
            <w:color w:val="1155CC"/>
            <w:u w:val="single"/>
          </w:rPr>
          <w:t>https://doi.org/10.3390/su17083728</w:t>
        </w:r>
      </w:hyperlink>
    </w:p>
    <w:p w:rsidR="00105F69" w:rsidRDefault="00105F69" w:rsidP="00105F69">
      <w:pPr>
        <w:pStyle w:val="normal0"/>
        <w:widowControl w:val="0"/>
        <w:spacing w:before="0"/>
      </w:pPr>
      <w:r>
        <w:t xml:space="preserve">Government of UK (2024c). </w:t>
      </w:r>
      <w:r>
        <w:rPr>
          <w:i/>
          <w:iCs/>
        </w:rPr>
        <w:t>UK Statistics on Waste</w:t>
      </w:r>
      <w:r>
        <w:t xml:space="preserve">. [online] GOV.UK. Available at: </w:t>
      </w:r>
      <w:hyperlink r:id="rId108">
        <w:r>
          <w:rPr>
            <w:color w:val="1155CC"/>
            <w:u w:val="single"/>
          </w:rPr>
          <w:t>https://www.gov.uk/government/statistics/uk-waste-data/uk-statistics-on-waste</w:t>
        </w:r>
      </w:hyperlink>
      <w:r>
        <w:t xml:space="preserve">  [Accessed 31 Aug. 2026].</w:t>
      </w:r>
    </w:p>
    <w:p w:rsidR="00105F69" w:rsidRDefault="00105F69" w:rsidP="00105F69">
      <w:pPr>
        <w:pStyle w:val="normal0"/>
        <w:widowControl w:val="0"/>
        <w:spacing w:before="0"/>
      </w:pPr>
      <w:r>
        <w:t xml:space="preserve">Government of UK (2024a). </w:t>
      </w:r>
      <w:r>
        <w:rPr>
          <w:i/>
          <w:iCs/>
        </w:rPr>
        <w:t>Estimates of Residual Waste and Municipal Residual Waste in England</w:t>
      </w:r>
      <w:r>
        <w:t xml:space="preserve">. [online] GOV.UK. Available at: </w:t>
      </w:r>
      <w:hyperlink r:id="rId109">
        <w:r>
          <w:rPr>
            <w:color w:val="1155CC"/>
            <w:u w:val="single"/>
          </w:rPr>
          <w:t>https://www.gov.uk/government/statistics/estimates-of-residual-waste-and-municipal-residual-waste-in-england/estimates-of-residual-waste-excluding-major-mineral-wastes-and-municipal-residual-waste-in-england</w:t>
        </w:r>
      </w:hyperlink>
      <w:r>
        <w:t xml:space="preserve">  [Accessed 31 Aug. 2026].</w:t>
      </w:r>
    </w:p>
    <w:p w:rsidR="00105F69" w:rsidRDefault="00105F69" w:rsidP="00105F69">
      <w:pPr>
        <w:pStyle w:val="normal0"/>
        <w:widowControl w:val="0"/>
        <w:spacing w:before="0"/>
      </w:pPr>
      <w:r>
        <w:t xml:space="preserve">OECD (2026). </w:t>
      </w:r>
      <w:r>
        <w:rPr>
          <w:i/>
          <w:iCs/>
        </w:rPr>
        <w:t>The twin transition of retail SMEs: Local retail, global trends</w:t>
      </w:r>
      <w:r>
        <w:t xml:space="preserve">. [online] OECD. Available at: </w:t>
      </w:r>
      <w:hyperlink r:id="rId110">
        <w:r>
          <w:rPr>
            <w:color w:val="1155CC"/>
            <w:u w:val="single"/>
          </w:rPr>
          <w:t>https://www.oecd.org/en/publications/local-retail-global-trends_55e2edec-en/full-report/the-twin-transition-of-retail-smes_e9ff5378.html</w:t>
        </w:r>
      </w:hyperlink>
      <w:r>
        <w:t xml:space="preserve">  [Accessed 31 Aug. 2026].</w:t>
      </w:r>
    </w:p>
    <w:p w:rsidR="00105F69" w:rsidRDefault="00105F69" w:rsidP="00105F69">
      <w:pPr>
        <w:pStyle w:val="normal0"/>
        <w:spacing w:before="0"/>
      </w:pPr>
      <w:r>
        <w:t xml:space="preserve">Eslamipoor, R. (2026). Digital Technology’s role in circular waste management: A systematic review. </w:t>
      </w:r>
      <w:r>
        <w:rPr>
          <w:i/>
          <w:iCs/>
        </w:rPr>
        <w:t>Business Strategy and the Environment</w:t>
      </w:r>
      <w:r>
        <w:t xml:space="preserve">. [online] Available at: </w:t>
      </w:r>
      <w:hyperlink r:id="rId111">
        <w:r>
          <w:rPr>
            <w:color w:val="1155CC"/>
            <w:u w:val="single"/>
          </w:rPr>
          <w:t>https://onlinelibrary.wiley.com/doi/full/10.1002/bse.70943</w:t>
        </w:r>
      </w:hyperlink>
      <w:r>
        <w:t xml:space="preserve">  [Accessed 31 Aug. 2026].</w:t>
      </w:r>
    </w:p>
    <w:p w:rsidR="00105F69" w:rsidRDefault="00105F69" w:rsidP="00105F69">
      <w:pPr>
        <w:pStyle w:val="normal0"/>
        <w:spacing w:before="0"/>
      </w:pPr>
      <w:r>
        <w:t xml:space="preserve">Green Space Innovations (2025). </w:t>
      </w:r>
      <w:r>
        <w:rPr>
          <w:i/>
          <w:iCs/>
        </w:rPr>
        <w:t>Blocked</w:t>
      </w:r>
      <w:r>
        <w:t xml:space="preserve">. [online] Greenspaceinnovations.co.uk. Available at: </w:t>
      </w:r>
      <w:hyperlink r:id="rId112">
        <w:r>
          <w:rPr>
            <w:color w:val="1155CC"/>
            <w:u w:val="single"/>
          </w:rPr>
          <w:t>https://greenspaceinnovations.co.uk/uk-recycling-rate-rises-to-44-6-as-waste-to-landfill-falls/</w:t>
        </w:r>
      </w:hyperlink>
      <w:r>
        <w:t xml:space="preserve"> [Accessed 31 Aug. 2026].</w:t>
      </w:r>
    </w:p>
    <w:p w:rsidR="00105F69" w:rsidRDefault="00105F69" w:rsidP="00105F69">
      <w:pPr>
        <w:pStyle w:val="normal0"/>
        <w:spacing w:before="0"/>
      </w:pPr>
      <w:r>
        <w:t xml:space="preserve">Shonubi, O.A. (2025). The role of digital B2B platforms with industry 4.0 technological ecosystems(integration of cloud computing, artificial intelligence and internet of things) as a growth lever. </w:t>
      </w:r>
      <w:r>
        <w:rPr>
          <w:i/>
          <w:iCs/>
        </w:rPr>
        <w:t>Sustainable Futures</w:t>
      </w:r>
      <w:r>
        <w:t xml:space="preserve">, [online] 10, p.101041. Available at: </w:t>
      </w:r>
      <w:hyperlink r:id="rId113">
        <w:r>
          <w:rPr>
            <w:color w:val="1155CC"/>
            <w:u w:val="single"/>
          </w:rPr>
          <w:t>https://www.sciencedirect.com/science/article/pii/S2666188825006057</w:t>
        </w:r>
      </w:hyperlink>
      <w:r>
        <w:t xml:space="preserve">  [Accessed 31 Aug. 2026].</w:t>
      </w:r>
    </w:p>
    <w:p w:rsidR="00105F69" w:rsidRDefault="00105F69" w:rsidP="00105F69">
      <w:pPr>
        <w:pStyle w:val="normal0"/>
        <w:spacing w:before="0"/>
      </w:pPr>
      <w:r>
        <w:t xml:space="preserve">European Commission (2026). </w:t>
      </w:r>
      <w:r>
        <w:rPr>
          <w:i/>
          <w:iCs/>
        </w:rPr>
        <w:t>Documents download module</w:t>
      </w:r>
      <w:r>
        <w:t xml:space="preserve">. [online] Europa.eu. Available at: </w:t>
      </w:r>
      <w:hyperlink r:id="rId114">
        <w:r>
          <w:rPr>
            <w:color w:val="1155CC"/>
            <w:u w:val="single"/>
          </w:rPr>
          <w:t>https://ec.europa.eu/research/participants/documents/downloadPublic?documentIds=080166e51297820f&amp;appId=PPGMS</w:t>
        </w:r>
      </w:hyperlink>
      <w:r>
        <w:t xml:space="preserve">  [Accessed 31 Aug. 2026].</w:t>
      </w:r>
    </w:p>
    <w:p w:rsidR="00105F69" w:rsidRDefault="00105F69" w:rsidP="00105F69">
      <w:pPr>
        <w:pStyle w:val="normal0"/>
        <w:spacing w:before="0"/>
      </w:pPr>
    </w:p>
    <w:p w:rsidR="00105F69" w:rsidRDefault="00105F69" w:rsidP="00105F69">
      <w:pPr>
        <w:pStyle w:val="normal0"/>
        <w:spacing w:before="0"/>
      </w:pPr>
      <w:r>
        <w:lastRenderedPageBreak/>
        <w:t xml:space="preserve">Lamichhane, B.D., Lama, P.B. and Lopchan, L. (2024). Cost-volume analysis and its impact on profitability: An evidence from Nepal. </w:t>
      </w:r>
      <w:r>
        <w:rPr>
          <w:i/>
          <w:iCs/>
        </w:rPr>
        <w:t>International Journal of Religion</w:t>
      </w:r>
      <w:r>
        <w:t xml:space="preserve">, [online] 5(12), pp.2007–2018. Available at: </w:t>
      </w:r>
      <w:hyperlink r:id="rId115">
        <w:r>
          <w:rPr>
            <w:color w:val="1155CC"/>
            <w:u w:val="single"/>
          </w:rPr>
          <w:t>https://www.researchgate.net/publication/387473297_Cost-Volume_Analysis_and_its_Impact_on_Profitability_An_Evidence_from_Nepal</w:t>
        </w:r>
      </w:hyperlink>
    </w:p>
    <w:p w:rsidR="00105F69" w:rsidRDefault="00105F69" w:rsidP="00105F69">
      <w:pPr>
        <w:pStyle w:val="normal0"/>
        <w:spacing w:before="0"/>
      </w:pPr>
    </w:p>
    <w:p w:rsidR="00105F69" w:rsidRDefault="00105F69" w:rsidP="00105F69">
      <w:pPr>
        <w:pStyle w:val="normal0"/>
        <w:spacing w:before="0"/>
      </w:pPr>
    </w:p>
    <w:p w:rsidR="00105F69" w:rsidRDefault="00105F69" w:rsidP="00105F69">
      <w:pPr>
        <w:pStyle w:val="normal0"/>
        <w:spacing w:before="0"/>
      </w:pPr>
      <w:r>
        <w:t xml:space="preserve">PwC (2025). </w:t>
      </w:r>
      <w:r>
        <w:rPr>
          <w:i/>
          <w:iCs/>
        </w:rPr>
        <w:t>2025 AI business predictions</w:t>
      </w:r>
      <w:r>
        <w:t xml:space="preserve">. [online] PwC. Available at: </w:t>
      </w:r>
      <w:hyperlink r:id="rId116">
        <w:r>
          <w:rPr>
            <w:color w:val="1155CC"/>
            <w:u w:val="single"/>
          </w:rPr>
          <w:t>https://www.pwc.com/us/en/tech-effect/ai-analytics/ai-predictions.html</w:t>
        </w:r>
      </w:hyperlink>
    </w:p>
    <w:p w:rsidR="00105F69" w:rsidRDefault="00105F69" w:rsidP="00105F69">
      <w:pPr>
        <w:pStyle w:val="normal0"/>
        <w:spacing w:before="0"/>
      </w:pPr>
      <w:r>
        <w:t xml:space="preserve">Kam, B., Ahsan, K., Deng, H. and Duan, S. (2026). Digital platforms in supply chain and logistics management: A systematic literature review. </w:t>
      </w:r>
      <w:r>
        <w:rPr>
          <w:i/>
          <w:iCs/>
        </w:rPr>
        <w:t>Transportation Research Part E: Logistics and Transportation Review</w:t>
      </w:r>
      <w:r>
        <w:t xml:space="preserve">, [online] 209, p.104737. Available at: </w:t>
      </w:r>
      <w:hyperlink r:id="rId117">
        <w:r>
          <w:rPr>
            <w:color w:val="1155CC"/>
            <w:u w:val="single"/>
          </w:rPr>
          <w:t>https://www.sciencedirect.com/science/article/pii/S1366554526000773</w:t>
        </w:r>
      </w:hyperlink>
      <w:r>
        <w:t xml:space="preserve">  [Accessed 31 Aug. 2026].</w:t>
      </w:r>
    </w:p>
    <w:p w:rsidR="00105F69" w:rsidRDefault="00105F69" w:rsidP="00105F69">
      <w:pPr>
        <w:pStyle w:val="normal0"/>
        <w:spacing w:before="0"/>
      </w:pPr>
      <w:r>
        <w:t xml:space="preserve">Petropoulos, F., Akkermans, H., Aksin, O.Z., Ali, I., Babai, M.Z., Barbosa-Povoa, A., Battaïa, O., Besiou, M., Boysen, N., Brammer, S., Brandon-Jones, A., Briskorn, D., Browning, T.R., Buijs, P., Centobelli, P., Chiarini, A., Cousins, P., Cudney, E.A., Davies, A., Day, S.J., de Koster, R., Dekker, R., Denicol, J., Despeisse, M., Disney, S.M., Dolgui, A., Duong, L., El-Qallali, M., Fahimnia, B., Fakhredin, F., Gershwin, S.B., Ghamat, S., Giannikas, V., Glock, C.H., Godsell, J., Govindan, K., Hannibal, C., Haug, A., Hernaus, T., Hsuan, J., Ivanov, D., Jahre, M., Johansson, B., Kalidoss, M.S., Kanellopoulos, A., Kannan, D., Karul, E., Katsikopoulos, K.V., Begüm Kilic-Ararat, A., Kolisch, R., Koppenberg, M., Kumar, M., Kuo, Y.-H., Kusiak, A., Lewis, M.A., Lim, S.F.W.T., Limère, V., Liu, J., Maghazei, O., Marić, M., Meissner, J., Meuwissen, M., Micheli, P., Nanayakkara, S., Nur Özdemir, B., Papadopoulos, T., Pavelin, S., Perera, S., Phillips, W., Prak, D., Pun, H., Qazi, S.A., Ramanathan, U., Reiner, G., Reitsma, E., Roehrich, J.K., Sanders, N.R., Sarkis, J., André Schmid, N., Schmidt, C.G., Schroeder, A., Selviaridis, K., Seuring, S., Shi, C., Son, B.-G., Spring, M., Squire, B., der Valk, W. van, van Donk, D.P., van Houtum, G.-J., Wilhelm, M., Wynstra, F. and Zheng, T. (2025). </w:t>
      </w:r>
      <w:r>
        <w:lastRenderedPageBreak/>
        <w:t xml:space="preserve">Operations &amp;amp; supply chain management: Principles and practice. </w:t>
      </w:r>
      <w:r>
        <w:rPr>
          <w:i/>
          <w:iCs/>
        </w:rPr>
        <w:t>International Journal of Production Research</w:t>
      </w:r>
      <w:r>
        <w:t xml:space="preserve">, [online] pp.1–184. Available at: </w:t>
      </w:r>
      <w:hyperlink r:id="rId118">
        <w:r>
          <w:rPr>
            <w:color w:val="1155CC"/>
            <w:u w:val="single"/>
          </w:rPr>
          <w:t>https://www.tandfonline.com/doi/full/10.1080/00207543.2025.2555531</w:t>
        </w:r>
      </w:hyperlink>
      <w:r>
        <w:t xml:space="preserve">  [Accessed 31 Aug. 2026].</w:t>
      </w:r>
    </w:p>
    <w:p w:rsidR="00105F69" w:rsidRDefault="00105F69" w:rsidP="00105F69">
      <w:pPr>
        <w:pStyle w:val="normal0"/>
        <w:spacing w:before="0"/>
      </w:pPr>
      <w:r>
        <w:t xml:space="preserve">Bals, L., Taylor, K.M., Rosca, E. and Ciulli, F. (2024). Toward a circular supply chain: The enabling role of information and financial flows in open and closed loop designs. </w:t>
      </w:r>
      <w:r>
        <w:rPr>
          <w:i/>
          <w:iCs/>
        </w:rPr>
        <w:t>Resources Conservation and Recycling</w:t>
      </w:r>
      <w:r>
        <w:t xml:space="preserve">, [online] 209, pp.107781–107781. Available at: </w:t>
      </w:r>
      <w:hyperlink r:id="rId119">
        <w:r>
          <w:rPr>
            <w:color w:val="1155CC"/>
            <w:u w:val="single"/>
          </w:rPr>
          <w:t>https://www.sciencedirect.com/science/article/pii/S0921344924003756</w:t>
        </w:r>
      </w:hyperlink>
      <w:r>
        <w:t xml:space="preserve">  [Accessed 31 Aug. 2026].</w:t>
      </w:r>
    </w:p>
    <w:p w:rsidR="00105F69" w:rsidRDefault="00105F69" w:rsidP="00105F69">
      <w:pPr>
        <w:pStyle w:val="normal0"/>
        <w:spacing w:before="0"/>
      </w:pPr>
      <w:r>
        <w:t xml:space="preserve">Mostafa, A., Moustafa, K. and Elshaer, R. (2023). Impact of fixed cost increase on the optimization of two-stage sustainable supply chain networks. </w:t>
      </w:r>
      <w:r>
        <w:rPr>
          <w:i/>
          <w:iCs/>
        </w:rPr>
        <w:t>Sustainability</w:t>
      </w:r>
      <w:r>
        <w:t xml:space="preserve">, [online] 15(18), pp.13949–13949. Available at: </w:t>
      </w:r>
      <w:hyperlink r:id="rId120">
        <w:r>
          <w:rPr>
            <w:color w:val="1155CC"/>
            <w:u w:val="single"/>
          </w:rPr>
          <w:t>https://www.mdpi.com/2071-1050/15/18/13949</w:t>
        </w:r>
      </w:hyperlink>
      <w:r>
        <w:t xml:space="preserve">  [Accessed 31 Aug. 2026]. </w:t>
      </w:r>
    </w:p>
    <w:p w:rsidR="00105F69" w:rsidRDefault="00105F69" w:rsidP="003D104A">
      <w:pPr>
        <w:pStyle w:val="NormalWeb"/>
        <w:spacing w:before="0" w:beforeAutospacing="0" w:after="240" w:afterAutospacing="0" w:line="360" w:lineRule="auto"/>
        <w:jc w:val="both"/>
      </w:pPr>
    </w:p>
    <w:p w:rsidR="002C2BC8" w:rsidRDefault="002C2BC8"/>
    <w:sectPr w:rsidR="002C2BC8" w:rsidSect="001646CB">
      <w:headerReference w:type="default" r:id="rId121"/>
      <w:footerReference w:type="default" r:id="rId122"/>
      <w:footerReference w:type="first" r:id="rId123"/>
      <w:pgSz w:w="12240" w:h="15840"/>
      <w:pgMar w:top="1440" w:right="1440" w:bottom="1440" w:left="1440"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A634D" w:rsidRDefault="003A634D">
      <w:pPr>
        <w:spacing w:before="0" w:after="0" w:line="240" w:lineRule="auto"/>
      </w:pPr>
      <w:r>
        <w:separator/>
      </w:r>
    </w:p>
  </w:endnote>
  <w:endnote w:type="continuationSeparator" w:id="1">
    <w:p w:rsidR="003A634D" w:rsidRDefault="003A634D">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058C66F4-7715-4020-94D0-BE9F8E29495B}"/>
  </w:font>
  <w:font w:name="Calibri">
    <w:panose1 w:val="020F0502020204030204"/>
    <w:charset w:val="00"/>
    <w:family w:val="swiss"/>
    <w:pitch w:val="variable"/>
    <w:sig w:usb0="E4002EFF" w:usb1="C200247B" w:usb2="00000009" w:usb3="00000000" w:csb0="000001FF" w:csb1="00000000"/>
    <w:embedRegular r:id="rId2" w:fontKey="{2259C261-DB6E-4738-A4EC-74C4F425F4AE}"/>
    <w:embedBold r:id="rId3" w:fontKey="{CE64B536-3FEE-4C59-A431-3A636E8D6958}"/>
  </w:font>
  <w:font w:name="Cambria">
    <w:panose1 w:val="02040503050406030204"/>
    <w:charset w:val="00"/>
    <w:family w:val="roman"/>
    <w:pitch w:val="variable"/>
    <w:sig w:usb0="E00006FF" w:usb1="420024FF" w:usb2="02000000" w:usb3="00000000" w:csb0="0000019F" w:csb1="00000000"/>
    <w:embedRegular r:id="rId4" w:fontKey="{3380E649-49D5-4A92-AF51-1D206D10A575}"/>
  </w:font>
  <w:font w:name="Arial Unicode MS">
    <w:panose1 w:val="020B0604020202020204"/>
    <w:charset w:val="80"/>
    <w:family w:val="swiss"/>
    <w:pitch w:val="variable"/>
    <w:sig w:usb0="F7FFAFFF" w:usb1="E9DFFFFF" w:usb2="0000003F" w:usb3="00000000" w:csb0="003F01FF" w:csb1="00000000"/>
    <w:embedRegular r:id="rId5" w:subsetted="1" w:fontKey="{A6DDD066-B0BC-4646-8689-005464E5D6BF}"/>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05F69" w:rsidRDefault="00105F69">
    <w:pPr>
      <w:jc w:val="right"/>
    </w:pPr>
    <w:fldSimple w:instr="PAGE">
      <w:r w:rsidR="002662A8">
        <w:rPr>
          <w:noProof/>
        </w:rPr>
        <w:t>6</w:t>
      </w:r>
    </w:fldSimple>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05F69" w:rsidRDefault="00105F69"/>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A634D" w:rsidRDefault="003A634D">
      <w:pPr>
        <w:spacing w:before="0" w:after="0" w:line="240" w:lineRule="auto"/>
      </w:pPr>
      <w:r>
        <w:separator/>
      </w:r>
    </w:p>
  </w:footnote>
  <w:footnote w:type="continuationSeparator" w:id="1">
    <w:p w:rsidR="003A634D" w:rsidRDefault="003A634D">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05F69" w:rsidRDefault="00105F69"/>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FA2112"/>
    <w:multiLevelType w:val="multilevel"/>
    <w:tmpl w:val="D2906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A3067C4"/>
    <w:multiLevelType w:val="multilevel"/>
    <w:tmpl w:val="518E19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0BC7D72"/>
    <w:multiLevelType w:val="hybridMultilevel"/>
    <w:tmpl w:val="DC9CEE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7C44581"/>
    <w:multiLevelType w:val="multilevel"/>
    <w:tmpl w:val="720A8A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A1C3053"/>
    <w:multiLevelType w:val="multilevel"/>
    <w:tmpl w:val="1868C8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FDB1E42"/>
    <w:multiLevelType w:val="multilevel"/>
    <w:tmpl w:val="FD8C73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4DA5038"/>
    <w:multiLevelType w:val="multilevel"/>
    <w:tmpl w:val="983E17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66766AE"/>
    <w:multiLevelType w:val="multilevel"/>
    <w:tmpl w:val="BE86BF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5D53007F"/>
    <w:multiLevelType w:val="multilevel"/>
    <w:tmpl w:val="8B90A8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5E0B0E9A"/>
    <w:multiLevelType w:val="multilevel"/>
    <w:tmpl w:val="9886EA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nsid w:val="75633AE5"/>
    <w:multiLevelType w:val="multilevel"/>
    <w:tmpl w:val="232003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5"/>
  </w:num>
  <w:num w:numId="2">
    <w:abstractNumId w:val="4"/>
  </w:num>
  <w:num w:numId="3">
    <w:abstractNumId w:val="1"/>
  </w:num>
  <w:num w:numId="4">
    <w:abstractNumId w:val="3"/>
  </w:num>
  <w:num w:numId="5">
    <w:abstractNumId w:val="0"/>
  </w:num>
  <w:num w:numId="6">
    <w:abstractNumId w:val="7"/>
  </w:num>
  <w:num w:numId="7">
    <w:abstractNumId w:val="6"/>
  </w:num>
  <w:num w:numId="8">
    <w:abstractNumId w:val="8"/>
  </w:num>
  <w:num w:numId="9">
    <w:abstractNumId w:val="10"/>
  </w:num>
  <w:num w:numId="10">
    <w:abstractNumId w:val="9"/>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embedTrueTypeFonts/>
  <w:defaultTabStop w:val="720"/>
  <w:characterSpacingControl w:val="doNotCompress"/>
  <w:footnotePr>
    <w:footnote w:id="0"/>
    <w:footnote w:id="1"/>
  </w:footnotePr>
  <w:endnotePr>
    <w:endnote w:id="0"/>
    <w:endnote w:id="1"/>
  </w:endnotePr>
  <w:compat/>
  <w:rsids>
    <w:rsidRoot w:val="002C2BC8"/>
    <w:rsid w:val="00082632"/>
    <w:rsid w:val="00105F69"/>
    <w:rsid w:val="001646CB"/>
    <w:rsid w:val="002043AA"/>
    <w:rsid w:val="002077D3"/>
    <w:rsid w:val="002662A8"/>
    <w:rsid w:val="002A0CEE"/>
    <w:rsid w:val="002C2BC8"/>
    <w:rsid w:val="003A634D"/>
    <w:rsid w:val="003B34AC"/>
    <w:rsid w:val="003D104A"/>
    <w:rsid w:val="004F6403"/>
    <w:rsid w:val="00511C6D"/>
    <w:rsid w:val="00596FD4"/>
    <w:rsid w:val="006F1940"/>
    <w:rsid w:val="008230A6"/>
    <w:rsid w:val="00887AB1"/>
    <w:rsid w:val="00942264"/>
    <w:rsid w:val="009644E8"/>
    <w:rsid w:val="00B159F0"/>
    <w:rsid w:val="00B75634"/>
    <w:rsid w:val="00C1187E"/>
    <w:rsid w:val="00DB5B7D"/>
    <w:rsid w:val="00DE02BF"/>
    <w:rsid w:val="00E268B0"/>
    <w:rsid w:val="00FC2205"/>
    <w:rsid w:val="00FD1741"/>
    <w:rsid w:val="00FF2D7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IN" w:bidi="ar-SA"/>
      </w:rPr>
    </w:rPrDefault>
    <w:pPrDefault>
      <w:pPr>
        <w:spacing w:before="240" w:after="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1646CB"/>
  </w:style>
  <w:style w:type="paragraph" w:styleId="Heading1">
    <w:name w:val="heading 1"/>
    <w:basedOn w:val="Normal"/>
    <w:next w:val="Normal"/>
    <w:rsid w:val="001646CB"/>
    <w:pPr>
      <w:keepNext/>
      <w:keepLines/>
      <w:spacing w:before="360" w:after="80"/>
      <w:outlineLvl w:val="0"/>
    </w:pPr>
    <w:rPr>
      <w:b/>
      <w:bCs/>
      <w:sz w:val="28"/>
      <w:szCs w:val="28"/>
    </w:rPr>
  </w:style>
  <w:style w:type="paragraph" w:styleId="Heading2">
    <w:name w:val="heading 2"/>
    <w:basedOn w:val="Normal"/>
    <w:next w:val="Normal"/>
    <w:rsid w:val="001646CB"/>
    <w:pPr>
      <w:keepNext/>
      <w:keepLines/>
      <w:spacing w:before="280" w:after="80"/>
      <w:outlineLvl w:val="1"/>
    </w:pPr>
    <w:rPr>
      <w:b/>
      <w:bCs/>
      <w:sz w:val="26"/>
      <w:szCs w:val="26"/>
    </w:rPr>
  </w:style>
  <w:style w:type="paragraph" w:styleId="Heading3">
    <w:name w:val="heading 3"/>
    <w:basedOn w:val="Normal"/>
    <w:next w:val="Normal"/>
    <w:rsid w:val="001646CB"/>
    <w:pPr>
      <w:keepNext/>
      <w:keepLines/>
      <w:spacing w:after="40"/>
      <w:outlineLvl w:val="2"/>
    </w:pPr>
    <w:rPr>
      <w:b/>
      <w:bCs/>
    </w:rPr>
  </w:style>
  <w:style w:type="paragraph" w:styleId="Heading4">
    <w:name w:val="heading 4"/>
    <w:basedOn w:val="Normal"/>
    <w:next w:val="Normal"/>
    <w:rsid w:val="001646CB"/>
    <w:pPr>
      <w:keepNext/>
      <w:keepLines/>
      <w:spacing w:before="280" w:after="80"/>
      <w:outlineLvl w:val="3"/>
    </w:pPr>
    <w:rPr>
      <w:color w:val="666666"/>
    </w:rPr>
  </w:style>
  <w:style w:type="paragraph" w:styleId="Heading5">
    <w:name w:val="heading 5"/>
    <w:basedOn w:val="Normal"/>
    <w:next w:val="Normal"/>
    <w:rsid w:val="001646CB"/>
    <w:pPr>
      <w:keepNext/>
      <w:keepLines/>
      <w:spacing w:after="80"/>
      <w:outlineLvl w:val="4"/>
    </w:pPr>
    <w:rPr>
      <w:color w:val="666666"/>
      <w:sz w:val="22"/>
      <w:szCs w:val="22"/>
    </w:rPr>
  </w:style>
  <w:style w:type="paragraph" w:styleId="Heading6">
    <w:name w:val="heading 6"/>
    <w:basedOn w:val="Normal"/>
    <w:next w:val="Normal"/>
    <w:rsid w:val="001646CB"/>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1646CB"/>
    <w:tblPr>
      <w:tblCellMar>
        <w:top w:w="100" w:type="dxa"/>
        <w:left w:w="100" w:type="dxa"/>
        <w:bottom w:w="100" w:type="dxa"/>
        <w:right w:w="100" w:type="dxa"/>
      </w:tblCellMar>
    </w:tblPr>
  </w:style>
  <w:style w:type="paragraph" w:styleId="Title">
    <w:name w:val="Title"/>
    <w:basedOn w:val="Normal"/>
    <w:next w:val="Normal"/>
    <w:rsid w:val="001646CB"/>
    <w:pPr>
      <w:keepNext/>
      <w:keepLines/>
      <w:spacing w:before="0" w:after="60"/>
    </w:pPr>
    <w:rPr>
      <w:sz w:val="52"/>
      <w:szCs w:val="52"/>
    </w:rPr>
  </w:style>
  <w:style w:type="table" w:customStyle="1" w:styleId="TableNormal1">
    <w:name w:val="TableNormal"/>
    <w:rsid w:val="001646CB"/>
    <w:tblPr>
      <w:tblCellMar>
        <w:top w:w="100" w:type="dxa"/>
        <w:left w:w="100" w:type="dxa"/>
        <w:bottom w:w="100" w:type="dxa"/>
        <w:right w:w="100" w:type="dxa"/>
      </w:tblCellMar>
    </w:tblPr>
  </w:style>
  <w:style w:type="table" w:customStyle="1" w:styleId="TableNormal2">
    <w:name w:val="TableNormal"/>
    <w:rsid w:val="001646CB"/>
    <w:tblPr>
      <w:tblCellMar>
        <w:top w:w="100" w:type="dxa"/>
        <w:left w:w="100" w:type="dxa"/>
        <w:bottom w:w="100" w:type="dxa"/>
        <w:right w:w="100" w:type="dxa"/>
      </w:tblCellMar>
    </w:tblPr>
  </w:style>
  <w:style w:type="paragraph" w:styleId="Subtitle">
    <w:name w:val="Subtitle"/>
    <w:basedOn w:val="Normal"/>
    <w:next w:val="Normal"/>
    <w:rsid w:val="001646CB"/>
    <w:pPr>
      <w:keepNext/>
      <w:keepLines/>
      <w:spacing w:before="0" w:after="320"/>
    </w:pPr>
    <w:rPr>
      <w:rFonts w:ascii="Arial" w:eastAsia="Arial" w:hAnsi="Arial" w:cs="Arial"/>
      <w:color w:val="666666"/>
      <w:sz w:val="30"/>
      <w:szCs w:val="30"/>
    </w:rPr>
  </w:style>
  <w:style w:type="table" w:customStyle="1" w:styleId="a">
    <w:basedOn w:val="TableNormal2"/>
    <w:rsid w:val="001646CB"/>
    <w:tblPr>
      <w:tblStyleRowBandSize w:val="1"/>
      <w:tblStyleColBandSize w:val="1"/>
      <w:tblCellMar>
        <w:top w:w="100" w:type="dxa"/>
        <w:left w:w="100" w:type="dxa"/>
        <w:bottom w:w="100" w:type="dxa"/>
        <w:right w:w="100" w:type="dxa"/>
      </w:tblCellMar>
    </w:tblPr>
  </w:style>
  <w:style w:type="table" w:customStyle="1" w:styleId="a0">
    <w:basedOn w:val="TableNormal2"/>
    <w:rsid w:val="001646CB"/>
    <w:tblPr>
      <w:tblStyleRowBandSize w:val="1"/>
      <w:tblStyleColBandSize w:val="1"/>
      <w:tblCellMar>
        <w:top w:w="100" w:type="dxa"/>
        <w:left w:w="100" w:type="dxa"/>
        <w:bottom w:w="100" w:type="dxa"/>
        <w:right w:w="100" w:type="dxa"/>
      </w:tblCellMar>
    </w:tblPr>
  </w:style>
  <w:style w:type="table" w:customStyle="1" w:styleId="a1">
    <w:basedOn w:val="TableNormal2"/>
    <w:rsid w:val="001646CB"/>
    <w:tblPr>
      <w:tblStyleRowBandSize w:val="1"/>
      <w:tblStyleColBandSize w:val="1"/>
      <w:tblCellMar>
        <w:top w:w="100" w:type="dxa"/>
        <w:left w:w="100" w:type="dxa"/>
        <w:bottom w:w="100" w:type="dxa"/>
        <w:right w:w="100" w:type="dxa"/>
      </w:tblCellMar>
    </w:tblPr>
  </w:style>
  <w:style w:type="table" w:customStyle="1" w:styleId="a2">
    <w:basedOn w:val="TableNormal2"/>
    <w:rsid w:val="001646CB"/>
    <w:tblPr>
      <w:tblStyleRowBandSize w:val="1"/>
      <w:tblStyleColBandSize w:val="1"/>
      <w:tblCellMar>
        <w:top w:w="100" w:type="dxa"/>
        <w:left w:w="100" w:type="dxa"/>
        <w:bottom w:w="100" w:type="dxa"/>
        <w:right w:w="100" w:type="dxa"/>
      </w:tblCellMar>
    </w:tblPr>
  </w:style>
  <w:style w:type="table" w:customStyle="1" w:styleId="a3">
    <w:basedOn w:val="TableNormal2"/>
    <w:rsid w:val="001646CB"/>
    <w:tblPr>
      <w:tblStyleRowBandSize w:val="1"/>
      <w:tblStyleColBandSize w:val="1"/>
      <w:tblCellMar>
        <w:top w:w="100" w:type="dxa"/>
        <w:left w:w="100" w:type="dxa"/>
        <w:bottom w:w="100" w:type="dxa"/>
        <w:right w:w="100" w:type="dxa"/>
      </w:tblCellMar>
    </w:tblPr>
  </w:style>
  <w:style w:type="table" w:customStyle="1" w:styleId="a4">
    <w:basedOn w:val="TableNormal2"/>
    <w:rsid w:val="001646CB"/>
    <w:tblPr>
      <w:tblStyleRowBandSize w:val="1"/>
      <w:tblStyleColBandSize w:val="1"/>
      <w:tblCellMar>
        <w:top w:w="100" w:type="dxa"/>
        <w:left w:w="100" w:type="dxa"/>
        <w:bottom w:w="100" w:type="dxa"/>
        <w:right w:w="100" w:type="dxa"/>
      </w:tblCellMar>
    </w:tblPr>
  </w:style>
  <w:style w:type="table" w:customStyle="1" w:styleId="a5">
    <w:basedOn w:val="TableNormal2"/>
    <w:rsid w:val="001646CB"/>
    <w:tblPr>
      <w:tblStyleRowBandSize w:val="1"/>
      <w:tblStyleColBandSize w:val="1"/>
      <w:tblCellMar>
        <w:top w:w="100" w:type="dxa"/>
        <w:left w:w="100" w:type="dxa"/>
        <w:bottom w:w="100" w:type="dxa"/>
        <w:right w:w="100" w:type="dxa"/>
      </w:tblCellMar>
    </w:tblPr>
  </w:style>
  <w:style w:type="table" w:customStyle="1" w:styleId="a6">
    <w:basedOn w:val="TableNormal2"/>
    <w:rsid w:val="001646CB"/>
    <w:tblPr>
      <w:tblStyleRowBandSize w:val="1"/>
      <w:tblStyleColBandSize w:val="1"/>
      <w:tblCellMar>
        <w:top w:w="100" w:type="dxa"/>
        <w:left w:w="100" w:type="dxa"/>
        <w:bottom w:w="100" w:type="dxa"/>
        <w:right w:w="100" w:type="dxa"/>
      </w:tblCellMar>
    </w:tblPr>
  </w:style>
  <w:style w:type="table" w:customStyle="1" w:styleId="a7">
    <w:basedOn w:val="TableNormal2"/>
    <w:rsid w:val="001646CB"/>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596FD4"/>
    <w:pPr>
      <w:spacing w:after="100"/>
    </w:pPr>
  </w:style>
  <w:style w:type="paragraph" w:styleId="TOC2">
    <w:name w:val="toc 2"/>
    <w:basedOn w:val="Normal"/>
    <w:next w:val="Normal"/>
    <w:autoRedefine/>
    <w:uiPriority w:val="39"/>
    <w:unhideWhenUsed/>
    <w:rsid w:val="00596FD4"/>
    <w:pPr>
      <w:spacing w:after="100"/>
      <w:ind w:left="240"/>
    </w:pPr>
  </w:style>
  <w:style w:type="paragraph" w:styleId="TOC3">
    <w:name w:val="toc 3"/>
    <w:basedOn w:val="Normal"/>
    <w:next w:val="Normal"/>
    <w:autoRedefine/>
    <w:uiPriority w:val="39"/>
    <w:unhideWhenUsed/>
    <w:rsid w:val="00596FD4"/>
    <w:pPr>
      <w:spacing w:after="100"/>
      <w:ind w:left="480"/>
    </w:pPr>
  </w:style>
  <w:style w:type="character" w:styleId="Hyperlink">
    <w:name w:val="Hyperlink"/>
    <w:basedOn w:val="DefaultParagraphFont"/>
    <w:uiPriority w:val="99"/>
    <w:unhideWhenUsed/>
    <w:rsid w:val="00596FD4"/>
    <w:rPr>
      <w:color w:val="0000FF" w:themeColor="hyperlink"/>
      <w:u w:val="single"/>
    </w:rPr>
  </w:style>
  <w:style w:type="paragraph" w:styleId="NormalWeb">
    <w:name w:val="Normal (Web)"/>
    <w:basedOn w:val="Normal"/>
    <w:uiPriority w:val="99"/>
    <w:semiHidden/>
    <w:unhideWhenUsed/>
    <w:rsid w:val="003D104A"/>
    <w:pPr>
      <w:spacing w:before="100" w:beforeAutospacing="1" w:after="100" w:afterAutospacing="1" w:line="240" w:lineRule="auto"/>
      <w:jc w:val="left"/>
    </w:pPr>
    <w:rPr>
      <w:lang w:val="en-IN"/>
    </w:rPr>
  </w:style>
  <w:style w:type="paragraph" w:styleId="BalloonText">
    <w:name w:val="Balloon Text"/>
    <w:basedOn w:val="Normal"/>
    <w:link w:val="BalloonTextChar"/>
    <w:uiPriority w:val="99"/>
    <w:semiHidden/>
    <w:unhideWhenUsed/>
    <w:rsid w:val="009644E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44E8"/>
    <w:rPr>
      <w:rFonts w:ascii="Tahoma" w:hAnsi="Tahoma" w:cs="Tahoma"/>
      <w:sz w:val="16"/>
      <w:szCs w:val="16"/>
    </w:rPr>
  </w:style>
  <w:style w:type="paragraph" w:customStyle="1" w:styleId="normal0">
    <w:name w:val="normal"/>
    <w:rsid w:val="009644E8"/>
    <w:rPr>
      <w:lang w:eastAsia="en-US"/>
    </w:rPr>
  </w:style>
  <w:style w:type="paragraph" w:styleId="TOCHeading">
    <w:name w:val="TOC Heading"/>
    <w:basedOn w:val="Heading1"/>
    <w:next w:val="Normal"/>
    <w:uiPriority w:val="39"/>
    <w:semiHidden/>
    <w:unhideWhenUsed/>
    <w:qFormat/>
    <w:rsid w:val="004F6403"/>
    <w:pPr>
      <w:spacing w:before="480" w:after="0" w:line="276" w:lineRule="auto"/>
      <w:jc w:val="left"/>
      <w:outlineLvl w:val="9"/>
    </w:pPr>
    <w:rPr>
      <w:rFonts w:asciiTheme="majorHAnsi" w:eastAsiaTheme="majorEastAsia" w:hAnsiTheme="majorHAnsi" w:cstheme="majorBidi"/>
      <w:color w:val="365F91" w:themeColor="accent1" w:themeShade="BF"/>
      <w:lang w:eastAsia="en-US"/>
    </w:rPr>
  </w:style>
</w:styles>
</file>

<file path=word/webSettings.xml><?xml version="1.0" encoding="utf-8"?>
<w:webSettings xmlns:r="http://schemas.openxmlformats.org/officeDocument/2006/relationships" xmlns:w="http://schemas.openxmlformats.org/wordprocessingml/2006/main">
  <w:divs>
    <w:div w:id="14362464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mdpi.com/2071-1050/14/2/609" TargetMode="External"/><Relationship Id="rId117" Type="http://schemas.openxmlformats.org/officeDocument/2006/relationships/hyperlink" Target="https://www.sciencedirect.com/science/article/pii/S1366554526000773" TargetMode="External"/><Relationship Id="rId21" Type="http://schemas.openxmlformats.org/officeDocument/2006/relationships/hyperlink" Target="https://www.sciencedirect.com/science/article/pii/S0167487023000338" TargetMode="External"/><Relationship Id="rId42" Type="http://schemas.openxmlformats.org/officeDocument/2006/relationships/hyperlink" Target="https://link.springer.com/article/10.1007/s43615-026-00773-x" TargetMode="External"/><Relationship Id="rId47" Type="http://schemas.openxmlformats.org/officeDocument/2006/relationships/hyperlink" Target="https://www.mdpi.com/2071-1050/17/11/4898" TargetMode="External"/><Relationship Id="rId63" Type="http://schemas.openxmlformats.org/officeDocument/2006/relationships/hyperlink" Target="https://link.springer.com/article/10.1186/s13731-025-00515-7" TargetMode="External"/><Relationship Id="rId68" Type="http://schemas.openxmlformats.org/officeDocument/2006/relationships/hyperlink" Target="https://www.mdpi.com/2071-1050/18/3/1484" TargetMode="External"/><Relationship Id="rId84" Type="http://schemas.openxmlformats.org/officeDocument/2006/relationships/hyperlink" Target="https://www.sciencedirect.com/science/article/pii/S2590291125004164" TargetMode="External"/><Relationship Id="rId89" Type="http://schemas.openxmlformats.org/officeDocument/2006/relationships/hyperlink" Target="https://www.mdpi.com/2071-1050/13/20/11443" TargetMode="External"/><Relationship Id="rId112" Type="http://schemas.openxmlformats.org/officeDocument/2006/relationships/hyperlink" Target="https://greenspaceinnovations.co.uk/uk-recycling-rate-rises-to-44-6-as-waste-to-landfill-falls/" TargetMode="External"/><Relationship Id="rId16" Type="http://schemas.openxmlformats.org/officeDocument/2006/relationships/image" Target="media/image9.png"/><Relationship Id="rId107" Type="http://schemas.openxmlformats.org/officeDocument/2006/relationships/hyperlink" Target="https://doi.org/10.3390/su17083728" TargetMode="External"/><Relationship Id="rId11" Type="http://schemas.openxmlformats.org/officeDocument/2006/relationships/image" Target="media/image4.png"/><Relationship Id="rId32" Type="http://schemas.openxmlformats.org/officeDocument/2006/relationships/hyperlink" Target="https://www.consultancy.uk/news/44287/london-now-worlds-second-most-expensive-office-fit-out-market?utm_source=chatgpt.com" TargetMode="External"/><Relationship Id="rId37" Type="http://schemas.openxmlformats.org/officeDocument/2006/relationships/hyperlink" Target="https://www.ons.gov.uk/employmentandlabourmarket/peopleinwork/employmentandemployeetypes/articles/whohasaccesstohybridworkingreatbritain/latest" TargetMode="External"/><Relationship Id="rId53" Type="http://schemas.openxmlformats.org/officeDocument/2006/relationships/hyperlink" Target="https://www.ons.gov.uk/businessindustryandtrade/business/activitysizeandlocation/bulletins/ukbusinessactivitysizeandlocation/2025" TargetMode="External"/><Relationship Id="rId58" Type="http://schemas.openxmlformats.org/officeDocument/2006/relationships/hyperlink" Target="https://www.tandfonline.com/doi/full/10.1080/1359432X.2026.2648294" TargetMode="External"/><Relationship Id="rId74" Type="http://schemas.openxmlformats.org/officeDocument/2006/relationships/hyperlink" Target="https://www.sciencedirect.com/science/article/pii/S0959652623002962" TargetMode="External"/><Relationship Id="rId79" Type="http://schemas.openxmlformats.org/officeDocument/2006/relationships/hyperlink" Target="https://www.mdpi.com/2071-1050/16/15/6544" TargetMode="External"/><Relationship Id="rId102" Type="http://schemas.openxmlformats.org/officeDocument/2006/relationships/hyperlink" Target="https://www.sciencedirect.com/science/article/pii/S092552732500091X" TargetMode="External"/><Relationship Id="rId123"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journals.sagepub.com/doi/pdf/10.3233/ATDE240197" TargetMode="External"/><Relationship Id="rId82" Type="http://schemas.openxmlformats.org/officeDocument/2006/relationships/hyperlink" Target="https://www.mdpi.com/2071-1050/14/20/13273" TargetMode="External"/><Relationship Id="rId90" Type="http://schemas.openxmlformats.org/officeDocument/2006/relationships/hyperlink" Target="https://www.mdpi.com/2071-1050/18/8/4006" TargetMode="External"/><Relationship Id="rId95" Type="http://schemas.openxmlformats.org/officeDocument/2006/relationships/hyperlink" Target="https://www.researchgate.net/publication/381663947_The_Application_of_QR_Codes_in_the_Field_of_E-Business_in_the_Case_of_Order_Tracking_and_Logistics" TargetMode="External"/><Relationship Id="rId19" Type="http://schemas.openxmlformats.org/officeDocument/2006/relationships/hyperlink" Target="https://www.sciencedirect.com/science/article/pii/S0301479725039647?via%3Dihub" TargetMode="External"/><Relationship Id="rId14" Type="http://schemas.openxmlformats.org/officeDocument/2006/relationships/image" Target="media/image7.png"/><Relationship Id="rId22" Type="http://schemas.openxmlformats.org/officeDocument/2006/relationships/hyperlink" Target="https://www.tandfonline.com/doi/full/10.1080/09537287.2023.2217489" TargetMode="External"/><Relationship Id="rId27" Type="http://schemas.openxmlformats.org/officeDocument/2006/relationships/hyperlink" Target="https://www.sustainablex.co.uk/sustainable-business-model/" TargetMode="External"/><Relationship Id="rId30" Type="http://schemas.openxmlformats.org/officeDocument/2006/relationships/hyperlink" Target="https://www.sciencedirect.com/science/article/pii/S0148296326003917" TargetMode="External"/><Relationship Id="rId35" Type="http://schemas.openxmlformats.org/officeDocument/2006/relationships/hyperlink" Target="https://www.ons.gov.uk/businessindustryandtrade/business/activitysizeandlocation/bulletins/ukbusinessactivitysizeandlocation/2025" TargetMode="External"/><Relationship Id="rId43" Type="http://schemas.openxmlformats.org/officeDocument/2006/relationships/hyperlink" Target="https://4spepublications.onlinelibrary.wiley.com/doi/10.1002/pls2.10171" TargetMode="External"/><Relationship Id="rId48" Type="http://schemas.openxmlformats.org/officeDocument/2006/relationships/hyperlink" Target="https://www.find-tender.service.gov.uk/Notice/051565-2025?utm_source=chatgpt.com" TargetMode="External"/><Relationship Id="rId56" Type="http://schemas.openxmlformats.org/officeDocument/2006/relationships/hyperlink" Target="https://www.sciencedirect.com/science/article/pii/S2212827124000933/pdf?md5=eef925a01737505493cc025e4f44a238&amp;pid=1-s2.0-S2212827124000933-main.pdf" TargetMode="External"/><Relationship Id="rId64" Type="http://schemas.openxmlformats.org/officeDocument/2006/relationships/hyperlink" Target="https://www.sciencedirect.com/science/article/pii/S2352186422003686" TargetMode="External"/><Relationship Id="rId69" Type="http://schemas.openxmlformats.org/officeDocument/2006/relationships/hyperlink" Target="https://www.sciencedirect.com/science/article/pii/S0959652623005000" TargetMode="External"/><Relationship Id="rId77" Type="http://schemas.openxmlformats.org/officeDocument/2006/relationships/hyperlink" Target="https://www.ons.gov.uk/employmentandlabourmarket/peopleinwork/employmentandemployeetypes/articles/whohasaccesstohybridworkingreatbritain/latest" TargetMode="External"/><Relationship Id="rId100" Type="http://schemas.openxmlformats.org/officeDocument/2006/relationships/hyperlink" Target="https://www.sciencedirect.com/journal/journal-of-cleaner-production/vol/442/suppl/C" TargetMode="External"/><Relationship Id="rId105" Type="http://schemas.openxmlformats.org/officeDocument/2006/relationships/hyperlink" Target="https://doi.org/10.1016/j.envsci.2024.103859" TargetMode="External"/><Relationship Id="rId113" Type="http://schemas.openxmlformats.org/officeDocument/2006/relationships/hyperlink" Target="https://www.sciencedirect.com/science/article/pii/S2666188825006057" TargetMode="External"/><Relationship Id="rId118" Type="http://schemas.openxmlformats.org/officeDocument/2006/relationships/hyperlink" Target="https://www.tandfonline.com/doi/full/10.1080/00207543.2025.2555531" TargetMode="External"/><Relationship Id="rId8" Type="http://schemas.openxmlformats.org/officeDocument/2006/relationships/image" Target="media/image1.jpeg"/><Relationship Id="rId51" Type="http://schemas.openxmlformats.org/officeDocument/2006/relationships/hyperlink" Target="https://www.researchgate.net/publication/373599608_Coexisting_or_coworking_The_reconfigured_office_spaces_in_two_emerging_global_citie" TargetMode="External"/><Relationship Id="rId72" Type="http://schemas.openxmlformats.org/officeDocument/2006/relationships/hyperlink" Target="https://www.sciencedirect.com/science/article/pii/S1366554524003788" TargetMode="External"/><Relationship Id="rId80" Type="http://schemas.openxmlformats.org/officeDocument/2006/relationships/hyperlink" Target="https://www.researchgate.net/publication/382751384_Enhancing_Circular_Economy_Practices_in_the_Furniture_Industry_through_Circular_Design_Strategies" TargetMode="External"/><Relationship Id="rId85" Type="http://schemas.openxmlformats.org/officeDocument/2006/relationships/hyperlink" Target="https://www.mdpi.com/2071-1050/13/13/7266" TargetMode="External"/><Relationship Id="rId93" Type="http://schemas.openxmlformats.org/officeDocument/2006/relationships/hyperlink" Target="https://www.wrap.ngo/resources/case-study/crown-workspace-ltd-leading-way-office-furniture-reuse?utm_source=chatgpt.com" TargetMode="External"/><Relationship Id="rId98" Type="http://schemas.openxmlformats.org/officeDocument/2006/relationships/hyperlink" Target="https://www.sciencedirect.com/journal/technovation/vol/129/suppl/C" TargetMode="External"/><Relationship Id="rId121"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onlinelibrary.wiley.com/doi/pdfdirect/10.1111/isj.12436" TargetMode="External"/><Relationship Id="rId33" Type="http://schemas.openxmlformats.org/officeDocument/2006/relationships/hyperlink" Target="https://www.consultancy.uk/news/44287/london-now-worlds-second-most-expensive-office-fit-out-market" TargetMode="External"/><Relationship Id="rId38" Type="http://schemas.openxmlformats.org/officeDocument/2006/relationships/hyperlink" Target="https://www.gov.uk/government/publications/homes-england-annual-report-and-accounts-2024-and-2025/homes-england-annual-report-2024-to-2025-chairs-foreword-and-performance-report-accessible-version" TargetMode="External"/><Relationship Id="rId46" Type="http://schemas.openxmlformats.org/officeDocument/2006/relationships/hyperlink" Target="https://www.gov.uk/government/publications/waste-prevention-programme-for-england-maximising-resources-minimising-waste/the-waste-prevention-programme-for-england-maximising-resources-minimising-waste" TargetMode="External"/><Relationship Id="rId59" Type="http://schemas.openxmlformats.org/officeDocument/2006/relationships/hyperlink" Target="https://doi.org/10.69554/NJQQ4314" TargetMode="External"/><Relationship Id="rId67" Type="http://schemas.openxmlformats.org/officeDocument/2006/relationships/hyperlink" Target="https://www.mdpi.com/2304-8158/13/19/3045" TargetMode="External"/><Relationship Id="rId103" Type="http://schemas.openxmlformats.org/officeDocument/2006/relationships/hyperlink" Target="https://www.ons.gov.uk/businessindustryandtrade/business/activitysizeandlocation/bulletins/ukbusinessactivitysizeandlocation/2025" TargetMode="External"/><Relationship Id="rId108" Type="http://schemas.openxmlformats.org/officeDocument/2006/relationships/hyperlink" Target="https://www.gov.uk/government/statistics/uk-waste-data/uk-statistics-on-waste" TargetMode="External"/><Relationship Id="rId116" Type="http://schemas.openxmlformats.org/officeDocument/2006/relationships/hyperlink" Target="https://www.pwc.com/us/en/tech-effect/ai-analytics/ai-predictions.html" TargetMode="External"/><Relationship Id="rId124" Type="http://schemas.openxmlformats.org/officeDocument/2006/relationships/fontTable" Target="fontTable.xml"/><Relationship Id="rId20" Type="http://schemas.openxmlformats.org/officeDocument/2006/relationships/hyperlink" Target="https://link.springer.com/article/10.1007/s43621-025-01270-1" TargetMode="External"/><Relationship Id="rId41" Type="http://schemas.openxmlformats.org/officeDocument/2006/relationships/hyperlink" Target="https://www.workingfromcoffeeshops.co.uk/blog/working-from-home-statistics-uk" TargetMode="External"/><Relationship Id="rId54" Type="http://schemas.openxmlformats.org/officeDocument/2006/relationships/hyperlink" Target="https://www.grandviewresearch.com/horizon/outlook/eco-friendly-furniture-market/uk" TargetMode="External"/><Relationship Id="rId62" Type="http://schemas.openxmlformats.org/officeDocument/2006/relationships/hyperlink" Target="https://www.sciencedirect.com/science/article/pii/S0019850124000142" TargetMode="External"/><Relationship Id="rId70" Type="http://schemas.openxmlformats.org/officeDocument/2006/relationships/hyperlink" Target="https://onlinelibrary.wiley.com/doi/pdf/10.1002/bse.3192" TargetMode="External"/><Relationship Id="rId75" Type="http://schemas.openxmlformats.org/officeDocument/2006/relationships/hyperlink" Target="https://www.sciencedirect.com/science/article/pii/S0925753524002625" TargetMode="External"/><Relationship Id="rId83" Type="http://schemas.openxmlformats.org/officeDocument/2006/relationships/hyperlink" Target="https://www.mdpi.com/2504-4494/10/4/112" TargetMode="External"/><Relationship Id="rId88" Type="http://schemas.openxmlformats.org/officeDocument/2006/relationships/hyperlink" Target="https://onlinelibrary.wiley.com/doi/pdfdirect/10.1002/bse.3297" TargetMode="External"/><Relationship Id="rId91" Type="http://schemas.openxmlformats.org/officeDocument/2006/relationships/hyperlink" Target="https://www.sciencedirect.com/science/article/abs/pii/S0959652624017839" TargetMode="External"/><Relationship Id="rId96" Type="http://schemas.openxmlformats.org/officeDocument/2006/relationships/hyperlink" Target="https://www.ons.gov.uk/economy/inflationandpriceindices/bulletins/consumerpriceinflation/june2026" TargetMode="External"/><Relationship Id="rId111" Type="http://schemas.openxmlformats.org/officeDocument/2006/relationships/hyperlink" Target="https://onlinelibrary.wiley.com/doi/full/10.1002/bse.7094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mdpi.com/2071-1050/14/1/410" TargetMode="External"/><Relationship Id="rId28" Type="http://schemas.openxmlformats.org/officeDocument/2006/relationships/hyperlink" Target="https://onlinelibrary.wiley.com/doi/10.1111/jbl.12368" TargetMode="External"/><Relationship Id="rId36" Type="http://schemas.openxmlformats.org/officeDocument/2006/relationships/hyperlink" Target="https://www.ons.gov.uk/employmentandlabourmarket/peopleinwork/employmentandemployeetypes/articles/whohasaccesstohybridworkingreatbritain/latest" TargetMode="External"/><Relationship Id="rId49" Type="http://schemas.openxmlformats.org/officeDocument/2006/relationships/hyperlink" Target="https://www.find-tender.service.gov.uk/Notice/051565-2025?utm_source=chatgpt.com" TargetMode="External"/><Relationship Id="rId57" Type="http://schemas.openxmlformats.org/officeDocument/2006/relationships/hyperlink" Target="https://www.mdpi.com/2079-8954/12/6/220" TargetMode="External"/><Relationship Id="rId106" Type="http://schemas.openxmlformats.org/officeDocument/2006/relationships/hyperlink" Target="https://doi.org/10.1007/s11846-026-00971-9?urlappend=%3Futm_source%3Dresearchgate.net%26utm_medium%3Darticle" TargetMode="External"/><Relationship Id="rId114" Type="http://schemas.openxmlformats.org/officeDocument/2006/relationships/hyperlink" Target="https://ec.europa.eu/research/participants/documents/downloadPublic?documentIds=080166e51297820f&amp;appId=PPGMS" TargetMode="External"/><Relationship Id="rId119" Type="http://schemas.openxmlformats.org/officeDocument/2006/relationships/hyperlink" Target="https://www.sciencedirect.com/science/article/pii/S0921344924003756" TargetMode="External"/><Relationship Id="rId10" Type="http://schemas.openxmlformats.org/officeDocument/2006/relationships/image" Target="media/image3.png"/><Relationship Id="rId31" Type="http://schemas.openxmlformats.org/officeDocument/2006/relationships/hyperlink" Target="https://www.tandfonline.com/doi/full/10.1080/17569370.2026.2639755" TargetMode="External"/><Relationship Id="rId44" Type="http://schemas.openxmlformats.org/officeDocument/2006/relationships/hyperlink" Target="https://doi.org/10.1016/j.indic.2025.100746" TargetMode="External"/><Relationship Id="rId52" Type="http://schemas.openxmlformats.org/officeDocument/2006/relationships/hyperlink" Target="https://www.coggin-sos.co.uk/beyond-recycling-the-role-of-office-furniture-in-a-truly-sustainable-econom" TargetMode="External"/><Relationship Id="rId60" Type="http://schemas.openxmlformats.org/officeDocument/2006/relationships/hyperlink" Target="https://link.springer.com/article/10.1007/s43621-025-01497-y" TargetMode="External"/><Relationship Id="rId65" Type="http://schemas.openxmlformats.org/officeDocument/2006/relationships/hyperlink" Target="https://link.springer.com/article/10.1057/s41270-026-00470-6" TargetMode="External"/><Relationship Id="rId73" Type="http://schemas.openxmlformats.org/officeDocument/2006/relationships/hyperlink" Target="https://www.researchgate.net/publication/394186609_Modular_System_of_Cabinets_for_Mass-Customized_Furniture" TargetMode="External"/><Relationship Id="rId78" Type="http://schemas.openxmlformats.org/officeDocument/2006/relationships/hyperlink" Target="https://www.mdpi.com/2413-8851/9/5/167" TargetMode="External"/><Relationship Id="rId81" Type="http://schemas.openxmlformats.org/officeDocument/2006/relationships/hyperlink" Target="https://www.sciencedirect.com/science/article/pii/S1364032122002982" TargetMode="External"/><Relationship Id="rId86" Type="http://schemas.openxmlformats.org/officeDocument/2006/relationships/hyperlink" Target="https://www.sciencedirect.com/science/article/pii/S0024630122000012" TargetMode="External"/><Relationship Id="rId94" Type="http://schemas.openxmlformats.org/officeDocument/2006/relationships/hyperlink" Target="https://www.sciencedirect.com/science/article/pii/S2199853123002846" TargetMode="External"/><Relationship Id="rId99" Type="http://schemas.openxmlformats.org/officeDocument/2006/relationships/hyperlink" Target="https://doi.org/10.1016/j.igd.2025.100258" TargetMode="External"/><Relationship Id="rId101" Type="http://schemas.openxmlformats.org/officeDocument/2006/relationships/hyperlink" Target="https://doi.org/10.20944/preprints202407.0614.v1" TargetMode="External"/><Relationship Id="rId12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onlinelibrary.wiley.com/doi/pdf/10.1111/radm.12707" TargetMode="External"/><Relationship Id="rId39" Type="http://schemas.openxmlformats.org/officeDocument/2006/relationships/hyperlink" Target="https://www.gov.uk/government/publications/homes-england-annual-report-and-accounts-2024-and-2025/homes-england-annual-report-2024-to-2025-chairs-foreword-and-performance-report-accessible-version" TargetMode="External"/><Relationship Id="rId109" Type="http://schemas.openxmlformats.org/officeDocument/2006/relationships/hyperlink" Target="https://www.gov.uk/government/statistics/estimates-of-residual-waste-and-municipal-residual-waste-in-england/estimates-of-residual-waste-excluding-major-mineral-wastes-and-municipal-residual-waste-in-england" TargetMode="External"/><Relationship Id="rId34" Type="http://schemas.openxmlformats.org/officeDocument/2006/relationships/hyperlink" Target="https://www.ons.gov.uk/businessindustryandtrade/business/activitysizeandlocation/bulletins/ukbusinessactivitysizeandlocation/2025" TargetMode="External"/><Relationship Id="rId50" Type="http://schemas.openxmlformats.org/officeDocument/2006/relationships/hyperlink" Target="https://www.sciencedirect.com/journal/journal-of-industrial-information-integration/vol/42/suppl/C" TargetMode="External"/><Relationship Id="rId55" Type="http://schemas.openxmlformats.org/officeDocument/2006/relationships/hyperlink" Target="https://onlinelibrary.wiley.com/doi/pdf/10.1002/csr.70489" TargetMode="External"/><Relationship Id="rId76" Type="http://schemas.openxmlformats.org/officeDocument/2006/relationships/hyperlink" Target="https://www.ons.gov.uk/employmentandlabourmarket/peopleinwork/employmentandemployeetypes/articles/whohasaccesstohybridworkingreatbritain/latest" TargetMode="External"/><Relationship Id="rId97" Type="http://schemas.openxmlformats.org/officeDocument/2006/relationships/hyperlink" Target="https://doi.org/10.3390/su142416336" TargetMode="External"/><Relationship Id="rId104" Type="http://schemas.openxmlformats.org/officeDocument/2006/relationships/hyperlink" Target="https://www.sciencedirect.com/journal/information-and-management/vol/60/issue/5" TargetMode="External"/><Relationship Id="rId120" Type="http://schemas.openxmlformats.org/officeDocument/2006/relationships/hyperlink" Target="https://www.mdpi.com/2071-1050/15/18/13949" TargetMode="External"/><Relationship Id="rId125"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onlinelibrary.wiley.com/doi/pdf/10.1002/eet.1927" TargetMode="External"/><Relationship Id="rId92" Type="http://schemas.openxmlformats.org/officeDocument/2006/relationships/hyperlink" Target="https://www.wrap.ngo/resources/case-study/crown-workspace-ltd-leading-way-office-furniture-reuse?utm_source=chatgpt.com" TargetMode="External"/><Relationship Id="rId2" Type="http://schemas.openxmlformats.org/officeDocument/2006/relationships/numbering" Target="numbering.xml"/><Relationship Id="rId29" Type="http://schemas.openxmlformats.org/officeDocument/2006/relationships/hyperlink" Target="https://www.ons.gov.uk/businessindustryandtrade/business/activitysizeandlocation/bulletins/ukbusinessactivitysizeandlocation/2025" TargetMode="External"/><Relationship Id="rId24" Type="http://schemas.openxmlformats.org/officeDocument/2006/relationships/hyperlink" Target="https://www.mdpi.com/2071-1050/13/16/9274" TargetMode="External"/><Relationship Id="rId40" Type="http://schemas.openxmlformats.org/officeDocument/2006/relationships/hyperlink" Target="https://www.mdpi.com/2075-5309/13/7/1862" TargetMode="External"/><Relationship Id="rId45" Type="http://schemas.openxmlformats.org/officeDocument/2006/relationships/hyperlink" Target="https://www.mdpi.com/2071-1050/17/23/10460" TargetMode="External"/><Relationship Id="rId66" Type="http://schemas.openxmlformats.org/officeDocument/2006/relationships/hyperlink" Target="https://www.mdpi.com/0718-1876/20/3/201" TargetMode="External"/><Relationship Id="rId87" Type="http://schemas.openxmlformats.org/officeDocument/2006/relationships/hyperlink" Target="https://www.sciencedirect.com/science/article/pii/S0959652624021140" TargetMode="External"/><Relationship Id="rId110" Type="http://schemas.openxmlformats.org/officeDocument/2006/relationships/hyperlink" Target="https://www.oecd.org/en/publications/local-retail-global-trends_55e2edec-en/full-report/the-twin-transition-of-retail-smes_e9ff5378.html" TargetMode="External"/><Relationship Id="rId115" Type="http://schemas.openxmlformats.org/officeDocument/2006/relationships/hyperlink" Target="https://www.researchgate.net/publication/387473297_Cost-Volume_Analysis_and_its_Impact_on_Profitability_An_Evidence_from_Nepa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lViY1VEbmTFBzoXgzUkmzA6sXQ==">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64</Pages>
  <Words>17376</Words>
  <Characters>99044</Characters>
  <Application>Microsoft Office Word</Application>
  <DocSecurity>0</DocSecurity>
  <Lines>825</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deep vithani</dc:creator>
  <cp:lastModifiedBy>deep vithani</cp:lastModifiedBy>
  <cp:revision>2</cp:revision>
  <dcterms:created xsi:type="dcterms:W3CDTF">2026-09-03T23:24:00Z</dcterms:created>
  <dcterms:modified xsi:type="dcterms:W3CDTF">2026-09-03T23:24:00Z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d15e461d-30fa-4cf5-a200-d562719fd8a8</vt:lpwstr>
  </property>
</Properties>
</file>