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b/>
          <w:bCs/>
          <w:color w:val="2F5496" w:themeColor="accent1" w:themeShade="BF"/>
          <w:sz w:val="28"/>
          <w:szCs w:val="28"/>
          <w:lang w:val="en-GB"/>
        </w:rPr>
        <w:id w:val="993300106"/>
        <w:docPartObj>
          <w:docPartGallery w:val="Cover Pages"/>
          <w:docPartUnique/>
        </w:docPartObj>
      </w:sdtPr>
      <w:sdtEndPr>
        <w:rPr>
          <w:rFonts w:ascii="Times New Roman" w:hAnsi="Times New Roman"/>
          <w:b w:val="0"/>
          <w:bCs w:val="0"/>
          <w:sz w:val="32"/>
          <w:szCs w:val="32"/>
          <w:lang w:val="en-US"/>
        </w:rPr>
      </w:sdtEndPr>
      <w:sdtContent>
        <w:p w14:paraId="54D0F3B2" w14:textId="49825D09" w:rsidR="00E2659D" w:rsidRDefault="00170671" w:rsidP="00874AAA">
          <w:pPr>
            <w:jc w:val="both"/>
          </w:pPr>
          <w:r>
            <w:rPr>
              <w:noProof/>
            </w:rPr>
            <mc:AlternateContent>
              <mc:Choice Requires="wpg">
                <w:drawing>
                  <wp:anchor distT="0" distB="0" distL="114300" distR="114300" simplePos="0" relativeHeight="251659264" behindDoc="1" locked="0" layoutInCell="1" allowOverlap="1" wp14:anchorId="6F21C6D5" wp14:editId="254E7310">
                    <wp:simplePos x="0" y="0"/>
                    <wp:positionH relativeFrom="page">
                      <wp:posOffset>-66675</wp:posOffset>
                    </wp:positionH>
                    <wp:positionV relativeFrom="page">
                      <wp:posOffset>257175</wp:posOffset>
                    </wp:positionV>
                    <wp:extent cx="7639050" cy="9719310"/>
                    <wp:effectExtent l="0" t="0" r="0" b="0"/>
                    <wp:wrapNone/>
                    <wp:docPr id="119" name="Group 119"/>
                    <wp:cNvGraphicFramePr/>
                    <a:graphic xmlns:a="http://schemas.openxmlformats.org/drawingml/2006/main">
                      <a:graphicData uri="http://schemas.microsoft.com/office/word/2010/wordprocessingGroup">
                        <wpg:wgp>
                          <wpg:cNvGrpSpPr/>
                          <wpg:grpSpPr>
                            <a:xfrm>
                              <a:off x="0" y="0"/>
                              <a:ext cx="7639050" cy="9719310"/>
                              <a:chOff x="-419100" y="-447671"/>
                              <a:chExt cx="7639050" cy="9719421"/>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6CE82B74" w:rsidR="00E2659D" w:rsidRDefault="0086131B">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E2659D">
                                        <w:rPr>
                                          <w:caps/>
                                          <w:color w:val="FFFFFF" w:themeColor="background1"/>
                                        </w:rPr>
                                        <w:t xml:space="preserve">     </w:t>
                                      </w:r>
                                    </w:sdtContent>
                                  </w:sdt>
                                  <w:r w:rsidR="00E2659D">
                                    <w:rPr>
                                      <w:caps/>
                                      <w:color w:val="FFFFFF" w:themeColor="background1"/>
                                    </w:rPr>
                                    <w:t xml:space="preserve"> </w:t>
                                  </w:r>
                                  <w:r w:rsidR="00357783">
                                    <w:rPr>
                                      <w:caps/>
                                      <w:color w:val="FFFFFF" w:themeColor="background1"/>
                                    </w:rPr>
                                    <w:t>202</w:t>
                                  </w:r>
                                  <w:r w:rsidR="00875D11">
                                    <w:rPr>
                                      <w:caps/>
                                      <w:color w:val="FFFFFF" w:themeColor="background1"/>
                                    </w:rPr>
                                    <w:t>2</w:t>
                                  </w:r>
                                  <w:r w:rsidR="00E2659D">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E2659D">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419100" y="-447671"/>
                                <a:ext cx="7639050" cy="38195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B82C5" w14:textId="0F5E7A98" w:rsidR="00E2659D" w:rsidRPr="00E2659D" w:rsidRDefault="007B7AE7" w:rsidP="007B7AE7">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r>
                                    <w:rPr>
                                      <w:rFonts w:ascii="Times New Roman" w:eastAsiaTheme="majorEastAsia" w:hAnsi="Times New Roman" w:cs="Times New Roman"/>
                                      <w:color w:val="70AD47" w:themeColor="accent6"/>
                                      <w:sz w:val="72"/>
                                      <w:szCs w:val="72"/>
                                    </w:rPr>
                                    <w:t>LLB</w:t>
                                  </w:r>
                                  <w:r w:rsidR="003D20D9">
                                    <w:rPr>
                                      <w:rFonts w:ascii="Times New Roman" w:eastAsiaTheme="majorEastAsia" w:hAnsi="Times New Roman" w:cs="Times New Roman"/>
                                      <w:color w:val="70AD47" w:themeColor="accent6"/>
                                      <w:sz w:val="72"/>
                                      <w:szCs w:val="72"/>
                                    </w:rPr>
                                    <w:t xml:space="preserve"> Law and Legal Practice</w:t>
                                  </w:r>
                                </w:p>
                                <w:p w14:paraId="2D14A9BE" w14:textId="53FCC790" w:rsidR="00E2659D" w:rsidRPr="00A426D8" w:rsidRDefault="0086131B" w:rsidP="00E2659D">
                                  <w:pPr>
                                    <w:pStyle w:val="NoSpacing"/>
                                    <w:spacing w:before="240"/>
                                    <w:jc w:val="center"/>
                                    <w:rPr>
                                      <w:rFonts w:ascii="Times New Roman" w:hAnsi="Times New Roman" w:cs="Times New Roman"/>
                                      <w:caps/>
                                      <w:color w:val="7030A0"/>
                                      <w:sz w:val="28"/>
                                      <w:szCs w:val="28"/>
                                    </w:rPr>
                                  </w:pPr>
                                  <w:sdt>
                                    <w:sdtPr>
                                      <w:rPr>
                                        <w:rFonts w:ascii="Times New Roman" w:hAnsi="Times New Roman"/>
                                        <w:b/>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E4375A">
                                        <w:rPr>
                                          <w:rFonts w:ascii="Times New Roman" w:hAnsi="Times New Roman"/>
                                          <w:b/>
                                          <w:lang w:val="en-GB"/>
                                        </w:rPr>
                                        <w:t>Tort Law Assignment – 2: Case Study; Occupiers Liability and Psychiatric Harm</w:t>
                                      </w:r>
                                    </w:sdtContent>
                                  </w:sdt>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21C6D5" id="Group 119" o:spid="_x0000_s1026" style="position:absolute;left:0;text-align:left;margin-left:-5.25pt;margin-top:20.25pt;width:601.5pt;height:765.3pt;z-index:-251657216;mso-position-horizontal-relative:page;mso-position-vertical-relative:page" coordorigin="-4191,-4476" coordsize="76390,97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6CE82B74" w:rsidR="00E2659D" w:rsidRDefault="0086131B">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E2659D">
                                  <w:rPr>
                                    <w:caps/>
                                    <w:color w:val="FFFFFF" w:themeColor="background1"/>
                                  </w:rPr>
                                  <w:t xml:space="preserve">     </w:t>
                                </w:r>
                              </w:sdtContent>
                            </w:sdt>
                            <w:r w:rsidR="00E2659D">
                              <w:rPr>
                                <w:caps/>
                                <w:color w:val="FFFFFF" w:themeColor="background1"/>
                              </w:rPr>
                              <w:t xml:space="preserve"> </w:t>
                            </w:r>
                            <w:r w:rsidR="00357783">
                              <w:rPr>
                                <w:caps/>
                                <w:color w:val="FFFFFF" w:themeColor="background1"/>
                              </w:rPr>
                              <w:t>202</w:t>
                            </w:r>
                            <w:r w:rsidR="00875D11">
                              <w:rPr>
                                <w:caps/>
                                <w:color w:val="FFFFFF" w:themeColor="background1"/>
                              </w:rPr>
                              <w:t>2</w:t>
                            </w:r>
                            <w:r w:rsidR="00E2659D">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E2659D">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left:-4191;top:-4476;width:76390;height:38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33B82C5" w14:textId="0F5E7A98" w:rsidR="00E2659D" w:rsidRPr="00E2659D" w:rsidRDefault="007B7AE7" w:rsidP="007B7AE7">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r>
                              <w:rPr>
                                <w:rFonts w:ascii="Times New Roman" w:eastAsiaTheme="majorEastAsia" w:hAnsi="Times New Roman" w:cs="Times New Roman"/>
                                <w:color w:val="70AD47" w:themeColor="accent6"/>
                                <w:sz w:val="72"/>
                                <w:szCs w:val="72"/>
                              </w:rPr>
                              <w:t>LLB</w:t>
                            </w:r>
                            <w:r w:rsidR="003D20D9">
                              <w:rPr>
                                <w:rFonts w:ascii="Times New Roman" w:eastAsiaTheme="majorEastAsia" w:hAnsi="Times New Roman" w:cs="Times New Roman"/>
                                <w:color w:val="70AD47" w:themeColor="accent6"/>
                                <w:sz w:val="72"/>
                                <w:szCs w:val="72"/>
                              </w:rPr>
                              <w:t xml:space="preserve"> Law and Legal Practice</w:t>
                            </w:r>
                          </w:p>
                          <w:p w14:paraId="2D14A9BE" w14:textId="53FCC790" w:rsidR="00E2659D" w:rsidRPr="00A426D8" w:rsidRDefault="0086131B" w:rsidP="00E2659D">
                            <w:pPr>
                              <w:pStyle w:val="NoSpacing"/>
                              <w:spacing w:before="240"/>
                              <w:jc w:val="center"/>
                              <w:rPr>
                                <w:rFonts w:ascii="Times New Roman" w:hAnsi="Times New Roman" w:cs="Times New Roman"/>
                                <w:caps/>
                                <w:color w:val="7030A0"/>
                                <w:sz w:val="28"/>
                                <w:szCs w:val="28"/>
                              </w:rPr>
                            </w:pPr>
                            <w:sdt>
                              <w:sdtPr>
                                <w:rPr>
                                  <w:rFonts w:ascii="Times New Roman" w:hAnsi="Times New Roman"/>
                                  <w:b/>
                                  <w:lang w:val="en-GB"/>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E4375A">
                                  <w:rPr>
                                    <w:rFonts w:ascii="Times New Roman" w:hAnsi="Times New Roman"/>
                                    <w:b/>
                                    <w:lang w:val="en-GB"/>
                                  </w:rPr>
                                  <w:t>Tort Law Assignment – 2: Case Study; Occupiers Liability and Psychiatric Harm</w:t>
                                </w:r>
                              </w:sdtContent>
                            </w:sdt>
                          </w:p>
                        </w:txbxContent>
                      </v:textbox>
                    </v:shape>
                    <w10:wrap anchorx="page" anchory="page"/>
                  </v:group>
                </w:pict>
              </mc:Fallback>
            </mc:AlternateContent>
          </w:r>
          <w:r w:rsidR="00874AAA">
            <w:rPr>
              <w:noProof/>
            </w:rPr>
            <w:drawing>
              <wp:inline distT="0" distB="0" distL="0" distR="0" wp14:anchorId="14100733" wp14:editId="2937F451">
                <wp:extent cx="1809750" cy="6858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2"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685800"/>
                        </a:xfrm>
                        <a:prstGeom prst="rect">
                          <a:avLst/>
                        </a:prstGeom>
                        <a:noFill/>
                        <a:ln>
                          <a:noFill/>
                        </a:ln>
                      </pic:spPr>
                    </pic:pic>
                  </a:graphicData>
                </a:graphic>
              </wp:inline>
            </w:drawing>
          </w:r>
        </w:p>
        <w:p w14:paraId="764C7591" w14:textId="77777777" w:rsidR="00D24D3C" w:rsidRDefault="00357783" w:rsidP="00D24D3C">
          <w:pPr>
            <w:pStyle w:val="TOCHeading"/>
            <w:spacing w:before="0" w:line="480" w:lineRule="auto"/>
            <w:jc w:val="both"/>
            <w:rPr>
              <w:rFonts w:ascii="Times New Roman" w:hAnsi="Times New Roman"/>
            </w:rPr>
          </w:pPr>
          <w:r w:rsidRPr="00357783">
            <w:rPr>
              <w:rFonts w:asciiTheme="minorHAnsi" w:hAnsiTheme="minorHAnsi" w:cstheme="minorBidi"/>
              <w:noProof/>
              <w:sz w:val="22"/>
              <w:szCs w:val="22"/>
            </w:rPr>
            <mc:AlternateContent>
              <mc:Choice Requires="wps">
                <w:drawing>
                  <wp:anchor distT="0" distB="0" distL="114300" distR="114300" simplePos="0" relativeHeight="251663360" behindDoc="0" locked="0" layoutInCell="1" allowOverlap="1" wp14:anchorId="4A2F6A95" wp14:editId="5461CF1B">
                    <wp:simplePos x="0" y="0"/>
                    <wp:positionH relativeFrom="margin">
                      <wp:align>right</wp:align>
                    </wp:positionH>
                    <wp:positionV relativeFrom="paragraph">
                      <wp:posOffset>2183130</wp:posOffset>
                    </wp:positionV>
                    <wp:extent cx="5467350" cy="3133725"/>
                    <wp:effectExtent l="76200" t="57150" r="76200" b="123825"/>
                    <wp:wrapNone/>
                    <wp:docPr id="3" name="Rectangle 3"/>
                    <wp:cNvGraphicFramePr/>
                    <a:graphic xmlns:a="http://schemas.openxmlformats.org/drawingml/2006/main">
                      <a:graphicData uri="http://schemas.microsoft.com/office/word/2010/wordprocessingShape">
                        <wps:wsp>
                          <wps:cNvSpPr/>
                          <wps:spPr>
                            <a:xfrm>
                              <a:off x="0" y="0"/>
                              <a:ext cx="5467350" cy="3133725"/>
                            </a:xfrm>
                            <a:prstGeom prst="rect">
                              <a:avLst/>
                            </a:prstGeom>
                            <a:solidFill>
                              <a:srgbClr val="FFC000">
                                <a:lumMod val="60000"/>
                                <a:lumOff val="40000"/>
                              </a:srgbClr>
                            </a:solidFill>
                            <a:ln w="635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6DFDE90F"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Lecturer: </w:t>
                                </w:r>
                                <w:r w:rsidR="002A0FA0">
                                  <w:rPr>
                                    <w:rFonts w:ascii="Times New Roman" w:hAnsi="Times New Roman"/>
                                    <w:b/>
                                    <w:sz w:val="32"/>
                                    <w:szCs w:val="32"/>
                                  </w:rPr>
                                  <w:t>Sian Turvey</w:t>
                                </w:r>
                              </w:p>
                              <w:p w14:paraId="772E4951" w14:textId="0CC4B750"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sidR="00A426D8">
                                  <w:rPr>
                                    <w:rFonts w:ascii="Times New Roman" w:hAnsi="Times New Roman"/>
                                    <w:b/>
                                    <w:sz w:val="32"/>
                                    <w:szCs w:val="32"/>
                                  </w:rPr>
                                  <w:t xml:space="preserve"> </w:t>
                                </w:r>
                                <w:r w:rsidR="008F5CB7">
                                  <w:rPr>
                                    <w:rFonts w:ascii="Times New Roman" w:hAnsi="Times New Roman"/>
                                    <w:b/>
                                    <w:sz w:val="32"/>
                                    <w:szCs w:val="32"/>
                                  </w:rPr>
                                  <w:t>Tort Law</w:t>
                                </w:r>
                              </w:p>
                              <w:p w14:paraId="45BF99DE" w14:textId="7EDC81B8"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w:t>
                                </w:r>
                                <w:r w:rsidR="002A0FA0">
                                  <w:rPr>
                                    <w:rFonts w:ascii="Times New Roman" w:hAnsi="Times New Roman"/>
                                    <w:b/>
                                    <w:sz w:val="32"/>
                                    <w:szCs w:val="32"/>
                                  </w:rPr>
                                  <w:t>500</w:t>
                                </w:r>
                                <w:r w:rsidR="000430CA">
                                  <w:rPr>
                                    <w:rFonts w:ascii="Times New Roman" w:hAnsi="Times New Roman"/>
                                    <w:b/>
                                    <w:sz w:val="32"/>
                                    <w:szCs w:val="32"/>
                                  </w:rPr>
                                  <w:t>8</w:t>
                                </w:r>
                              </w:p>
                              <w:p w14:paraId="627EB3C9" w14:textId="23966169"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Submission Deadline: </w:t>
                                </w:r>
                                <w:r w:rsidR="00E4375A">
                                  <w:rPr>
                                    <w:rFonts w:ascii="Times New Roman" w:hAnsi="Times New Roman"/>
                                    <w:b/>
                                    <w:sz w:val="32"/>
                                    <w:szCs w:val="32"/>
                                  </w:rPr>
                                  <w:t>1</w:t>
                                </w:r>
                                <w:r w:rsidR="00E4375A" w:rsidRPr="00357783">
                                  <w:rPr>
                                    <w:rFonts w:ascii="Times New Roman" w:hAnsi="Times New Roman"/>
                                    <w:b/>
                                    <w:sz w:val="32"/>
                                    <w:szCs w:val="32"/>
                                    <w:vertAlign w:val="superscript"/>
                                  </w:rPr>
                                  <w:t>st</w:t>
                                </w:r>
                                <w:r w:rsidR="00A426D8">
                                  <w:rPr>
                                    <w:rFonts w:ascii="Times New Roman" w:hAnsi="Times New Roman"/>
                                    <w:b/>
                                    <w:sz w:val="32"/>
                                    <w:szCs w:val="32"/>
                                    <w:vertAlign w:val="superscript"/>
                                  </w:rPr>
                                  <w:t xml:space="preserve"> </w:t>
                                </w:r>
                                <w:r w:rsidR="000430CA">
                                  <w:rPr>
                                    <w:rFonts w:ascii="Times New Roman" w:hAnsi="Times New Roman"/>
                                    <w:b/>
                                    <w:sz w:val="32"/>
                                    <w:szCs w:val="32"/>
                                  </w:rPr>
                                  <w:t>April</w:t>
                                </w:r>
                                <w:r w:rsidR="00A426D8">
                                  <w:rPr>
                                    <w:rFonts w:ascii="Times New Roman" w:hAnsi="Times New Roman"/>
                                    <w:b/>
                                    <w:sz w:val="32"/>
                                    <w:szCs w:val="32"/>
                                  </w:rPr>
                                  <w:t xml:space="preserve"> </w:t>
                                </w:r>
                                <w:r w:rsidRPr="00357783">
                                  <w:rPr>
                                    <w:rFonts w:ascii="Times New Roman" w:hAnsi="Times New Roman"/>
                                    <w:b/>
                                    <w:sz w:val="32"/>
                                    <w:szCs w:val="32"/>
                                  </w:rPr>
                                  <w:t>202</w:t>
                                </w:r>
                                <w:r w:rsidR="00E42CF1">
                                  <w:rPr>
                                    <w:rFonts w:ascii="Times New Roman" w:hAnsi="Times New Roman"/>
                                    <w:b/>
                                    <w:sz w:val="32"/>
                                    <w:szCs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2F6A95" id="Rectangle 3" o:spid="_x0000_s1030" style="position:absolute;left:0;text-align:left;margin-left:379.3pt;margin-top:171.9pt;width:430.5pt;height:246.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" fillcolor="#ffd966" stroked="f" strokeweight=".5pt">
                    <v:shadow on="t" color="black" opacity="20971f" offset="0,2.2pt"/>
                    <v:textbo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6DFDE90F"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Lecturer: </w:t>
                          </w:r>
                          <w:r w:rsidR="002A0FA0">
                            <w:rPr>
                              <w:rFonts w:ascii="Times New Roman" w:hAnsi="Times New Roman"/>
                              <w:b/>
                              <w:sz w:val="32"/>
                              <w:szCs w:val="32"/>
                            </w:rPr>
                            <w:t>Sian Turvey</w:t>
                          </w:r>
                        </w:p>
                        <w:p w14:paraId="772E4951" w14:textId="0CC4B750"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sidR="00A426D8">
                            <w:rPr>
                              <w:rFonts w:ascii="Times New Roman" w:hAnsi="Times New Roman"/>
                              <w:b/>
                              <w:sz w:val="32"/>
                              <w:szCs w:val="32"/>
                            </w:rPr>
                            <w:t xml:space="preserve"> </w:t>
                          </w:r>
                          <w:r w:rsidR="008F5CB7">
                            <w:rPr>
                              <w:rFonts w:ascii="Times New Roman" w:hAnsi="Times New Roman"/>
                              <w:b/>
                              <w:sz w:val="32"/>
                              <w:szCs w:val="32"/>
                            </w:rPr>
                            <w:t>Tort Law</w:t>
                          </w:r>
                        </w:p>
                        <w:p w14:paraId="45BF99DE" w14:textId="7EDC81B8"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w:t>
                          </w:r>
                          <w:r w:rsidR="002A0FA0">
                            <w:rPr>
                              <w:rFonts w:ascii="Times New Roman" w:hAnsi="Times New Roman"/>
                              <w:b/>
                              <w:sz w:val="32"/>
                              <w:szCs w:val="32"/>
                            </w:rPr>
                            <w:t>500</w:t>
                          </w:r>
                          <w:r w:rsidR="000430CA">
                            <w:rPr>
                              <w:rFonts w:ascii="Times New Roman" w:hAnsi="Times New Roman"/>
                              <w:b/>
                              <w:sz w:val="32"/>
                              <w:szCs w:val="32"/>
                            </w:rPr>
                            <w:t>8</w:t>
                          </w:r>
                        </w:p>
                        <w:p w14:paraId="627EB3C9" w14:textId="23966169"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Submission Deadline: </w:t>
                          </w:r>
                          <w:r w:rsidR="00E4375A">
                            <w:rPr>
                              <w:rFonts w:ascii="Times New Roman" w:hAnsi="Times New Roman"/>
                              <w:b/>
                              <w:sz w:val="32"/>
                              <w:szCs w:val="32"/>
                            </w:rPr>
                            <w:t>1</w:t>
                          </w:r>
                          <w:r w:rsidR="00E4375A" w:rsidRPr="00357783">
                            <w:rPr>
                              <w:rFonts w:ascii="Times New Roman" w:hAnsi="Times New Roman"/>
                              <w:b/>
                              <w:sz w:val="32"/>
                              <w:szCs w:val="32"/>
                              <w:vertAlign w:val="superscript"/>
                            </w:rPr>
                            <w:t>st</w:t>
                          </w:r>
                          <w:r w:rsidR="00A426D8">
                            <w:rPr>
                              <w:rFonts w:ascii="Times New Roman" w:hAnsi="Times New Roman"/>
                              <w:b/>
                              <w:sz w:val="32"/>
                              <w:szCs w:val="32"/>
                              <w:vertAlign w:val="superscript"/>
                            </w:rPr>
                            <w:t xml:space="preserve"> </w:t>
                          </w:r>
                          <w:r w:rsidR="000430CA">
                            <w:rPr>
                              <w:rFonts w:ascii="Times New Roman" w:hAnsi="Times New Roman"/>
                              <w:b/>
                              <w:sz w:val="32"/>
                              <w:szCs w:val="32"/>
                            </w:rPr>
                            <w:t>April</w:t>
                          </w:r>
                          <w:r w:rsidR="00A426D8">
                            <w:rPr>
                              <w:rFonts w:ascii="Times New Roman" w:hAnsi="Times New Roman"/>
                              <w:b/>
                              <w:sz w:val="32"/>
                              <w:szCs w:val="32"/>
                            </w:rPr>
                            <w:t xml:space="preserve"> </w:t>
                          </w:r>
                          <w:r w:rsidRPr="00357783">
                            <w:rPr>
                              <w:rFonts w:ascii="Times New Roman" w:hAnsi="Times New Roman"/>
                              <w:b/>
                              <w:sz w:val="32"/>
                              <w:szCs w:val="32"/>
                            </w:rPr>
                            <w:t>202</w:t>
                          </w:r>
                          <w:r w:rsidR="00E42CF1">
                            <w:rPr>
                              <w:rFonts w:ascii="Times New Roman" w:hAnsi="Times New Roman"/>
                              <w:b/>
                              <w:sz w:val="32"/>
                              <w:szCs w:val="32"/>
                            </w:rPr>
                            <w:t>2</w:t>
                          </w:r>
                        </w:p>
                      </w:txbxContent>
                    </v:textbox>
                    <w10:wrap anchorx="margin"/>
                  </v:rect>
                </w:pict>
              </mc:Fallback>
            </mc:AlternateContent>
          </w:r>
          <w:r w:rsidR="00E2659D">
            <w:rPr>
              <w:rFonts w:ascii="Times New Roman" w:hAnsi="Times New Roman"/>
            </w:rPr>
            <w:br w:type="page"/>
          </w:r>
        </w:p>
      </w:sdtContent>
    </w:sdt>
    <w:sdt>
      <w:sdtPr>
        <w:rPr>
          <w:rFonts w:ascii="Times New Roman" w:eastAsiaTheme="minorHAnsi" w:hAnsi="Times New Roman" w:cs="Times New Roman"/>
          <w:b/>
          <w:bCs/>
          <w:color w:val="auto"/>
          <w:sz w:val="24"/>
          <w:szCs w:val="24"/>
          <w:lang w:val="en-GB"/>
        </w:rPr>
        <w:id w:val="6289512"/>
        <w:docPartObj>
          <w:docPartGallery w:val="Table of Contents"/>
          <w:docPartUnique/>
        </w:docPartObj>
      </w:sdtPr>
      <w:sdtEndPr>
        <w:rPr>
          <w:b w:val="0"/>
          <w:bCs w:val="0"/>
        </w:rPr>
      </w:sdtEndPr>
      <w:sdtContent>
        <w:p w14:paraId="19DA75CA" w14:textId="311B1048" w:rsidR="00D24D3C" w:rsidRPr="00332AA8" w:rsidRDefault="00D24D3C" w:rsidP="00D24D3C">
          <w:pPr>
            <w:pStyle w:val="TOCHeading"/>
            <w:spacing w:before="0" w:line="480" w:lineRule="auto"/>
            <w:jc w:val="both"/>
            <w:rPr>
              <w:rFonts w:ascii="Times New Roman" w:hAnsi="Times New Roman" w:cs="Times New Roman"/>
              <w:color w:val="auto"/>
              <w:sz w:val="24"/>
              <w:szCs w:val="24"/>
              <w:lang w:val="en-GB"/>
            </w:rPr>
          </w:pPr>
          <w:r w:rsidRPr="00332AA8">
            <w:rPr>
              <w:rFonts w:ascii="Times New Roman" w:hAnsi="Times New Roman" w:cs="Times New Roman"/>
              <w:color w:val="auto"/>
              <w:sz w:val="24"/>
              <w:szCs w:val="24"/>
              <w:lang w:val="en-GB"/>
            </w:rPr>
            <w:t>Table of Contents</w:t>
          </w:r>
        </w:p>
        <w:p w14:paraId="6CE58E9C" w14:textId="77777777" w:rsidR="00D24D3C" w:rsidRDefault="0086131B" w:rsidP="00D24D3C">
          <w:pPr>
            <w:pStyle w:val="TOC1"/>
            <w:tabs>
              <w:tab w:val="right" w:leader="dot" w:pos="9016"/>
            </w:tabs>
            <w:rPr>
              <w:noProof/>
              <w:lang w:eastAsia="en-IN"/>
            </w:rPr>
          </w:pPr>
          <w:hyperlink w:anchor="_Toc89515343" w:history="1">
            <w:r w:rsidR="00D24D3C" w:rsidRPr="005962FD">
              <w:rPr>
                <w:rStyle w:val="Hyperlink"/>
                <w:rFonts w:ascii="Times New Roman" w:hAnsi="Times New Roman"/>
                <w:noProof/>
                <w:lang w:val="en-GB"/>
              </w:rPr>
              <w:t>1. CPL’S liability in relation to Leo and Mille</w:t>
            </w:r>
            <w:r w:rsidR="00D24D3C">
              <w:rPr>
                <w:noProof/>
                <w:webHidden/>
              </w:rPr>
              <w:tab/>
            </w:r>
            <w:r w:rsidR="00D24D3C">
              <w:rPr>
                <w:noProof/>
                <w:webHidden/>
              </w:rPr>
              <w:fldChar w:fldCharType="begin"/>
            </w:r>
            <w:r w:rsidR="00D24D3C">
              <w:rPr>
                <w:noProof/>
                <w:webHidden/>
              </w:rPr>
              <w:instrText xml:space="preserve"> PAGEREF _Toc89515343 \h </w:instrText>
            </w:r>
            <w:r w:rsidR="00D24D3C">
              <w:rPr>
                <w:noProof/>
                <w:webHidden/>
              </w:rPr>
            </w:r>
            <w:r w:rsidR="00D24D3C">
              <w:rPr>
                <w:noProof/>
                <w:webHidden/>
              </w:rPr>
              <w:fldChar w:fldCharType="separate"/>
            </w:r>
            <w:r w:rsidR="00D24D3C">
              <w:rPr>
                <w:noProof/>
                <w:webHidden/>
              </w:rPr>
              <w:t>3</w:t>
            </w:r>
            <w:r w:rsidR="00D24D3C">
              <w:rPr>
                <w:noProof/>
                <w:webHidden/>
              </w:rPr>
              <w:fldChar w:fldCharType="end"/>
            </w:r>
          </w:hyperlink>
        </w:p>
        <w:p w14:paraId="3D9CFAC5" w14:textId="77777777" w:rsidR="00D24D3C" w:rsidRDefault="0086131B" w:rsidP="00D24D3C">
          <w:pPr>
            <w:pStyle w:val="TOC2"/>
            <w:tabs>
              <w:tab w:val="right" w:leader="dot" w:pos="9016"/>
            </w:tabs>
            <w:rPr>
              <w:rFonts w:eastAsiaTheme="minorEastAsia"/>
              <w:noProof/>
              <w:lang w:eastAsia="en-IN"/>
            </w:rPr>
          </w:pPr>
          <w:hyperlink w:anchor="_Toc89515344" w:history="1">
            <w:r w:rsidR="00D24D3C" w:rsidRPr="005962FD">
              <w:rPr>
                <w:rStyle w:val="Hyperlink"/>
                <w:rFonts w:ascii="Times New Roman" w:hAnsi="Times New Roman"/>
                <w:noProof/>
                <w:lang w:val="en-GB"/>
              </w:rPr>
              <w:t>Issue</w:t>
            </w:r>
            <w:r w:rsidR="00D24D3C">
              <w:rPr>
                <w:noProof/>
                <w:webHidden/>
              </w:rPr>
              <w:tab/>
              <w:t>3</w:t>
            </w:r>
          </w:hyperlink>
        </w:p>
        <w:p w14:paraId="4A4D3A66" w14:textId="77777777" w:rsidR="00D24D3C" w:rsidRDefault="0086131B" w:rsidP="00D24D3C">
          <w:pPr>
            <w:pStyle w:val="TOC2"/>
            <w:tabs>
              <w:tab w:val="right" w:leader="dot" w:pos="9016"/>
            </w:tabs>
            <w:rPr>
              <w:rFonts w:eastAsiaTheme="minorEastAsia"/>
              <w:noProof/>
              <w:lang w:eastAsia="en-IN"/>
            </w:rPr>
          </w:pPr>
          <w:hyperlink w:anchor="_Toc89515345" w:history="1">
            <w:r w:rsidR="00D24D3C" w:rsidRPr="005962FD">
              <w:rPr>
                <w:rStyle w:val="Hyperlink"/>
                <w:rFonts w:ascii="Times New Roman" w:hAnsi="Times New Roman"/>
                <w:noProof/>
                <w:lang w:val="en-GB"/>
              </w:rPr>
              <w:t>Rule/Legislation</w:t>
            </w:r>
            <w:r w:rsidR="00D24D3C">
              <w:rPr>
                <w:noProof/>
                <w:webHidden/>
              </w:rPr>
              <w:tab/>
              <w:t>3</w:t>
            </w:r>
          </w:hyperlink>
        </w:p>
        <w:p w14:paraId="0FC624F0" w14:textId="77777777" w:rsidR="00D24D3C" w:rsidRDefault="0086131B" w:rsidP="00D24D3C">
          <w:pPr>
            <w:pStyle w:val="TOC2"/>
            <w:tabs>
              <w:tab w:val="right" w:leader="dot" w:pos="9016"/>
            </w:tabs>
            <w:rPr>
              <w:rFonts w:eastAsiaTheme="minorEastAsia"/>
              <w:noProof/>
              <w:lang w:eastAsia="en-IN"/>
            </w:rPr>
          </w:pPr>
          <w:hyperlink w:anchor="_Toc89515346" w:history="1">
            <w:r w:rsidR="00D24D3C" w:rsidRPr="005962FD">
              <w:rPr>
                <w:rStyle w:val="Hyperlink"/>
                <w:rFonts w:ascii="Times New Roman" w:hAnsi="Times New Roman"/>
                <w:noProof/>
                <w:lang w:val="en-GB"/>
              </w:rPr>
              <w:t>Application</w:t>
            </w:r>
            <w:r w:rsidR="00D24D3C">
              <w:rPr>
                <w:noProof/>
                <w:webHidden/>
              </w:rPr>
              <w:tab/>
              <w:t>4</w:t>
            </w:r>
          </w:hyperlink>
        </w:p>
        <w:p w14:paraId="3F83C269" w14:textId="2E3E4F98" w:rsidR="00D24D3C" w:rsidRDefault="0086131B" w:rsidP="00D24D3C">
          <w:pPr>
            <w:pStyle w:val="TOC2"/>
            <w:tabs>
              <w:tab w:val="right" w:leader="dot" w:pos="9016"/>
            </w:tabs>
            <w:rPr>
              <w:rFonts w:eastAsiaTheme="minorEastAsia"/>
              <w:noProof/>
              <w:lang w:eastAsia="en-IN"/>
            </w:rPr>
          </w:pPr>
          <w:hyperlink w:anchor="_Toc89515347" w:history="1">
            <w:r w:rsidR="00D24D3C" w:rsidRPr="005962FD">
              <w:rPr>
                <w:rStyle w:val="Hyperlink"/>
                <w:rFonts w:ascii="Times New Roman" w:hAnsi="Times New Roman"/>
                <w:noProof/>
                <w:lang w:val="en-GB"/>
              </w:rPr>
              <w:t>Conclusion</w:t>
            </w:r>
            <w:r w:rsidR="00D24D3C">
              <w:rPr>
                <w:noProof/>
                <w:webHidden/>
              </w:rPr>
              <w:tab/>
            </w:r>
          </w:hyperlink>
          <w:r w:rsidR="0002491D">
            <w:rPr>
              <w:noProof/>
            </w:rPr>
            <w:t>8</w:t>
          </w:r>
        </w:p>
        <w:p w14:paraId="3CC60AF7" w14:textId="69A4D1F8" w:rsidR="00D24D3C" w:rsidRDefault="0086131B" w:rsidP="00D24D3C">
          <w:pPr>
            <w:pStyle w:val="TOC1"/>
            <w:tabs>
              <w:tab w:val="right" w:leader="dot" w:pos="9016"/>
            </w:tabs>
            <w:rPr>
              <w:noProof/>
              <w:lang w:eastAsia="en-IN"/>
            </w:rPr>
          </w:pPr>
          <w:hyperlink w:anchor="_Toc89515348" w:history="1">
            <w:r w:rsidR="00D24D3C" w:rsidRPr="005962FD">
              <w:rPr>
                <w:rStyle w:val="Hyperlink"/>
                <w:rFonts w:ascii="Times New Roman" w:hAnsi="Times New Roman"/>
                <w:noProof/>
                <w:lang w:val="en-GB"/>
              </w:rPr>
              <w:t>2. CPL’s liability in relation to Nia and Owen</w:t>
            </w:r>
            <w:r w:rsidR="00D24D3C">
              <w:rPr>
                <w:noProof/>
                <w:webHidden/>
              </w:rPr>
              <w:tab/>
            </w:r>
          </w:hyperlink>
          <w:r w:rsidR="00135CE4">
            <w:rPr>
              <w:noProof/>
            </w:rPr>
            <w:t>10</w:t>
          </w:r>
        </w:p>
        <w:p w14:paraId="149F70E3" w14:textId="3751E482" w:rsidR="00D24D3C" w:rsidRDefault="0086131B" w:rsidP="00D24D3C">
          <w:pPr>
            <w:pStyle w:val="TOC2"/>
            <w:tabs>
              <w:tab w:val="right" w:leader="dot" w:pos="9016"/>
            </w:tabs>
            <w:rPr>
              <w:rFonts w:eastAsiaTheme="minorEastAsia"/>
              <w:noProof/>
              <w:lang w:eastAsia="en-IN"/>
            </w:rPr>
          </w:pPr>
          <w:hyperlink w:anchor="_Toc89515349" w:history="1">
            <w:r w:rsidR="00D24D3C" w:rsidRPr="005962FD">
              <w:rPr>
                <w:rStyle w:val="Hyperlink"/>
                <w:rFonts w:ascii="Times New Roman" w:hAnsi="Times New Roman"/>
                <w:noProof/>
                <w:lang w:val="en-GB"/>
              </w:rPr>
              <w:t>Issue</w:t>
            </w:r>
            <w:r w:rsidR="00D24D3C">
              <w:rPr>
                <w:noProof/>
                <w:webHidden/>
              </w:rPr>
              <w:tab/>
            </w:r>
          </w:hyperlink>
          <w:r w:rsidR="00135CE4">
            <w:rPr>
              <w:noProof/>
            </w:rPr>
            <w:t>10</w:t>
          </w:r>
        </w:p>
        <w:p w14:paraId="43BA6F0F" w14:textId="5DD5995A" w:rsidR="00D24D3C" w:rsidRDefault="0086131B" w:rsidP="00D24D3C">
          <w:pPr>
            <w:pStyle w:val="TOC2"/>
            <w:tabs>
              <w:tab w:val="right" w:leader="dot" w:pos="9016"/>
            </w:tabs>
            <w:rPr>
              <w:rFonts w:eastAsiaTheme="minorEastAsia"/>
              <w:noProof/>
              <w:lang w:eastAsia="en-IN"/>
            </w:rPr>
          </w:pPr>
          <w:hyperlink w:anchor="_Toc89515350" w:history="1">
            <w:r w:rsidR="00D24D3C" w:rsidRPr="005962FD">
              <w:rPr>
                <w:rStyle w:val="Hyperlink"/>
                <w:rFonts w:ascii="Times New Roman" w:hAnsi="Times New Roman"/>
                <w:noProof/>
                <w:lang w:val="en-GB"/>
              </w:rPr>
              <w:t>Rule/Legislation</w:t>
            </w:r>
            <w:r w:rsidR="00D24D3C">
              <w:rPr>
                <w:noProof/>
                <w:webHidden/>
              </w:rPr>
              <w:tab/>
            </w:r>
          </w:hyperlink>
          <w:r w:rsidR="00135CE4">
            <w:rPr>
              <w:noProof/>
            </w:rPr>
            <w:t>10</w:t>
          </w:r>
        </w:p>
        <w:p w14:paraId="62436DEF" w14:textId="35E40105" w:rsidR="00D24D3C" w:rsidRDefault="0086131B" w:rsidP="00D24D3C">
          <w:pPr>
            <w:pStyle w:val="TOC2"/>
            <w:tabs>
              <w:tab w:val="right" w:leader="dot" w:pos="9016"/>
            </w:tabs>
            <w:rPr>
              <w:rFonts w:eastAsiaTheme="minorEastAsia"/>
              <w:noProof/>
              <w:lang w:eastAsia="en-IN"/>
            </w:rPr>
          </w:pPr>
          <w:hyperlink w:anchor="_Toc89515351" w:history="1">
            <w:r w:rsidR="00D24D3C" w:rsidRPr="005962FD">
              <w:rPr>
                <w:rStyle w:val="Hyperlink"/>
                <w:rFonts w:ascii="Times New Roman" w:hAnsi="Times New Roman"/>
                <w:noProof/>
                <w:lang w:val="en-GB"/>
              </w:rPr>
              <w:t>Application</w:t>
            </w:r>
            <w:r w:rsidR="00D24D3C">
              <w:rPr>
                <w:noProof/>
                <w:webHidden/>
              </w:rPr>
              <w:tab/>
            </w:r>
            <w:r w:rsidR="00135CE4">
              <w:rPr>
                <w:noProof/>
                <w:webHidden/>
              </w:rPr>
              <w:t>11</w:t>
            </w:r>
          </w:hyperlink>
        </w:p>
        <w:p w14:paraId="4FDD61B5" w14:textId="1EFCE0FB" w:rsidR="00D24D3C" w:rsidRDefault="0086131B" w:rsidP="00D24D3C">
          <w:pPr>
            <w:pStyle w:val="TOC2"/>
            <w:tabs>
              <w:tab w:val="right" w:leader="dot" w:pos="9016"/>
            </w:tabs>
            <w:rPr>
              <w:rFonts w:eastAsiaTheme="minorEastAsia"/>
              <w:noProof/>
              <w:lang w:eastAsia="en-IN"/>
            </w:rPr>
          </w:pPr>
          <w:hyperlink w:anchor="_Toc89515352" w:history="1">
            <w:r w:rsidR="00D24D3C" w:rsidRPr="005962FD">
              <w:rPr>
                <w:rStyle w:val="Hyperlink"/>
                <w:rFonts w:ascii="Times New Roman" w:hAnsi="Times New Roman"/>
                <w:noProof/>
                <w:lang w:val="en-GB"/>
              </w:rPr>
              <w:t>Conclusion</w:t>
            </w:r>
            <w:r w:rsidR="00D24D3C">
              <w:rPr>
                <w:noProof/>
                <w:webHidden/>
              </w:rPr>
              <w:tab/>
            </w:r>
          </w:hyperlink>
          <w:r w:rsidR="0008560B">
            <w:rPr>
              <w:noProof/>
            </w:rPr>
            <w:t>13</w:t>
          </w:r>
        </w:p>
        <w:p w14:paraId="7AFA4E91" w14:textId="3CC6F4D7" w:rsidR="00D24D3C" w:rsidRDefault="0086131B" w:rsidP="00D24D3C">
          <w:pPr>
            <w:pStyle w:val="TOC1"/>
            <w:tabs>
              <w:tab w:val="right" w:leader="dot" w:pos="9016"/>
            </w:tabs>
            <w:rPr>
              <w:noProof/>
              <w:lang w:eastAsia="en-IN"/>
            </w:rPr>
          </w:pPr>
          <w:hyperlink w:anchor="_Toc89515353" w:history="1">
            <w:r w:rsidR="00D24D3C" w:rsidRPr="005962FD">
              <w:rPr>
                <w:rStyle w:val="Hyperlink"/>
                <w:rFonts w:ascii="Times New Roman" w:hAnsi="Times New Roman"/>
                <w:noProof/>
                <w:lang w:val="en-GB"/>
              </w:rPr>
              <w:t>References</w:t>
            </w:r>
            <w:r w:rsidR="00D24D3C">
              <w:rPr>
                <w:noProof/>
                <w:webHidden/>
              </w:rPr>
              <w:tab/>
            </w:r>
          </w:hyperlink>
          <w:r w:rsidR="0008560B">
            <w:rPr>
              <w:noProof/>
            </w:rPr>
            <w:t>14</w:t>
          </w:r>
        </w:p>
        <w:p w14:paraId="6FA50D81" w14:textId="77777777" w:rsidR="00D24D3C" w:rsidRPr="00332AA8" w:rsidRDefault="0086131B" w:rsidP="00D24D3C">
          <w:pPr>
            <w:spacing w:after="0" w:line="480" w:lineRule="auto"/>
            <w:jc w:val="both"/>
            <w:rPr>
              <w:rFonts w:ascii="Times New Roman" w:hAnsi="Times New Roman"/>
              <w:lang w:val="en-GB"/>
            </w:rPr>
          </w:pPr>
        </w:p>
      </w:sdtContent>
    </w:sdt>
    <w:p w14:paraId="2A03FF62" w14:textId="14D65817" w:rsidR="00D24D3C" w:rsidRDefault="00D24D3C" w:rsidP="00D24D3C">
      <w:pPr>
        <w:spacing w:after="0" w:line="480" w:lineRule="auto"/>
        <w:jc w:val="both"/>
        <w:rPr>
          <w:rFonts w:ascii="Times New Roman" w:hAnsi="Times New Roman"/>
          <w:lang w:val="en-GB"/>
        </w:rPr>
      </w:pPr>
    </w:p>
    <w:p w14:paraId="7DFE3581" w14:textId="1C579D30" w:rsidR="000C7C7D" w:rsidRDefault="000C7C7D" w:rsidP="00D24D3C">
      <w:pPr>
        <w:spacing w:after="0" w:line="480" w:lineRule="auto"/>
        <w:jc w:val="both"/>
        <w:rPr>
          <w:rFonts w:ascii="Times New Roman" w:hAnsi="Times New Roman"/>
          <w:lang w:val="en-GB"/>
        </w:rPr>
      </w:pPr>
    </w:p>
    <w:p w14:paraId="6835EFB6" w14:textId="601F361C" w:rsidR="000C7C7D" w:rsidRDefault="000C7C7D" w:rsidP="00D24D3C">
      <w:pPr>
        <w:spacing w:after="0" w:line="480" w:lineRule="auto"/>
        <w:jc w:val="both"/>
        <w:rPr>
          <w:rFonts w:ascii="Times New Roman" w:hAnsi="Times New Roman"/>
          <w:lang w:val="en-GB"/>
        </w:rPr>
      </w:pPr>
    </w:p>
    <w:p w14:paraId="286BC177" w14:textId="09E0F521" w:rsidR="000C7C7D" w:rsidRDefault="000C7C7D" w:rsidP="00D24D3C">
      <w:pPr>
        <w:spacing w:after="0" w:line="480" w:lineRule="auto"/>
        <w:jc w:val="both"/>
        <w:rPr>
          <w:rFonts w:ascii="Times New Roman" w:hAnsi="Times New Roman"/>
          <w:lang w:val="en-GB"/>
        </w:rPr>
      </w:pPr>
    </w:p>
    <w:p w14:paraId="1628A2A5" w14:textId="26E67996" w:rsidR="000C7C7D" w:rsidRDefault="000C7C7D" w:rsidP="00D24D3C">
      <w:pPr>
        <w:spacing w:after="0" w:line="480" w:lineRule="auto"/>
        <w:jc w:val="both"/>
        <w:rPr>
          <w:rFonts w:ascii="Times New Roman" w:hAnsi="Times New Roman"/>
          <w:lang w:val="en-GB"/>
        </w:rPr>
      </w:pPr>
    </w:p>
    <w:p w14:paraId="72D32F07" w14:textId="0D07FAF7" w:rsidR="000C7C7D" w:rsidRDefault="000C7C7D" w:rsidP="00D24D3C">
      <w:pPr>
        <w:spacing w:after="0" w:line="480" w:lineRule="auto"/>
        <w:jc w:val="both"/>
        <w:rPr>
          <w:rFonts w:ascii="Times New Roman" w:hAnsi="Times New Roman"/>
          <w:lang w:val="en-GB"/>
        </w:rPr>
      </w:pPr>
    </w:p>
    <w:p w14:paraId="06337F78" w14:textId="1E4E9747" w:rsidR="000C7C7D" w:rsidRDefault="000C7C7D" w:rsidP="00D24D3C">
      <w:pPr>
        <w:spacing w:after="0" w:line="480" w:lineRule="auto"/>
        <w:jc w:val="both"/>
        <w:rPr>
          <w:rFonts w:ascii="Times New Roman" w:hAnsi="Times New Roman"/>
          <w:lang w:val="en-GB"/>
        </w:rPr>
      </w:pPr>
    </w:p>
    <w:p w14:paraId="480E5380" w14:textId="774CA0F0" w:rsidR="000C7C7D" w:rsidRDefault="000C7C7D" w:rsidP="00D24D3C">
      <w:pPr>
        <w:spacing w:after="0" w:line="480" w:lineRule="auto"/>
        <w:jc w:val="both"/>
        <w:rPr>
          <w:rFonts w:ascii="Times New Roman" w:hAnsi="Times New Roman"/>
          <w:lang w:val="en-GB"/>
        </w:rPr>
      </w:pPr>
    </w:p>
    <w:p w14:paraId="51C7033C" w14:textId="561F5DCA" w:rsidR="000C7C7D" w:rsidRDefault="000C7C7D" w:rsidP="00D24D3C">
      <w:pPr>
        <w:spacing w:after="0" w:line="480" w:lineRule="auto"/>
        <w:jc w:val="both"/>
        <w:rPr>
          <w:rFonts w:ascii="Times New Roman" w:hAnsi="Times New Roman"/>
          <w:lang w:val="en-GB"/>
        </w:rPr>
      </w:pPr>
    </w:p>
    <w:p w14:paraId="0C5DF57D" w14:textId="4C2DC09A" w:rsidR="000C7C7D" w:rsidRDefault="000C7C7D" w:rsidP="00D24D3C">
      <w:pPr>
        <w:spacing w:after="0" w:line="480" w:lineRule="auto"/>
        <w:jc w:val="both"/>
        <w:rPr>
          <w:rFonts w:ascii="Times New Roman" w:hAnsi="Times New Roman"/>
          <w:lang w:val="en-GB"/>
        </w:rPr>
      </w:pPr>
    </w:p>
    <w:p w14:paraId="1242BCA0" w14:textId="7EF0B0AC" w:rsidR="000C7C7D" w:rsidRDefault="000C7C7D" w:rsidP="00D24D3C">
      <w:pPr>
        <w:spacing w:after="0" w:line="480" w:lineRule="auto"/>
        <w:jc w:val="both"/>
        <w:rPr>
          <w:rFonts w:ascii="Times New Roman" w:hAnsi="Times New Roman"/>
          <w:lang w:val="en-GB"/>
        </w:rPr>
      </w:pPr>
    </w:p>
    <w:p w14:paraId="72B6A1DB" w14:textId="7EF27E6D" w:rsidR="000C7C7D" w:rsidRDefault="000C7C7D" w:rsidP="00D24D3C">
      <w:pPr>
        <w:spacing w:after="0" w:line="480" w:lineRule="auto"/>
        <w:jc w:val="both"/>
        <w:rPr>
          <w:rFonts w:ascii="Times New Roman" w:hAnsi="Times New Roman"/>
          <w:lang w:val="en-GB"/>
        </w:rPr>
      </w:pPr>
    </w:p>
    <w:p w14:paraId="37E91DE6" w14:textId="5C091E2C" w:rsidR="000C7C7D" w:rsidRDefault="000C7C7D" w:rsidP="00D24D3C">
      <w:pPr>
        <w:spacing w:after="0" w:line="480" w:lineRule="auto"/>
        <w:jc w:val="both"/>
        <w:rPr>
          <w:rFonts w:ascii="Times New Roman" w:hAnsi="Times New Roman"/>
          <w:lang w:val="en-GB"/>
        </w:rPr>
      </w:pPr>
    </w:p>
    <w:p w14:paraId="64D75A98" w14:textId="4BEF6239" w:rsidR="000C7C7D" w:rsidRDefault="000C7C7D" w:rsidP="00D24D3C">
      <w:pPr>
        <w:spacing w:after="0" w:line="480" w:lineRule="auto"/>
        <w:jc w:val="both"/>
        <w:rPr>
          <w:rFonts w:ascii="Times New Roman" w:hAnsi="Times New Roman"/>
          <w:lang w:val="en-GB"/>
        </w:rPr>
      </w:pPr>
    </w:p>
    <w:p w14:paraId="3998079D" w14:textId="77777777" w:rsidR="000C7C7D" w:rsidRPr="00332AA8" w:rsidRDefault="000C7C7D" w:rsidP="00D24D3C">
      <w:pPr>
        <w:spacing w:after="0" w:line="480" w:lineRule="auto"/>
        <w:jc w:val="both"/>
        <w:rPr>
          <w:rFonts w:ascii="Times New Roman" w:hAnsi="Times New Roman"/>
          <w:lang w:val="en-GB"/>
        </w:rPr>
      </w:pPr>
    </w:p>
    <w:p w14:paraId="372EF286" w14:textId="01DE56D2" w:rsidR="00D24D3C" w:rsidRPr="000E2E1F" w:rsidRDefault="00D24D3C" w:rsidP="000E2E1F">
      <w:pPr>
        <w:spacing w:after="0" w:line="480" w:lineRule="auto"/>
        <w:jc w:val="both"/>
        <w:rPr>
          <w:rFonts w:ascii="Times New Roman" w:hAnsi="Times New Roman"/>
          <w:b/>
          <w:bCs/>
          <w:sz w:val="28"/>
          <w:szCs w:val="28"/>
          <w:lang w:val="en-GB"/>
        </w:rPr>
      </w:pPr>
      <w:bookmarkStart w:id="0" w:name="_Toc89515343"/>
      <w:r w:rsidRPr="000E2E1F">
        <w:rPr>
          <w:rFonts w:ascii="Times New Roman" w:hAnsi="Times New Roman"/>
          <w:b/>
          <w:bCs/>
          <w:sz w:val="28"/>
          <w:szCs w:val="28"/>
        </w:rPr>
        <w:lastRenderedPageBreak/>
        <w:t>1. CPL’S liability in relation to Leo and Mille</w:t>
      </w:r>
      <w:bookmarkEnd w:id="0"/>
      <w:r w:rsidRPr="000E2E1F">
        <w:rPr>
          <w:rFonts w:ascii="Times New Roman" w:hAnsi="Times New Roman"/>
          <w:b/>
          <w:bCs/>
          <w:sz w:val="28"/>
          <w:szCs w:val="28"/>
        </w:rPr>
        <w:t xml:space="preserve"> </w:t>
      </w:r>
    </w:p>
    <w:p w14:paraId="1F1ACC3C" w14:textId="77777777" w:rsidR="00D24D3C" w:rsidRPr="00D24D3C" w:rsidRDefault="00D24D3C" w:rsidP="00D24D3C">
      <w:pPr>
        <w:pStyle w:val="Heading2"/>
        <w:spacing w:before="0" w:line="480" w:lineRule="auto"/>
        <w:jc w:val="both"/>
        <w:rPr>
          <w:rFonts w:ascii="Times New Roman" w:hAnsi="Times New Roman" w:cs="Times New Roman"/>
          <w:color w:val="auto"/>
          <w:sz w:val="28"/>
          <w:szCs w:val="28"/>
        </w:rPr>
      </w:pPr>
      <w:bookmarkStart w:id="1" w:name="_Toc89515344"/>
      <w:r w:rsidRPr="00D24D3C">
        <w:rPr>
          <w:rFonts w:ascii="Times New Roman" w:hAnsi="Times New Roman" w:cs="Times New Roman"/>
          <w:color w:val="auto"/>
          <w:sz w:val="28"/>
          <w:szCs w:val="28"/>
        </w:rPr>
        <w:t>Issue</w:t>
      </w:r>
      <w:bookmarkEnd w:id="1"/>
    </w:p>
    <w:p w14:paraId="6219CD32" w14:textId="0A9F62DA"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Carlton Parks Limited (CPL) runs a theme-based park on Chestermouth's outskirts. Herein, the customers just like other parks pay a single entrance fee to experience different rides and attractions. However, a range of critical incidents occurred in the park wherein an 8-year-old boy, Leo got his wrist and collarbone fractured due to falling off the wooden fence on which he was leaning. During the investigation, it was found that Leo's accident was because of a fence rotted by constant water dripping on it from the roof side. After a few days of this accident, Millie a 20-year-old girl without paying the entrance fee entered part by climbing a high perimeter fence and jumped on waltzers; a fairground ride where some disco lights and electric wires were disturbed as the ride was in progress and lose electrics and lights fell on the head of Mille's fracturing her skull. In the light of these two observed issues, the liability of CPL is detailed in the light of the Occupiers Liability Act</w:t>
      </w:r>
      <w:r w:rsidR="001812B8">
        <w:rPr>
          <w:rFonts w:ascii="Times New Roman" w:hAnsi="Times New Roman"/>
          <w:sz w:val="28"/>
          <w:szCs w:val="28"/>
          <w:lang w:val="en-GB"/>
        </w:rPr>
        <w:t xml:space="preserve"> </w:t>
      </w:r>
      <w:r w:rsidR="00B03BC5">
        <w:rPr>
          <w:rFonts w:ascii="Times New Roman" w:hAnsi="Times New Roman"/>
          <w:sz w:val="28"/>
          <w:szCs w:val="28"/>
          <w:lang w:val="en-GB"/>
        </w:rPr>
        <w:t xml:space="preserve">( </w:t>
      </w:r>
      <w:r w:rsidR="00B03BC5">
        <w:rPr>
          <w:rFonts w:ascii="Times New Roman" w:hAnsi="Times New Roman"/>
          <w:i/>
          <w:iCs/>
          <w:sz w:val="28"/>
          <w:szCs w:val="28"/>
          <w:lang w:val="en-GB"/>
        </w:rPr>
        <w:t>Case study)</w:t>
      </w:r>
      <w:r w:rsidR="001812B8">
        <w:rPr>
          <w:rFonts w:ascii="Times New Roman" w:hAnsi="Times New Roman"/>
          <w:sz w:val="28"/>
          <w:szCs w:val="28"/>
          <w:lang w:val="en-GB"/>
        </w:rPr>
        <w:t>.</w:t>
      </w:r>
    </w:p>
    <w:p w14:paraId="12E1E83C" w14:textId="77777777" w:rsidR="00D24D3C" w:rsidRPr="00D24D3C" w:rsidRDefault="00D24D3C" w:rsidP="00D24D3C">
      <w:pPr>
        <w:pStyle w:val="Heading2"/>
        <w:spacing w:before="0" w:line="480" w:lineRule="auto"/>
        <w:jc w:val="both"/>
        <w:rPr>
          <w:rFonts w:ascii="Times New Roman" w:hAnsi="Times New Roman" w:cs="Times New Roman"/>
          <w:color w:val="auto"/>
          <w:sz w:val="28"/>
          <w:szCs w:val="28"/>
        </w:rPr>
      </w:pPr>
      <w:bookmarkStart w:id="2" w:name="_Toc89515345"/>
      <w:r w:rsidRPr="00D24D3C">
        <w:rPr>
          <w:rFonts w:ascii="Times New Roman" w:hAnsi="Times New Roman" w:cs="Times New Roman"/>
          <w:color w:val="auto"/>
          <w:sz w:val="28"/>
          <w:szCs w:val="28"/>
        </w:rPr>
        <w:t>Rule/Legislation</w:t>
      </w:r>
      <w:bookmarkEnd w:id="2"/>
    </w:p>
    <w:p w14:paraId="7F96FCF1" w14:textId="061577CB"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 xml:space="preserve">The Occupiers' Liability Act 1957 presses a statutory liability on a premise's occupier or owner of the premise or an individual having considerable control over land to owe a particular degree of the obligation of care towards its lawful visitors as stated under Section 1(1) of the Act. This statute entails personal injury, along with any damage to property and is applicable in the case of Leo </w:t>
      </w:r>
      <w:r w:rsidRPr="001812B8">
        <w:rPr>
          <w:rFonts w:ascii="Times New Roman" w:hAnsi="Times New Roman"/>
          <w:i/>
          <w:iCs/>
          <w:sz w:val="28"/>
          <w:szCs w:val="28"/>
          <w:lang w:val="en-GB"/>
        </w:rPr>
        <w:t>(Baker, 2019).</w:t>
      </w:r>
      <w:r w:rsidRPr="00D24D3C">
        <w:rPr>
          <w:rFonts w:ascii="Times New Roman" w:hAnsi="Times New Roman"/>
          <w:sz w:val="28"/>
          <w:szCs w:val="28"/>
          <w:lang w:val="en-GB"/>
        </w:rPr>
        <w:t xml:space="preserve"> On the other side, Mille was a trespasser at the park which means a person entering the occupier's </w:t>
      </w:r>
      <w:r w:rsidRPr="00D24D3C">
        <w:rPr>
          <w:rFonts w:ascii="Times New Roman" w:hAnsi="Times New Roman"/>
          <w:sz w:val="28"/>
          <w:szCs w:val="28"/>
          <w:lang w:val="en-GB"/>
        </w:rPr>
        <w:lastRenderedPageBreak/>
        <w:t xml:space="preserve">space without his consent. Even for such a person, the occupier’s duty of care is embraced by the common law, as well as the Occupiers Liability Act 1984, but not as per the Occupiers’ Liability Act 1957. However, if such an entry was not opposed to by the </w:t>
      </w:r>
      <w:r w:rsidR="001812B8" w:rsidRPr="00D24D3C">
        <w:rPr>
          <w:rFonts w:ascii="Times New Roman" w:hAnsi="Times New Roman"/>
          <w:sz w:val="28"/>
          <w:szCs w:val="28"/>
          <w:lang w:val="en-GB"/>
        </w:rPr>
        <w:t>occupier,</w:t>
      </w:r>
      <w:r w:rsidRPr="00D24D3C">
        <w:rPr>
          <w:rFonts w:ascii="Times New Roman" w:hAnsi="Times New Roman"/>
          <w:sz w:val="28"/>
          <w:szCs w:val="28"/>
          <w:lang w:val="en-GB"/>
        </w:rPr>
        <w:t xml:space="preserve"> then this signifies implied consent awarding the licensee’s right to such visitors </w:t>
      </w:r>
      <w:r w:rsidRPr="001812B8">
        <w:rPr>
          <w:rFonts w:ascii="Times New Roman" w:hAnsi="Times New Roman"/>
          <w:i/>
          <w:iCs/>
          <w:sz w:val="28"/>
          <w:szCs w:val="28"/>
          <w:lang w:val="en-GB"/>
        </w:rPr>
        <w:t>(Handford and McGivern, 2015).</w:t>
      </w:r>
      <w:r w:rsidRPr="00D24D3C">
        <w:rPr>
          <w:rFonts w:ascii="Times New Roman" w:hAnsi="Times New Roman"/>
          <w:sz w:val="28"/>
          <w:szCs w:val="28"/>
          <w:lang w:val="en-GB"/>
        </w:rPr>
        <w:t xml:space="preserve"> </w:t>
      </w:r>
    </w:p>
    <w:p w14:paraId="5E729DC3" w14:textId="77777777" w:rsidR="00D24D3C" w:rsidRPr="00D24D3C" w:rsidRDefault="00D24D3C" w:rsidP="00D24D3C">
      <w:pPr>
        <w:pStyle w:val="Heading2"/>
        <w:spacing w:before="0" w:line="480" w:lineRule="auto"/>
        <w:jc w:val="both"/>
        <w:rPr>
          <w:rFonts w:ascii="Times New Roman" w:hAnsi="Times New Roman" w:cs="Times New Roman"/>
          <w:color w:val="auto"/>
          <w:sz w:val="28"/>
          <w:szCs w:val="28"/>
        </w:rPr>
      </w:pPr>
      <w:bookmarkStart w:id="3" w:name="_Toc89515346"/>
      <w:r w:rsidRPr="00D24D3C">
        <w:rPr>
          <w:rFonts w:ascii="Times New Roman" w:hAnsi="Times New Roman" w:cs="Times New Roman"/>
          <w:color w:val="auto"/>
          <w:sz w:val="28"/>
          <w:szCs w:val="28"/>
        </w:rPr>
        <w:t>Application</w:t>
      </w:r>
      <w:bookmarkEnd w:id="3"/>
    </w:p>
    <w:p w14:paraId="6E1B378D" w14:textId="248319B8"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 xml:space="preserve">In the case of Leo, the injury he suffered, broken collarbone and wrist was solely due to perished fence on which he was leaning at the park. This clearly indicates that the occupier of CPL was not looking after proper repair and maintenance work of rides and infrastructure within the park. This suggests that being an occupier CPL failed to abide by the duty of care towards legal visitors in the park. Occupiers Liability Act is applicable in this case as Section 1(1) of this Act posits that any occupier of a premise, landowner or person having sufficient control over that premise owe a specific level of duty of care towards lawful visitors </w:t>
      </w:r>
      <w:r w:rsidRPr="00BE016A">
        <w:rPr>
          <w:rFonts w:ascii="Times New Roman" w:hAnsi="Times New Roman"/>
          <w:i/>
          <w:iCs/>
          <w:sz w:val="28"/>
          <w:szCs w:val="28"/>
          <w:lang w:val="en-GB"/>
        </w:rPr>
        <w:t>(Horsey and Rackley, 2019).</w:t>
      </w:r>
      <w:r w:rsidRPr="00D24D3C">
        <w:rPr>
          <w:rFonts w:ascii="Times New Roman" w:hAnsi="Times New Roman"/>
          <w:sz w:val="28"/>
          <w:szCs w:val="28"/>
          <w:lang w:val="en-GB"/>
        </w:rPr>
        <w:t xml:space="preserve"> In this case, Leo was a genuine visitor who entered the theme park by paying the entrance fee to enjoy rides and natural beauty therein. After legally paying the applicable entrance fee he entered the park and this implies occupier, CPL was liable to take his care for the time being he was at the park. However, it was observed that lack of maintenance of fences caused major injury to </w:t>
      </w:r>
      <w:r w:rsidR="00BE016A" w:rsidRPr="00D24D3C">
        <w:rPr>
          <w:rFonts w:ascii="Times New Roman" w:hAnsi="Times New Roman"/>
          <w:sz w:val="28"/>
          <w:szCs w:val="28"/>
          <w:lang w:val="en-GB"/>
        </w:rPr>
        <w:t>Leo,</w:t>
      </w:r>
      <w:r w:rsidRPr="00D24D3C">
        <w:rPr>
          <w:rFonts w:ascii="Times New Roman" w:hAnsi="Times New Roman"/>
          <w:sz w:val="28"/>
          <w:szCs w:val="28"/>
          <w:lang w:val="en-GB"/>
        </w:rPr>
        <w:t xml:space="preserve"> and this clearly affirms the breach of duty of care by CPL making it accountable for personal injury Leo as a visitor suffered.</w:t>
      </w:r>
    </w:p>
    <w:p w14:paraId="252F03C7" w14:textId="7DB9A975"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lastRenderedPageBreak/>
        <w:t xml:space="preserve">In order to justify CPL's liability to make up for Leo's personal injury, it is important to justify the position of CPL as the occupier in this case as per Occupiers' Liability Act 1957. This can be understood with the case of </w:t>
      </w:r>
      <w:r w:rsidRPr="00D24D3C">
        <w:rPr>
          <w:rFonts w:ascii="Times New Roman" w:hAnsi="Times New Roman"/>
          <w:i/>
          <w:sz w:val="28"/>
          <w:szCs w:val="28"/>
          <w:lang w:val="en-GB"/>
        </w:rPr>
        <w:t>Wheat v. E Lacon &amp; Co. Ltd</w:t>
      </w:r>
      <w:r w:rsidRPr="00D24D3C">
        <w:rPr>
          <w:rFonts w:ascii="Times New Roman" w:hAnsi="Times New Roman"/>
          <w:sz w:val="28"/>
          <w:szCs w:val="28"/>
          <w:lang w:val="en-GB"/>
        </w:rPr>
        <w:t xml:space="preserve"> (1966) wherein a pub manager had lent room on a premise that was not owned by </w:t>
      </w:r>
      <w:r w:rsidR="00514E9E" w:rsidRPr="00D24D3C">
        <w:rPr>
          <w:rFonts w:ascii="Times New Roman" w:hAnsi="Times New Roman"/>
          <w:sz w:val="28"/>
          <w:szCs w:val="28"/>
          <w:lang w:val="en-GB"/>
        </w:rPr>
        <w:t>him;</w:t>
      </w:r>
      <w:r w:rsidRPr="00D24D3C">
        <w:rPr>
          <w:rFonts w:ascii="Times New Roman" w:hAnsi="Times New Roman"/>
          <w:sz w:val="28"/>
          <w:szCs w:val="28"/>
          <w:lang w:val="en-GB"/>
        </w:rPr>
        <w:t xml:space="preserve"> however, the pub manager was allowed to live in one of the flats just above the public house and accordingly assign paying guests. Due to faulty damaged staircase Wheat fell down the fairs and got a fatal injury. In this case, the question about who </w:t>
      </w:r>
      <w:r w:rsidR="00514E9E" w:rsidRPr="00D24D3C">
        <w:rPr>
          <w:rFonts w:ascii="Times New Roman" w:hAnsi="Times New Roman"/>
          <w:sz w:val="28"/>
          <w:szCs w:val="28"/>
          <w:lang w:val="en-GB"/>
        </w:rPr>
        <w:t>occupier was</w:t>
      </w:r>
      <w:r w:rsidRPr="00D24D3C">
        <w:rPr>
          <w:rFonts w:ascii="Times New Roman" w:hAnsi="Times New Roman"/>
          <w:sz w:val="28"/>
          <w:szCs w:val="28"/>
          <w:lang w:val="en-GB"/>
        </w:rPr>
        <w:t xml:space="preserve"> significantly crucial and it was identified that the occupier during the incident was one who exercise substantial control over the premises and thus owed a duty of care towards lawful entrants </w:t>
      </w:r>
      <w:r w:rsidRPr="00B5566E">
        <w:rPr>
          <w:rFonts w:ascii="Times New Roman" w:hAnsi="Times New Roman"/>
          <w:i/>
          <w:iCs/>
          <w:sz w:val="28"/>
          <w:szCs w:val="28"/>
          <w:lang w:val="en-GB"/>
        </w:rPr>
        <w:t>(Greene, 2013)</w:t>
      </w:r>
      <w:r w:rsidRPr="00D24D3C">
        <w:rPr>
          <w:rFonts w:ascii="Times New Roman" w:hAnsi="Times New Roman"/>
          <w:sz w:val="28"/>
          <w:szCs w:val="28"/>
          <w:lang w:val="en-GB"/>
        </w:rPr>
        <w:t xml:space="preserve">. Thus, in Leo's case, as CPL was running the park at the time of accidence, it owes a duty of care towards Leo because of being the principal occupier of the park at that point.  Leo was a lawful visitor who entered the park with express permission granted by way of issuing an entrance ticket which affirmed express permission or invitation by the occupier; CPL to enter the premises. </w:t>
      </w:r>
    </w:p>
    <w:p w14:paraId="17B09DF8" w14:textId="77777777"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 xml:space="preserve">CPL as an occupier in accordance with Section 2(2) of the Act upholds the common duty of care of the occupier towards all visitors at premises and in the given case it confirms duty of care towards all visitors at the park including Leo </w:t>
      </w:r>
      <w:r w:rsidRPr="00B5566E">
        <w:rPr>
          <w:rFonts w:ascii="Times New Roman" w:hAnsi="Times New Roman"/>
          <w:i/>
          <w:iCs/>
          <w:sz w:val="28"/>
          <w:szCs w:val="28"/>
          <w:lang w:val="en-GB"/>
        </w:rPr>
        <w:t xml:space="preserve">(Stephenson, 2012). </w:t>
      </w:r>
      <w:r w:rsidRPr="00D24D3C">
        <w:rPr>
          <w:rFonts w:ascii="Times New Roman" w:hAnsi="Times New Roman"/>
          <w:sz w:val="28"/>
          <w:szCs w:val="28"/>
          <w:lang w:val="en-GB"/>
        </w:rPr>
        <w:t xml:space="preserve">CPL was responsible to ensure the safety of every visitor while using premises and rides therein and CPL failed to accomplish its duty as evident from the impaired fence due to which Leo got his wrist and collarbone fractured making it liable to cover </w:t>
      </w:r>
      <w:r w:rsidRPr="00D24D3C">
        <w:rPr>
          <w:rFonts w:ascii="Times New Roman" w:hAnsi="Times New Roman"/>
          <w:sz w:val="28"/>
          <w:szCs w:val="28"/>
          <w:lang w:val="en-GB"/>
        </w:rPr>
        <w:lastRenderedPageBreak/>
        <w:t xml:space="preserve">up for Leo's personal injury. In this case, </w:t>
      </w:r>
      <w:r w:rsidRPr="00D24D3C">
        <w:rPr>
          <w:rFonts w:ascii="Times New Roman" w:hAnsi="Times New Roman"/>
          <w:i/>
          <w:sz w:val="28"/>
          <w:szCs w:val="28"/>
          <w:lang w:val="en-GB"/>
        </w:rPr>
        <w:t xml:space="preserve">Tomlinson v Congleton Borough Council </w:t>
      </w:r>
      <w:r w:rsidRPr="00D24D3C">
        <w:rPr>
          <w:rFonts w:ascii="Times New Roman" w:hAnsi="Times New Roman"/>
          <w:sz w:val="28"/>
          <w:szCs w:val="28"/>
          <w:lang w:val="en-GB"/>
        </w:rPr>
        <w:t xml:space="preserve">[2003] is relevant as it explains the torts of negligence, as well as occupier’s liability. The defendants owned and administered a lake that was developed from an unused quarry, as swimming was forbidden in the lake where the claimant got injured and the defendant placed proper signs for warning any visitor from potential dangers </w:t>
      </w:r>
      <w:r w:rsidRPr="00B5566E">
        <w:rPr>
          <w:rFonts w:ascii="Times New Roman" w:hAnsi="Times New Roman"/>
          <w:i/>
          <w:iCs/>
          <w:sz w:val="28"/>
          <w:szCs w:val="28"/>
          <w:lang w:val="en-GB"/>
        </w:rPr>
        <w:t>(Bates, 2012).</w:t>
      </w:r>
      <w:r w:rsidRPr="00D24D3C">
        <w:rPr>
          <w:rFonts w:ascii="Times New Roman" w:hAnsi="Times New Roman"/>
          <w:sz w:val="28"/>
          <w:szCs w:val="28"/>
          <w:lang w:val="en-GB"/>
        </w:rPr>
        <w:t xml:space="preserve"> Thus, the claimant argued that the defendants were liable to him concerning duty towards a trespasser in line with Section 1 of the Occupiers Liability Act 1984 however it was dismissed </w:t>
      </w:r>
      <w:r w:rsidRPr="002A5FBB">
        <w:rPr>
          <w:rFonts w:ascii="Times New Roman" w:hAnsi="Times New Roman"/>
          <w:i/>
          <w:iCs/>
          <w:sz w:val="28"/>
          <w:szCs w:val="28"/>
          <w:lang w:val="en-GB"/>
        </w:rPr>
        <w:t>(Patten, 2020).</w:t>
      </w:r>
      <w:r w:rsidRPr="00D24D3C">
        <w:rPr>
          <w:rFonts w:ascii="Times New Roman" w:hAnsi="Times New Roman"/>
          <w:sz w:val="28"/>
          <w:szCs w:val="28"/>
          <w:lang w:val="en-GB"/>
        </w:rPr>
        <w:t xml:space="preserve"> In this regard, CPL was responsible to place proper danger signs at places where infrastructure like roofs, fences and others were impaired, but the organisation did not take such initiatives making it wholly liable in relation to Leo. CPL for avoiding this risk could have placed danger signs and issued oral warnings to visitors about damaged fences and this could have enabled the organisation to avoid breach of duty of care.</w:t>
      </w:r>
    </w:p>
    <w:p w14:paraId="6DA9012B" w14:textId="0398A563"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 xml:space="preserve">In the case of Mille, the Occupiers Liability Act 1984 is relevant as Millie without paying the entrance fee unlawfully entered the theme park by climbing a high perimeter fence which denotes that she was a trespasser. She was an authorised visitor in the park as she climbed the fence for the sake of avoiding the entrance fee. The Act states that although an occupier is not liable to make his premises safe, </w:t>
      </w:r>
      <w:r w:rsidR="002A5FBB" w:rsidRPr="00D24D3C">
        <w:rPr>
          <w:rFonts w:ascii="Times New Roman" w:hAnsi="Times New Roman"/>
          <w:sz w:val="28"/>
          <w:szCs w:val="28"/>
          <w:lang w:val="en-GB"/>
        </w:rPr>
        <w:t>secure,</w:t>
      </w:r>
      <w:r w:rsidRPr="00D24D3C">
        <w:rPr>
          <w:rFonts w:ascii="Times New Roman" w:hAnsi="Times New Roman"/>
          <w:sz w:val="28"/>
          <w:szCs w:val="28"/>
          <w:lang w:val="en-GB"/>
        </w:rPr>
        <w:t xml:space="preserve"> and open for the trespassers, he still is not likely to do anything intentionally for causing any injury to such a visitor </w:t>
      </w:r>
      <w:r w:rsidRPr="002A5FBB">
        <w:rPr>
          <w:rFonts w:ascii="Times New Roman" w:hAnsi="Times New Roman"/>
          <w:i/>
          <w:iCs/>
          <w:sz w:val="28"/>
          <w:szCs w:val="28"/>
          <w:lang w:val="en-GB"/>
        </w:rPr>
        <w:t>(Pawlowski, 2019).</w:t>
      </w:r>
      <w:r w:rsidRPr="00D24D3C">
        <w:rPr>
          <w:rFonts w:ascii="Times New Roman" w:hAnsi="Times New Roman"/>
          <w:sz w:val="28"/>
          <w:szCs w:val="28"/>
          <w:lang w:val="en-GB"/>
        </w:rPr>
        <w:t xml:space="preserve"> The occupier is expected to instil reasonable tactics for hindering the entry of trespassers but does not hold the right to </w:t>
      </w:r>
      <w:r w:rsidRPr="00D24D3C">
        <w:rPr>
          <w:rFonts w:ascii="Times New Roman" w:hAnsi="Times New Roman"/>
          <w:sz w:val="28"/>
          <w:szCs w:val="28"/>
          <w:lang w:val="en-GB"/>
        </w:rPr>
        <w:lastRenderedPageBreak/>
        <w:t xml:space="preserve">cause any intentional harm. The harm of the trespasser entering the area of the occupier's premises would anticipate the occupier facilitating some safety and protection. However, the damage of any property by the trespasser within the occupier's premises does not permit him or her to claim for the damage </w:t>
      </w:r>
      <w:r w:rsidRPr="002A5FBB">
        <w:rPr>
          <w:rFonts w:ascii="Times New Roman" w:hAnsi="Times New Roman"/>
          <w:i/>
          <w:iCs/>
          <w:sz w:val="28"/>
          <w:szCs w:val="28"/>
          <w:lang w:val="en-GB"/>
        </w:rPr>
        <w:t>(Pearce, 2019).</w:t>
      </w:r>
      <w:r w:rsidRPr="00D24D3C">
        <w:rPr>
          <w:rFonts w:ascii="Times New Roman" w:hAnsi="Times New Roman"/>
          <w:sz w:val="28"/>
          <w:szCs w:val="28"/>
          <w:lang w:val="en-GB"/>
        </w:rPr>
        <w:t xml:space="preserve"> </w:t>
      </w:r>
    </w:p>
    <w:p w14:paraId="079EB2CE" w14:textId="369E0ECA"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 xml:space="preserve">Section 1(3) of the Occupiers Liability Act 1984 validates whether a duty of care is owed by the occupier to a trespasser by asking three questions. Firstly, he is aware of risk or hazard or has reasonable grounds for believing that it prevails and secondly knows he knows or has a reasonable basis for believing that the other is the area of danger concerned or that he might come into the danger area. Lastly, the risk is of a kind in all the case situations, he might reasonably be anticipated to offer the other kind of protection. The first two conditions are subjective and the last one is much more objective </w:t>
      </w:r>
      <w:r w:rsidRPr="002A5FBB">
        <w:rPr>
          <w:rFonts w:ascii="Times New Roman" w:hAnsi="Times New Roman"/>
          <w:i/>
          <w:iCs/>
          <w:sz w:val="28"/>
          <w:szCs w:val="28"/>
          <w:lang w:val="en-GB"/>
        </w:rPr>
        <w:t>(Brennan, 2019).</w:t>
      </w:r>
      <w:r w:rsidRPr="00D24D3C">
        <w:rPr>
          <w:rFonts w:ascii="Times New Roman" w:hAnsi="Times New Roman"/>
          <w:sz w:val="28"/>
          <w:szCs w:val="28"/>
          <w:lang w:val="en-GB"/>
        </w:rPr>
        <w:t xml:space="preserve"> In line with the case of </w:t>
      </w:r>
      <w:r w:rsidRPr="00D24D3C">
        <w:rPr>
          <w:rFonts w:ascii="Times New Roman" w:hAnsi="Times New Roman"/>
          <w:i/>
          <w:sz w:val="28"/>
          <w:szCs w:val="28"/>
          <w:lang w:val="en-GB"/>
        </w:rPr>
        <w:t>Harris v Birkenhead Corporation</w:t>
      </w:r>
      <w:r w:rsidRPr="00D24D3C">
        <w:rPr>
          <w:rFonts w:ascii="Times New Roman" w:hAnsi="Times New Roman"/>
          <w:sz w:val="28"/>
          <w:szCs w:val="28"/>
          <w:lang w:val="en-GB"/>
        </w:rPr>
        <w:t xml:space="preserve">, it was decided that where an occupier is aware of any risk or danger or even should be aware of potential danger does not stamp out any duty as stated in this case </w:t>
      </w:r>
      <w:r w:rsidRPr="002A5FBB">
        <w:rPr>
          <w:rFonts w:ascii="Times New Roman" w:hAnsi="Times New Roman"/>
          <w:i/>
          <w:iCs/>
          <w:sz w:val="28"/>
          <w:szCs w:val="28"/>
          <w:lang w:val="en-GB"/>
        </w:rPr>
        <w:t>(Montague, 2013)</w:t>
      </w:r>
      <w:r w:rsidRPr="00D24D3C">
        <w:rPr>
          <w:rFonts w:ascii="Times New Roman" w:hAnsi="Times New Roman"/>
          <w:sz w:val="28"/>
          <w:szCs w:val="28"/>
          <w:lang w:val="en-GB"/>
        </w:rPr>
        <w:t xml:space="preserve">. Thus, it is analysed that CPL in Mille's case is liable for compensating for the personal injury she suffered due to losing disco lights and electrics in the ride as it was something dangerous that had to be warned by CPL. CPL as an occupier is not expected to make the theme park secure for the trespassers. However, it cannot deliberately act in a way to injure the trespasser. The occupier holds the right to take important measures for prohibiting trespassers from entering the </w:t>
      </w:r>
      <w:r w:rsidR="001C7DA4" w:rsidRPr="00D24D3C">
        <w:rPr>
          <w:rFonts w:ascii="Times New Roman" w:hAnsi="Times New Roman"/>
          <w:sz w:val="28"/>
          <w:szCs w:val="28"/>
          <w:lang w:val="en-GB"/>
        </w:rPr>
        <w:t>premises,</w:t>
      </w:r>
      <w:r w:rsidRPr="00D24D3C">
        <w:rPr>
          <w:rFonts w:ascii="Times New Roman" w:hAnsi="Times New Roman"/>
          <w:sz w:val="28"/>
          <w:szCs w:val="28"/>
          <w:lang w:val="en-GB"/>
        </w:rPr>
        <w:t xml:space="preserve"> but he is not allowed to do anything to injure them </w:t>
      </w:r>
      <w:r w:rsidRPr="001C7DA4">
        <w:rPr>
          <w:rFonts w:ascii="Times New Roman" w:hAnsi="Times New Roman"/>
          <w:i/>
          <w:iCs/>
          <w:sz w:val="28"/>
          <w:szCs w:val="28"/>
          <w:lang w:val="en-GB"/>
        </w:rPr>
        <w:t>(Mulheron, 2016).</w:t>
      </w:r>
      <w:r w:rsidRPr="00D24D3C">
        <w:rPr>
          <w:rFonts w:ascii="Times New Roman" w:hAnsi="Times New Roman"/>
          <w:sz w:val="28"/>
          <w:szCs w:val="28"/>
          <w:lang w:val="en-GB"/>
        </w:rPr>
        <w:t xml:space="preserve"> </w:t>
      </w:r>
    </w:p>
    <w:p w14:paraId="6E3E36C4" w14:textId="05C7F98A"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lastRenderedPageBreak/>
        <w:t xml:space="preserve">In Mille's case, the moving electrics and disco lights were </w:t>
      </w:r>
      <w:r w:rsidR="007514FF" w:rsidRPr="00D24D3C">
        <w:rPr>
          <w:rFonts w:ascii="Times New Roman" w:hAnsi="Times New Roman"/>
          <w:sz w:val="28"/>
          <w:szCs w:val="28"/>
          <w:lang w:val="en-GB"/>
        </w:rPr>
        <w:t>loosed</w:t>
      </w:r>
      <w:r w:rsidRPr="00D24D3C">
        <w:rPr>
          <w:rFonts w:ascii="Times New Roman" w:hAnsi="Times New Roman"/>
          <w:sz w:val="28"/>
          <w:szCs w:val="28"/>
          <w:lang w:val="en-GB"/>
        </w:rPr>
        <w:t xml:space="preserve"> which fell into her head fracturing her skull and the sparks eventually turned into a fire that swiftly engulfed the entire waltzers ride perishing a number of customers around. Thus, CPL is accountable for meeting the tort liability of duty of care to Millie who was a trespasser. However, the occupier is not accountable to set off the; cost of her broken sunglasses as any property damage of trespasser is not covered by the Occupiers Liability Act 1984 </w:t>
      </w:r>
      <w:r w:rsidRPr="008B3C24">
        <w:rPr>
          <w:rFonts w:ascii="Times New Roman" w:hAnsi="Times New Roman"/>
          <w:i/>
          <w:iCs/>
          <w:sz w:val="28"/>
          <w:szCs w:val="28"/>
          <w:lang w:val="en-GB"/>
        </w:rPr>
        <w:t>(Howarth et al., 2016).</w:t>
      </w:r>
    </w:p>
    <w:p w14:paraId="63C7E44D" w14:textId="77777777" w:rsidR="00D24D3C" w:rsidRPr="00D24D3C" w:rsidRDefault="00D24D3C" w:rsidP="00D24D3C">
      <w:pPr>
        <w:pStyle w:val="Heading2"/>
        <w:spacing w:before="0" w:line="480" w:lineRule="auto"/>
        <w:jc w:val="both"/>
        <w:rPr>
          <w:rFonts w:ascii="Times New Roman" w:hAnsi="Times New Roman" w:cs="Times New Roman"/>
          <w:color w:val="auto"/>
          <w:sz w:val="28"/>
          <w:szCs w:val="28"/>
        </w:rPr>
      </w:pPr>
      <w:bookmarkStart w:id="4" w:name="_Toc89515347"/>
      <w:r w:rsidRPr="00D24D3C">
        <w:rPr>
          <w:rFonts w:ascii="Times New Roman" w:hAnsi="Times New Roman" w:cs="Times New Roman"/>
          <w:color w:val="auto"/>
          <w:sz w:val="28"/>
          <w:szCs w:val="28"/>
        </w:rPr>
        <w:t>Conclusion</w:t>
      </w:r>
      <w:bookmarkEnd w:id="4"/>
    </w:p>
    <w:p w14:paraId="068E5BC8" w14:textId="0F73CF8A" w:rsid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 xml:space="preserve">It is identified that in Leo's case, his broken collarbone and wrist while being at the theme park was mainly due to a corroded fence on which he was leaning. This reflects that </w:t>
      </w:r>
      <w:r w:rsidR="00F85615" w:rsidRPr="00D24D3C">
        <w:rPr>
          <w:rFonts w:ascii="Times New Roman" w:hAnsi="Times New Roman"/>
          <w:sz w:val="28"/>
          <w:szCs w:val="28"/>
          <w:lang w:val="en-GB"/>
        </w:rPr>
        <w:t>CPL;</w:t>
      </w:r>
      <w:r w:rsidRPr="00D24D3C">
        <w:rPr>
          <w:rFonts w:ascii="Times New Roman" w:hAnsi="Times New Roman"/>
          <w:sz w:val="28"/>
          <w:szCs w:val="28"/>
          <w:lang w:val="en-GB"/>
        </w:rPr>
        <w:t xml:space="preserve"> the legal occupier of the theme part was not seriously taking the role of repairing and maintenance work of infrastructure and rides posing threat to lawful visitors like Leo. Therefore, CPL as a legal occupier failed to fulfil the duty of care towards legal entrants such as Leo who entered premises after taking the entrance ticket. In line with Section 1(1) of the Occupiers Liability Act is any occupier of a premise, having reasonable control over that premise owes a particular degree of duty of care towards lawful visitor holding CPL an accountable authority to make up for Leo’s personal injury. Similarly, in case of Mille, who was a trespasser who entered the park by jumping from a heightened fence also makes CPL liable for duty of care in the light of the provisions of Occupiers Liability Act 1984 as CPL failed to embrace </w:t>
      </w:r>
      <w:r w:rsidRPr="00D24D3C">
        <w:rPr>
          <w:rFonts w:ascii="Times New Roman" w:hAnsi="Times New Roman"/>
          <w:sz w:val="28"/>
          <w:szCs w:val="28"/>
          <w:lang w:val="en-GB"/>
        </w:rPr>
        <w:lastRenderedPageBreak/>
        <w:t xml:space="preserve">needful measures like placing danger signs and issuing warnings for indicating trespassers and visitors about work in progress of rides and loose electric wires. </w:t>
      </w:r>
    </w:p>
    <w:p w14:paraId="68ED9954" w14:textId="7E200E31" w:rsidR="00A91043" w:rsidRDefault="00A91043" w:rsidP="00D24D3C">
      <w:pPr>
        <w:spacing w:after="0" w:line="480" w:lineRule="auto"/>
        <w:ind w:firstLine="720"/>
        <w:jc w:val="both"/>
        <w:rPr>
          <w:rFonts w:ascii="Times New Roman" w:hAnsi="Times New Roman"/>
          <w:sz w:val="28"/>
          <w:szCs w:val="28"/>
          <w:lang w:val="en-GB"/>
        </w:rPr>
      </w:pPr>
    </w:p>
    <w:p w14:paraId="2ECD7679" w14:textId="69A39088" w:rsidR="00A91043" w:rsidRDefault="00A91043" w:rsidP="00D24D3C">
      <w:pPr>
        <w:spacing w:after="0" w:line="480" w:lineRule="auto"/>
        <w:ind w:firstLine="720"/>
        <w:jc w:val="both"/>
        <w:rPr>
          <w:rFonts w:ascii="Times New Roman" w:hAnsi="Times New Roman"/>
          <w:sz w:val="28"/>
          <w:szCs w:val="28"/>
          <w:lang w:val="en-GB"/>
        </w:rPr>
      </w:pPr>
    </w:p>
    <w:p w14:paraId="42EC9536" w14:textId="6127D6CC" w:rsidR="00A91043" w:rsidRDefault="00A91043" w:rsidP="00D24D3C">
      <w:pPr>
        <w:spacing w:after="0" w:line="480" w:lineRule="auto"/>
        <w:ind w:firstLine="720"/>
        <w:jc w:val="both"/>
        <w:rPr>
          <w:rFonts w:ascii="Times New Roman" w:hAnsi="Times New Roman"/>
          <w:sz w:val="28"/>
          <w:szCs w:val="28"/>
          <w:lang w:val="en-GB"/>
        </w:rPr>
      </w:pPr>
    </w:p>
    <w:p w14:paraId="50683A48" w14:textId="0F41318D" w:rsidR="00A91043" w:rsidRDefault="00A91043" w:rsidP="00D24D3C">
      <w:pPr>
        <w:spacing w:after="0" w:line="480" w:lineRule="auto"/>
        <w:ind w:firstLine="720"/>
        <w:jc w:val="both"/>
        <w:rPr>
          <w:rFonts w:ascii="Times New Roman" w:hAnsi="Times New Roman"/>
          <w:sz w:val="28"/>
          <w:szCs w:val="28"/>
          <w:lang w:val="en-GB"/>
        </w:rPr>
      </w:pPr>
    </w:p>
    <w:p w14:paraId="5316B986" w14:textId="6746DC93" w:rsidR="00A91043" w:rsidRDefault="00A91043" w:rsidP="00D24D3C">
      <w:pPr>
        <w:spacing w:after="0" w:line="480" w:lineRule="auto"/>
        <w:ind w:firstLine="720"/>
        <w:jc w:val="both"/>
        <w:rPr>
          <w:rFonts w:ascii="Times New Roman" w:hAnsi="Times New Roman"/>
          <w:sz w:val="28"/>
          <w:szCs w:val="28"/>
          <w:lang w:val="en-GB"/>
        </w:rPr>
      </w:pPr>
    </w:p>
    <w:p w14:paraId="2488DE2D" w14:textId="68AA7BA2" w:rsidR="00A91043" w:rsidRDefault="00A91043" w:rsidP="00D24D3C">
      <w:pPr>
        <w:spacing w:after="0" w:line="480" w:lineRule="auto"/>
        <w:ind w:firstLine="720"/>
        <w:jc w:val="both"/>
        <w:rPr>
          <w:rFonts w:ascii="Times New Roman" w:hAnsi="Times New Roman"/>
          <w:sz w:val="28"/>
          <w:szCs w:val="28"/>
          <w:lang w:val="en-GB"/>
        </w:rPr>
      </w:pPr>
    </w:p>
    <w:p w14:paraId="6F55F1B5" w14:textId="6155CE1D" w:rsidR="00A91043" w:rsidRDefault="00A91043" w:rsidP="00D24D3C">
      <w:pPr>
        <w:spacing w:after="0" w:line="480" w:lineRule="auto"/>
        <w:ind w:firstLine="720"/>
        <w:jc w:val="both"/>
        <w:rPr>
          <w:rFonts w:ascii="Times New Roman" w:hAnsi="Times New Roman"/>
          <w:sz w:val="28"/>
          <w:szCs w:val="28"/>
          <w:lang w:val="en-GB"/>
        </w:rPr>
      </w:pPr>
    </w:p>
    <w:p w14:paraId="33D106BA" w14:textId="465E8117" w:rsidR="00A91043" w:rsidRDefault="00A91043" w:rsidP="00D24D3C">
      <w:pPr>
        <w:spacing w:after="0" w:line="480" w:lineRule="auto"/>
        <w:ind w:firstLine="720"/>
        <w:jc w:val="both"/>
        <w:rPr>
          <w:rFonts w:ascii="Times New Roman" w:hAnsi="Times New Roman"/>
          <w:sz w:val="28"/>
          <w:szCs w:val="28"/>
          <w:lang w:val="en-GB"/>
        </w:rPr>
      </w:pPr>
    </w:p>
    <w:p w14:paraId="328B22E7" w14:textId="423FC88B" w:rsidR="00A91043" w:rsidRDefault="00A91043" w:rsidP="00D24D3C">
      <w:pPr>
        <w:spacing w:after="0" w:line="480" w:lineRule="auto"/>
        <w:ind w:firstLine="720"/>
        <w:jc w:val="both"/>
        <w:rPr>
          <w:rFonts w:ascii="Times New Roman" w:hAnsi="Times New Roman"/>
          <w:sz w:val="28"/>
          <w:szCs w:val="28"/>
          <w:lang w:val="en-GB"/>
        </w:rPr>
      </w:pPr>
    </w:p>
    <w:p w14:paraId="23FD6386" w14:textId="6AEC3EF7" w:rsidR="00A91043" w:rsidRDefault="00A91043" w:rsidP="00D24D3C">
      <w:pPr>
        <w:spacing w:after="0" w:line="480" w:lineRule="auto"/>
        <w:ind w:firstLine="720"/>
        <w:jc w:val="both"/>
        <w:rPr>
          <w:rFonts w:ascii="Times New Roman" w:hAnsi="Times New Roman"/>
          <w:sz w:val="28"/>
          <w:szCs w:val="28"/>
          <w:lang w:val="en-GB"/>
        </w:rPr>
      </w:pPr>
    </w:p>
    <w:p w14:paraId="043875DB" w14:textId="756A18D0" w:rsidR="00A91043" w:rsidRDefault="00A91043" w:rsidP="00D24D3C">
      <w:pPr>
        <w:spacing w:after="0" w:line="480" w:lineRule="auto"/>
        <w:ind w:firstLine="720"/>
        <w:jc w:val="both"/>
        <w:rPr>
          <w:rFonts w:ascii="Times New Roman" w:hAnsi="Times New Roman"/>
          <w:sz w:val="28"/>
          <w:szCs w:val="28"/>
          <w:lang w:val="en-GB"/>
        </w:rPr>
      </w:pPr>
    </w:p>
    <w:p w14:paraId="0246ED23" w14:textId="4A500EDA" w:rsidR="00A91043" w:rsidRDefault="00A91043" w:rsidP="00D24D3C">
      <w:pPr>
        <w:spacing w:after="0" w:line="480" w:lineRule="auto"/>
        <w:ind w:firstLine="720"/>
        <w:jc w:val="both"/>
        <w:rPr>
          <w:rFonts w:ascii="Times New Roman" w:hAnsi="Times New Roman"/>
          <w:sz w:val="28"/>
          <w:szCs w:val="28"/>
          <w:lang w:val="en-GB"/>
        </w:rPr>
      </w:pPr>
    </w:p>
    <w:p w14:paraId="7C569F01" w14:textId="5037C564" w:rsidR="00A91043" w:rsidRDefault="00A91043" w:rsidP="00D24D3C">
      <w:pPr>
        <w:spacing w:after="0" w:line="480" w:lineRule="auto"/>
        <w:ind w:firstLine="720"/>
        <w:jc w:val="both"/>
        <w:rPr>
          <w:rFonts w:ascii="Times New Roman" w:hAnsi="Times New Roman"/>
          <w:sz w:val="28"/>
          <w:szCs w:val="28"/>
          <w:lang w:val="en-GB"/>
        </w:rPr>
      </w:pPr>
    </w:p>
    <w:p w14:paraId="069C807F" w14:textId="0F07BBFA" w:rsidR="00A91043" w:rsidRDefault="00A91043" w:rsidP="00D24D3C">
      <w:pPr>
        <w:spacing w:after="0" w:line="480" w:lineRule="auto"/>
        <w:ind w:firstLine="720"/>
        <w:jc w:val="both"/>
        <w:rPr>
          <w:rFonts w:ascii="Times New Roman" w:hAnsi="Times New Roman"/>
          <w:sz w:val="28"/>
          <w:szCs w:val="28"/>
          <w:lang w:val="en-GB"/>
        </w:rPr>
      </w:pPr>
    </w:p>
    <w:p w14:paraId="36C33086" w14:textId="3BCD3905" w:rsidR="00A91043" w:rsidRDefault="00A91043" w:rsidP="00D24D3C">
      <w:pPr>
        <w:spacing w:after="0" w:line="480" w:lineRule="auto"/>
        <w:ind w:firstLine="720"/>
        <w:jc w:val="both"/>
        <w:rPr>
          <w:rFonts w:ascii="Times New Roman" w:hAnsi="Times New Roman"/>
          <w:sz w:val="28"/>
          <w:szCs w:val="28"/>
          <w:lang w:val="en-GB"/>
        </w:rPr>
      </w:pPr>
    </w:p>
    <w:p w14:paraId="4B113601" w14:textId="77777777" w:rsidR="00A91043" w:rsidRPr="00D24D3C" w:rsidRDefault="00A91043" w:rsidP="00D24D3C">
      <w:pPr>
        <w:spacing w:after="0" w:line="480" w:lineRule="auto"/>
        <w:ind w:firstLine="720"/>
        <w:jc w:val="both"/>
        <w:rPr>
          <w:rFonts w:ascii="Times New Roman" w:hAnsi="Times New Roman"/>
          <w:sz w:val="28"/>
          <w:szCs w:val="28"/>
          <w:lang w:val="en-GB"/>
        </w:rPr>
      </w:pPr>
    </w:p>
    <w:p w14:paraId="1E63BA29" w14:textId="77777777" w:rsidR="00D24D3C" w:rsidRPr="00D24D3C" w:rsidRDefault="00D24D3C" w:rsidP="00D24D3C">
      <w:pPr>
        <w:pStyle w:val="Heading1"/>
        <w:spacing w:before="0" w:line="480" w:lineRule="auto"/>
        <w:jc w:val="both"/>
        <w:rPr>
          <w:rFonts w:ascii="Times New Roman" w:hAnsi="Times New Roman" w:cs="Times New Roman"/>
          <w:color w:val="auto"/>
        </w:rPr>
      </w:pPr>
      <w:bookmarkStart w:id="5" w:name="_Toc89515348"/>
      <w:r w:rsidRPr="00D24D3C">
        <w:rPr>
          <w:rFonts w:ascii="Times New Roman" w:hAnsi="Times New Roman" w:cs="Times New Roman"/>
          <w:color w:val="auto"/>
        </w:rPr>
        <w:lastRenderedPageBreak/>
        <w:t>2. CPL’s liability in relation to Nia and Owen</w:t>
      </w:r>
      <w:bookmarkEnd w:id="5"/>
      <w:r w:rsidRPr="00D24D3C">
        <w:rPr>
          <w:rFonts w:ascii="Times New Roman" w:hAnsi="Times New Roman" w:cs="Times New Roman"/>
          <w:color w:val="auto"/>
        </w:rPr>
        <w:t xml:space="preserve"> </w:t>
      </w:r>
    </w:p>
    <w:p w14:paraId="72E97AB4" w14:textId="77777777" w:rsidR="00D24D3C" w:rsidRPr="00D24D3C" w:rsidRDefault="00D24D3C" w:rsidP="00D24D3C">
      <w:pPr>
        <w:pStyle w:val="Heading2"/>
        <w:spacing w:before="0" w:line="480" w:lineRule="auto"/>
        <w:jc w:val="both"/>
        <w:rPr>
          <w:rFonts w:ascii="Times New Roman" w:hAnsi="Times New Roman" w:cs="Times New Roman"/>
          <w:color w:val="auto"/>
          <w:sz w:val="28"/>
          <w:szCs w:val="28"/>
        </w:rPr>
      </w:pPr>
      <w:bookmarkStart w:id="6" w:name="_Toc89515349"/>
      <w:r w:rsidRPr="00D24D3C">
        <w:rPr>
          <w:rFonts w:ascii="Times New Roman" w:hAnsi="Times New Roman" w:cs="Times New Roman"/>
          <w:color w:val="auto"/>
          <w:sz w:val="28"/>
          <w:szCs w:val="28"/>
        </w:rPr>
        <w:t>Issue</w:t>
      </w:r>
      <w:bookmarkEnd w:id="6"/>
    </w:p>
    <w:p w14:paraId="021533FF" w14:textId="4335DE84"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When Millie suffered a skull fracture due to falling of loose electric wires which subsequently turned into a fire deluging the waltzers ride completely, harmed many customers around who although managed to escape from the fire without getting any physical injury but experienced posttraumatic stress disorder. Nia was one such customer who because of witnessing a critical fire incident at the theme park developed posttraumatic stress disorder. Owen, Nia's brother was on the park's other side but viewed the events unfold and failed to lead a normal life as he was very much concerned about his sister’s safety while viewing the incident. He had no choice but to start taking medication for depression</w:t>
      </w:r>
      <w:r w:rsidR="00F85615">
        <w:rPr>
          <w:rFonts w:ascii="Times New Roman" w:hAnsi="Times New Roman"/>
          <w:sz w:val="28"/>
          <w:szCs w:val="28"/>
          <w:lang w:val="en-GB"/>
        </w:rPr>
        <w:t xml:space="preserve"> (</w:t>
      </w:r>
      <w:r w:rsidR="00F85615">
        <w:rPr>
          <w:rFonts w:ascii="Times New Roman" w:hAnsi="Times New Roman"/>
          <w:i/>
          <w:iCs/>
          <w:sz w:val="28"/>
          <w:szCs w:val="28"/>
          <w:lang w:val="en-GB"/>
        </w:rPr>
        <w:t>Case study).</w:t>
      </w:r>
      <w:r w:rsidRPr="00D24D3C">
        <w:rPr>
          <w:rFonts w:ascii="Times New Roman" w:hAnsi="Times New Roman"/>
          <w:sz w:val="28"/>
          <w:szCs w:val="28"/>
          <w:lang w:val="en-GB"/>
        </w:rPr>
        <w:t xml:space="preserve"> </w:t>
      </w:r>
    </w:p>
    <w:p w14:paraId="027860A2" w14:textId="77777777" w:rsidR="00D24D3C" w:rsidRPr="00D24D3C" w:rsidRDefault="00D24D3C" w:rsidP="00D24D3C">
      <w:pPr>
        <w:pStyle w:val="Heading2"/>
        <w:spacing w:before="0" w:line="480" w:lineRule="auto"/>
        <w:jc w:val="both"/>
        <w:rPr>
          <w:rFonts w:ascii="Times New Roman" w:hAnsi="Times New Roman" w:cs="Times New Roman"/>
          <w:color w:val="auto"/>
          <w:sz w:val="28"/>
          <w:szCs w:val="28"/>
        </w:rPr>
      </w:pPr>
      <w:bookmarkStart w:id="7" w:name="_Toc89515350"/>
      <w:r w:rsidRPr="00D24D3C">
        <w:rPr>
          <w:rFonts w:ascii="Times New Roman" w:hAnsi="Times New Roman" w:cs="Times New Roman"/>
          <w:color w:val="auto"/>
          <w:sz w:val="28"/>
          <w:szCs w:val="28"/>
        </w:rPr>
        <w:t>Rule/Legislation</w:t>
      </w:r>
      <w:bookmarkEnd w:id="7"/>
      <w:r w:rsidRPr="00D24D3C">
        <w:rPr>
          <w:rFonts w:ascii="Times New Roman" w:hAnsi="Times New Roman" w:cs="Times New Roman"/>
          <w:color w:val="auto"/>
          <w:sz w:val="28"/>
          <w:szCs w:val="28"/>
        </w:rPr>
        <w:t xml:space="preserve"> </w:t>
      </w:r>
    </w:p>
    <w:p w14:paraId="5F1FD3A9" w14:textId="77777777"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 xml:space="preserve">Since the imposition of the Occupiers Liability Act 1957 the factors lawfully considered for establishing a breach of duty have doubled. In order to establish a breach of duty now, it is important to answer was the injury predictable or was the danger very much obvious that a reasonable individual would have been anticipated to avoid it </w:t>
      </w:r>
      <w:r w:rsidRPr="00376B72">
        <w:rPr>
          <w:rFonts w:ascii="Times New Roman" w:hAnsi="Times New Roman"/>
          <w:i/>
          <w:iCs/>
          <w:sz w:val="28"/>
          <w:szCs w:val="28"/>
          <w:lang w:val="en-GB"/>
        </w:rPr>
        <w:t>(Dembour, Turner and Barrow, 2020).</w:t>
      </w:r>
      <w:r w:rsidRPr="00D24D3C">
        <w:rPr>
          <w:rFonts w:ascii="Times New Roman" w:hAnsi="Times New Roman"/>
          <w:sz w:val="28"/>
          <w:szCs w:val="28"/>
          <w:lang w:val="en-GB"/>
        </w:rPr>
        <w:t xml:space="preserve"> It is also important to see whether it was likely to issue a warning notice for informing visitors about the danger one or some other preventive technique. Liability under the Act certainly requires the Act to be applicable </w:t>
      </w:r>
      <w:r w:rsidRPr="00376B72">
        <w:rPr>
          <w:rFonts w:ascii="Times New Roman" w:hAnsi="Times New Roman"/>
          <w:i/>
          <w:iCs/>
          <w:sz w:val="28"/>
          <w:szCs w:val="28"/>
          <w:lang w:val="en-GB"/>
        </w:rPr>
        <w:t>(Ernst, 2014).</w:t>
      </w:r>
      <w:r w:rsidRPr="00D24D3C">
        <w:rPr>
          <w:rFonts w:ascii="Times New Roman" w:hAnsi="Times New Roman"/>
          <w:sz w:val="28"/>
          <w:szCs w:val="28"/>
          <w:lang w:val="en-GB"/>
        </w:rPr>
        <w:t xml:space="preserve"> For this essential condition to be met, the injury must have taken place because of danger arising from the premises' state as stated under Section 1(1) of the </w:t>
      </w:r>
      <w:r w:rsidRPr="00D24D3C">
        <w:rPr>
          <w:rFonts w:ascii="Times New Roman" w:hAnsi="Times New Roman"/>
          <w:sz w:val="28"/>
          <w:szCs w:val="28"/>
          <w:lang w:val="en-GB"/>
        </w:rPr>
        <w:lastRenderedPageBreak/>
        <w:t xml:space="preserve">1957 Act. In case an injury physical or psychological has been an outcome of danger or any fault on the premises, then this suggests a breach of the occupier's duty. Occupier owes a duty of care in regard to incidents occurring in the zone of danger within the premises wherein dangers are prominent because of the state of premises or works to be done or avoided to be done </w:t>
      </w:r>
      <w:r w:rsidRPr="00A53227">
        <w:rPr>
          <w:rFonts w:ascii="Times New Roman" w:hAnsi="Times New Roman"/>
          <w:i/>
          <w:iCs/>
          <w:sz w:val="28"/>
          <w:szCs w:val="28"/>
          <w:lang w:val="en-GB"/>
        </w:rPr>
        <w:t>(Bermingham and Brennan, 2012; Kidner, 2012).</w:t>
      </w:r>
      <w:r w:rsidRPr="00D24D3C">
        <w:rPr>
          <w:rFonts w:ascii="Times New Roman" w:hAnsi="Times New Roman"/>
          <w:sz w:val="28"/>
          <w:szCs w:val="28"/>
          <w:lang w:val="en-GB"/>
        </w:rPr>
        <w:t xml:space="preserve"> These facts are largely applicable in Nia and Owen’s traumatic experiences which were mainly attributed to the work in progress of the waltzers' ride, loose lights, and electrical parts therein which resulted in a massive fire. </w:t>
      </w:r>
    </w:p>
    <w:p w14:paraId="6307DCB2" w14:textId="77777777" w:rsidR="00D24D3C" w:rsidRPr="00D24D3C" w:rsidRDefault="00D24D3C" w:rsidP="00D24D3C">
      <w:pPr>
        <w:pStyle w:val="Heading2"/>
        <w:spacing w:before="0" w:line="480" w:lineRule="auto"/>
        <w:jc w:val="both"/>
        <w:rPr>
          <w:rFonts w:ascii="Times New Roman" w:hAnsi="Times New Roman" w:cs="Times New Roman"/>
          <w:color w:val="auto"/>
          <w:sz w:val="28"/>
          <w:szCs w:val="28"/>
        </w:rPr>
      </w:pPr>
      <w:bookmarkStart w:id="8" w:name="_Toc89515351"/>
      <w:r w:rsidRPr="00D24D3C">
        <w:rPr>
          <w:rFonts w:ascii="Times New Roman" w:hAnsi="Times New Roman" w:cs="Times New Roman"/>
          <w:color w:val="auto"/>
          <w:sz w:val="28"/>
          <w:szCs w:val="28"/>
        </w:rPr>
        <w:t>Application</w:t>
      </w:r>
      <w:bookmarkEnd w:id="8"/>
    </w:p>
    <w:p w14:paraId="3FAA76D9" w14:textId="77777777" w:rsidR="00D24D3C" w:rsidRPr="000E2E1F" w:rsidRDefault="00D24D3C" w:rsidP="00D24D3C">
      <w:pPr>
        <w:spacing w:after="0" w:line="480" w:lineRule="auto"/>
        <w:ind w:firstLine="720"/>
        <w:jc w:val="both"/>
        <w:rPr>
          <w:rFonts w:ascii="Times New Roman" w:hAnsi="Times New Roman"/>
          <w:i/>
          <w:iCs/>
          <w:sz w:val="28"/>
          <w:szCs w:val="28"/>
          <w:lang w:val="en-GB"/>
        </w:rPr>
      </w:pPr>
      <w:r w:rsidRPr="00D24D3C">
        <w:rPr>
          <w:rFonts w:ascii="Times New Roman" w:hAnsi="Times New Roman"/>
          <w:sz w:val="28"/>
          <w:szCs w:val="28"/>
          <w:lang w:val="en-GB"/>
        </w:rPr>
        <w:t xml:space="preserve">In the case of </w:t>
      </w:r>
      <w:r w:rsidRPr="00D24D3C">
        <w:rPr>
          <w:rFonts w:ascii="Times New Roman" w:hAnsi="Times New Roman"/>
          <w:i/>
          <w:sz w:val="28"/>
          <w:szCs w:val="28"/>
          <w:lang w:val="en-GB"/>
        </w:rPr>
        <w:t>Ward v Tesco Stores</w:t>
      </w:r>
      <w:r w:rsidRPr="00D24D3C">
        <w:rPr>
          <w:rFonts w:ascii="Times New Roman" w:hAnsi="Times New Roman"/>
          <w:sz w:val="28"/>
          <w:szCs w:val="28"/>
          <w:lang w:val="en-GB"/>
        </w:rPr>
        <w:t xml:space="preserve"> (1976), the claimant was injured because of slipping on slipped yoghurt in Tesco's outlet, which was a defendant in the case. The defendant claimed that they consistent inspected and cleaned store floors and had policy measures mandating staff to deal with any kind of spillage immediately after detection. However, the defendant failed to give evidence regarding when that specific floor was wiped or cleaned last. Thus, the claimant sued the defendant on the grounds of the tort of negligence </w:t>
      </w:r>
      <w:r w:rsidRPr="004069BB">
        <w:rPr>
          <w:rFonts w:ascii="Times New Roman" w:hAnsi="Times New Roman"/>
          <w:i/>
          <w:iCs/>
          <w:sz w:val="28"/>
          <w:szCs w:val="28"/>
          <w:lang w:val="en-GB"/>
        </w:rPr>
        <w:t>(Stephenson, 2012).</w:t>
      </w:r>
      <w:r w:rsidRPr="00D24D3C">
        <w:rPr>
          <w:rFonts w:ascii="Times New Roman" w:hAnsi="Times New Roman"/>
          <w:sz w:val="28"/>
          <w:szCs w:val="28"/>
          <w:lang w:val="en-GB"/>
        </w:rPr>
        <w:t xml:space="preserve"> The court decided that the case was adequate for </w:t>
      </w:r>
      <w:r w:rsidRPr="00D24D3C">
        <w:rPr>
          <w:rFonts w:ascii="Times New Roman" w:hAnsi="Times New Roman"/>
          <w:i/>
          <w:sz w:val="28"/>
          <w:szCs w:val="28"/>
          <w:lang w:val="en-GB"/>
        </w:rPr>
        <w:t>res ipsa loquitur</w:t>
      </w:r>
      <w:r w:rsidRPr="00D24D3C">
        <w:rPr>
          <w:rFonts w:ascii="Times New Roman" w:hAnsi="Times New Roman"/>
          <w:sz w:val="28"/>
          <w:szCs w:val="28"/>
          <w:lang w:val="en-GB"/>
        </w:rPr>
        <w:t xml:space="preserve"> suggesting that for the claimant it is vital to prove the cause of the accident and the court will assume breach in case the defendant was controlling the situation at the time of the incident. Further, the court is likely to presume that the accident was one that usually takes place without carelessness </w:t>
      </w:r>
      <w:r w:rsidRPr="000E2E1F">
        <w:rPr>
          <w:rFonts w:ascii="Times New Roman" w:hAnsi="Times New Roman"/>
          <w:i/>
          <w:iCs/>
          <w:sz w:val="28"/>
          <w:szCs w:val="28"/>
          <w:lang w:val="en-GB"/>
        </w:rPr>
        <w:t xml:space="preserve">(Finch and Fafinski, 2018). </w:t>
      </w:r>
    </w:p>
    <w:p w14:paraId="099E490A" w14:textId="29B8BF1E" w:rsidR="00D24D3C" w:rsidRPr="00D24D3C" w:rsidRDefault="004069BB"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lastRenderedPageBreak/>
        <w:t>So,</w:t>
      </w:r>
      <w:r w:rsidR="00D24D3C" w:rsidRPr="00D24D3C">
        <w:rPr>
          <w:rFonts w:ascii="Times New Roman" w:hAnsi="Times New Roman"/>
          <w:sz w:val="28"/>
          <w:szCs w:val="28"/>
          <w:lang w:val="en-GB"/>
        </w:rPr>
        <w:t xml:space="preserve"> in accordance with these facts of the doctrine of </w:t>
      </w:r>
      <w:r w:rsidR="00D24D3C" w:rsidRPr="004069BB">
        <w:rPr>
          <w:rFonts w:ascii="Times New Roman" w:hAnsi="Times New Roman"/>
          <w:i/>
          <w:iCs/>
          <w:sz w:val="28"/>
          <w:szCs w:val="28"/>
          <w:lang w:val="en-GB"/>
        </w:rPr>
        <w:t>res i</w:t>
      </w:r>
      <w:r w:rsidRPr="004069BB">
        <w:rPr>
          <w:rFonts w:ascii="Times New Roman" w:hAnsi="Times New Roman"/>
          <w:i/>
          <w:iCs/>
          <w:sz w:val="28"/>
          <w:szCs w:val="28"/>
          <w:lang w:val="en-GB"/>
        </w:rPr>
        <w:t>ps</w:t>
      </w:r>
      <w:r w:rsidR="00D24D3C" w:rsidRPr="004069BB">
        <w:rPr>
          <w:rFonts w:ascii="Times New Roman" w:hAnsi="Times New Roman"/>
          <w:i/>
          <w:iCs/>
          <w:sz w:val="28"/>
          <w:szCs w:val="28"/>
          <w:lang w:val="en-GB"/>
        </w:rPr>
        <w:t>a</w:t>
      </w:r>
      <w:r w:rsidR="00D24D3C" w:rsidRPr="00D24D3C">
        <w:rPr>
          <w:rFonts w:ascii="Times New Roman" w:hAnsi="Times New Roman"/>
          <w:sz w:val="28"/>
          <w:szCs w:val="28"/>
          <w:lang w:val="en-GB"/>
        </w:rPr>
        <w:t xml:space="preserve"> loquitur within the Occupiers Liability Act, Nia's case was suited for </w:t>
      </w:r>
      <w:r w:rsidR="00D24D3C" w:rsidRPr="00D24D3C">
        <w:rPr>
          <w:rFonts w:ascii="Times New Roman" w:hAnsi="Times New Roman"/>
          <w:i/>
          <w:sz w:val="28"/>
          <w:szCs w:val="28"/>
          <w:lang w:val="en-GB"/>
        </w:rPr>
        <w:t>res ipsa loquitur</w:t>
      </w:r>
      <w:r w:rsidR="00D24D3C" w:rsidRPr="00D24D3C">
        <w:rPr>
          <w:rFonts w:ascii="Times New Roman" w:hAnsi="Times New Roman"/>
          <w:sz w:val="28"/>
          <w:szCs w:val="28"/>
          <w:lang w:val="en-GB"/>
        </w:rPr>
        <w:t xml:space="preserve"> as during the fire incident which had long term implications on the mental health of Nia leading to the development of post-traumatic stress disorder, CPL is liable. It is because of the fact that the theme park was under the defendant's that is CPL's control and as it could not be verified for how long loose electrics and lights on the ride existed makes it an incident that would not normally take place without negligence.  Nia was a primary victim in this case while her brother Owen also got depressed after viewing that incident from the other side and seeing her sister in danger. </w:t>
      </w:r>
    </w:p>
    <w:p w14:paraId="1864AED2" w14:textId="77777777" w:rsidR="00D24D3C" w:rsidRP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 xml:space="preserve">The tort of negligence for the depression problem of Owen can be understood through the case of </w:t>
      </w:r>
      <w:r w:rsidRPr="00D24D3C">
        <w:rPr>
          <w:rFonts w:ascii="Times New Roman" w:hAnsi="Times New Roman"/>
          <w:i/>
          <w:sz w:val="28"/>
          <w:szCs w:val="28"/>
          <w:lang w:val="en-GB"/>
        </w:rPr>
        <w:t>Page v Smith (1996)</w:t>
      </w:r>
      <w:r w:rsidRPr="00D24D3C">
        <w:rPr>
          <w:rFonts w:ascii="Times New Roman" w:hAnsi="Times New Roman"/>
          <w:sz w:val="28"/>
          <w:szCs w:val="28"/>
          <w:lang w:val="en-GB"/>
        </w:rPr>
        <w:t xml:space="preserve"> which was important in the breach of Law of Torts as it improvised the distinction between primary victims and secondary victims. In this particular case, the House of Lords held there was no distinction between psychiatric and physical harms for the determination of the duty of care within the tort of negligence </w:t>
      </w:r>
      <w:r w:rsidRPr="000E2E1F">
        <w:rPr>
          <w:rFonts w:ascii="Times New Roman" w:hAnsi="Times New Roman"/>
          <w:i/>
          <w:iCs/>
          <w:sz w:val="28"/>
          <w:szCs w:val="28"/>
          <w:lang w:val="en-GB"/>
        </w:rPr>
        <w:t>(Van Dam, 2013).</w:t>
      </w:r>
      <w:r w:rsidRPr="00D24D3C">
        <w:rPr>
          <w:rFonts w:ascii="Times New Roman" w:hAnsi="Times New Roman"/>
          <w:sz w:val="28"/>
          <w:szCs w:val="28"/>
          <w:lang w:val="en-GB"/>
        </w:rPr>
        <w:t xml:space="preserve"> After this case, it was presumed that reasonable predictability of psychiatric illness was the main requirement in every case of the tort of negligence where any kind of psychiatric illness was a part. Further, it is important that every plaintiff must be an individual of normal disposition </w:t>
      </w:r>
      <w:r w:rsidRPr="000E2E1F">
        <w:rPr>
          <w:rFonts w:ascii="Times New Roman" w:hAnsi="Times New Roman"/>
          <w:i/>
          <w:iCs/>
          <w:sz w:val="28"/>
          <w:szCs w:val="28"/>
          <w:lang w:val="en-GB"/>
        </w:rPr>
        <w:t>(Oliphant et al., 2013).</w:t>
      </w:r>
      <w:r w:rsidRPr="00D24D3C">
        <w:rPr>
          <w:rFonts w:ascii="Times New Roman" w:hAnsi="Times New Roman"/>
          <w:sz w:val="28"/>
          <w:szCs w:val="28"/>
          <w:lang w:val="en-GB"/>
        </w:rPr>
        <w:t xml:space="preserve"> These all requirements are accomplished in Nia's and Owen's case thus the psychiatric illness; that is stress disorder makes CPL liable for the tort of negligence as a primary victim while Owen is a secondary victim. The claim of damages for Owen is largely </w:t>
      </w:r>
      <w:r w:rsidRPr="00D24D3C">
        <w:rPr>
          <w:rFonts w:ascii="Times New Roman" w:hAnsi="Times New Roman"/>
          <w:sz w:val="28"/>
          <w:szCs w:val="28"/>
          <w:lang w:val="en-GB"/>
        </w:rPr>
        <w:lastRenderedPageBreak/>
        <w:t xml:space="preserve">restricted in comparison to that of Nia who was the primary victim meaning that Owen cannot claim more than or equal to Nia due to his position as a secondary victim. In, </w:t>
      </w:r>
      <w:r w:rsidRPr="00D24D3C">
        <w:rPr>
          <w:rFonts w:ascii="Times New Roman" w:hAnsi="Times New Roman"/>
          <w:i/>
          <w:sz w:val="28"/>
          <w:szCs w:val="28"/>
          <w:lang w:val="en-GB"/>
        </w:rPr>
        <w:t>McCloughlin v O’Brian</w:t>
      </w:r>
      <w:r w:rsidRPr="00D24D3C">
        <w:rPr>
          <w:rFonts w:ascii="Times New Roman" w:hAnsi="Times New Roman"/>
          <w:sz w:val="28"/>
          <w:szCs w:val="28"/>
          <w:lang w:val="en-GB"/>
        </w:rPr>
        <w:t xml:space="preserve"> (1983) the House of Lords decided that recovery of the claimant in such cases was not restricted to ones who have witnessed the event and who feared that they or a close person would suffer some kind of personal injuries (Baker, 2019). In </w:t>
      </w:r>
      <w:r w:rsidRPr="00D24D3C">
        <w:rPr>
          <w:rFonts w:ascii="Times New Roman" w:hAnsi="Times New Roman"/>
          <w:i/>
          <w:sz w:val="28"/>
          <w:szCs w:val="28"/>
          <w:lang w:val="en-GB"/>
        </w:rPr>
        <w:t xml:space="preserve">Chadwick v British Railways Board </w:t>
      </w:r>
      <w:r w:rsidRPr="00D24D3C">
        <w:rPr>
          <w:rFonts w:ascii="Times New Roman" w:hAnsi="Times New Roman"/>
          <w:sz w:val="28"/>
          <w:szCs w:val="28"/>
          <w:lang w:val="en-GB"/>
        </w:rPr>
        <w:t xml:space="preserve">([1967] 1 WLR 912), the duty of D was affirmed to the extent to ones who came upon the after-effects of an event, even if they do not directly view or hear the event through their unaided senses (Steele, 2010). This case confirms that Owen due suffered from depression issue because seeing his sister in the danger zone can claim damages in the light of the breach of duty of negligence from CPL. </w:t>
      </w:r>
    </w:p>
    <w:p w14:paraId="69936BE1" w14:textId="77777777" w:rsidR="00D24D3C" w:rsidRPr="00D24D3C" w:rsidRDefault="00D24D3C" w:rsidP="00D24D3C">
      <w:pPr>
        <w:pStyle w:val="Heading2"/>
        <w:spacing w:before="0" w:line="480" w:lineRule="auto"/>
        <w:jc w:val="both"/>
        <w:rPr>
          <w:rFonts w:ascii="Times New Roman" w:hAnsi="Times New Roman" w:cs="Times New Roman"/>
          <w:color w:val="auto"/>
          <w:sz w:val="28"/>
          <w:szCs w:val="28"/>
        </w:rPr>
      </w:pPr>
      <w:bookmarkStart w:id="9" w:name="_Toc89515352"/>
      <w:r w:rsidRPr="00D24D3C">
        <w:rPr>
          <w:rFonts w:ascii="Times New Roman" w:hAnsi="Times New Roman" w:cs="Times New Roman"/>
          <w:color w:val="auto"/>
          <w:sz w:val="28"/>
          <w:szCs w:val="28"/>
        </w:rPr>
        <w:t>Conclusion</w:t>
      </w:r>
      <w:bookmarkEnd w:id="9"/>
    </w:p>
    <w:p w14:paraId="579E7C6A" w14:textId="117A6599" w:rsidR="00D24D3C" w:rsidRDefault="00D24D3C" w:rsidP="00D24D3C">
      <w:pPr>
        <w:spacing w:after="0" w:line="480" w:lineRule="auto"/>
        <w:ind w:firstLine="720"/>
        <w:jc w:val="both"/>
        <w:rPr>
          <w:rFonts w:ascii="Times New Roman" w:hAnsi="Times New Roman"/>
          <w:sz w:val="28"/>
          <w:szCs w:val="28"/>
          <w:lang w:val="en-GB"/>
        </w:rPr>
      </w:pPr>
      <w:r w:rsidRPr="00D24D3C">
        <w:rPr>
          <w:rFonts w:ascii="Times New Roman" w:hAnsi="Times New Roman"/>
          <w:sz w:val="28"/>
          <w:szCs w:val="28"/>
          <w:lang w:val="en-GB"/>
        </w:rPr>
        <w:t xml:space="preserve">It is discovered that Nia and Owen both can claim damage for negligence due to which they developed stress and depression problems as post-traumatic effects. CPL is liable for settling damages suffered by Nia as well as Owen as per the evaluated case laws and doctrine of </w:t>
      </w:r>
      <w:r w:rsidRPr="00D24D3C">
        <w:rPr>
          <w:rFonts w:ascii="Times New Roman" w:hAnsi="Times New Roman"/>
          <w:i/>
          <w:sz w:val="28"/>
          <w:szCs w:val="28"/>
          <w:lang w:val="en-GB"/>
        </w:rPr>
        <w:t>res ipsa loquitur</w:t>
      </w:r>
      <w:r w:rsidRPr="00D24D3C">
        <w:rPr>
          <w:rFonts w:ascii="Times New Roman" w:hAnsi="Times New Roman"/>
          <w:sz w:val="28"/>
          <w:szCs w:val="28"/>
          <w:lang w:val="en-GB"/>
        </w:rPr>
        <w:t xml:space="preserve"> whereby the occupier neglected the duty of addressing dangers occurring because of the premises current state. Nia can claim for damages as a primary victim while the position of Owen as the defendant is the second victim who dealt with the fear of losing his close person and consequently got depressed. </w:t>
      </w:r>
    </w:p>
    <w:p w14:paraId="7C9500E9" w14:textId="77777777" w:rsidR="0023245C" w:rsidRPr="00D24D3C" w:rsidRDefault="0023245C" w:rsidP="00D24D3C">
      <w:pPr>
        <w:spacing w:after="0" w:line="480" w:lineRule="auto"/>
        <w:ind w:firstLine="720"/>
        <w:jc w:val="both"/>
        <w:rPr>
          <w:rFonts w:ascii="Times New Roman" w:hAnsi="Times New Roman"/>
          <w:sz w:val="28"/>
          <w:szCs w:val="28"/>
          <w:lang w:val="en-GB"/>
        </w:rPr>
      </w:pPr>
    </w:p>
    <w:p w14:paraId="7617DB00" w14:textId="77777777" w:rsidR="00D24D3C" w:rsidRPr="00D24D3C" w:rsidRDefault="00D24D3C" w:rsidP="00D24D3C">
      <w:pPr>
        <w:pStyle w:val="Heading1"/>
        <w:spacing w:before="0" w:line="480" w:lineRule="auto"/>
        <w:jc w:val="both"/>
        <w:rPr>
          <w:rFonts w:ascii="Times New Roman" w:hAnsi="Times New Roman" w:cs="Times New Roman"/>
          <w:color w:val="auto"/>
        </w:rPr>
      </w:pPr>
      <w:bookmarkStart w:id="10" w:name="_Toc89515353"/>
      <w:r w:rsidRPr="00D24D3C">
        <w:rPr>
          <w:rFonts w:ascii="Times New Roman" w:hAnsi="Times New Roman" w:cs="Times New Roman"/>
          <w:color w:val="auto"/>
        </w:rPr>
        <w:lastRenderedPageBreak/>
        <w:t>References</w:t>
      </w:r>
      <w:bookmarkEnd w:id="10"/>
    </w:p>
    <w:p w14:paraId="0C398FCE"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Baker, J.H. 2019. </w:t>
      </w:r>
      <w:r w:rsidRPr="00332AA8">
        <w:rPr>
          <w:rFonts w:ascii="Times New Roman" w:hAnsi="Times New Roman"/>
          <w:i/>
          <w:lang w:val="en-GB"/>
        </w:rPr>
        <w:t>An introduction to English legal history</w:t>
      </w:r>
      <w:r w:rsidRPr="00332AA8">
        <w:rPr>
          <w:rFonts w:ascii="Times New Roman" w:hAnsi="Times New Roman"/>
          <w:lang w:val="en-GB"/>
        </w:rPr>
        <w:t>. Oxford University Press.</w:t>
      </w:r>
    </w:p>
    <w:p w14:paraId="174E8E9B"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Bates, J. 2012. Pitch Perfect? The duty of organisers to provide safe playing surfaces. </w:t>
      </w:r>
      <w:r w:rsidRPr="00332AA8">
        <w:rPr>
          <w:rFonts w:ascii="Times New Roman" w:hAnsi="Times New Roman"/>
          <w:i/>
          <w:lang w:val="en-GB"/>
        </w:rPr>
        <w:t>Travel Law Quarterly</w:t>
      </w:r>
      <w:r w:rsidRPr="00332AA8">
        <w:rPr>
          <w:rFonts w:ascii="Times New Roman" w:hAnsi="Times New Roman"/>
          <w:lang w:val="en-GB"/>
        </w:rPr>
        <w:t xml:space="preserve"> 4(3).</w:t>
      </w:r>
    </w:p>
    <w:p w14:paraId="3BC18FB3"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Bermingham, V. and Brennan, C. 2012. </w:t>
      </w:r>
      <w:r w:rsidRPr="00332AA8">
        <w:rPr>
          <w:rFonts w:ascii="Times New Roman" w:hAnsi="Times New Roman"/>
          <w:i/>
          <w:lang w:val="en-GB"/>
        </w:rPr>
        <w:t>Tort Law Directions</w:t>
      </w:r>
      <w:r w:rsidRPr="00332AA8">
        <w:rPr>
          <w:rFonts w:ascii="Times New Roman" w:hAnsi="Times New Roman"/>
          <w:lang w:val="en-GB"/>
        </w:rPr>
        <w:t xml:space="preserve">. Oxford: Oxford University Press. </w:t>
      </w:r>
    </w:p>
    <w:p w14:paraId="0BB29322"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Brennan, C. 2019. </w:t>
      </w:r>
      <w:r w:rsidRPr="00332AA8">
        <w:rPr>
          <w:rFonts w:ascii="Times New Roman" w:hAnsi="Times New Roman"/>
          <w:i/>
          <w:lang w:val="en-GB"/>
        </w:rPr>
        <w:t>Law Revision and Study Guide</w:t>
      </w:r>
      <w:r w:rsidRPr="00332AA8">
        <w:rPr>
          <w:rFonts w:ascii="Times New Roman" w:hAnsi="Times New Roman"/>
          <w:lang w:val="en-GB"/>
        </w:rPr>
        <w:t xml:space="preserve">. Oxford University Press. </w:t>
      </w:r>
    </w:p>
    <w:p w14:paraId="5CC32F4E"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Dembour, M.B., Turner, J. and Barrow, C. 2020. When are occupiers in breach of their duty of care? The advantages of a systematic test. </w:t>
      </w:r>
      <w:r w:rsidRPr="00332AA8">
        <w:rPr>
          <w:rFonts w:ascii="Times New Roman" w:hAnsi="Times New Roman"/>
          <w:i/>
          <w:lang w:val="en-GB"/>
        </w:rPr>
        <w:t>Legal Studies</w:t>
      </w:r>
      <w:r w:rsidRPr="00332AA8">
        <w:rPr>
          <w:rFonts w:ascii="Times New Roman" w:hAnsi="Times New Roman"/>
          <w:lang w:val="en-GB"/>
        </w:rPr>
        <w:t xml:space="preserve"> 40(1), pp.95-112. </w:t>
      </w:r>
    </w:p>
    <w:p w14:paraId="46FAA6C4"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Ernst, W. 2014. </w:t>
      </w:r>
      <w:r w:rsidRPr="00332AA8">
        <w:rPr>
          <w:rFonts w:ascii="Times New Roman" w:hAnsi="Times New Roman"/>
          <w:i/>
          <w:lang w:val="en-GB"/>
        </w:rPr>
        <w:t>The development of traffic liability</w:t>
      </w:r>
      <w:r w:rsidRPr="00332AA8">
        <w:rPr>
          <w:rFonts w:ascii="Times New Roman" w:hAnsi="Times New Roman"/>
          <w:lang w:val="en-GB"/>
        </w:rPr>
        <w:t xml:space="preserve">. Cambridge University Press. </w:t>
      </w:r>
    </w:p>
    <w:p w14:paraId="18DC8878"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Finch, E. and Fafinski, S. 2018. </w:t>
      </w:r>
      <w:r w:rsidRPr="00332AA8">
        <w:rPr>
          <w:rFonts w:ascii="Times New Roman" w:hAnsi="Times New Roman"/>
          <w:i/>
          <w:lang w:val="en-GB"/>
        </w:rPr>
        <w:t>Law Express: Tort Law.</w:t>
      </w:r>
      <w:r w:rsidRPr="00332AA8">
        <w:rPr>
          <w:rFonts w:ascii="Times New Roman" w:hAnsi="Times New Roman"/>
          <w:lang w:val="en-GB"/>
        </w:rPr>
        <w:t xml:space="preserve"> London: Pearson.</w:t>
      </w:r>
    </w:p>
    <w:p w14:paraId="5F6C2036"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Greene, B. 2013. </w:t>
      </w:r>
      <w:r w:rsidRPr="00332AA8">
        <w:rPr>
          <w:rFonts w:ascii="Times New Roman" w:hAnsi="Times New Roman"/>
          <w:i/>
          <w:lang w:val="en-GB"/>
        </w:rPr>
        <w:t>Course Notes: Tort Law</w:t>
      </w:r>
      <w:r w:rsidRPr="00332AA8">
        <w:rPr>
          <w:rFonts w:ascii="Times New Roman" w:hAnsi="Times New Roman"/>
          <w:lang w:val="en-GB"/>
        </w:rPr>
        <w:t>. London: Routledge.</w:t>
      </w:r>
    </w:p>
    <w:p w14:paraId="521C8F6F"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Handford, P. and McGivern, B. 2015. Two problems of occupiers' liability: Part one-the occupiers' liability acts and the common law. </w:t>
      </w:r>
      <w:r w:rsidRPr="00332AA8">
        <w:rPr>
          <w:rFonts w:ascii="Times New Roman" w:hAnsi="Times New Roman"/>
          <w:i/>
          <w:lang w:val="en-GB"/>
        </w:rPr>
        <w:t>Melbourne University Law Review</w:t>
      </w:r>
      <w:r w:rsidRPr="00332AA8">
        <w:rPr>
          <w:rFonts w:ascii="Times New Roman" w:hAnsi="Times New Roman"/>
          <w:lang w:val="en-GB"/>
        </w:rPr>
        <w:t xml:space="preserve"> 39(1), pp.128-174.</w:t>
      </w:r>
    </w:p>
    <w:p w14:paraId="2CB76AAB"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Horsey, K. and Rackley, E. 2019. </w:t>
      </w:r>
      <w:r w:rsidRPr="00332AA8">
        <w:rPr>
          <w:rFonts w:ascii="Times New Roman" w:hAnsi="Times New Roman"/>
          <w:i/>
          <w:lang w:val="en-GB"/>
        </w:rPr>
        <w:t>Kidner's Casebook on Torts.</w:t>
      </w:r>
      <w:r w:rsidRPr="00332AA8">
        <w:rPr>
          <w:rFonts w:ascii="Times New Roman" w:hAnsi="Times New Roman"/>
          <w:lang w:val="en-GB"/>
        </w:rPr>
        <w:t xml:space="preserve"> Oxford University Press.</w:t>
      </w:r>
    </w:p>
    <w:p w14:paraId="1383F7B1" w14:textId="77777777" w:rsidR="00D24D3C"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Howarth, D., Matthews, M., Morgan, J., O'Sullivan, J. and Tofaris, S. 2016. </w:t>
      </w:r>
      <w:r w:rsidRPr="00332AA8">
        <w:rPr>
          <w:rFonts w:ascii="Times New Roman" w:hAnsi="Times New Roman"/>
          <w:i/>
          <w:lang w:val="en-GB"/>
        </w:rPr>
        <w:t>Hepple and Matthews' Tort Law: Cases and Materials.</w:t>
      </w:r>
      <w:r w:rsidRPr="00332AA8">
        <w:rPr>
          <w:rFonts w:ascii="Times New Roman" w:hAnsi="Times New Roman"/>
          <w:lang w:val="en-GB"/>
        </w:rPr>
        <w:t xml:space="preserve"> Bloomsbury Publishing. </w:t>
      </w:r>
    </w:p>
    <w:p w14:paraId="48C20569" w14:textId="77777777" w:rsidR="00D24D3C" w:rsidRPr="00332AA8" w:rsidRDefault="00D24D3C" w:rsidP="00D24D3C">
      <w:pPr>
        <w:spacing w:after="0" w:line="480" w:lineRule="auto"/>
        <w:ind w:left="720" w:hanging="720"/>
        <w:rPr>
          <w:rFonts w:ascii="Times New Roman" w:hAnsi="Times New Roman"/>
          <w:lang w:val="en-GB"/>
        </w:rPr>
      </w:pPr>
      <w:r>
        <w:rPr>
          <w:rFonts w:ascii="Times New Roman" w:hAnsi="Times New Roman"/>
          <w:lang w:val="en-GB"/>
        </w:rPr>
        <w:t xml:space="preserve">Kidner, R. </w:t>
      </w:r>
      <w:r w:rsidRPr="005C4799">
        <w:rPr>
          <w:rFonts w:ascii="Times New Roman" w:hAnsi="Times New Roman"/>
          <w:lang w:val="en-GB"/>
        </w:rPr>
        <w:t xml:space="preserve">2012. </w:t>
      </w:r>
      <w:r w:rsidRPr="005C4799">
        <w:rPr>
          <w:rFonts w:ascii="Times New Roman" w:hAnsi="Times New Roman"/>
          <w:i/>
          <w:lang w:val="en-GB"/>
        </w:rPr>
        <w:t>Casebook on torts</w:t>
      </w:r>
      <w:r w:rsidRPr="005C4799">
        <w:rPr>
          <w:rFonts w:ascii="Times New Roman" w:hAnsi="Times New Roman"/>
          <w:lang w:val="en-GB"/>
        </w:rPr>
        <w:t>. Oxford University Press.</w:t>
      </w:r>
    </w:p>
    <w:p w14:paraId="56566B41"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Montague, J. 2013. </w:t>
      </w:r>
      <w:r w:rsidRPr="00332AA8">
        <w:rPr>
          <w:rFonts w:ascii="Times New Roman" w:hAnsi="Times New Roman"/>
          <w:i/>
          <w:lang w:val="en-GB"/>
        </w:rPr>
        <w:t>Q&amp;A Torts 2013-2014</w:t>
      </w:r>
      <w:r w:rsidRPr="00332AA8">
        <w:rPr>
          <w:rFonts w:ascii="Times New Roman" w:hAnsi="Times New Roman"/>
          <w:lang w:val="en-GB"/>
        </w:rPr>
        <w:t xml:space="preserve">. London: Routledge. </w:t>
      </w:r>
    </w:p>
    <w:p w14:paraId="4C5D7BD9"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Mulheron, R. 2016. </w:t>
      </w:r>
      <w:r w:rsidRPr="00332AA8">
        <w:rPr>
          <w:rFonts w:ascii="Times New Roman" w:hAnsi="Times New Roman"/>
          <w:i/>
          <w:lang w:val="en-GB"/>
        </w:rPr>
        <w:t xml:space="preserve">Principles of tort law. </w:t>
      </w:r>
      <w:r w:rsidRPr="00332AA8">
        <w:rPr>
          <w:rFonts w:ascii="Times New Roman" w:hAnsi="Times New Roman"/>
          <w:lang w:val="en-GB"/>
        </w:rPr>
        <w:t xml:space="preserve">Cambridge University Press. </w:t>
      </w:r>
    </w:p>
    <w:p w14:paraId="39650880"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Oliphant, K., Pitel, S.G.A., Neyers, J.W. and Chamberlain, E. 2013. Against Certainty in Tort Law. </w:t>
      </w:r>
      <w:r w:rsidRPr="00332AA8">
        <w:rPr>
          <w:rFonts w:ascii="Times New Roman" w:hAnsi="Times New Roman"/>
          <w:i/>
          <w:lang w:val="en-GB"/>
        </w:rPr>
        <w:t>Tort Law: Challenging Orthodoxy Hart Publishing, Oxford</w:t>
      </w:r>
      <w:r w:rsidRPr="00332AA8">
        <w:rPr>
          <w:rFonts w:ascii="Times New Roman" w:hAnsi="Times New Roman"/>
          <w:lang w:val="en-GB"/>
        </w:rPr>
        <w:t>, pp.1-18.</w:t>
      </w:r>
    </w:p>
    <w:p w14:paraId="7403FA14"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Patten, K. 2020. Negligence liability and the taking of obvious risks [Case commentary on Wells v Full Moon Events]. </w:t>
      </w:r>
      <w:r w:rsidRPr="00332AA8">
        <w:rPr>
          <w:rFonts w:ascii="Times New Roman" w:hAnsi="Times New Roman"/>
          <w:i/>
          <w:lang w:val="en-GB"/>
        </w:rPr>
        <w:t>Journal of Professional Negligence</w:t>
      </w:r>
      <w:r w:rsidRPr="00332AA8">
        <w:rPr>
          <w:rFonts w:ascii="Times New Roman" w:hAnsi="Times New Roman"/>
          <w:lang w:val="en-GB"/>
        </w:rPr>
        <w:t>, pp.1-6.</w:t>
      </w:r>
    </w:p>
    <w:p w14:paraId="579DBA77"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Pawlowski, M. 2019. Landlord's liability as occupier to trespassers</w:t>
      </w:r>
      <w:r w:rsidRPr="00332AA8">
        <w:rPr>
          <w:rFonts w:ascii="Times New Roman" w:hAnsi="Times New Roman"/>
          <w:i/>
          <w:lang w:val="en-GB"/>
        </w:rPr>
        <w:t>. Landlord and Tenant Review</w:t>
      </w:r>
      <w:r w:rsidRPr="00332AA8">
        <w:rPr>
          <w:rFonts w:ascii="Times New Roman" w:hAnsi="Times New Roman"/>
          <w:lang w:val="en-GB"/>
        </w:rPr>
        <w:t xml:space="preserve"> 23(5), pp.174-178.</w:t>
      </w:r>
    </w:p>
    <w:p w14:paraId="590741F8" w14:textId="77777777" w:rsidR="00D24D3C" w:rsidRPr="00332AA8"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lastRenderedPageBreak/>
        <w:t xml:space="preserve">Pearce, D. 2019. Mental Impairment and the Objective Approach in Negligence: Spearman v Royal United Bath Hospitals. </w:t>
      </w:r>
      <w:r w:rsidRPr="00332AA8">
        <w:rPr>
          <w:rFonts w:ascii="Times New Roman" w:hAnsi="Times New Roman"/>
          <w:i/>
          <w:lang w:val="en-GB"/>
        </w:rPr>
        <w:t>Tort Law Review</w:t>
      </w:r>
      <w:r w:rsidRPr="00332AA8">
        <w:rPr>
          <w:rFonts w:ascii="Times New Roman" w:hAnsi="Times New Roman"/>
          <w:lang w:val="en-GB"/>
        </w:rPr>
        <w:t xml:space="preserve"> 26(2), pp.57-59.</w:t>
      </w:r>
    </w:p>
    <w:p w14:paraId="067A9FAA" w14:textId="77777777" w:rsidR="00D24D3C" w:rsidRDefault="00D24D3C" w:rsidP="00D24D3C">
      <w:pPr>
        <w:spacing w:after="0" w:line="480" w:lineRule="auto"/>
        <w:ind w:left="720" w:hanging="720"/>
        <w:rPr>
          <w:rFonts w:ascii="Times New Roman" w:hAnsi="Times New Roman"/>
          <w:lang w:val="en-GB"/>
        </w:rPr>
      </w:pPr>
      <w:r w:rsidRPr="00332AA8">
        <w:rPr>
          <w:rFonts w:ascii="Times New Roman" w:hAnsi="Times New Roman"/>
          <w:lang w:val="en-GB"/>
        </w:rPr>
        <w:t xml:space="preserve">Steele, J. 2010. </w:t>
      </w:r>
      <w:r w:rsidRPr="00332AA8">
        <w:rPr>
          <w:rFonts w:ascii="Times New Roman" w:hAnsi="Times New Roman"/>
          <w:i/>
          <w:lang w:val="en-GB"/>
        </w:rPr>
        <w:t>Tort Law: Text, cases, and materials.</w:t>
      </w:r>
      <w:r w:rsidRPr="00332AA8">
        <w:rPr>
          <w:rFonts w:ascii="Times New Roman" w:hAnsi="Times New Roman"/>
          <w:lang w:val="en-GB"/>
        </w:rPr>
        <w:t xml:space="preserve"> Oxford University Press.</w:t>
      </w:r>
    </w:p>
    <w:p w14:paraId="4646E08A" w14:textId="2D5EB1B1" w:rsidR="00C7696A" w:rsidRDefault="00D24D3C" w:rsidP="00761981">
      <w:pPr>
        <w:spacing w:after="0" w:line="480" w:lineRule="auto"/>
        <w:ind w:left="720" w:hanging="720"/>
        <w:rPr>
          <w:rFonts w:ascii="Times New Roman" w:hAnsi="Times New Roman"/>
          <w:lang w:val="en-GB"/>
        </w:rPr>
      </w:pPr>
      <w:r w:rsidRPr="00332AA8">
        <w:rPr>
          <w:rFonts w:ascii="Times New Roman" w:hAnsi="Times New Roman"/>
          <w:lang w:val="en-GB"/>
        </w:rPr>
        <w:t xml:space="preserve">Stephenson, G. 2012. </w:t>
      </w:r>
      <w:r w:rsidRPr="00332AA8">
        <w:rPr>
          <w:rFonts w:ascii="Times New Roman" w:hAnsi="Times New Roman"/>
          <w:i/>
          <w:lang w:val="en-GB"/>
        </w:rPr>
        <w:t>Sourcebook on Tort Law</w:t>
      </w:r>
      <w:r w:rsidRPr="00332AA8">
        <w:rPr>
          <w:rFonts w:ascii="Times New Roman" w:hAnsi="Times New Roman"/>
          <w:lang w:val="en-GB"/>
        </w:rPr>
        <w:t>. Routledge.</w:t>
      </w:r>
    </w:p>
    <w:p w14:paraId="24D39C82" w14:textId="6527EC75" w:rsidR="00761981" w:rsidRDefault="00761981" w:rsidP="00761981">
      <w:pPr>
        <w:spacing w:after="0" w:line="480" w:lineRule="auto"/>
        <w:ind w:left="720" w:hanging="720"/>
        <w:rPr>
          <w:rFonts w:ascii="Times New Roman" w:hAnsi="Times New Roman"/>
          <w:lang w:val="en-GB"/>
        </w:rPr>
      </w:pPr>
    </w:p>
    <w:p w14:paraId="47A73E69" w14:textId="76123049" w:rsidR="00761981" w:rsidRDefault="00761981" w:rsidP="00761981">
      <w:pPr>
        <w:spacing w:after="0" w:line="480" w:lineRule="auto"/>
        <w:ind w:left="720" w:hanging="720"/>
        <w:rPr>
          <w:rFonts w:ascii="Times New Roman" w:hAnsi="Times New Roman"/>
          <w:lang w:val="en-GB"/>
        </w:rPr>
      </w:pPr>
    </w:p>
    <w:p w14:paraId="5E69F252" w14:textId="77777777" w:rsidR="00761981" w:rsidRDefault="00761981" w:rsidP="00761981">
      <w:pPr>
        <w:spacing w:after="0" w:line="480" w:lineRule="auto"/>
        <w:ind w:left="720" w:hanging="720"/>
        <w:rPr>
          <w:rFonts w:ascii="Times New Roman" w:eastAsia="Calibri" w:hAnsi="Times New Roman"/>
          <w:b/>
          <w:i/>
          <w:lang w:val="en-GB" w:bidi="hi-IN"/>
        </w:rPr>
      </w:pPr>
      <w:r>
        <w:rPr>
          <w:rFonts w:ascii="Times New Roman" w:eastAsia="Calibri" w:hAnsi="Times New Roman"/>
          <w:b/>
          <w:i/>
          <w:lang w:val="en-GB" w:bidi="hi-IN"/>
        </w:rPr>
        <w:t xml:space="preserve">List of Case Laws </w:t>
      </w:r>
    </w:p>
    <w:p w14:paraId="21821127" w14:textId="77777777" w:rsidR="00761981" w:rsidRPr="00592996" w:rsidRDefault="00761981" w:rsidP="00761981">
      <w:pPr>
        <w:spacing w:after="0" w:line="480" w:lineRule="auto"/>
        <w:rPr>
          <w:rFonts w:ascii="Times New Roman" w:hAnsi="Times New Roman"/>
          <w:bCs/>
          <w:i/>
          <w:iCs/>
        </w:rPr>
      </w:pPr>
      <w:r w:rsidRPr="00592996">
        <w:rPr>
          <w:rFonts w:ascii="Times New Roman" w:hAnsi="Times New Roman"/>
          <w:i/>
          <w:lang w:val="en-GB"/>
        </w:rPr>
        <w:t>Wheat v. E Lacon &amp; Co. Ltd</w:t>
      </w:r>
      <w:r w:rsidRPr="00592996">
        <w:rPr>
          <w:rFonts w:ascii="Times New Roman" w:hAnsi="Times New Roman"/>
          <w:lang w:val="en-GB"/>
        </w:rPr>
        <w:t xml:space="preserve"> (1966)</w:t>
      </w:r>
      <w:r w:rsidRPr="00592996">
        <w:rPr>
          <w:rFonts w:ascii="Times New Roman" w:hAnsi="Times New Roman"/>
          <w:bCs/>
          <w:i/>
          <w:iCs/>
        </w:rPr>
        <w:t xml:space="preserve"> </w:t>
      </w:r>
    </w:p>
    <w:p w14:paraId="15D8C516" w14:textId="77777777" w:rsidR="00761981" w:rsidRDefault="00761981" w:rsidP="00761981">
      <w:pPr>
        <w:spacing w:after="0" w:line="480" w:lineRule="auto"/>
        <w:rPr>
          <w:rFonts w:ascii="Times New Roman" w:hAnsi="Times New Roman"/>
          <w:bCs/>
          <w:i/>
        </w:rPr>
      </w:pPr>
      <w:r w:rsidRPr="00592996">
        <w:rPr>
          <w:rFonts w:ascii="Times New Roman" w:hAnsi="Times New Roman"/>
          <w:i/>
          <w:lang w:val="en-GB"/>
        </w:rPr>
        <w:t>Tomlinson v Congleton Borough Council [2003]</w:t>
      </w:r>
      <w:r w:rsidRPr="00592996">
        <w:rPr>
          <w:rFonts w:ascii="Times New Roman" w:hAnsi="Times New Roman"/>
          <w:bCs/>
          <w:i/>
        </w:rPr>
        <w:t>.</w:t>
      </w:r>
    </w:p>
    <w:p w14:paraId="380D8E25" w14:textId="77777777" w:rsidR="00761981" w:rsidRDefault="00761981" w:rsidP="00761981">
      <w:pPr>
        <w:spacing w:after="0" w:line="480" w:lineRule="auto"/>
        <w:rPr>
          <w:rFonts w:ascii="Times New Roman" w:hAnsi="Times New Roman"/>
          <w:lang w:val="en-GB"/>
        </w:rPr>
      </w:pPr>
      <w:r w:rsidRPr="007F7AA3">
        <w:rPr>
          <w:rFonts w:ascii="Times New Roman" w:hAnsi="Times New Roman"/>
          <w:i/>
          <w:lang w:val="en-GB"/>
        </w:rPr>
        <w:t>Ward v Tesco Stores</w:t>
      </w:r>
      <w:r w:rsidRPr="007F7AA3">
        <w:rPr>
          <w:rFonts w:ascii="Times New Roman" w:hAnsi="Times New Roman"/>
          <w:lang w:val="en-GB"/>
        </w:rPr>
        <w:t xml:space="preserve"> (1976)</w:t>
      </w:r>
    </w:p>
    <w:p w14:paraId="7B130145" w14:textId="77777777" w:rsidR="00761981" w:rsidRDefault="00761981" w:rsidP="00761981">
      <w:pPr>
        <w:spacing w:after="0" w:line="480" w:lineRule="auto"/>
        <w:rPr>
          <w:rFonts w:ascii="Times New Roman" w:hAnsi="Times New Roman"/>
          <w:i/>
          <w:lang w:val="en-GB"/>
        </w:rPr>
      </w:pPr>
      <w:r w:rsidRPr="007F7AA3">
        <w:rPr>
          <w:rFonts w:ascii="Times New Roman" w:hAnsi="Times New Roman"/>
          <w:i/>
          <w:lang w:val="en-GB"/>
        </w:rPr>
        <w:t>Page v Smith (1996)</w:t>
      </w:r>
    </w:p>
    <w:p w14:paraId="2324C07C" w14:textId="77777777" w:rsidR="00761981" w:rsidRDefault="00761981" w:rsidP="00761981">
      <w:pPr>
        <w:spacing w:after="0" w:line="480" w:lineRule="auto"/>
        <w:rPr>
          <w:rFonts w:ascii="Times New Roman" w:hAnsi="Times New Roman"/>
          <w:lang w:val="en-GB"/>
        </w:rPr>
      </w:pPr>
      <w:r w:rsidRPr="007F7AA3">
        <w:rPr>
          <w:rFonts w:ascii="Times New Roman" w:hAnsi="Times New Roman"/>
          <w:i/>
          <w:lang w:val="en-GB"/>
        </w:rPr>
        <w:t>McCloughlin v O’Brian</w:t>
      </w:r>
      <w:r w:rsidRPr="007F7AA3">
        <w:rPr>
          <w:rFonts w:ascii="Times New Roman" w:hAnsi="Times New Roman"/>
          <w:lang w:val="en-GB"/>
        </w:rPr>
        <w:t xml:space="preserve"> (1983)</w:t>
      </w:r>
    </w:p>
    <w:p w14:paraId="53F917CF" w14:textId="77777777" w:rsidR="00761981" w:rsidRPr="00B90362" w:rsidRDefault="00761981" w:rsidP="00761981">
      <w:pPr>
        <w:spacing w:after="0" w:line="480" w:lineRule="auto"/>
        <w:rPr>
          <w:rFonts w:ascii="Times New Roman" w:hAnsi="Times New Roman"/>
          <w:bCs/>
          <w:i/>
        </w:rPr>
      </w:pPr>
      <w:r w:rsidRPr="008774A0">
        <w:rPr>
          <w:rFonts w:ascii="Times New Roman" w:hAnsi="Times New Roman"/>
          <w:i/>
          <w:lang w:val="en-GB"/>
        </w:rPr>
        <w:t xml:space="preserve">Chadwick v British Railways Board </w:t>
      </w:r>
      <w:r w:rsidRPr="008774A0">
        <w:rPr>
          <w:rFonts w:ascii="Times New Roman" w:hAnsi="Times New Roman"/>
          <w:lang w:val="en-GB"/>
        </w:rPr>
        <w:t>([1967] 1 WLR 912),</w:t>
      </w:r>
    </w:p>
    <w:p w14:paraId="161333F9" w14:textId="77777777" w:rsidR="00761981" w:rsidRPr="00B90362" w:rsidRDefault="00761981" w:rsidP="00761981">
      <w:pPr>
        <w:rPr>
          <w:rFonts w:ascii="Times New Roman" w:hAnsi="Times New Roman"/>
          <w:bCs/>
          <w:i/>
          <w:iCs/>
        </w:rPr>
      </w:pPr>
      <w:r w:rsidRPr="00B90362">
        <w:rPr>
          <w:rFonts w:ascii="Times New Roman" w:hAnsi="Times New Roman"/>
          <w:bCs/>
          <w:i/>
          <w:iCs/>
        </w:rPr>
        <w:t xml:space="preserve">Alcock v CC South Yorkshire (1992) </w:t>
      </w:r>
    </w:p>
    <w:p w14:paraId="32D3612C" w14:textId="77777777" w:rsidR="00761981" w:rsidRPr="00761981" w:rsidRDefault="00761981" w:rsidP="00761981">
      <w:pPr>
        <w:spacing w:after="0" w:line="480" w:lineRule="auto"/>
        <w:ind w:left="720" w:hanging="720"/>
        <w:rPr>
          <w:rFonts w:ascii="Times New Roman" w:hAnsi="Times New Roman"/>
          <w:lang w:val="en-GB"/>
        </w:rPr>
      </w:pPr>
    </w:p>
    <w:sectPr w:rsidR="00761981" w:rsidRPr="00761981" w:rsidSect="00C42F45">
      <w:headerReference w:type="default" r:id="rId10"/>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BBA331" w14:textId="77777777" w:rsidR="0086131B" w:rsidRDefault="0086131B" w:rsidP="00DB01DD">
      <w:pPr>
        <w:spacing w:after="0" w:line="240" w:lineRule="auto"/>
      </w:pPr>
      <w:r>
        <w:separator/>
      </w:r>
    </w:p>
  </w:endnote>
  <w:endnote w:type="continuationSeparator" w:id="0">
    <w:p w14:paraId="7F62E4A8" w14:textId="77777777" w:rsidR="0086131B" w:rsidRDefault="0086131B" w:rsidP="00DB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3"/>
    </w:tblGrid>
    <w:tr w:rsidR="009B6E64" w14:paraId="2F47DC72" w14:textId="77777777">
      <w:trPr>
        <w:trHeight w:hRule="exact" w:val="115"/>
        <w:jc w:val="center"/>
      </w:trPr>
      <w:tc>
        <w:tcPr>
          <w:tcW w:w="4686" w:type="dxa"/>
          <w:shd w:val="clear" w:color="auto" w:fill="4472C4" w:themeFill="accent1"/>
          <w:tcMar>
            <w:top w:w="0" w:type="dxa"/>
            <w:bottom w:w="0" w:type="dxa"/>
          </w:tcMar>
        </w:tcPr>
        <w:p w14:paraId="7CF79616" w14:textId="77777777" w:rsidR="009B6E64" w:rsidRDefault="009B6E64">
          <w:pPr>
            <w:pStyle w:val="Header"/>
            <w:rPr>
              <w:caps/>
              <w:sz w:val="18"/>
            </w:rPr>
          </w:pPr>
        </w:p>
      </w:tc>
      <w:tc>
        <w:tcPr>
          <w:tcW w:w="4674" w:type="dxa"/>
          <w:shd w:val="clear" w:color="auto" w:fill="4472C4" w:themeFill="accent1"/>
          <w:tcMar>
            <w:top w:w="0" w:type="dxa"/>
            <w:bottom w:w="0" w:type="dxa"/>
          </w:tcMar>
        </w:tcPr>
        <w:p w14:paraId="4145D6A2" w14:textId="77777777" w:rsidR="009B6E64" w:rsidRDefault="009B6E64">
          <w:pPr>
            <w:pStyle w:val="Header"/>
            <w:jc w:val="right"/>
            <w:rPr>
              <w:caps/>
              <w:sz w:val="18"/>
            </w:rPr>
          </w:pPr>
        </w:p>
      </w:tc>
    </w:tr>
    <w:tr w:rsidR="009B6E64" w14:paraId="5D80770C" w14:textId="77777777">
      <w:trPr>
        <w:jc w:val="center"/>
      </w:trPr>
      <w:tc>
        <w:tcPr>
          <w:tcW w:w="4686" w:type="dxa"/>
          <w:shd w:val="clear" w:color="auto" w:fill="auto"/>
          <w:vAlign w:val="center"/>
        </w:tcPr>
        <w:p w14:paraId="72E0C1DA" w14:textId="19389E46" w:rsidR="009B6E64" w:rsidRDefault="009B6E64">
          <w:pPr>
            <w:pStyle w:val="Footer"/>
            <w:rPr>
              <w:caps/>
              <w:color w:val="808080" w:themeColor="background1" w:themeShade="80"/>
              <w:sz w:val="18"/>
              <w:szCs w:val="18"/>
            </w:rPr>
          </w:pPr>
        </w:p>
      </w:tc>
      <w:tc>
        <w:tcPr>
          <w:tcW w:w="4674" w:type="dxa"/>
          <w:shd w:val="clear" w:color="auto" w:fill="auto"/>
          <w:vAlign w:val="center"/>
        </w:tcPr>
        <w:p w14:paraId="3379AA21" w14:textId="77777777" w:rsidR="009B6E64" w:rsidRDefault="009B6E64">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A05EDCF" w14:textId="77777777" w:rsidR="009B6E64" w:rsidRDefault="009B6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F10C1" w14:textId="77777777" w:rsidR="0086131B" w:rsidRDefault="0086131B" w:rsidP="00DB01DD">
      <w:pPr>
        <w:spacing w:after="0" w:line="240" w:lineRule="auto"/>
      </w:pPr>
      <w:r>
        <w:separator/>
      </w:r>
    </w:p>
  </w:footnote>
  <w:footnote w:type="continuationSeparator" w:id="0">
    <w:p w14:paraId="19E9DA47" w14:textId="77777777" w:rsidR="0086131B" w:rsidRDefault="0086131B" w:rsidP="00DB01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5BE1A" w14:textId="11C432B1" w:rsidR="00273072" w:rsidRDefault="00273072">
    <w:pPr>
      <w:pStyle w:val="Header"/>
    </w:pPr>
  </w:p>
  <w:p w14:paraId="2ED9662D" w14:textId="653196D3" w:rsidR="00273072" w:rsidRDefault="00273072">
    <w:pPr>
      <w:pStyle w:val="Header"/>
    </w:pPr>
  </w:p>
  <w:p w14:paraId="3A740B9F" w14:textId="77777777" w:rsidR="00273072" w:rsidRDefault="002730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C70B3"/>
    <w:multiLevelType w:val="hybridMultilevel"/>
    <w:tmpl w:val="A5E82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16324B"/>
    <w:multiLevelType w:val="hybridMultilevel"/>
    <w:tmpl w:val="A44A49AC"/>
    <w:lvl w:ilvl="0" w:tplc="CEBA5E78">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583"/>
    <w:rsid w:val="00012006"/>
    <w:rsid w:val="00013B12"/>
    <w:rsid w:val="00022486"/>
    <w:rsid w:val="0002491D"/>
    <w:rsid w:val="00027D21"/>
    <w:rsid w:val="00031A0F"/>
    <w:rsid w:val="000430CA"/>
    <w:rsid w:val="0004769A"/>
    <w:rsid w:val="0005190E"/>
    <w:rsid w:val="000528DD"/>
    <w:rsid w:val="00064CE4"/>
    <w:rsid w:val="000778BB"/>
    <w:rsid w:val="00083161"/>
    <w:rsid w:val="00083FAB"/>
    <w:rsid w:val="00084688"/>
    <w:rsid w:val="0008560B"/>
    <w:rsid w:val="000916A7"/>
    <w:rsid w:val="00093034"/>
    <w:rsid w:val="000A2FF0"/>
    <w:rsid w:val="000C3DB2"/>
    <w:rsid w:val="000C7C7D"/>
    <w:rsid w:val="000D16B0"/>
    <w:rsid w:val="000D3EB0"/>
    <w:rsid w:val="000D535E"/>
    <w:rsid w:val="000E2E1F"/>
    <w:rsid w:val="000E6BD1"/>
    <w:rsid w:val="000F0379"/>
    <w:rsid w:val="00111452"/>
    <w:rsid w:val="00134479"/>
    <w:rsid w:val="00135CE4"/>
    <w:rsid w:val="001370F8"/>
    <w:rsid w:val="00140E1D"/>
    <w:rsid w:val="00144C76"/>
    <w:rsid w:val="00152884"/>
    <w:rsid w:val="001700EC"/>
    <w:rsid w:val="00170671"/>
    <w:rsid w:val="00172EC1"/>
    <w:rsid w:val="001769CD"/>
    <w:rsid w:val="001812B8"/>
    <w:rsid w:val="00181629"/>
    <w:rsid w:val="0018522C"/>
    <w:rsid w:val="001B04D4"/>
    <w:rsid w:val="001B3200"/>
    <w:rsid w:val="001B39A8"/>
    <w:rsid w:val="001C7DA4"/>
    <w:rsid w:val="001D69F0"/>
    <w:rsid w:val="001E5747"/>
    <w:rsid w:val="001F4404"/>
    <w:rsid w:val="001F6F81"/>
    <w:rsid w:val="002164C8"/>
    <w:rsid w:val="00222017"/>
    <w:rsid w:val="00227F68"/>
    <w:rsid w:val="002316B8"/>
    <w:rsid w:val="0023245C"/>
    <w:rsid w:val="002333FA"/>
    <w:rsid w:val="00233D2E"/>
    <w:rsid w:val="00233F97"/>
    <w:rsid w:val="00262544"/>
    <w:rsid w:val="00273072"/>
    <w:rsid w:val="00283F9E"/>
    <w:rsid w:val="00290474"/>
    <w:rsid w:val="0029713F"/>
    <w:rsid w:val="002A0FA0"/>
    <w:rsid w:val="002A5FBB"/>
    <w:rsid w:val="002B1F8F"/>
    <w:rsid w:val="002D7A25"/>
    <w:rsid w:val="002E00EA"/>
    <w:rsid w:val="002E5751"/>
    <w:rsid w:val="002F1DEB"/>
    <w:rsid w:val="002F23A5"/>
    <w:rsid w:val="002F30D7"/>
    <w:rsid w:val="002F3932"/>
    <w:rsid w:val="00317001"/>
    <w:rsid w:val="00337937"/>
    <w:rsid w:val="00340E35"/>
    <w:rsid w:val="00344D81"/>
    <w:rsid w:val="00354C42"/>
    <w:rsid w:val="00357783"/>
    <w:rsid w:val="00376B72"/>
    <w:rsid w:val="0038159D"/>
    <w:rsid w:val="00386449"/>
    <w:rsid w:val="003874B8"/>
    <w:rsid w:val="003959FD"/>
    <w:rsid w:val="003A05EC"/>
    <w:rsid w:val="003A22A4"/>
    <w:rsid w:val="003A5F51"/>
    <w:rsid w:val="003A6D1E"/>
    <w:rsid w:val="003B1303"/>
    <w:rsid w:val="003C2366"/>
    <w:rsid w:val="003D20D9"/>
    <w:rsid w:val="003D4A7A"/>
    <w:rsid w:val="003E2221"/>
    <w:rsid w:val="003E2B7B"/>
    <w:rsid w:val="003F3263"/>
    <w:rsid w:val="004069BB"/>
    <w:rsid w:val="00422FEB"/>
    <w:rsid w:val="004310D7"/>
    <w:rsid w:val="00433B4C"/>
    <w:rsid w:val="0044098F"/>
    <w:rsid w:val="00441A63"/>
    <w:rsid w:val="0044290D"/>
    <w:rsid w:val="00457FC2"/>
    <w:rsid w:val="00474757"/>
    <w:rsid w:val="004764D2"/>
    <w:rsid w:val="00482CCC"/>
    <w:rsid w:val="00494D1B"/>
    <w:rsid w:val="004A72F6"/>
    <w:rsid w:val="004B1DDE"/>
    <w:rsid w:val="004B21FD"/>
    <w:rsid w:val="004C79BA"/>
    <w:rsid w:val="004D35E1"/>
    <w:rsid w:val="004F0757"/>
    <w:rsid w:val="004F50FD"/>
    <w:rsid w:val="00507B96"/>
    <w:rsid w:val="00514B9F"/>
    <w:rsid w:val="00514E9E"/>
    <w:rsid w:val="005222F4"/>
    <w:rsid w:val="00540D2F"/>
    <w:rsid w:val="00566FB6"/>
    <w:rsid w:val="00572980"/>
    <w:rsid w:val="0059198C"/>
    <w:rsid w:val="00592996"/>
    <w:rsid w:val="005A218F"/>
    <w:rsid w:val="005A3A55"/>
    <w:rsid w:val="005B2D0E"/>
    <w:rsid w:val="005B4473"/>
    <w:rsid w:val="005D3DCB"/>
    <w:rsid w:val="005D52D2"/>
    <w:rsid w:val="005E4253"/>
    <w:rsid w:val="006028E6"/>
    <w:rsid w:val="00630C99"/>
    <w:rsid w:val="00636E0A"/>
    <w:rsid w:val="00640EF0"/>
    <w:rsid w:val="0064333B"/>
    <w:rsid w:val="006442D2"/>
    <w:rsid w:val="00660D1B"/>
    <w:rsid w:val="006712BC"/>
    <w:rsid w:val="00677BB4"/>
    <w:rsid w:val="00677F43"/>
    <w:rsid w:val="006851C8"/>
    <w:rsid w:val="00687A8E"/>
    <w:rsid w:val="00692CCC"/>
    <w:rsid w:val="0069401F"/>
    <w:rsid w:val="006A384E"/>
    <w:rsid w:val="006A44D8"/>
    <w:rsid w:val="006C6F7D"/>
    <w:rsid w:val="006C7347"/>
    <w:rsid w:val="006E2178"/>
    <w:rsid w:val="00712757"/>
    <w:rsid w:val="007417C5"/>
    <w:rsid w:val="007514FF"/>
    <w:rsid w:val="00761981"/>
    <w:rsid w:val="0076285F"/>
    <w:rsid w:val="00774DB2"/>
    <w:rsid w:val="00774F34"/>
    <w:rsid w:val="0077556E"/>
    <w:rsid w:val="00785E6A"/>
    <w:rsid w:val="00795AC8"/>
    <w:rsid w:val="00797402"/>
    <w:rsid w:val="007B2C54"/>
    <w:rsid w:val="007B7AE7"/>
    <w:rsid w:val="007D7E7F"/>
    <w:rsid w:val="007E44F6"/>
    <w:rsid w:val="007E5D62"/>
    <w:rsid w:val="007F0677"/>
    <w:rsid w:val="007F0E65"/>
    <w:rsid w:val="007F286D"/>
    <w:rsid w:val="007F7AA3"/>
    <w:rsid w:val="00805885"/>
    <w:rsid w:val="00821867"/>
    <w:rsid w:val="008329E0"/>
    <w:rsid w:val="00835A6A"/>
    <w:rsid w:val="00844DF0"/>
    <w:rsid w:val="008457F8"/>
    <w:rsid w:val="008527E0"/>
    <w:rsid w:val="00853F19"/>
    <w:rsid w:val="0085727B"/>
    <w:rsid w:val="0086131B"/>
    <w:rsid w:val="0086637C"/>
    <w:rsid w:val="00867B96"/>
    <w:rsid w:val="008716CE"/>
    <w:rsid w:val="00874AAA"/>
    <w:rsid w:val="00875D11"/>
    <w:rsid w:val="008774A0"/>
    <w:rsid w:val="008968C0"/>
    <w:rsid w:val="008A352F"/>
    <w:rsid w:val="008A6B7F"/>
    <w:rsid w:val="008B3C24"/>
    <w:rsid w:val="008D7EE4"/>
    <w:rsid w:val="008E0664"/>
    <w:rsid w:val="008F571C"/>
    <w:rsid w:val="008F5CB7"/>
    <w:rsid w:val="00903B6B"/>
    <w:rsid w:val="00906362"/>
    <w:rsid w:val="00936BDD"/>
    <w:rsid w:val="00937642"/>
    <w:rsid w:val="009837BF"/>
    <w:rsid w:val="009A7ABE"/>
    <w:rsid w:val="009B6BB9"/>
    <w:rsid w:val="009B6E64"/>
    <w:rsid w:val="009B6F56"/>
    <w:rsid w:val="009F2442"/>
    <w:rsid w:val="00A02A47"/>
    <w:rsid w:val="00A12942"/>
    <w:rsid w:val="00A14BAC"/>
    <w:rsid w:val="00A2136F"/>
    <w:rsid w:val="00A263DC"/>
    <w:rsid w:val="00A26BAE"/>
    <w:rsid w:val="00A364ED"/>
    <w:rsid w:val="00A4166C"/>
    <w:rsid w:val="00A426D8"/>
    <w:rsid w:val="00A46C17"/>
    <w:rsid w:val="00A46F9E"/>
    <w:rsid w:val="00A5080F"/>
    <w:rsid w:val="00A53227"/>
    <w:rsid w:val="00A61245"/>
    <w:rsid w:val="00A64075"/>
    <w:rsid w:val="00A67040"/>
    <w:rsid w:val="00A67DB2"/>
    <w:rsid w:val="00A75668"/>
    <w:rsid w:val="00A769A0"/>
    <w:rsid w:val="00A91043"/>
    <w:rsid w:val="00A935F0"/>
    <w:rsid w:val="00A96739"/>
    <w:rsid w:val="00AA2558"/>
    <w:rsid w:val="00AA3DB7"/>
    <w:rsid w:val="00AB0607"/>
    <w:rsid w:val="00AB6D0E"/>
    <w:rsid w:val="00AC0CA2"/>
    <w:rsid w:val="00AC1BAA"/>
    <w:rsid w:val="00AC79F4"/>
    <w:rsid w:val="00AD62FC"/>
    <w:rsid w:val="00AD7F83"/>
    <w:rsid w:val="00AE464C"/>
    <w:rsid w:val="00AF795D"/>
    <w:rsid w:val="00B03BC5"/>
    <w:rsid w:val="00B168E9"/>
    <w:rsid w:val="00B2346E"/>
    <w:rsid w:val="00B24969"/>
    <w:rsid w:val="00B31938"/>
    <w:rsid w:val="00B471A3"/>
    <w:rsid w:val="00B5566E"/>
    <w:rsid w:val="00B613FA"/>
    <w:rsid w:val="00B66046"/>
    <w:rsid w:val="00B74123"/>
    <w:rsid w:val="00B76197"/>
    <w:rsid w:val="00B90362"/>
    <w:rsid w:val="00BA4064"/>
    <w:rsid w:val="00BA5A40"/>
    <w:rsid w:val="00BA7600"/>
    <w:rsid w:val="00BB2583"/>
    <w:rsid w:val="00BD25D2"/>
    <w:rsid w:val="00BD582D"/>
    <w:rsid w:val="00BE016A"/>
    <w:rsid w:val="00BF791D"/>
    <w:rsid w:val="00C0077A"/>
    <w:rsid w:val="00C06915"/>
    <w:rsid w:val="00C17269"/>
    <w:rsid w:val="00C26745"/>
    <w:rsid w:val="00C372C9"/>
    <w:rsid w:val="00C4161C"/>
    <w:rsid w:val="00C41EB7"/>
    <w:rsid w:val="00C42F45"/>
    <w:rsid w:val="00C54742"/>
    <w:rsid w:val="00C5474A"/>
    <w:rsid w:val="00C62EB0"/>
    <w:rsid w:val="00C71A70"/>
    <w:rsid w:val="00C7309A"/>
    <w:rsid w:val="00C7696A"/>
    <w:rsid w:val="00C769FC"/>
    <w:rsid w:val="00C81A5D"/>
    <w:rsid w:val="00C86EB4"/>
    <w:rsid w:val="00C86F04"/>
    <w:rsid w:val="00C8789D"/>
    <w:rsid w:val="00C903A3"/>
    <w:rsid w:val="00C9074D"/>
    <w:rsid w:val="00CA3923"/>
    <w:rsid w:val="00CD420E"/>
    <w:rsid w:val="00CE1EAE"/>
    <w:rsid w:val="00CF7C10"/>
    <w:rsid w:val="00D12590"/>
    <w:rsid w:val="00D24D3C"/>
    <w:rsid w:val="00D454AB"/>
    <w:rsid w:val="00D47C9A"/>
    <w:rsid w:val="00D50247"/>
    <w:rsid w:val="00D55CCF"/>
    <w:rsid w:val="00D81126"/>
    <w:rsid w:val="00D8370C"/>
    <w:rsid w:val="00D94903"/>
    <w:rsid w:val="00DA4D7C"/>
    <w:rsid w:val="00DB01DD"/>
    <w:rsid w:val="00DC19C3"/>
    <w:rsid w:val="00DD270E"/>
    <w:rsid w:val="00DD3F16"/>
    <w:rsid w:val="00DE27EB"/>
    <w:rsid w:val="00DE3C41"/>
    <w:rsid w:val="00DE4A19"/>
    <w:rsid w:val="00DF3CC2"/>
    <w:rsid w:val="00DF4F5B"/>
    <w:rsid w:val="00E02D0C"/>
    <w:rsid w:val="00E2659D"/>
    <w:rsid w:val="00E33EF1"/>
    <w:rsid w:val="00E42CF1"/>
    <w:rsid w:val="00E4375A"/>
    <w:rsid w:val="00E47AC6"/>
    <w:rsid w:val="00E505EF"/>
    <w:rsid w:val="00E65C17"/>
    <w:rsid w:val="00E65F3D"/>
    <w:rsid w:val="00E67864"/>
    <w:rsid w:val="00E7340D"/>
    <w:rsid w:val="00E87AF5"/>
    <w:rsid w:val="00E87F7D"/>
    <w:rsid w:val="00E95074"/>
    <w:rsid w:val="00EB140E"/>
    <w:rsid w:val="00EB4696"/>
    <w:rsid w:val="00EB5204"/>
    <w:rsid w:val="00EB68A1"/>
    <w:rsid w:val="00EC2EA9"/>
    <w:rsid w:val="00EC395F"/>
    <w:rsid w:val="00EE115C"/>
    <w:rsid w:val="00EE3A13"/>
    <w:rsid w:val="00EF3EB3"/>
    <w:rsid w:val="00F15A55"/>
    <w:rsid w:val="00F5500E"/>
    <w:rsid w:val="00F6053E"/>
    <w:rsid w:val="00F6210D"/>
    <w:rsid w:val="00F710F0"/>
    <w:rsid w:val="00F724F0"/>
    <w:rsid w:val="00F776E3"/>
    <w:rsid w:val="00F85615"/>
    <w:rsid w:val="00F875E4"/>
    <w:rsid w:val="00F912B9"/>
    <w:rsid w:val="00FB340A"/>
    <w:rsid w:val="00FC20D3"/>
    <w:rsid w:val="00FD1120"/>
    <w:rsid w:val="00FE0491"/>
    <w:rsid w:val="00FE3AAC"/>
    <w:rsid w:val="00FF0460"/>
    <w:rsid w:val="00FF4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3604"/>
  <w15:chartTrackingRefBased/>
  <w15:docId w15:val="{FD7E8376-398F-4909-9675-CAAC5180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583"/>
    <w:pPr>
      <w:spacing w:after="200" w:line="276" w:lineRule="auto"/>
    </w:pPr>
    <w:rPr>
      <w:rFonts w:ascii="Calibri Light" w:hAnsi="Calibri Light" w:cs="Times New Roman"/>
      <w:sz w:val="24"/>
      <w:szCs w:val="24"/>
      <w:lang w:val="en-US"/>
    </w:rPr>
  </w:style>
  <w:style w:type="paragraph" w:styleId="Heading1">
    <w:name w:val="heading 1"/>
    <w:basedOn w:val="Normal"/>
    <w:next w:val="Normal"/>
    <w:link w:val="Heading1Char"/>
    <w:uiPriority w:val="9"/>
    <w:qFormat/>
    <w:rsid w:val="003874B8"/>
    <w:pPr>
      <w:keepNext/>
      <w:keepLines/>
      <w:spacing w:before="480" w:after="0"/>
      <w:outlineLvl w:val="0"/>
    </w:pPr>
    <w:rPr>
      <w:rFonts w:asciiTheme="majorHAnsi" w:eastAsiaTheme="majorEastAsia" w:hAnsiTheme="majorHAnsi" w:cstheme="majorBidi"/>
      <w:b/>
      <w:bCs/>
      <w:color w:val="2F5496" w:themeColor="accent1" w:themeShade="BF"/>
      <w:sz w:val="28"/>
      <w:szCs w:val="28"/>
      <w:lang w:val="en-GB"/>
    </w:rPr>
  </w:style>
  <w:style w:type="paragraph" w:styleId="Heading2">
    <w:name w:val="heading 2"/>
    <w:basedOn w:val="Normal"/>
    <w:next w:val="Normal"/>
    <w:link w:val="Heading2Char"/>
    <w:uiPriority w:val="9"/>
    <w:unhideWhenUsed/>
    <w:qFormat/>
    <w:rsid w:val="003874B8"/>
    <w:pPr>
      <w:keepNext/>
      <w:keepLines/>
      <w:spacing w:before="200" w:after="0"/>
      <w:outlineLvl w:val="1"/>
    </w:pPr>
    <w:rPr>
      <w:rFonts w:asciiTheme="majorHAnsi" w:eastAsiaTheme="majorEastAsia" w:hAnsiTheme="majorHAnsi" w:cstheme="majorBidi"/>
      <w:b/>
      <w:bCs/>
      <w:color w:val="4472C4" w:themeColor="accent1"/>
      <w:sz w:val="26"/>
      <w:szCs w:val="26"/>
      <w:lang w:val="en-GB"/>
    </w:rPr>
  </w:style>
  <w:style w:type="paragraph" w:styleId="Heading3">
    <w:name w:val="heading 3"/>
    <w:basedOn w:val="Normal"/>
    <w:next w:val="Normal"/>
    <w:link w:val="Heading3Char"/>
    <w:uiPriority w:val="9"/>
    <w:semiHidden/>
    <w:unhideWhenUsed/>
    <w:qFormat/>
    <w:rsid w:val="003874B8"/>
    <w:pPr>
      <w:keepNext/>
      <w:keepLines/>
      <w:spacing w:before="200" w:after="0"/>
      <w:outlineLvl w:val="2"/>
    </w:pPr>
    <w:rPr>
      <w:rFonts w:asciiTheme="majorHAnsi" w:eastAsiaTheme="majorEastAsia" w:hAnsiTheme="majorHAnsi" w:cstheme="majorBidi"/>
      <w:b/>
      <w:bCs/>
      <w:color w:val="4472C4"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2583"/>
    <w:pPr>
      <w:spacing w:after="0" w:line="240" w:lineRule="auto"/>
    </w:pPr>
    <w:rPr>
      <w:rFonts w:ascii="Calibri Light" w:hAnsi="Calibri Light"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874B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874B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3874B8"/>
    <w:rPr>
      <w:rFonts w:asciiTheme="majorHAnsi" w:eastAsiaTheme="majorEastAsia" w:hAnsiTheme="majorHAnsi" w:cstheme="majorBidi"/>
      <w:b/>
      <w:bCs/>
      <w:color w:val="4472C4" w:themeColor="accent1"/>
    </w:rPr>
  </w:style>
  <w:style w:type="paragraph" w:customStyle="1" w:styleId="Note">
    <w:name w:val="Note"/>
    <w:basedOn w:val="Normal"/>
    <w:link w:val="NoteChar"/>
    <w:uiPriority w:val="99"/>
    <w:rsid w:val="003874B8"/>
    <w:pPr>
      <w:widowControl w:val="0"/>
      <w:autoSpaceDE w:val="0"/>
      <w:autoSpaceDN w:val="0"/>
      <w:adjustRightInd w:val="0"/>
      <w:spacing w:after="0" w:line="240" w:lineRule="auto"/>
    </w:pPr>
    <w:rPr>
      <w:rFonts w:ascii="Arial" w:eastAsia="Times New Roman" w:hAnsi="Arial" w:cs="Arial"/>
      <w:color w:val="000080"/>
      <w:sz w:val="12"/>
      <w:szCs w:val="12"/>
      <w:lang w:val="en-GB" w:eastAsia="en-GB"/>
    </w:rPr>
  </w:style>
  <w:style w:type="character" w:customStyle="1" w:styleId="NoteChar">
    <w:name w:val="Note Char"/>
    <w:basedOn w:val="DefaultParagraphFont"/>
    <w:link w:val="Note"/>
    <w:uiPriority w:val="99"/>
    <w:locked/>
    <w:rsid w:val="003874B8"/>
    <w:rPr>
      <w:rFonts w:ascii="Arial" w:eastAsia="Times New Roman" w:hAnsi="Arial" w:cs="Arial"/>
      <w:color w:val="000080"/>
      <w:sz w:val="12"/>
      <w:szCs w:val="12"/>
      <w:lang w:eastAsia="en-GB"/>
    </w:rPr>
  </w:style>
  <w:style w:type="paragraph" w:styleId="NoSpacing">
    <w:name w:val="No Spacing"/>
    <w:link w:val="NoSpacingChar"/>
    <w:uiPriority w:val="1"/>
    <w:qFormat/>
    <w:rsid w:val="003874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74B8"/>
    <w:rPr>
      <w:rFonts w:eastAsiaTheme="minorEastAsia"/>
      <w:lang w:val="en-US"/>
    </w:rPr>
  </w:style>
  <w:style w:type="paragraph" w:styleId="ListParagraph">
    <w:name w:val="List Paragraph"/>
    <w:basedOn w:val="Normal"/>
    <w:uiPriority w:val="34"/>
    <w:qFormat/>
    <w:rsid w:val="003874B8"/>
    <w:pPr>
      <w:ind w:left="720"/>
      <w:contextualSpacing/>
    </w:pPr>
    <w:rPr>
      <w:rFonts w:asciiTheme="minorHAnsi" w:hAnsiTheme="minorHAnsi" w:cstheme="minorBidi"/>
      <w:sz w:val="22"/>
      <w:szCs w:val="22"/>
      <w:lang w:val="en-GB"/>
    </w:rPr>
  </w:style>
  <w:style w:type="paragraph" w:styleId="Header">
    <w:name w:val="header"/>
    <w:basedOn w:val="Normal"/>
    <w:link w:val="HeaderChar"/>
    <w:uiPriority w:val="99"/>
    <w:unhideWhenUsed/>
    <w:rsid w:val="00DB0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1DD"/>
    <w:rPr>
      <w:rFonts w:ascii="Calibri Light" w:hAnsi="Calibri Light" w:cs="Times New Roman"/>
      <w:sz w:val="24"/>
      <w:szCs w:val="24"/>
      <w:lang w:val="en-US"/>
    </w:rPr>
  </w:style>
  <w:style w:type="paragraph" w:styleId="Footer">
    <w:name w:val="footer"/>
    <w:basedOn w:val="Normal"/>
    <w:link w:val="FooterChar"/>
    <w:uiPriority w:val="99"/>
    <w:unhideWhenUsed/>
    <w:rsid w:val="00DB0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1DD"/>
    <w:rPr>
      <w:rFonts w:ascii="Calibri Light" w:hAnsi="Calibri Light" w:cs="Times New Roman"/>
      <w:sz w:val="24"/>
      <w:szCs w:val="24"/>
      <w:lang w:val="en-US"/>
    </w:rPr>
  </w:style>
  <w:style w:type="character" w:styleId="Hyperlink">
    <w:name w:val="Hyperlink"/>
    <w:basedOn w:val="DefaultParagraphFont"/>
    <w:uiPriority w:val="99"/>
    <w:unhideWhenUsed/>
    <w:rsid w:val="002F1DEB"/>
    <w:rPr>
      <w:color w:val="0563C1" w:themeColor="hyperlink"/>
      <w:u w:val="single"/>
    </w:rPr>
  </w:style>
  <w:style w:type="character" w:styleId="Emphasis">
    <w:name w:val="Emphasis"/>
    <w:basedOn w:val="DefaultParagraphFont"/>
    <w:uiPriority w:val="20"/>
    <w:qFormat/>
    <w:rsid w:val="00273072"/>
    <w:rPr>
      <w:i/>
      <w:iCs/>
    </w:rPr>
  </w:style>
  <w:style w:type="paragraph" w:styleId="NormalWeb">
    <w:name w:val="Normal (Web)"/>
    <w:rsid w:val="00273072"/>
    <w:pPr>
      <w:spacing w:beforeAutospacing="1" w:after="0" w:afterAutospacing="1" w:line="240" w:lineRule="auto"/>
    </w:pPr>
    <w:rPr>
      <w:rFonts w:ascii="Times New Roman" w:eastAsia="SimSun" w:hAnsi="Times New Roman" w:cs="Times New Roman"/>
      <w:sz w:val="24"/>
      <w:szCs w:val="24"/>
      <w:lang w:val="en-US" w:eastAsia="zh-CN"/>
    </w:rPr>
  </w:style>
  <w:style w:type="paragraph" w:styleId="TOC1">
    <w:name w:val="toc 1"/>
    <w:basedOn w:val="Normal"/>
    <w:next w:val="Normal"/>
    <w:autoRedefine/>
    <w:uiPriority w:val="39"/>
    <w:rsid w:val="00273072"/>
    <w:pPr>
      <w:spacing w:after="100" w:line="240" w:lineRule="auto"/>
    </w:pPr>
    <w:rPr>
      <w:rFonts w:asciiTheme="minorHAnsi" w:eastAsiaTheme="minorEastAsia" w:hAnsiTheme="minorHAnsi" w:cstheme="minorBidi"/>
      <w:sz w:val="20"/>
      <w:szCs w:val="20"/>
      <w:lang w:eastAsia="zh-CN"/>
    </w:rPr>
  </w:style>
  <w:style w:type="paragraph" w:styleId="TOCHeading">
    <w:name w:val="TOC Heading"/>
    <w:basedOn w:val="Heading1"/>
    <w:next w:val="Normal"/>
    <w:uiPriority w:val="39"/>
    <w:semiHidden/>
    <w:unhideWhenUsed/>
    <w:qFormat/>
    <w:rsid w:val="00DD3F16"/>
    <w:pPr>
      <w:spacing w:before="240"/>
      <w:outlineLvl w:val="9"/>
    </w:pPr>
    <w:rPr>
      <w:b w:val="0"/>
      <w:bCs w:val="0"/>
      <w:sz w:val="32"/>
      <w:szCs w:val="32"/>
      <w:lang w:val="en-US"/>
    </w:rPr>
  </w:style>
  <w:style w:type="paragraph" w:styleId="TOC2">
    <w:name w:val="toc 2"/>
    <w:basedOn w:val="Normal"/>
    <w:next w:val="Normal"/>
    <w:autoRedefine/>
    <w:uiPriority w:val="39"/>
    <w:unhideWhenUsed/>
    <w:rsid w:val="00DD3F16"/>
    <w:pPr>
      <w:spacing w:after="100"/>
      <w:ind w:left="220"/>
    </w:pPr>
    <w:rPr>
      <w:rFonts w:asciiTheme="minorHAnsi" w:hAnsiTheme="minorHAnsi" w:cstheme="minorBidi"/>
      <w:sz w:val="22"/>
      <w:szCs w:val="22"/>
      <w:lang w:val="en-IN"/>
    </w:rPr>
  </w:style>
  <w:style w:type="paragraph" w:styleId="FootnoteText">
    <w:name w:val="footnote text"/>
    <w:basedOn w:val="Normal"/>
    <w:link w:val="FootnoteTextChar"/>
    <w:uiPriority w:val="99"/>
    <w:semiHidden/>
    <w:unhideWhenUsed/>
    <w:rsid w:val="00172EC1"/>
    <w:pPr>
      <w:spacing w:after="0" w:line="240" w:lineRule="auto"/>
    </w:pPr>
    <w:rPr>
      <w:rFonts w:ascii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172EC1"/>
    <w:rPr>
      <w:sz w:val="20"/>
      <w:szCs w:val="20"/>
    </w:rPr>
  </w:style>
  <w:style w:type="character" w:styleId="FootnoteReference">
    <w:name w:val="footnote reference"/>
    <w:basedOn w:val="DefaultParagraphFont"/>
    <w:uiPriority w:val="99"/>
    <w:semiHidden/>
    <w:unhideWhenUsed/>
    <w:rsid w:val="00172EC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90428">
      <w:bodyDiv w:val="1"/>
      <w:marLeft w:val="0"/>
      <w:marRight w:val="0"/>
      <w:marTop w:val="0"/>
      <w:marBottom w:val="0"/>
      <w:divBdr>
        <w:top w:val="none" w:sz="0" w:space="0" w:color="auto"/>
        <w:left w:val="none" w:sz="0" w:space="0" w:color="auto"/>
        <w:bottom w:val="none" w:sz="0" w:space="0" w:color="auto"/>
        <w:right w:val="none" w:sz="0" w:space="0" w:color="auto"/>
      </w:divBdr>
    </w:div>
    <w:div w:id="282537449">
      <w:bodyDiv w:val="1"/>
      <w:marLeft w:val="0"/>
      <w:marRight w:val="0"/>
      <w:marTop w:val="0"/>
      <w:marBottom w:val="0"/>
      <w:divBdr>
        <w:top w:val="none" w:sz="0" w:space="0" w:color="auto"/>
        <w:left w:val="none" w:sz="0" w:space="0" w:color="auto"/>
        <w:bottom w:val="none" w:sz="0" w:space="0" w:color="auto"/>
        <w:right w:val="none" w:sz="0" w:space="0" w:color="auto"/>
      </w:divBdr>
    </w:div>
    <w:div w:id="170774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8606F-864E-44D9-8360-D705437F7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15</Pages>
  <Words>2925</Words>
  <Characters>16678</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Assignment: 1 Civil Litigation</vt:lpstr>
    </vt:vector>
  </TitlesOfParts>
  <Company/>
  <LinksUpToDate>false</LinksUpToDate>
  <CharactersWithSpaces>19564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Tort LawAssignment: 1 Negligence</dc:title>
  <dc:subject>Tort Law Assignment – 2: Case Study; Occupiers Liability and Psychiatric Harm</dc:subject>
  <dc:creator>MD R Ahmed</dc:creator>
  <cp:keywords/>
  <dc:description/>
  <cp:lastModifiedBy>Md Roshid Ahmed (1922561)</cp:lastModifiedBy>
  <cp:revision>300</cp:revision>
  <cp:lastPrinted>2021-12-06T23:55:00Z</cp:lastPrinted>
  <dcterms:created xsi:type="dcterms:W3CDTF">2021-01-04T14:46:00Z</dcterms:created>
  <dcterms:modified xsi:type="dcterms:W3CDTF">2022-03-30T15:29:00Z</dcterms:modified>
</cp:coreProperties>
</file>