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4811F3"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3FE571B7" w14:textId="77777777" w:rsidR="00994DC0" w:rsidRPr="00040F0A" w:rsidRDefault="00430D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Arial Unicode MS" w:hAnsi="Times New Roman" w:cs="Times New Roman"/>
          <w:b/>
          <w:sz w:val="72"/>
          <w:szCs w:val="72"/>
        </w:rPr>
      </w:pPr>
      <w:r w:rsidRPr="00040F0A">
        <w:rPr>
          <w:rFonts w:ascii="Times New Roman" w:eastAsia="Arial Unicode MS" w:hAnsi="Times New Roman" w:cs="Times New Roman"/>
          <w:b/>
          <w:sz w:val="72"/>
          <w:szCs w:val="72"/>
        </w:rPr>
        <w:t>Title</w:t>
      </w:r>
      <w:r w:rsidR="00040F0A" w:rsidRPr="00040F0A">
        <w:rPr>
          <w:rFonts w:ascii="Times New Roman" w:eastAsia="Arial Unicode MS" w:hAnsi="Times New Roman" w:cs="Times New Roman"/>
          <w:b/>
          <w:sz w:val="72"/>
          <w:szCs w:val="72"/>
        </w:rPr>
        <w:t xml:space="preserve">: </w:t>
      </w:r>
      <w:r w:rsidR="00040F0A" w:rsidRPr="00040F0A">
        <w:rPr>
          <w:rFonts w:ascii="Times New Roman" w:eastAsia="Arial Unicode MS" w:hAnsi="Times New Roman" w:cs="Times New Roman"/>
          <w:b/>
          <w:i/>
          <w:sz w:val="72"/>
          <w:szCs w:val="72"/>
          <w:u w:val="single"/>
        </w:rPr>
        <w:t>“Fundraising event scenario”</w:t>
      </w:r>
    </w:p>
    <w:p w14:paraId="60485C89" w14:textId="77777777" w:rsidR="00994DC0" w:rsidRPr="00040F0A"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Arial Unicode MS" w:hAnsi="Times New Roman" w:cs="Times New Roman"/>
          <w:b/>
          <w:sz w:val="72"/>
          <w:szCs w:val="72"/>
        </w:rPr>
      </w:pPr>
    </w:p>
    <w:p w14:paraId="5312D28E" w14:textId="65D2349E" w:rsidR="00994DC0" w:rsidRPr="00DE43F7" w:rsidRDefault="00DE43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Arial Unicode MS" w:hAnsi="Times New Roman" w:cs="Times New Roman"/>
          <w:sz w:val="36"/>
          <w:szCs w:val="36"/>
        </w:rPr>
      </w:pPr>
      <w:r>
        <w:rPr>
          <w:rFonts w:ascii="Times New Roman" w:eastAsia="Arial Unicode MS" w:hAnsi="Times New Roman" w:cs="Times New Roman"/>
          <w:b/>
          <w:sz w:val="40"/>
          <w:szCs w:val="40"/>
        </w:rPr>
        <w:t>(</w:t>
      </w:r>
      <w:r w:rsidRPr="00DE43F7">
        <w:rPr>
          <w:rFonts w:ascii="Times New Roman" w:eastAsia="Arial Unicode MS" w:hAnsi="Times New Roman" w:cs="Times New Roman"/>
          <w:b/>
          <w:sz w:val="40"/>
          <w:szCs w:val="40"/>
        </w:rPr>
        <w:t>Stu</w:t>
      </w:r>
      <w:r w:rsidRPr="00DE43F7">
        <w:rPr>
          <w:rFonts w:ascii="Times New Roman" w:eastAsia="Arial Unicode MS" w:hAnsi="Times New Roman" w:cs="Times New Roman"/>
          <w:b/>
          <w:sz w:val="36"/>
          <w:szCs w:val="36"/>
        </w:rPr>
        <w:t>dent No 2310170</w:t>
      </w:r>
      <w:r>
        <w:rPr>
          <w:rFonts w:ascii="Times New Roman" w:eastAsia="Arial Unicode MS" w:hAnsi="Times New Roman" w:cs="Times New Roman"/>
          <w:b/>
          <w:sz w:val="36"/>
          <w:szCs w:val="36"/>
        </w:rPr>
        <w:t>)</w:t>
      </w:r>
    </w:p>
    <w:p w14:paraId="142462D0"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rPr>
      </w:pPr>
    </w:p>
    <w:p w14:paraId="52EF7524" w14:textId="77777777" w:rsidR="00994DC0" w:rsidRDefault="00430DF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Pr>
          <w:rFonts w:asciiTheme="minorHAnsi" w:eastAsia="Arial Unicode MS" w:hAnsiTheme="minorHAnsi" w:cstheme="minorHAnsi"/>
        </w:rPr>
        <w:tab/>
      </w:r>
    </w:p>
    <w:p w14:paraId="476DCD08"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5A5F7569"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B281E41"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6D1D66AC"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BF8C421"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3188F257"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6DC5D0F7"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58EE7A02"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4FCB7651"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4B86E83A"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1187DB01"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3E9785A"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4EBAD702"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70D7380C"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0B8E19C7"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57F8CAE" w14:textId="77777777" w:rsidR="00994DC0" w:rsidRDefault="00994DC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6944E18D" w14:textId="77777777" w:rsidR="00994DC0" w:rsidRDefault="00994DC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128DBF1C" w14:textId="77777777" w:rsidR="00994DC0" w:rsidRDefault="00994DC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u w:val="single"/>
        </w:rPr>
      </w:pPr>
    </w:p>
    <w:p w14:paraId="62E94353"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rPr>
      </w:pPr>
    </w:p>
    <w:p w14:paraId="29C8C329" w14:textId="77777777" w:rsidR="00D45065" w:rsidRPr="00040F0A" w:rsidRDefault="00430DFD" w:rsidP="00040F0A">
      <w:pPr>
        <w:pStyle w:val="Heading1"/>
        <w:spacing w:line="360" w:lineRule="auto"/>
        <w:jc w:val="both"/>
        <w:rPr>
          <w:rFonts w:ascii="Times New Roman" w:hAnsi="Times New Roman" w:cs="Times New Roman"/>
          <w:sz w:val="24"/>
          <w:szCs w:val="24"/>
        </w:rPr>
      </w:pPr>
      <w:r>
        <w:br w:type="page"/>
      </w:r>
      <w:r w:rsidRPr="00040F0A">
        <w:rPr>
          <w:rFonts w:ascii="Times New Roman" w:hAnsi="Times New Roman" w:cs="Times New Roman"/>
          <w:sz w:val="24"/>
          <w:szCs w:val="24"/>
        </w:rPr>
        <w:lastRenderedPageBreak/>
        <w:t>1: INTRODUCTION</w:t>
      </w:r>
    </w:p>
    <w:p w14:paraId="15F3C6FA" w14:textId="77777777" w:rsidR="00D45065" w:rsidRPr="00040F0A" w:rsidRDefault="00D45065" w:rsidP="00040F0A">
      <w:pPr>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 xml:space="preserve">This write-up will be a full risk assessment for the impending charity event which will be held at the local </w:t>
      </w:r>
      <w:r w:rsidR="004611B3">
        <w:rPr>
          <w:rFonts w:ascii="Times New Roman" w:eastAsia="Arial Unicode MS" w:hAnsi="Times New Roman" w:cs="Times New Roman"/>
          <w:sz w:val="24"/>
          <w:szCs w:val="24"/>
        </w:rPr>
        <w:t xml:space="preserve">clinic </w:t>
      </w:r>
      <w:r w:rsidRPr="00040F0A">
        <w:rPr>
          <w:rFonts w:ascii="Times New Roman" w:eastAsia="Arial Unicode MS" w:hAnsi="Times New Roman" w:cs="Times New Roman"/>
          <w:sz w:val="24"/>
          <w:szCs w:val="24"/>
        </w:rPr>
        <w:t xml:space="preserve">to raise money for the very needed services the clinic offers. The event, it is scheduled to happen within the </w:t>
      </w:r>
      <w:proofErr w:type="spellStart"/>
      <w:r w:rsidRPr="00040F0A">
        <w:rPr>
          <w:rFonts w:ascii="Times New Roman" w:eastAsia="Arial Unicode MS" w:hAnsi="Times New Roman" w:cs="Times New Roman"/>
          <w:sz w:val="24"/>
          <w:szCs w:val="24"/>
        </w:rPr>
        <w:t>neighboring</w:t>
      </w:r>
      <w:proofErr w:type="spellEnd"/>
      <w:r w:rsidRPr="00040F0A">
        <w:rPr>
          <w:rFonts w:ascii="Times New Roman" w:eastAsia="Arial Unicode MS" w:hAnsi="Times New Roman" w:cs="Times New Roman"/>
          <w:sz w:val="24"/>
          <w:szCs w:val="24"/>
        </w:rPr>
        <w:t xml:space="preserve"> hospital locality, will showcase a selection of activities aimed at involvement from the community as well as encouragement towards kind donations. Such activities consist of the starting of a bake sale, presenting a range of self-made tasty delights; launching of a raffle, the prizes for which are donated by the local businesses; and offering of an entertaining musician with high skills. </w:t>
      </w:r>
    </w:p>
    <w:p w14:paraId="44251872" w14:textId="77777777" w:rsidR="00D45065" w:rsidRPr="00040F0A" w:rsidRDefault="001E0D74" w:rsidP="00040F0A">
      <w:pPr>
        <w:spacing w:line="360" w:lineRule="auto"/>
        <w:jc w:val="both"/>
        <w:rPr>
          <w:rFonts w:ascii="Times New Roman" w:eastAsia="Arial Unicode MS" w:hAnsi="Times New Roman" w:cs="Times New Roman"/>
          <w:b/>
          <w:i/>
          <w:sz w:val="24"/>
          <w:szCs w:val="24"/>
        </w:rPr>
      </w:pPr>
      <w:r w:rsidRPr="00040F0A">
        <w:rPr>
          <w:rFonts w:ascii="Times New Roman" w:eastAsia="Arial Unicode MS" w:hAnsi="Times New Roman" w:cs="Times New Roman"/>
          <w:b/>
          <w:i/>
          <w:sz w:val="24"/>
          <w:szCs w:val="24"/>
        </w:rPr>
        <w:t>Context of the Report:</w:t>
      </w:r>
    </w:p>
    <w:p w14:paraId="5E27AD05" w14:textId="77777777" w:rsidR="00D45065" w:rsidRPr="00040F0A" w:rsidRDefault="00D45065" w:rsidP="00040F0A">
      <w:pPr>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This risk evaluation will be conducted in a context that matters to the community's engagement and hospital s mobility. The setting up of the event becomes the point of connection between the hospital and the community which the hospital serves, enhancing the natural bond that is the bases of all hospital missions</w:t>
      </w:r>
      <w:r w:rsidR="00040F0A" w:rsidRPr="00040F0A">
        <w:rPr>
          <w:rFonts w:ascii="Times New Roman" w:eastAsia="Arial Unicode MS" w:hAnsi="Times New Roman" w:cs="Times New Roman"/>
          <w:sz w:val="24"/>
          <w:szCs w:val="24"/>
        </w:rPr>
        <w:t xml:space="preserve"> (</w:t>
      </w:r>
      <w:r w:rsidR="00040F0A" w:rsidRPr="00040F0A">
        <w:rPr>
          <w:rFonts w:ascii="Times New Roman" w:hAnsi="Times New Roman" w:cs="Times New Roman"/>
          <w:color w:val="222222"/>
          <w:sz w:val="24"/>
          <w:szCs w:val="24"/>
          <w:shd w:val="clear" w:color="auto" w:fill="FFFFFF"/>
        </w:rPr>
        <w:t>Spatola, 2024)</w:t>
      </w:r>
      <w:r w:rsidRPr="00040F0A">
        <w:rPr>
          <w:rFonts w:ascii="Times New Roman" w:eastAsia="Arial Unicode MS" w:hAnsi="Times New Roman" w:cs="Times New Roman"/>
          <w:sz w:val="24"/>
          <w:szCs w:val="24"/>
        </w:rPr>
        <w:t xml:space="preserve">. The evaluation will factor in the implications each planned activity will bring, the involvement of volunteers as well as staff and the expected turnout with all activities taken in the context of the hospital’s </w:t>
      </w:r>
      <w:r w:rsidR="001E0D74" w:rsidRPr="00040F0A">
        <w:rPr>
          <w:rFonts w:ascii="Times New Roman" w:eastAsia="Arial Unicode MS" w:hAnsi="Times New Roman" w:cs="Times New Roman"/>
          <w:sz w:val="24"/>
          <w:szCs w:val="24"/>
        </w:rPr>
        <w:t>ethos and community perception.</w:t>
      </w:r>
    </w:p>
    <w:p w14:paraId="33259054" w14:textId="77777777" w:rsidR="00D45065" w:rsidRPr="00040F0A" w:rsidRDefault="001E0D74" w:rsidP="00040F0A">
      <w:pPr>
        <w:spacing w:line="360" w:lineRule="auto"/>
        <w:jc w:val="both"/>
        <w:rPr>
          <w:rFonts w:ascii="Times New Roman" w:eastAsia="Arial Unicode MS" w:hAnsi="Times New Roman" w:cs="Times New Roman"/>
          <w:b/>
          <w:i/>
          <w:sz w:val="24"/>
          <w:szCs w:val="24"/>
        </w:rPr>
      </w:pPr>
      <w:r w:rsidRPr="00040F0A">
        <w:rPr>
          <w:rFonts w:ascii="Times New Roman" w:eastAsia="Arial Unicode MS" w:hAnsi="Times New Roman" w:cs="Times New Roman"/>
          <w:b/>
          <w:i/>
          <w:sz w:val="24"/>
          <w:szCs w:val="24"/>
        </w:rPr>
        <w:t>Key Definitions:</w:t>
      </w:r>
    </w:p>
    <w:p w14:paraId="431EB57D" w14:textId="77777777" w:rsidR="00D45065" w:rsidRPr="00040F0A" w:rsidRDefault="00D45065" w:rsidP="00040F0A">
      <w:pPr>
        <w:pStyle w:val="ListParagraph"/>
        <w:numPr>
          <w:ilvl w:val="0"/>
          <w:numId w:val="5"/>
        </w:numPr>
        <w:spacing w:line="360" w:lineRule="auto"/>
        <w:jc w:val="both"/>
        <w:rPr>
          <w:rFonts w:ascii="Times New Roman" w:eastAsia="Arial Unicode MS" w:hAnsi="Times New Roman" w:cs="Times New Roman"/>
          <w:sz w:val="24"/>
          <w:szCs w:val="24"/>
        </w:rPr>
      </w:pPr>
      <w:r w:rsidRPr="004611B3">
        <w:rPr>
          <w:rFonts w:ascii="Times New Roman" w:eastAsia="Arial Unicode MS" w:hAnsi="Times New Roman" w:cs="Times New Roman"/>
          <w:b/>
          <w:sz w:val="24"/>
          <w:szCs w:val="24"/>
        </w:rPr>
        <w:t>Risk:</w:t>
      </w:r>
      <w:r w:rsidRPr="00040F0A">
        <w:rPr>
          <w:rFonts w:ascii="Times New Roman" w:eastAsia="Arial Unicode MS" w:hAnsi="Times New Roman" w:cs="Times New Roman"/>
          <w:sz w:val="24"/>
          <w:szCs w:val="24"/>
        </w:rPr>
        <w:t xml:space="preserve"> The fact that things can happen beyond anyone's wildest dreams that significantly affects how we achieve our goals. The consequences and likelihood are measured, too, to determine the degree of risk.</w:t>
      </w:r>
    </w:p>
    <w:p w14:paraId="0C25677C" w14:textId="77777777" w:rsidR="00D45065" w:rsidRPr="00040F0A" w:rsidRDefault="00D45065" w:rsidP="00040F0A">
      <w:pPr>
        <w:pStyle w:val="ListParagraph"/>
        <w:numPr>
          <w:ilvl w:val="0"/>
          <w:numId w:val="5"/>
        </w:numPr>
        <w:spacing w:line="360" w:lineRule="auto"/>
        <w:jc w:val="both"/>
        <w:rPr>
          <w:rFonts w:ascii="Times New Roman" w:eastAsia="Arial Unicode MS" w:hAnsi="Times New Roman" w:cs="Times New Roman"/>
          <w:sz w:val="24"/>
          <w:szCs w:val="24"/>
        </w:rPr>
      </w:pPr>
      <w:r w:rsidRPr="004611B3">
        <w:rPr>
          <w:rFonts w:ascii="Times New Roman" w:eastAsia="Arial Unicode MS" w:hAnsi="Times New Roman" w:cs="Times New Roman"/>
          <w:b/>
          <w:sz w:val="24"/>
          <w:szCs w:val="24"/>
        </w:rPr>
        <w:t>Risk Assessment:</w:t>
      </w:r>
      <w:r w:rsidRPr="00040F0A">
        <w:rPr>
          <w:rFonts w:ascii="Times New Roman" w:eastAsia="Arial Unicode MS" w:hAnsi="Times New Roman" w:cs="Times New Roman"/>
          <w:sz w:val="24"/>
          <w:szCs w:val="24"/>
        </w:rPr>
        <w:t xml:space="preserve"> The process on the total which includes risk identification, risk analysis, and risk evaluation.</w:t>
      </w:r>
    </w:p>
    <w:p w14:paraId="11FFC92E" w14:textId="77777777" w:rsidR="00994DC0" w:rsidRPr="00040F0A" w:rsidRDefault="00994DC0" w:rsidP="00040F0A">
      <w:pPr>
        <w:spacing w:line="360" w:lineRule="auto"/>
        <w:jc w:val="both"/>
        <w:rPr>
          <w:rFonts w:ascii="Times New Roman" w:eastAsia="Arial Unicode MS" w:hAnsi="Times New Roman" w:cs="Times New Roman"/>
          <w:sz w:val="24"/>
          <w:szCs w:val="24"/>
        </w:rPr>
      </w:pPr>
    </w:p>
    <w:p w14:paraId="1CD5A7FB" w14:textId="77777777" w:rsidR="001E0D74" w:rsidRPr="00040F0A" w:rsidRDefault="00430DFD" w:rsidP="00040F0A">
      <w:pPr>
        <w:pStyle w:val="Heading2"/>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2: METHOD</w:t>
      </w:r>
      <w:r w:rsidR="001E0D74" w:rsidRPr="00040F0A">
        <w:rPr>
          <w:rFonts w:ascii="Times New Roman" w:hAnsi="Times New Roman" w:cs="Times New Roman"/>
          <w:sz w:val="24"/>
          <w:szCs w:val="24"/>
        </w:rPr>
        <w:t xml:space="preserve">: </w:t>
      </w:r>
      <w:proofErr w:type="spellStart"/>
      <w:r w:rsidR="001E0D74" w:rsidRPr="00040F0A">
        <w:rPr>
          <w:rFonts w:ascii="Times New Roman" w:hAnsi="Times New Roman" w:cs="Times New Roman"/>
          <w:sz w:val="24"/>
          <w:szCs w:val="24"/>
        </w:rPr>
        <w:t>Syetematic</w:t>
      </w:r>
      <w:proofErr w:type="spellEnd"/>
      <w:r w:rsidR="001E0D74" w:rsidRPr="00040F0A">
        <w:rPr>
          <w:rFonts w:ascii="Times New Roman" w:hAnsi="Times New Roman" w:cs="Times New Roman"/>
          <w:sz w:val="24"/>
          <w:szCs w:val="24"/>
        </w:rPr>
        <w:t xml:space="preserve"> and thorough methodology</w:t>
      </w:r>
    </w:p>
    <w:p w14:paraId="4B99F97C" w14:textId="77777777" w:rsidR="001E0D74" w:rsidRPr="00040F0A" w:rsidRDefault="001E0D74"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 xml:space="preserve">This </w:t>
      </w:r>
      <w:r w:rsidR="004611B3">
        <w:rPr>
          <w:rFonts w:ascii="Times New Roman" w:eastAsia="Arial Unicode MS" w:hAnsi="Times New Roman" w:cs="Times New Roman"/>
          <w:sz w:val="24"/>
          <w:szCs w:val="24"/>
        </w:rPr>
        <w:t xml:space="preserve">report </w:t>
      </w:r>
      <w:r w:rsidRPr="00040F0A">
        <w:rPr>
          <w:rFonts w:ascii="Times New Roman" w:eastAsia="Arial Unicode MS" w:hAnsi="Times New Roman" w:cs="Times New Roman"/>
          <w:sz w:val="24"/>
          <w:szCs w:val="24"/>
        </w:rPr>
        <w:t xml:space="preserve">presents a risk assessment methodology for a community charity fundraising event at a preliminary </w:t>
      </w:r>
      <w:proofErr w:type="spellStart"/>
      <w:r w:rsidRPr="00040F0A">
        <w:rPr>
          <w:rFonts w:ascii="Times New Roman" w:eastAsia="Arial Unicode MS" w:hAnsi="Times New Roman" w:cs="Times New Roman"/>
          <w:sz w:val="24"/>
          <w:szCs w:val="24"/>
        </w:rPr>
        <w:t>stageful</w:t>
      </w:r>
      <w:proofErr w:type="spellEnd"/>
      <w:r w:rsidRPr="00040F0A">
        <w:rPr>
          <w:rFonts w:ascii="Times New Roman" w:eastAsia="Arial Unicode MS" w:hAnsi="Times New Roman" w:cs="Times New Roman"/>
          <w:sz w:val="24"/>
          <w:szCs w:val="24"/>
        </w:rPr>
        <w:t xml:space="preserve"> hospital. Assessment will cover all the stages of the event that include; planning and setup, implementation and operation, and closure and cleanup</w:t>
      </w:r>
    </w:p>
    <w:p w14:paraId="6D04F7D0" w14:textId="77777777" w:rsidR="001E0D74" w:rsidRPr="00040F0A" w:rsidRDefault="001E0D74"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b/>
          <w:sz w:val="24"/>
          <w:szCs w:val="24"/>
        </w:rPr>
      </w:pPr>
      <w:r w:rsidRPr="00040F0A">
        <w:rPr>
          <w:rFonts w:ascii="Times New Roman" w:eastAsia="Arial Unicode MS" w:hAnsi="Times New Roman" w:cs="Times New Roman"/>
          <w:b/>
          <w:sz w:val="24"/>
          <w:szCs w:val="24"/>
        </w:rPr>
        <w:t>Methodology Justification:</w:t>
      </w:r>
    </w:p>
    <w:p w14:paraId="72A3EABC" w14:textId="77777777" w:rsidR="001E0D74" w:rsidRPr="00040F0A" w:rsidRDefault="001E0D74"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A risk assessment that is proactive is the initial and most important step in securing the safety as well as success of the event. Through hazard identification the second phase involves implementation of control measures to ensure there are few potential incidents with minimal or moderate consequences</w:t>
      </w:r>
      <w:r w:rsidR="00040F0A" w:rsidRPr="00040F0A">
        <w:rPr>
          <w:rFonts w:ascii="Times New Roman" w:eastAsia="Arial Unicode MS" w:hAnsi="Times New Roman" w:cs="Times New Roman"/>
          <w:sz w:val="24"/>
          <w:szCs w:val="24"/>
        </w:rPr>
        <w:t xml:space="preserve"> (</w:t>
      </w:r>
      <w:proofErr w:type="spellStart"/>
      <w:r w:rsidR="00040F0A" w:rsidRPr="00040F0A">
        <w:rPr>
          <w:rFonts w:ascii="Times New Roman" w:hAnsi="Times New Roman" w:cs="Times New Roman"/>
          <w:color w:val="222222"/>
          <w:sz w:val="24"/>
          <w:szCs w:val="24"/>
          <w:shd w:val="clear" w:color="auto" w:fill="FFFFFF"/>
        </w:rPr>
        <w:t>Flintham</w:t>
      </w:r>
      <w:proofErr w:type="spellEnd"/>
      <w:r w:rsidR="00040F0A" w:rsidRPr="00040F0A">
        <w:rPr>
          <w:rFonts w:ascii="Times New Roman" w:hAnsi="Times New Roman" w:cs="Times New Roman"/>
          <w:color w:val="222222"/>
          <w:sz w:val="24"/>
          <w:szCs w:val="24"/>
          <w:shd w:val="clear" w:color="auto" w:fill="FFFFFF"/>
        </w:rPr>
        <w:t xml:space="preserve"> et al., 2020)</w:t>
      </w:r>
      <w:r w:rsidRPr="00040F0A">
        <w:rPr>
          <w:rFonts w:ascii="Times New Roman" w:eastAsia="Arial Unicode MS" w:hAnsi="Times New Roman" w:cs="Times New Roman"/>
          <w:sz w:val="24"/>
          <w:szCs w:val="24"/>
        </w:rPr>
        <w:t>. These do not only ensure the safety of the participants, volunteers, or staff but also secure the hospital’s health concern and the hospital’s reputation while improving the event experience.</w:t>
      </w:r>
    </w:p>
    <w:p w14:paraId="15711806" w14:textId="77777777" w:rsidR="001E0D74" w:rsidRPr="00040F0A" w:rsidRDefault="001E0D74"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b/>
          <w:sz w:val="24"/>
          <w:szCs w:val="24"/>
        </w:rPr>
      </w:pPr>
      <w:r w:rsidRPr="00040F0A">
        <w:rPr>
          <w:rFonts w:ascii="Times New Roman" w:eastAsia="Arial Unicode MS" w:hAnsi="Times New Roman" w:cs="Times New Roman"/>
          <w:b/>
          <w:sz w:val="24"/>
          <w:szCs w:val="24"/>
        </w:rPr>
        <w:lastRenderedPageBreak/>
        <w:t>Areas of Risk Assessment</w:t>
      </w:r>
    </w:p>
    <w:p w14:paraId="2EB35D0C" w14:textId="77777777" w:rsidR="001E0D74" w:rsidRPr="00040F0A" w:rsidRDefault="001E0D74"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 xml:space="preserve">The assessment will focus on the following key </w:t>
      </w:r>
      <w:proofErr w:type="spellStart"/>
      <w:proofErr w:type="gramStart"/>
      <w:r w:rsidRPr="00040F0A">
        <w:rPr>
          <w:rFonts w:ascii="Times New Roman" w:eastAsia="Arial Unicode MS" w:hAnsi="Times New Roman" w:cs="Times New Roman"/>
          <w:sz w:val="24"/>
          <w:szCs w:val="24"/>
        </w:rPr>
        <w:t>areas:The</w:t>
      </w:r>
      <w:proofErr w:type="spellEnd"/>
      <w:proofErr w:type="gramEnd"/>
      <w:r w:rsidRPr="00040F0A">
        <w:rPr>
          <w:rFonts w:ascii="Times New Roman" w:eastAsia="Arial Unicode MS" w:hAnsi="Times New Roman" w:cs="Times New Roman"/>
          <w:sz w:val="24"/>
          <w:szCs w:val="24"/>
        </w:rPr>
        <w:t xml:space="preserve"> assessment will focus on the following key areas:</w:t>
      </w:r>
    </w:p>
    <w:p w14:paraId="3205580C" w14:textId="77777777" w:rsidR="001E0D74" w:rsidRPr="00040F0A" w:rsidRDefault="001E0D74" w:rsidP="00040F0A">
      <w:pPr>
        <w:pStyle w:val="Heading3"/>
        <w:spacing w:line="360" w:lineRule="auto"/>
        <w:jc w:val="both"/>
        <w:rPr>
          <w:rFonts w:ascii="Times New Roman" w:hAnsi="Times New Roman" w:cs="Times New Roman"/>
        </w:rPr>
      </w:pPr>
      <w:r w:rsidRPr="00040F0A">
        <w:rPr>
          <w:rFonts w:ascii="Times New Roman" w:hAnsi="Times New Roman" w:cs="Times New Roman"/>
        </w:rPr>
        <w:t>Venue and Set-up:</w:t>
      </w:r>
    </w:p>
    <w:p w14:paraId="120F912A" w14:textId="77777777" w:rsidR="001E0D74" w:rsidRPr="00040F0A" w:rsidRDefault="001E0D74" w:rsidP="00040F0A">
      <w:pPr>
        <w:pStyle w:val="ListParagraph"/>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 xml:space="preserve">Focus: </w:t>
      </w:r>
      <w:proofErr w:type="spellStart"/>
      <w:r w:rsidRPr="00040F0A">
        <w:rPr>
          <w:rFonts w:ascii="Times New Roman" w:eastAsia="Arial Unicode MS" w:hAnsi="Times New Roman" w:cs="Times New Roman"/>
          <w:sz w:val="24"/>
          <w:szCs w:val="24"/>
        </w:rPr>
        <w:t>Easiliness</w:t>
      </w:r>
      <w:proofErr w:type="spellEnd"/>
      <w:r w:rsidRPr="00040F0A">
        <w:rPr>
          <w:rFonts w:ascii="Times New Roman" w:eastAsia="Arial Unicode MS" w:hAnsi="Times New Roman" w:cs="Times New Roman"/>
          <w:sz w:val="24"/>
          <w:szCs w:val="24"/>
        </w:rPr>
        <w:t xml:space="preserve"> of the venue, eventuality of slipping on the uneven surface or anything lying (electrical cords, cables etc), fire safety (sufficient exits, fire extinguisher locations) and structural integrity (tables, tents).</w:t>
      </w:r>
    </w:p>
    <w:p w14:paraId="7A40B2B3" w14:textId="77777777" w:rsidR="001E0D74" w:rsidRPr="00040F0A" w:rsidRDefault="001E0D74" w:rsidP="00040F0A">
      <w:pPr>
        <w:pStyle w:val="ListParagraph"/>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Method: Perform the site survey, inspect the safety records of the venue (fire marshal reports, maximum capacity of the room), ask the hospital facilities staff if they have sent or received any notification of an existing environmental issue.</w:t>
      </w:r>
    </w:p>
    <w:p w14:paraId="1F1470F2" w14:textId="77777777" w:rsidR="001E0D74" w:rsidRPr="00040F0A" w:rsidRDefault="001E0D74" w:rsidP="00040F0A">
      <w:pPr>
        <w:pStyle w:val="Heading3"/>
        <w:spacing w:line="360" w:lineRule="auto"/>
        <w:jc w:val="both"/>
        <w:rPr>
          <w:rFonts w:ascii="Times New Roman" w:hAnsi="Times New Roman" w:cs="Times New Roman"/>
        </w:rPr>
      </w:pPr>
      <w:r w:rsidRPr="00040F0A">
        <w:rPr>
          <w:rFonts w:ascii="Times New Roman" w:hAnsi="Times New Roman" w:cs="Times New Roman"/>
        </w:rPr>
        <w:t>Food Handling and Safety:</w:t>
      </w:r>
    </w:p>
    <w:p w14:paraId="6E3DA763" w14:textId="77777777" w:rsidR="001E0D74" w:rsidRPr="00040F0A" w:rsidRDefault="001E0D74" w:rsidP="00040F0A">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 xml:space="preserve">Focus: Foodborne diseases (the undue storage, preparation or handling), allergies (the wrong </w:t>
      </w:r>
      <w:proofErr w:type="spellStart"/>
      <w:r w:rsidRPr="00040F0A">
        <w:rPr>
          <w:rFonts w:ascii="Times New Roman" w:eastAsia="Arial Unicode MS" w:hAnsi="Times New Roman" w:cs="Times New Roman"/>
          <w:sz w:val="24"/>
          <w:szCs w:val="24"/>
        </w:rPr>
        <w:t>labeling</w:t>
      </w:r>
      <w:proofErr w:type="spellEnd"/>
      <w:r w:rsidRPr="00040F0A">
        <w:rPr>
          <w:rFonts w:ascii="Times New Roman" w:eastAsia="Arial Unicode MS" w:hAnsi="Times New Roman" w:cs="Times New Roman"/>
          <w:sz w:val="24"/>
          <w:szCs w:val="24"/>
        </w:rPr>
        <w:t xml:space="preserve"> pr</w:t>
      </w:r>
      <w:r w:rsidR="00040F0A" w:rsidRPr="00040F0A">
        <w:rPr>
          <w:rFonts w:ascii="Times New Roman" w:eastAsia="Arial Unicode MS" w:hAnsi="Times New Roman" w:cs="Times New Roman"/>
          <w:sz w:val="24"/>
          <w:szCs w:val="24"/>
        </w:rPr>
        <w:t>ocess, mix-up of products etc.) (</w:t>
      </w:r>
      <w:r w:rsidR="00040F0A" w:rsidRPr="00040F0A">
        <w:rPr>
          <w:rFonts w:ascii="Times New Roman" w:hAnsi="Times New Roman" w:cs="Times New Roman"/>
          <w:color w:val="222222"/>
          <w:sz w:val="24"/>
          <w:szCs w:val="24"/>
          <w:shd w:val="clear" w:color="auto" w:fill="FFFFFF"/>
        </w:rPr>
        <w:t>Douglas, 2022).</w:t>
      </w:r>
    </w:p>
    <w:p w14:paraId="4E4B7900" w14:textId="77777777" w:rsidR="001E0D74" w:rsidRPr="00040F0A" w:rsidRDefault="001E0D74" w:rsidP="00040F0A">
      <w:pPr>
        <w:pStyle w:val="ListParagraph"/>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Method: Verify if volunteer food handling training student records train in accordance with local health regulations, and the labels of ingredients and warnings/allergens are all in place.</w:t>
      </w:r>
    </w:p>
    <w:p w14:paraId="406DCE8A" w14:textId="77777777" w:rsidR="001E0D74" w:rsidRPr="00040F0A" w:rsidRDefault="001E0D74" w:rsidP="00040F0A">
      <w:pPr>
        <w:pStyle w:val="Heading3"/>
        <w:spacing w:line="360" w:lineRule="auto"/>
        <w:jc w:val="both"/>
        <w:rPr>
          <w:rFonts w:ascii="Times New Roman" w:hAnsi="Times New Roman" w:cs="Times New Roman"/>
        </w:rPr>
      </w:pPr>
      <w:r w:rsidRPr="00040F0A">
        <w:rPr>
          <w:rFonts w:ascii="Times New Roman" w:hAnsi="Times New Roman" w:cs="Times New Roman"/>
        </w:rPr>
        <w:t>Electrical Equipment:</w:t>
      </w:r>
    </w:p>
    <w:p w14:paraId="4F99604B" w14:textId="77777777" w:rsidR="001E0D74" w:rsidRPr="00040F0A" w:rsidRDefault="001E0D74" w:rsidP="00040F0A">
      <w:pPr>
        <w:pStyle w:val="ListParagraph"/>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Focus: Nail punctured, circuit overload, wrong wiring, spark possibility, electrical shock/ fire.</w:t>
      </w:r>
    </w:p>
    <w:p w14:paraId="4A10071F" w14:textId="77777777" w:rsidR="001E0D74" w:rsidRPr="00040F0A" w:rsidRDefault="001E0D74" w:rsidP="00040F0A">
      <w:pPr>
        <w:pStyle w:val="ListParagraph"/>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Method: Examine all electric tools for damage, hiring a matched person to set up and use equipment, watch for right extension cable use.</w:t>
      </w:r>
    </w:p>
    <w:p w14:paraId="63EDFCFD" w14:textId="77777777" w:rsidR="001E0D74" w:rsidRPr="00040F0A" w:rsidRDefault="001E0D74" w:rsidP="00040F0A">
      <w:pPr>
        <w:pStyle w:val="Heading3"/>
        <w:spacing w:line="360" w:lineRule="auto"/>
        <w:jc w:val="both"/>
        <w:rPr>
          <w:rFonts w:ascii="Times New Roman" w:hAnsi="Times New Roman" w:cs="Times New Roman"/>
        </w:rPr>
      </w:pPr>
      <w:r w:rsidRPr="00040F0A">
        <w:rPr>
          <w:rFonts w:ascii="Times New Roman" w:hAnsi="Times New Roman" w:cs="Times New Roman"/>
        </w:rPr>
        <w:t>Activities and Entertainment:</w:t>
      </w:r>
    </w:p>
    <w:p w14:paraId="3C0F4FC0" w14:textId="77777777" w:rsidR="001E0D74" w:rsidRPr="00040F0A" w:rsidRDefault="001E0D74" w:rsidP="00040F0A">
      <w:pPr>
        <w:pStyle w:val="ListParagraph"/>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Focus: Injuries occurred due to events during the activities (bouncy castles, games), crowd control during shows which was supposed to be controlled and was the main issue to be t</w:t>
      </w:r>
      <w:r w:rsidR="00040F0A" w:rsidRPr="00040F0A">
        <w:rPr>
          <w:rFonts w:ascii="Times New Roman" w:eastAsia="Arial Unicode MS" w:hAnsi="Times New Roman" w:cs="Times New Roman"/>
          <w:sz w:val="24"/>
          <w:szCs w:val="24"/>
        </w:rPr>
        <w:t>ackled during the raffle period (</w:t>
      </w:r>
      <w:r w:rsidR="00040F0A" w:rsidRPr="00040F0A">
        <w:rPr>
          <w:rFonts w:ascii="Times New Roman" w:hAnsi="Times New Roman" w:cs="Times New Roman"/>
          <w:color w:val="222222"/>
          <w:sz w:val="24"/>
          <w:szCs w:val="24"/>
          <w:shd w:val="clear" w:color="auto" w:fill="FFFFFF"/>
        </w:rPr>
        <w:t>Varol, 2022).</w:t>
      </w:r>
    </w:p>
    <w:p w14:paraId="32734A6C" w14:textId="77777777" w:rsidR="001E0D74" w:rsidRPr="00040F0A" w:rsidRDefault="001E0D74" w:rsidP="00040F0A">
      <w:pPr>
        <w:pStyle w:val="ListParagraph"/>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Method: Review safety rules for activities, have enough supervision for all activities, count people who will watch shows to make sure that there are no problems with audience capacity, appoint somebody who will take care of raffle-prizes.</w:t>
      </w:r>
    </w:p>
    <w:p w14:paraId="0BFAEAA1" w14:textId="77777777" w:rsidR="001E0D74" w:rsidRPr="00040F0A" w:rsidRDefault="001E0D74" w:rsidP="00040F0A">
      <w:pPr>
        <w:pStyle w:val="Heading3"/>
        <w:spacing w:line="360" w:lineRule="auto"/>
        <w:jc w:val="both"/>
        <w:rPr>
          <w:rFonts w:ascii="Times New Roman" w:hAnsi="Times New Roman" w:cs="Times New Roman"/>
        </w:rPr>
      </w:pPr>
      <w:r w:rsidRPr="00040F0A">
        <w:rPr>
          <w:rFonts w:ascii="Times New Roman" w:hAnsi="Times New Roman" w:cs="Times New Roman"/>
        </w:rPr>
        <w:t>Financial Management:</w:t>
      </w:r>
    </w:p>
    <w:p w14:paraId="3407CA5A" w14:textId="77777777" w:rsidR="001E0D74" w:rsidRPr="00040F0A" w:rsidRDefault="001E0D74" w:rsidP="00040F0A">
      <w:pPr>
        <w:pStyle w:val="ListParagraph"/>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Focus: Cash mishandling (loss, theft), swindle and processing errors, etc.</w:t>
      </w:r>
    </w:p>
    <w:p w14:paraId="29EAAA73" w14:textId="77777777" w:rsidR="001E0D74" w:rsidRPr="00040F0A" w:rsidRDefault="001E0D74" w:rsidP="00040F0A">
      <w:pPr>
        <w:pStyle w:val="ListParagraph"/>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Method: Put in place trusted cash handling processes (suitably experienced persons, locked boxes and online means of payment), enforce money management rules, organize financial training sessions for volunteers before the main event.</w:t>
      </w:r>
    </w:p>
    <w:p w14:paraId="2A99C9C2" w14:textId="77777777" w:rsidR="001E0D74" w:rsidRPr="00040F0A" w:rsidRDefault="001E0D74" w:rsidP="00040F0A">
      <w:pPr>
        <w:pStyle w:val="Heading3"/>
        <w:spacing w:line="360" w:lineRule="auto"/>
        <w:jc w:val="both"/>
        <w:rPr>
          <w:rFonts w:ascii="Times New Roman" w:hAnsi="Times New Roman" w:cs="Times New Roman"/>
        </w:rPr>
      </w:pPr>
      <w:r w:rsidRPr="00040F0A">
        <w:rPr>
          <w:rFonts w:ascii="Times New Roman" w:hAnsi="Times New Roman" w:cs="Times New Roman"/>
        </w:rPr>
        <w:lastRenderedPageBreak/>
        <w:t>Emergency Preparedness:</w:t>
      </w:r>
    </w:p>
    <w:p w14:paraId="68DDD1FE" w14:textId="77777777" w:rsidR="001E0D74" w:rsidRPr="00040F0A" w:rsidRDefault="001E0D74" w:rsidP="00040F0A">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Focus: Wrongdoings, erosion, wildfires, hurricanes; all of these need a response plan in place.</w:t>
      </w:r>
    </w:p>
    <w:p w14:paraId="20CDF828" w14:textId="77777777" w:rsidR="001E0D74" w:rsidRPr="00040F0A" w:rsidRDefault="001E0D74" w:rsidP="00040F0A">
      <w:pPr>
        <w:pStyle w:val="ListParagraph"/>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Method: Collaborate with hospital security and emergency staff, prepare a detailed evacuation plan with designated muster points, have first-aid kits stocked and give volunteers accredi</w:t>
      </w:r>
      <w:r w:rsidR="00040F0A" w:rsidRPr="00040F0A">
        <w:rPr>
          <w:rFonts w:ascii="Times New Roman" w:eastAsia="Arial Unicode MS" w:hAnsi="Times New Roman" w:cs="Times New Roman"/>
          <w:sz w:val="24"/>
          <w:szCs w:val="24"/>
        </w:rPr>
        <w:t>ted basic life support training (</w:t>
      </w:r>
      <w:r w:rsidR="00040F0A" w:rsidRPr="00040F0A">
        <w:rPr>
          <w:rFonts w:ascii="Times New Roman" w:hAnsi="Times New Roman" w:cs="Times New Roman"/>
          <w:color w:val="222222"/>
          <w:sz w:val="24"/>
          <w:szCs w:val="24"/>
          <w:shd w:val="clear" w:color="auto" w:fill="FFFFFF"/>
        </w:rPr>
        <w:t>Gungor, 2020).</w:t>
      </w:r>
    </w:p>
    <w:p w14:paraId="18B5EC2D" w14:textId="77777777" w:rsidR="001E0D74" w:rsidRPr="00040F0A" w:rsidRDefault="001E0D74" w:rsidP="00040F0A">
      <w:pPr>
        <w:pStyle w:val="Heading3"/>
        <w:spacing w:line="360" w:lineRule="auto"/>
        <w:jc w:val="both"/>
        <w:rPr>
          <w:rFonts w:ascii="Times New Roman" w:hAnsi="Times New Roman" w:cs="Times New Roman"/>
        </w:rPr>
      </w:pPr>
      <w:r w:rsidRPr="00040F0A">
        <w:rPr>
          <w:rFonts w:ascii="Times New Roman" w:hAnsi="Times New Roman" w:cs="Times New Roman"/>
        </w:rPr>
        <w:t>Public Relations and Communication:</w:t>
      </w:r>
    </w:p>
    <w:p w14:paraId="1632456E" w14:textId="77777777" w:rsidR="001E0D74" w:rsidRPr="00040F0A" w:rsidRDefault="001E0D74" w:rsidP="00040F0A">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Focus: Disinformation, bad news, customers get angry.</w:t>
      </w:r>
    </w:p>
    <w:p w14:paraId="219E4097" w14:textId="77777777" w:rsidR="00994DC0" w:rsidRPr="00040F0A" w:rsidRDefault="001E0D74" w:rsidP="00040F0A">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Method: Create a well-planned communication system, ensure that attendee can have easy access to event details and group feedback and complaints from attendees.</w:t>
      </w:r>
    </w:p>
    <w:p w14:paraId="4F209A1A" w14:textId="77777777" w:rsidR="00994DC0" w:rsidRPr="00040F0A" w:rsidRDefault="00994DC0" w:rsidP="00040F0A">
      <w:pPr>
        <w:spacing w:line="360" w:lineRule="auto"/>
        <w:jc w:val="both"/>
        <w:rPr>
          <w:rFonts w:ascii="Times New Roman" w:eastAsia="Arial Unicode MS" w:hAnsi="Times New Roman" w:cs="Times New Roman"/>
          <w:bCs/>
          <w:sz w:val="24"/>
          <w:szCs w:val="24"/>
        </w:rPr>
      </w:pPr>
    </w:p>
    <w:p w14:paraId="30C4A898" w14:textId="77777777" w:rsidR="001E0D74" w:rsidRPr="00040F0A" w:rsidRDefault="00430DFD" w:rsidP="00040F0A">
      <w:pPr>
        <w:pStyle w:val="Heading1"/>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3:  COMPLIANCE</w:t>
      </w:r>
    </w:p>
    <w:p w14:paraId="03849E32" w14:textId="77777777" w:rsidR="001E0D74" w:rsidRPr="00040F0A" w:rsidRDefault="001E0D74" w:rsidP="00040F0A">
      <w:pPr>
        <w:widowControl/>
        <w:autoSpaceDE/>
        <w:autoSpaceDN/>
        <w:spacing w:before="42" w:after="60" w:line="360" w:lineRule="auto"/>
        <w:jc w:val="both"/>
        <w:textAlignment w:val="baseline"/>
        <w:rPr>
          <w:rFonts w:ascii="Times New Roman" w:eastAsia="Calibri" w:hAnsi="Times New Roman" w:cs="Times New Roman"/>
          <w:color w:val="000000"/>
          <w:spacing w:val="-4"/>
          <w:sz w:val="24"/>
          <w:szCs w:val="24"/>
        </w:rPr>
      </w:pPr>
      <w:r w:rsidRPr="00040F0A">
        <w:rPr>
          <w:rFonts w:ascii="Times New Roman" w:eastAsia="Calibri" w:hAnsi="Times New Roman" w:cs="Times New Roman"/>
          <w:color w:val="000000"/>
          <w:spacing w:val="-4"/>
          <w:sz w:val="24"/>
          <w:szCs w:val="24"/>
        </w:rPr>
        <w:t>Carrying out a risk assessment for a fundraising event is a crucial step in the organizing process of a fundraiser set in the premises of a local hospital, as it makes sure that legality requirements, as well as best practices, are all complied with. This aggressive stance, which is not just a mere formality, is an undeniable step towards success in promoting the event and protecting all the participants, the active organizers thems</w:t>
      </w:r>
      <w:r w:rsidR="00040F0A" w:rsidRPr="00040F0A">
        <w:rPr>
          <w:rFonts w:ascii="Times New Roman" w:eastAsia="Calibri" w:hAnsi="Times New Roman" w:cs="Times New Roman"/>
          <w:color w:val="000000"/>
          <w:spacing w:val="-4"/>
          <w:sz w:val="24"/>
          <w:szCs w:val="24"/>
        </w:rPr>
        <w:t>elves and even the stakeholders (</w:t>
      </w:r>
      <w:r w:rsidR="00040F0A" w:rsidRPr="00040F0A">
        <w:rPr>
          <w:rFonts w:ascii="Times New Roman" w:hAnsi="Times New Roman" w:cs="Times New Roman"/>
          <w:color w:val="222222"/>
          <w:sz w:val="24"/>
          <w:szCs w:val="24"/>
          <w:shd w:val="clear" w:color="auto" w:fill="FFFFFF"/>
        </w:rPr>
        <w:t>Pavlicek et al., 2021).</w:t>
      </w:r>
    </w:p>
    <w:p w14:paraId="11B5A8E0" w14:textId="77777777" w:rsidR="001E0D74" w:rsidRPr="00040F0A" w:rsidRDefault="001E0D74" w:rsidP="00040F0A">
      <w:pPr>
        <w:widowControl/>
        <w:autoSpaceDE/>
        <w:autoSpaceDN/>
        <w:spacing w:before="42" w:after="60" w:line="360" w:lineRule="auto"/>
        <w:jc w:val="both"/>
        <w:textAlignment w:val="baseline"/>
        <w:rPr>
          <w:rFonts w:ascii="Times New Roman" w:eastAsia="Calibri" w:hAnsi="Times New Roman" w:cs="Times New Roman"/>
          <w:color w:val="000000"/>
          <w:spacing w:val="-4"/>
          <w:sz w:val="24"/>
          <w:szCs w:val="24"/>
        </w:rPr>
      </w:pPr>
      <w:r w:rsidRPr="00040F0A">
        <w:rPr>
          <w:rFonts w:ascii="Times New Roman" w:eastAsia="Calibri" w:hAnsi="Times New Roman" w:cs="Times New Roman"/>
          <w:b/>
          <w:color w:val="000000"/>
          <w:spacing w:val="-4"/>
          <w:sz w:val="24"/>
          <w:szCs w:val="24"/>
        </w:rPr>
        <w:t>Legislative Compliance:</w:t>
      </w:r>
      <w:r w:rsidRPr="00040F0A">
        <w:rPr>
          <w:rFonts w:ascii="Times New Roman" w:eastAsia="Calibri" w:hAnsi="Times New Roman" w:cs="Times New Roman"/>
          <w:color w:val="000000"/>
          <w:spacing w:val="-4"/>
          <w:sz w:val="24"/>
          <w:szCs w:val="24"/>
        </w:rPr>
        <w:t xml:space="preserve"> The organizers of any event have a legal obligation to provide a safe environment and take care of everyone. As an example, the health and safety rules often create a provision that requires an event like this to have a first aid facility and an emergency route for the ambulance men. At our scenario, the process will be about the evaluation of the availability of first aid/stations and the presence of space for ambulance to reach easily. In case of refusal to meet these required legal norms, many costs could be suffered, including the will of heading to court, and, worst case scenario, could hand over harm too humans which could have been</w:t>
      </w:r>
      <w:r w:rsidR="00040F0A" w:rsidRPr="00040F0A">
        <w:rPr>
          <w:rFonts w:ascii="Times New Roman" w:eastAsia="Calibri" w:hAnsi="Times New Roman" w:cs="Times New Roman"/>
          <w:color w:val="000000"/>
          <w:spacing w:val="-4"/>
          <w:sz w:val="24"/>
          <w:szCs w:val="24"/>
        </w:rPr>
        <w:t xml:space="preserve"> prevented with proper planning (</w:t>
      </w:r>
      <w:r w:rsidR="00040F0A" w:rsidRPr="00040F0A">
        <w:rPr>
          <w:rFonts w:ascii="Times New Roman" w:hAnsi="Times New Roman" w:cs="Times New Roman"/>
          <w:color w:val="222222"/>
          <w:sz w:val="24"/>
          <w:szCs w:val="24"/>
          <w:shd w:val="clear" w:color="auto" w:fill="FFFFFF"/>
        </w:rPr>
        <w:t>Petersson, 2023).</w:t>
      </w:r>
    </w:p>
    <w:p w14:paraId="011C6282" w14:textId="77777777" w:rsidR="001E0D74" w:rsidRPr="00040F0A" w:rsidRDefault="001E0D74" w:rsidP="00040F0A">
      <w:pPr>
        <w:spacing w:line="360" w:lineRule="auto"/>
        <w:jc w:val="both"/>
        <w:rPr>
          <w:rFonts w:ascii="Times New Roman" w:eastAsia="Calibri" w:hAnsi="Times New Roman" w:cs="Times New Roman"/>
          <w:color w:val="000000"/>
          <w:spacing w:val="-4"/>
          <w:sz w:val="24"/>
          <w:szCs w:val="24"/>
        </w:rPr>
      </w:pPr>
      <w:r w:rsidRPr="00040F0A">
        <w:rPr>
          <w:rFonts w:ascii="Times New Roman" w:eastAsia="Calibri" w:hAnsi="Times New Roman" w:cs="Times New Roman"/>
          <w:color w:val="000000"/>
          <w:spacing w:val="-4"/>
          <w:sz w:val="24"/>
          <w:szCs w:val="24"/>
        </w:rPr>
        <w:t>Unlike other outbreaks disease, foodborne illness outbreaks can be extremely destructive. An estimated 1 million hospitalizations and 3,000 deaths in the US in any given year is the general CDC statistics representing foodborne illness. The course, which is based on recommended foods practices that are listed in the FDA Food Code (2017 Edition)</w:t>
      </w:r>
      <w:r w:rsidR="00040F0A" w:rsidRPr="00040F0A">
        <w:rPr>
          <w:rFonts w:ascii="Times New Roman" w:eastAsia="Calibri" w:hAnsi="Times New Roman" w:cs="Times New Roman"/>
          <w:color w:val="000000"/>
          <w:spacing w:val="-4"/>
          <w:sz w:val="24"/>
          <w:szCs w:val="24"/>
        </w:rPr>
        <w:t xml:space="preserve"> (</w:t>
      </w:r>
      <w:r w:rsidR="00040F0A" w:rsidRPr="00040F0A">
        <w:rPr>
          <w:rFonts w:ascii="Times New Roman" w:hAnsi="Times New Roman" w:cs="Times New Roman"/>
          <w:color w:val="222222"/>
          <w:sz w:val="24"/>
          <w:szCs w:val="24"/>
          <w:shd w:val="clear" w:color="auto" w:fill="FFFFFF"/>
        </w:rPr>
        <w:t>Duerksen et al., 2021)</w:t>
      </w:r>
      <w:r w:rsidRPr="00040F0A">
        <w:rPr>
          <w:rFonts w:ascii="Times New Roman" w:eastAsia="Calibri" w:hAnsi="Times New Roman" w:cs="Times New Roman"/>
          <w:color w:val="000000"/>
          <w:spacing w:val="-4"/>
          <w:sz w:val="24"/>
          <w:szCs w:val="24"/>
        </w:rPr>
        <w:t xml:space="preserve">. It also guarantees safe food handling practices including suitable hand washing, temperature control and allergen </w:t>
      </w:r>
      <w:proofErr w:type="spellStart"/>
      <w:r w:rsidRPr="00040F0A">
        <w:rPr>
          <w:rFonts w:ascii="Times New Roman" w:eastAsia="Calibri" w:hAnsi="Times New Roman" w:cs="Times New Roman"/>
          <w:color w:val="000000"/>
          <w:spacing w:val="-4"/>
          <w:sz w:val="24"/>
          <w:szCs w:val="24"/>
        </w:rPr>
        <w:t>labeling</w:t>
      </w:r>
      <w:proofErr w:type="spellEnd"/>
      <w:r w:rsidRPr="00040F0A">
        <w:rPr>
          <w:rFonts w:ascii="Times New Roman" w:eastAsia="Calibri" w:hAnsi="Times New Roman" w:cs="Times New Roman"/>
          <w:color w:val="000000"/>
          <w:spacing w:val="-4"/>
          <w:sz w:val="24"/>
          <w:szCs w:val="24"/>
        </w:rPr>
        <w:t>, thus minimizing the risk of food borne illness as well as advising against potential lawsuits against the hospital.</w:t>
      </w:r>
    </w:p>
    <w:p w14:paraId="38FBD37E" w14:textId="77777777" w:rsidR="001E0D74" w:rsidRPr="00040F0A" w:rsidRDefault="001E0D74" w:rsidP="00040F0A">
      <w:pPr>
        <w:widowControl/>
        <w:autoSpaceDE/>
        <w:autoSpaceDN/>
        <w:spacing w:before="42" w:after="60" w:line="360" w:lineRule="auto"/>
        <w:jc w:val="both"/>
        <w:textAlignment w:val="baseline"/>
        <w:rPr>
          <w:rFonts w:ascii="Times New Roman" w:eastAsia="Calibri" w:hAnsi="Times New Roman" w:cs="Times New Roman"/>
          <w:color w:val="000000"/>
          <w:spacing w:val="-4"/>
          <w:sz w:val="24"/>
          <w:szCs w:val="24"/>
        </w:rPr>
      </w:pPr>
      <w:r w:rsidRPr="00040F0A">
        <w:rPr>
          <w:rFonts w:ascii="Times New Roman" w:eastAsia="Calibri" w:hAnsi="Times New Roman" w:cs="Times New Roman"/>
          <w:b/>
          <w:color w:val="000000"/>
          <w:spacing w:val="-4"/>
          <w:sz w:val="24"/>
          <w:szCs w:val="24"/>
        </w:rPr>
        <w:lastRenderedPageBreak/>
        <w:t>Industry-Specific Requirements:</w:t>
      </w:r>
      <w:r w:rsidRPr="00040F0A">
        <w:rPr>
          <w:rFonts w:ascii="Times New Roman" w:eastAsia="Calibri" w:hAnsi="Times New Roman" w:cs="Times New Roman"/>
          <w:color w:val="000000"/>
          <w:spacing w:val="-4"/>
          <w:sz w:val="24"/>
          <w:szCs w:val="24"/>
        </w:rPr>
        <w:t xml:space="preserve"> More than any other professional area, healthcare is governed by some of the strictest standards whether a given event is in association with any of the facilities it provides. This includes all aspects: catering service for the sale of pastries and prizes that have met health codes, and prizes that as well as their ethical sourcing are aligned with the value of the hospital. The risk assessment will focus on vendor lists, inspect food preparation areas and verify the source of items for raffle to guarantee the </w:t>
      </w:r>
      <w:proofErr w:type="gramStart"/>
      <w:r w:rsidRPr="00040F0A">
        <w:rPr>
          <w:rFonts w:ascii="Times New Roman" w:eastAsia="Calibri" w:hAnsi="Times New Roman" w:cs="Times New Roman"/>
          <w:color w:val="000000"/>
          <w:spacing w:val="-4"/>
          <w:sz w:val="24"/>
          <w:szCs w:val="24"/>
        </w:rPr>
        <w:t>high quality</w:t>
      </w:r>
      <w:proofErr w:type="gramEnd"/>
      <w:r w:rsidRPr="00040F0A">
        <w:rPr>
          <w:rFonts w:ascii="Times New Roman" w:eastAsia="Calibri" w:hAnsi="Times New Roman" w:cs="Times New Roman"/>
          <w:color w:val="000000"/>
          <w:spacing w:val="-4"/>
          <w:sz w:val="24"/>
          <w:szCs w:val="24"/>
        </w:rPr>
        <w:t xml:space="preserve"> level approved for the healthcare sector.</w:t>
      </w:r>
    </w:p>
    <w:p w14:paraId="2FED6071" w14:textId="77777777" w:rsidR="001E0D74" w:rsidRPr="00040F0A" w:rsidRDefault="001E0D74" w:rsidP="00040F0A">
      <w:pPr>
        <w:widowControl/>
        <w:autoSpaceDE/>
        <w:autoSpaceDN/>
        <w:spacing w:before="42" w:after="60" w:line="360" w:lineRule="auto"/>
        <w:jc w:val="both"/>
        <w:textAlignment w:val="baseline"/>
        <w:rPr>
          <w:rFonts w:ascii="Times New Roman" w:eastAsia="Calibri" w:hAnsi="Times New Roman" w:cs="Times New Roman"/>
          <w:color w:val="000000"/>
          <w:spacing w:val="-4"/>
          <w:sz w:val="24"/>
          <w:szCs w:val="24"/>
        </w:rPr>
      </w:pPr>
      <w:r w:rsidRPr="00040F0A">
        <w:rPr>
          <w:rFonts w:ascii="Times New Roman" w:eastAsia="Calibri" w:hAnsi="Times New Roman" w:cs="Times New Roman"/>
          <w:color w:val="000000"/>
          <w:spacing w:val="-4"/>
          <w:sz w:val="24"/>
          <w:szCs w:val="24"/>
        </w:rPr>
        <w:t xml:space="preserve">As stated by National Safety Council, falls are the top cause of those unintentional injury deaths that are not caused by someone </w:t>
      </w:r>
      <w:proofErr w:type="spellStart"/>
      <w:proofErr w:type="gramStart"/>
      <w:r w:rsidRPr="00040F0A">
        <w:rPr>
          <w:rFonts w:ascii="Times New Roman" w:eastAsia="Calibri" w:hAnsi="Times New Roman" w:cs="Times New Roman"/>
          <w:color w:val="000000"/>
          <w:spacing w:val="-4"/>
          <w:sz w:val="24"/>
          <w:szCs w:val="24"/>
        </w:rPr>
        <w:t>intentional.Non</w:t>
      </w:r>
      <w:proofErr w:type="spellEnd"/>
      <w:proofErr w:type="gramEnd"/>
      <w:r w:rsidRPr="00040F0A">
        <w:rPr>
          <w:rFonts w:ascii="Times New Roman" w:eastAsia="Calibri" w:hAnsi="Times New Roman" w:cs="Times New Roman"/>
          <w:color w:val="000000"/>
          <w:spacing w:val="-4"/>
          <w:sz w:val="24"/>
          <w:szCs w:val="24"/>
        </w:rPr>
        <w:t>-profits organizations such as hospital groups are meant to make financial disclosures. The Fundraising Standards Board and their code "Code of Fundraising Practice" goes deep into the matter of we</w:t>
      </w:r>
      <w:r w:rsidR="00040F0A" w:rsidRPr="00040F0A">
        <w:rPr>
          <w:rFonts w:ascii="Times New Roman" w:eastAsia="Calibri" w:hAnsi="Times New Roman" w:cs="Times New Roman"/>
          <w:color w:val="000000"/>
          <w:spacing w:val="-4"/>
          <w:sz w:val="24"/>
          <w:szCs w:val="24"/>
        </w:rPr>
        <w:t>ll-organized financial controls (</w:t>
      </w:r>
      <w:proofErr w:type="spellStart"/>
      <w:r w:rsidR="00040F0A" w:rsidRPr="00040F0A">
        <w:rPr>
          <w:rFonts w:ascii="Times New Roman" w:hAnsi="Times New Roman" w:cs="Times New Roman"/>
          <w:color w:val="222222"/>
          <w:sz w:val="24"/>
          <w:szCs w:val="24"/>
          <w:shd w:val="clear" w:color="auto" w:fill="FFFFFF"/>
        </w:rPr>
        <w:t>Teaga</w:t>
      </w:r>
      <w:proofErr w:type="spellEnd"/>
      <w:r w:rsidR="00040F0A" w:rsidRPr="00040F0A">
        <w:rPr>
          <w:rFonts w:ascii="Times New Roman" w:hAnsi="Times New Roman" w:cs="Times New Roman"/>
          <w:color w:val="222222"/>
          <w:sz w:val="24"/>
          <w:szCs w:val="24"/>
          <w:shd w:val="clear" w:color="auto" w:fill="FFFFFF"/>
        </w:rPr>
        <w:t xml:space="preserve"> Rajan, 2022).</w:t>
      </w:r>
    </w:p>
    <w:p w14:paraId="4099A1EC" w14:textId="77777777" w:rsidR="001E0D74" w:rsidRPr="00040F0A" w:rsidRDefault="001E0D74" w:rsidP="00040F0A">
      <w:pPr>
        <w:widowControl/>
        <w:autoSpaceDE/>
        <w:autoSpaceDN/>
        <w:spacing w:before="42" w:after="60" w:line="360" w:lineRule="auto"/>
        <w:jc w:val="both"/>
        <w:textAlignment w:val="baseline"/>
        <w:rPr>
          <w:rFonts w:ascii="Times New Roman" w:eastAsia="Calibri" w:hAnsi="Times New Roman" w:cs="Times New Roman"/>
          <w:color w:val="000000"/>
          <w:spacing w:val="-4"/>
          <w:sz w:val="24"/>
          <w:szCs w:val="24"/>
        </w:rPr>
      </w:pPr>
      <w:r w:rsidRPr="00040F0A">
        <w:rPr>
          <w:rFonts w:ascii="Times New Roman" w:eastAsia="Calibri" w:hAnsi="Times New Roman" w:cs="Times New Roman"/>
          <w:b/>
          <w:color w:val="000000"/>
          <w:spacing w:val="-4"/>
          <w:sz w:val="24"/>
          <w:szCs w:val="24"/>
        </w:rPr>
        <w:t>Best Practice Adherence:</w:t>
      </w:r>
      <w:r w:rsidRPr="00040F0A">
        <w:rPr>
          <w:rFonts w:ascii="Times New Roman" w:eastAsia="Calibri" w:hAnsi="Times New Roman" w:cs="Times New Roman"/>
          <w:color w:val="000000"/>
          <w:spacing w:val="-4"/>
          <w:sz w:val="24"/>
          <w:szCs w:val="24"/>
        </w:rPr>
        <w:t xml:space="preserve"> Furthermore, Best Practices in Event Management heritage and specific industries bring in new things like program-wide risk assessments. These methods are documented by years of experience plus feedback data that indicate a noticeable trend towards more successful events in the case of thorough risk planning</w:t>
      </w:r>
      <w:r w:rsidR="00040F0A" w:rsidRPr="00040F0A">
        <w:rPr>
          <w:rFonts w:ascii="Times New Roman" w:eastAsia="Calibri" w:hAnsi="Times New Roman" w:cs="Times New Roman"/>
          <w:color w:val="000000"/>
          <w:spacing w:val="-4"/>
          <w:sz w:val="24"/>
          <w:szCs w:val="24"/>
        </w:rPr>
        <w:t xml:space="preserve"> (</w:t>
      </w:r>
      <w:proofErr w:type="spellStart"/>
      <w:r w:rsidR="00040F0A" w:rsidRPr="00040F0A">
        <w:rPr>
          <w:rFonts w:ascii="Times New Roman" w:hAnsi="Times New Roman" w:cs="Times New Roman"/>
          <w:color w:val="222222"/>
          <w:sz w:val="24"/>
          <w:szCs w:val="24"/>
          <w:shd w:val="clear" w:color="auto" w:fill="FFFFFF"/>
        </w:rPr>
        <w:t>Vodencarevic</w:t>
      </w:r>
      <w:proofErr w:type="spellEnd"/>
      <w:r w:rsidR="00040F0A" w:rsidRPr="00040F0A">
        <w:rPr>
          <w:rFonts w:ascii="Times New Roman" w:hAnsi="Times New Roman" w:cs="Times New Roman"/>
          <w:color w:val="222222"/>
          <w:sz w:val="24"/>
          <w:szCs w:val="24"/>
          <w:shd w:val="clear" w:color="auto" w:fill="FFFFFF"/>
        </w:rPr>
        <w:t xml:space="preserve"> et al., 2022)</w:t>
      </w:r>
      <w:r w:rsidRPr="00040F0A">
        <w:rPr>
          <w:rFonts w:ascii="Times New Roman" w:eastAsia="Calibri" w:hAnsi="Times New Roman" w:cs="Times New Roman"/>
          <w:color w:val="000000"/>
          <w:spacing w:val="-4"/>
          <w:sz w:val="24"/>
          <w:szCs w:val="24"/>
        </w:rPr>
        <w:t>. Take for instance here, stats from the Event Safety Alliance will help with the fact that events with full risk assessments are comparativ</w:t>
      </w:r>
      <w:r w:rsidR="004611B3">
        <w:rPr>
          <w:rFonts w:ascii="Times New Roman" w:eastAsia="Calibri" w:hAnsi="Times New Roman" w:cs="Times New Roman"/>
          <w:color w:val="000000"/>
          <w:spacing w:val="-4"/>
          <w:sz w:val="24"/>
          <w:szCs w:val="24"/>
        </w:rPr>
        <w:t>ely lower with incidents. In this</w:t>
      </w:r>
      <w:r w:rsidRPr="00040F0A">
        <w:rPr>
          <w:rFonts w:ascii="Times New Roman" w:eastAsia="Calibri" w:hAnsi="Times New Roman" w:cs="Times New Roman"/>
          <w:color w:val="000000"/>
          <w:spacing w:val="-4"/>
          <w:sz w:val="24"/>
          <w:szCs w:val="24"/>
        </w:rPr>
        <w:t xml:space="preserve"> case following the best practices means check the possible problems related to crowd management, make necessary arrangements while the weather happens to be unpleasant, and take steps against the situation when the power outage occurs during the musician’s performance at the last moment.</w:t>
      </w:r>
    </w:p>
    <w:p w14:paraId="60E5B087" w14:textId="77777777" w:rsidR="001E0D74" w:rsidRPr="00040F0A" w:rsidRDefault="001E0D74" w:rsidP="00040F0A">
      <w:pPr>
        <w:widowControl/>
        <w:autoSpaceDE/>
        <w:autoSpaceDN/>
        <w:spacing w:before="42" w:after="60" w:line="360" w:lineRule="auto"/>
        <w:jc w:val="both"/>
        <w:textAlignment w:val="baseline"/>
        <w:rPr>
          <w:rFonts w:ascii="Times New Roman" w:eastAsia="Calibri" w:hAnsi="Times New Roman" w:cs="Times New Roman"/>
          <w:color w:val="000000"/>
          <w:spacing w:val="-4"/>
          <w:sz w:val="24"/>
          <w:szCs w:val="24"/>
        </w:rPr>
      </w:pPr>
      <w:r w:rsidRPr="00040F0A">
        <w:rPr>
          <w:rFonts w:ascii="Times New Roman" w:eastAsia="Calibri" w:hAnsi="Times New Roman" w:cs="Times New Roman"/>
          <w:color w:val="000000"/>
          <w:spacing w:val="-4"/>
          <w:sz w:val="24"/>
          <w:szCs w:val="24"/>
        </w:rPr>
        <w:t xml:space="preserve">During the risk management process the hospital shows its commitment to operational excellence by providing the area of the hospital operating with the risk assessment system. The hospital does this by the thorough planning of event for each time and the participants </w:t>
      </w:r>
      <w:proofErr w:type="spellStart"/>
      <w:r w:rsidRPr="00040F0A">
        <w:rPr>
          <w:rFonts w:ascii="Times New Roman" w:eastAsia="Calibri" w:hAnsi="Times New Roman" w:cs="Times New Roman"/>
          <w:color w:val="000000"/>
          <w:spacing w:val="-4"/>
          <w:sz w:val="24"/>
          <w:szCs w:val="24"/>
        </w:rPr>
        <w:t>well being</w:t>
      </w:r>
      <w:proofErr w:type="spellEnd"/>
      <w:r w:rsidRPr="00040F0A">
        <w:rPr>
          <w:rFonts w:ascii="Times New Roman" w:eastAsia="Calibri" w:hAnsi="Times New Roman" w:cs="Times New Roman"/>
          <w:color w:val="000000"/>
          <w:spacing w:val="-4"/>
          <w:sz w:val="24"/>
          <w:szCs w:val="24"/>
        </w:rPr>
        <w:t xml:space="preserve"> in to consideration to establish the hospital as a compassionate and serious </w:t>
      </w:r>
      <w:proofErr w:type="spellStart"/>
      <w:r w:rsidRPr="00040F0A">
        <w:rPr>
          <w:rFonts w:ascii="Times New Roman" w:eastAsia="Calibri" w:hAnsi="Times New Roman" w:cs="Times New Roman"/>
          <w:color w:val="000000"/>
          <w:spacing w:val="-4"/>
          <w:sz w:val="24"/>
          <w:szCs w:val="24"/>
        </w:rPr>
        <w:t>neighbor</w:t>
      </w:r>
      <w:proofErr w:type="spellEnd"/>
      <w:r w:rsidRPr="00040F0A">
        <w:rPr>
          <w:rFonts w:ascii="Times New Roman" w:eastAsia="Calibri" w:hAnsi="Times New Roman" w:cs="Times New Roman"/>
          <w:color w:val="000000"/>
          <w:spacing w:val="-4"/>
          <w:sz w:val="24"/>
          <w:szCs w:val="24"/>
        </w:rPr>
        <w:t>. In this way, the support base of the organization would grow and it will find higher donation/fund-raisi</w:t>
      </w:r>
      <w:r w:rsidR="00040F0A" w:rsidRPr="00040F0A">
        <w:rPr>
          <w:rFonts w:ascii="Times New Roman" w:eastAsia="Calibri" w:hAnsi="Times New Roman" w:cs="Times New Roman"/>
          <w:color w:val="000000"/>
          <w:spacing w:val="-4"/>
          <w:sz w:val="24"/>
          <w:szCs w:val="24"/>
        </w:rPr>
        <w:t>ng outcomes in addition to this (</w:t>
      </w:r>
      <w:r w:rsidR="00040F0A" w:rsidRPr="00040F0A">
        <w:rPr>
          <w:rFonts w:ascii="Times New Roman" w:hAnsi="Times New Roman" w:cs="Times New Roman"/>
          <w:color w:val="222222"/>
          <w:sz w:val="24"/>
          <w:szCs w:val="24"/>
          <w:shd w:val="clear" w:color="auto" w:fill="FFFFFF"/>
        </w:rPr>
        <w:t>Yakob, 2022).</w:t>
      </w:r>
    </w:p>
    <w:p w14:paraId="66B2040E" w14:textId="77777777" w:rsidR="00994DC0" w:rsidRPr="00040F0A" w:rsidRDefault="001E0D74" w:rsidP="00040F0A">
      <w:pPr>
        <w:widowControl/>
        <w:autoSpaceDE/>
        <w:autoSpaceDN/>
        <w:spacing w:before="42" w:after="60" w:line="360" w:lineRule="auto"/>
        <w:jc w:val="both"/>
        <w:textAlignment w:val="baseline"/>
        <w:rPr>
          <w:rFonts w:ascii="Times New Roman" w:eastAsia="Calibri" w:hAnsi="Times New Roman" w:cs="Times New Roman"/>
          <w:color w:val="000000"/>
          <w:spacing w:val="-4"/>
          <w:sz w:val="24"/>
          <w:szCs w:val="24"/>
        </w:rPr>
      </w:pPr>
      <w:r w:rsidRPr="00040F0A">
        <w:rPr>
          <w:rFonts w:ascii="Times New Roman" w:eastAsia="Calibri" w:hAnsi="Times New Roman" w:cs="Times New Roman"/>
          <w:color w:val="000000"/>
          <w:spacing w:val="-4"/>
          <w:sz w:val="24"/>
          <w:szCs w:val="24"/>
        </w:rPr>
        <w:t>To wrap up, the event’s risk assessment is a vital unit that allows us to make sure the event will be safe, legal, and suggestive of the hospital’s strive for excellence above all. This refers to the strict compliance of the organization to laws and other rules; as well as to industry standards and best practices; which all of these together add up to the event’s success and to the hospital’s continuing mission of providing the community exceptional healthcare services</w:t>
      </w:r>
      <w:r w:rsidR="00040F0A" w:rsidRPr="00040F0A">
        <w:rPr>
          <w:rFonts w:ascii="Times New Roman" w:eastAsia="Calibri" w:hAnsi="Times New Roman" w:cs="Times New Roman"/>
          <w:color w:val="000000"/>
          <w:spacing w:val="-4"/>
          <w:sz w:val="24"/>
          <w:szCs w:val="24"/>
        </w:rPr>
        <w:t xml:space="preserve"> (</w:t>
      </w:r>
      <w:r w:rsidR="00040F0A" w:rsidRPr="00040F0A">
        <w:rPr>
          <w:rFonts w:ascii="Times New Roman" w:hAnsi="Times New Roman" w:cs="Times New Roman"/>
          <w:color w:val="222222"/>
          <w:sz w:val="24"/>
          <w:szCs w:val="24"/>
          <w:shd w:val="clear" w:color="auto" w:fill="FFFFFF"/>
        </w:rPr>
        <w:t>Aznar-Crespo et al., 2021)</w:t>
      </w:r>
      <w:r w:rsidRPr="00040F0A">
        <w:rPr>
          <w:rFonts w:ascii="Times New Roman" w:eastAsia="Calibri" w:hAnsi="Times New Roman" w:cs="Times New Roman"/>
          <w:color w:val="000000"/>
          <w:spacing w:val="-4"/>
          <w:sz w:val="24"/>
          <w:szCs w:val="24"/>
        </w:rPr>
        <w:t xml:space="preserve">. Such an assessment is not just about checking the boxes off a list; rather, it is about creating that </w:t>
      </w:r>
      <w:r w:rsidRPr="00040F0A">
        <w:rPr>
          <w:rFonts w:ascii="Times New Roman" w:eastAsia="Calibri" w:hAnsi="Times New Roman" w:cs="Times New Roman"/>
          <w:color w:val="000000"/>
          <w:spacing w:val="-4"/>
          <w:sz w:val="24"/>
          <w:szCs w:val="24"/>
        </w:rPr>
        <w:lastRenderedPageBreak/>
        <w:t>environment where the sense of community and safety are coupled in order to encourage community support for the hospital programs and build confidence in the well-done services.</w:t>
      </w:r>
    </w:p>
    <w:p w14:paraId="56528532"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Arial Unicode MS" w:hAnsi="Times New Roman" w:cs="Times New Roman"/>
          <w:bCs/>
          <w:sz w:val="24"/>
          <w:szCs w:val="24"/>
        </w:rPr>
      </w:pPr>
    </w:p>
    <w:p w14:paraId="36CCAF86"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Arial Unicode MS" w:hAnsi="Times New Roman" w:cs="Times New Roman"/>
          <w:b/>
          <w:sz w:val="24"/>
          <w:szCs w:val="24"/>
        </w:rPr>
      </w:pPr>
    </w:p>
    <w:p w14:paraId="657671C8"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Arial Unicode MS" w:hAnsi="Times New Roman" w:cs="Times New Roman"/>
          <w:b/>
          <w:sz w:val="24"/>
          <w:szCs w:val="24"/>
        </w:rPr>
      </w:pPr>
    </w:p>
    <w:p w14:paraId="0BF7F826"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Arial Unicode MS" w:hAnsi="Times New Roman" w:cs="Times New Roman"/>
          <w:b/>
          <w:sz w:val="24"/>
          <w:szCs w:val="24"/>
        </w:rPr>
      </w:pPr>
    </w:p>
    <w:p w14:paraId="42F79243"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Arial Unicode MS" w:hAnsi="Times New Roman" w:cs="Times New Roman"/>
          <w:b/>
          <w:sz w:val="24"/>
          <w:szCs w:val="24"/>
        </w:rPr>
      </w:pPr>
    </w:p>
    <w:p w14:paraId="2EB2E09E"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Arial Unicode MS" w:hAnsi="Times New Roman" w:cs="Times New Roman"/>
          <w:b/>
          <w:sz w:val="24"/>
          <w:szCs w:val="24"/>
        </w:rPr>
      </w:pPr>
    </w:p>
    <w:p w14:paraId="1F5FE3CB"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Arial Unicode MS" w:hAnsi="Times New Roman" w:cs="Times New Roman"/>
          <w:b/>
          <w:sz w:val="24"/>
          <w:szCs w:val="24"/>
        </w:rPr>
        <w:sectPr w:rsidR="00994DC0" w:rsidRPr="00040F0A" w:rsidSect="000C63D7">
          <w:headerReference w:type="default" r:id="rId8"/>
          <w:footerReference w:type="default" r:id="rId9"/>
          <w:pgSz w:w="11906" w:h="16838"/>
          <w:pgMar w:top="1440" w:right="1440" w:bottom="1440" w:left="1440" w:header="708" w:footer="708" w:gutter="0"/>
          <w:cols w:space="708"/>
          <w:docGrid w:linePitch="360"/>
        </w:sectPr>
      </w:pPr>
    </w:p>
    <w:p w14:paraId="3CB2A6C8" w14:textId="77777777" w:rsidR="00994DC0" w:rsidRPr="00040F0A" w:rsidRDefault="00430DFD"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Arial Unicode MS" w:hAnsi="Times New Roman" w:cs="Times New Roman"/>
          <w:b/>
          <w:sz w:val="24"/>
          <w:szCs w:val="24"/>
        </w:rPr>
      </w:pPr>
      <w:r w:rsidRPr="00040F0A">
        <w:rPr>
          <w:rFonts w:ascii="Times New Roman" w:eastAsia="Arial Unicode MS" w:hAnsi="Times New Roman" w:cs="Times New Roman"/>
          <w:b/>
          <w:sz w:val="24"/>
          <w:szCs w:val="24"/>
        </w:rPr>
        <w:lastRenderedPageBreak/>
        <w:t>4. RISK ASSESSMENT REGISTER</w:t>
      </w:r>
    </w:p>
    <w:p w14:paraId="2CB51DCD"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b/>
          <w:sz w:val="24"/>
          <w:szCs w:val="24"/>
        </w:rPr>
      </w:pPr>
    </w:p>
    <w:tbl>
      <w:tblPr>
        <w:tblW w:w="1361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528"/>
        <w:gridCol w:w="1985"/>
        <w:gridCol w:w="1701"/>
        <w:gridCol w:w="1843"/>
        <w:gridCol w:w="1987"/>
      </w:tblGrid>
      <w:tr w:rsidR="00994DC0" w:rsidRPr="00040F0A" w14:paraId="606521A2" w14:textId="77777777">
        <w:trPr>
          <w:trHeight w:val="322"/>
        </w:trPr>
        <w:tc>
          <w:tcPr>
            <w:tcW w:w="568" w:type="dxa"/>
            <w:tcBorders>
              <w:top w:val="single" w:sz="4" w:space="0" w:color="auto"/>
              <w:left w:val="single" w:sz="4" w:space="0" w:color="auto"/>
              <w:bottom w:val="single" w:sz="4" w:space="0" w:color="auto"/>
              <w:right w:val="single" w:sz="4" w:space="0" w:color="auto"/>
            </w:tcBorders>
            <w:shd w:val="clear" w:color="auto" w:fill="C0C0C0"/>
          </w:tcPr>
          <w:p w14:paraId="3B44FE77" w14:textId="77777777" w:rsidR="00994DC0" w:rsidRPr="004611B3" w:rsidRDefault="00430DFD" w:rsidP="00040F0A">
            <w:pPr>
              <w:spacing w:line="360" w:lineRule="auto"/>
              <w:jc w:val="both"/>
              <w:rPr>
                <w:rFonts w:ascii="Times New Roman" w:hAnsi="Times New Roman" w:cs="Times New Roman"/>
                <w:b/>
                <w:sz w:val="24"/>
                <w:szCs w:val="24"/>
              </w:rPr>
            </w:pPr>
            <w:r w:rsidRPr="004611B3">
              <w:rPr>
                <w:rFonts w:ascii="Times New Roman" w:hAnsi="Times New Roman" w:cs="Times New Roman"/>
                <w:b/>
                <w:sz w:val="24"/>
                <w:szCs w:val="24"/>
              </w:rPr>
              <w:t>Ref</w:t>
            </w:r>
          </w:p>
        </w:tc>
        <w:tc>
          <w:tcPr>
            <w:tcW w:w="5528" w:type="dxa"/>
            <w:tcBorders>
              <w:top w:val="single" w:sz="4" w:space="0" w:color="auto"/>
              <w:left w:val="single" w:sz="4" w:space="0" w:color="auto"/>
              <w:bottom w:val="single" w:sz="4" w:space="0" w:color="auto"/>
              <w:right w:val="single" w:sz="4" w:space="0" w:color="auto"/>
            </w:tcBorders>
            <w:shd w:val="clear" w:color="auto" w:fill="C0C0C0"/>
          </w:tcPr>
          <w:p w14:paraId="60E2EF86" w14:textId="77777777" w:rsidR="00994DC0" w:rsidRPr="004611B3" w:rsidRDefault="00430DFD" w:rsidP="00040F0A">
            <w:pPr>
              <w:spacing w:line="360" w:lineRule="auto"/>
              <w:jc w:val="both"/>
              <w:rPr>
                <w:rFonts w:ascii="Times New Roman" w:hAnsi="Times New Roman" w:cs="Times New Roman"/>
                <w:b/>
                <w:sz w:val="24"/>
                <w:szCs w:val="24"/>
              </w:rPr>
            </w:pPr>
            <w:r w:rsidRPr="004611B3">
              <w:rPr>
                <w:rFonts w:ascii="Times New Roman" w:hAnsi="Times New Roman" w:cs="Times New Roman"/>
                <w:b/>
                <w:sz w:val="24"/>
                <w:szCs w:val="24"/>
              </w:rPr>
              <w:t>Risk Description</w:t>
            </w:r>
          </w:p>
        </w:tc>
        <w:tc>
          <w:tcPr>
            <w:tcW w:w="1985" w:type="dxa"/>
            <w:tcBorders>
              <w:top w:val="single" w:sz="4" w:space="0" w:color="auto"/>
              <w:left w:val="single" w:sz="4" w:space="0" w:color="auto"/>
              <w:bottom w:val="single" w:sz="4" w:space="0" w:color="auto"/>
              <w:right w:val="single" w:sz="4" w:space="0" w:color="auto"/>
            </w:tcBorders>
            <w:shd w:val="clear" w:color="auto" w:fill="C0C0C0"/>
          </w:tcPr>
          <w:p w14:paraId="7D0BCEC7" w14:textId="77777777" w:rsidR="00994DC0" w:rsidRPr="004611B3" w:rsidRDefault="00430DFD" w:rsidP="00040F0A">
            <w:pPr>
              <w:spacing w:line="360" w:lineRule="auto"/>
              <w:jc w:val="both"/>
              <w:rPr>
                <w:rFonts w:ascii="Times New Roman" w:hAnsi="Times New Roman" w:cs="Times New Roman"/>
                <w:b/>
                <w:sz w:val="24"/>
                <w:szCs w:val="24"/>
              </w:rPr>
            </w:pPr>
            <w:r w:rsidRPr="004611B3">
              <w:rPr>
                <w:rFonts w:ascii="Times New Roman" w:hAnsi="Times New Roman" w:cs="Times New Roman"/>
                <w:b/>
                <w:sz w:val="24"/>
                <w:szCs w:val="24"/>
              </w:rPr>
              <w:t>Likelihood of occurrence (Score 1-5)</w:t>
            </w:r>
          </w:p>
        </w:tc>
        <w:tc>
          <w:tcPr>
            <w:tcW w:w="1701" w:type="dxa"/>
            <w:tcBorders>
              <w:top w:val="single" w:sz="4" w:space="0" w:color="auto"/>
              <w:left w:val="single" w:sz="4" w:space="0" w:color="auto"/>
              <w:bottom w:val="single" w:sz="4" w:space="0" w:color="auto"/>
              <w:right w:val="single" w:sz="4" w:space="0" w:color="auto"/>
            </w:tcBorders>
            <w:shd w:val="clear" w:color="auto" w:fill="C0C0C0"/>
          </w:tcPr>
          <w:p w14:paraId="4908A619" w14:textId="77777777" w:rsidR="00994DC0" w:rsidRPr="004611B3" w:rsidRDefault="00430DFD" w:rsidP="00040F0A">
            <w:pPr>
              <w:spacing w:line="360" w:lineRule="auto"/>
              <w:jc w:val="both"/>
              <w:rPr>
                <w:rFonts w:ascii="Times New Roman" w:hAnsi="Times New Roman" w:cs="Times New Roman"/>
                <w:b/>
                <w:sz w:val="24"/>
                <w:szCs w:val="24"/>
              </w:rPr>
            </w:pPr>
            <w:r w:rsidRPr="004611B3">
              <w:rPr>
                <w:rFonts w:ascii="Times New Roman" w:hAnsi="Times New Roman" w:cs="Times New Roman"/>
                <w:b/>
                <w:sz w:val="24"/>
                <w:szCs w:val="24"/>
              </w:rPr>
              <w:t>Impact of Risk occurrence (Score 1-5)</w:t>
            </w:r>
          </w:p>
        </w:tc>
        <w:tc>
          <w:tcPr>
            <w:tcW w:w="1843" w:type="dxa"/>
            <w:tcBorders>
              <w:top w:val="single" w:sz="4" w:space="0" w:color="auto"/>
              <w:left w:val="single" w:sz="4" w:space="0" w:color="auto"/>
              <w:bottom w:val="single" w:sz="4" w:space="0" w:color="auto"/>
              <w:right w:val="single" w:sz="4" w:space="0" w:color="auto"/>
            </w:tcBorders>
            <w:shd w:val="clear" w:color="auto" w:fill="C0C0C0"/>
          </w:tcPr>
          <w:p w14:paraId="6BD8E605" w14:textId="77777777" w:rsidR="00994DC0" w:rsidRPr="004611B3" w:rsidRDefault="00430DFD" w:rsidP="00040F0A">
            <w:pPr>
              <w:spacing w:line="360" w:lineRule="auto"/>
              <w:jc w:val="both"/>
              <w:rPr>
                <w:rFonts w:ascii="Times New Roman" w:hAnsi="Times New Roman" w:cs="Times New Roman"/>
                <w:b/>
                <w:sz w:val="24"/>
                <w:szCs w:val="24"/>
              </w:rPr>
            </w:pPr>
            <w:r w:rsidRPr="004611B3">
              <w:rPr>
                <w:rFonts w:ascii="Times New Roman" w:hAnsi="Times New Roman" w:cs="Times New Roman"/>
                <w:b/>
                <w:sz w:val="24"/>
                <w:szCs w:val="24"/>
              </w:rPr>
              <w:t>Risk Score (Likelihood x Occurrence)</w:t>
            </w:r>
          </w:p>
        </w:tc>
        <w:tc>
          <w:tcPr>
            <w:tcW w:w="1987" w:type="dxa"/>
            <w:tcBorders>
              <w:top w:val="single" w:sz="4" w:space="0" w:color="auto"/>
              <w:left w:val="single" w:sz="4" w:space="0" w:color="auto"/>
              <w:bottom w:val="single" w:sz="4" w:space="0" w:color="auto"/>
              <w:right w:val="single" w:sz="4" w:space="0" w:color="auto"/>
            </w:tcBorders>
            <w:shd w:val="clear" w:color="auto" w:fill="C0C0C0"/>
          </w:tcPr>
          <w:p w14:paraId="7AFD3EF4" w14:textId="77777777" w:rsidR="00994DC0" w:rsidRPr="004611B3" w:rsidRDefault="00430DFD" w:rsidP="00040F0A">
            <w:pPr>
              <w:spacing w:line="360" w:lineRule="auto"/>
              <w:jc w:val="both"/>
              <w:rPr>
                <w:rFonts w:ascii="Times New Roman" w:hAnsi="Times New Roman" w:cs="Times New Roman"/>
                <w:b/>
                <w:sz w:val="24"/>
                <w:szCs w:val="24"/>
              </w:rPr>
            </w:pPr>
            <w:r w:rsidRPr="004611B3">
              <w:rPr>
                <w:rFonts w:ascii="Times New Roman" w:hAnsi="Times New Roman" w:cs="Times New Roman"/>
                <w:b/>
                <w:sz w:val="24"/>
                <w:szCs w:val="24"/>
              </w:rPr>
              <w:t>Risk Severity (High, Medium, or Low)</w:t>
            </w:r>
          </w:p>
        </w:tc>
      </w:tr>
      <w:tr w:rsidR="00994DC0" w:rsidRPr="00040F0A" w14:paraId="7B3A79A6" w14:textId="77777777" w:rsidTr="004611B3">
        <w:trPr>
          <w:trHeight w:val="659"/>
        </w:trPr>
        <w:tc>
          <w:tcPr>
            <w:tcW w:w="568" w:type="dxa"/>
            <w:tcBorders>
              <w:top w:val="single" w:sz="4" w:space="0" w:color="auto"/>
              <w:left w:val="single" w:sz="4" w:space="0" w:color="auto"/>
              <w:bottom w:val="single" w:sz="4" w:space="0" w:color="auto"/>
              <w:right w:val="single" w:sz="4" w:space="0" w:color="auto"/>
            </w:tcBorders>
          </w:tcPr>
          <w:p w14:paraId="22C81B98" w14:textId="77777777" w:rsidR="00994DC0" w:rsidRPr="00040F0A" w:rsidRDefault="00994DC0" w:rsidP="00040F0A">
            <w:pPr>
              <w:spacing w:line="360" w:lineRule="auto"/>
              <w:jc w:val="both"/>
              <w:rPr>
                <w:rFonts w:ascii="Times New Roman" w:hAnsi="Times New Roman" w:cs="Times New Roman"/>
                <w:sz w:val="24"/>
                <w:szCs w:val="24"/>
              </w:rPr>
            </w:pPr>
          </w:p>
          <w:p w14:paraId="71D76497" w14:textId="77777777" w:rsidR="00994DC0" w:rsidRPr="00040F0A" w:rsidRDefault="00430DFD"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1</w:t>
            </w:r>
          </w:p>
        </w:tc>
        <w:tc>
          <w:tcPr>
            <w:tcW w:w="5528" w:type="dxa"/>
            <w:tcBorders>
              <w:top w:val="single" w:sz="4" w:space="0" w:color="auto"/>
              <w:left w:val="single" w:sz="4" w:space="0" w:color="auto"/>
              <w:bottom w:val="single" w:sz="4" w:space="0" w:color="auto"/>
              <w:right w:val="single" w:sz="4" w:space="0" w:color="auto"/>
            </w:tcBorders>
          </w:tcPr>
          <w:p w14:paraId="6F3AF4E8"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 xml:space="preserve">Food </w:t>
            </w:r>
            <w:proofErr w:type="spellStart"/>
            <w:r w:rsidRPr="00040F0A">
              <w:rPr>
                <w:rFonts w:ascii="Times New Roman" w:hAnsi="Times New Roman" w:cs="Times New Roman"/>
                <w:sz w:val="24"/>
                <w:szCs w:val="24"/>
              </w:rPr>
              <w:t>poisioning</w:t>
            </w:r>
            <w:proofErr w:type="spellEnd"/>
            <w:r w:rsidRPr="00040F0A">
              <w:rPr>
                <w:rFonts w:ascii="Times New Roman" w:hAnsi="Times New Roman" w:cs="Times New Roman"/>
                <w:sz w:val="24"/>
                <w:szCs w:val="24"/>
              </w:rPr>
              <w:t xml:space="preserve"> from bake sale items</w:t>
            </w:r>
          </w:p>
        </w:tc>
        <w:tc>
          <w:tcPr>
            <w:tcW w:w="1985" w:type="dxa"/>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43D25274"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9BBB59" w:themeFill="accent3"/>
          </w:tcPr>
          <w:p w14:paraId="76B214D0"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4</w:t>
            </w:r>
          </w:p>
        </w:tc>
        <w:tc>
          <w:tcPr>
            <w:tcW w:w="1843" w:type="dxa"/>
            <w:tcBorders>
              <w:top w:val="single" w:sz="4" w:space="0" w:color="auto"/>
              <w:left w:val="single" w:sz="4" w:space="0" w:color="auto"/>
              <w:bottom w:val="single" w:sz="4" w:space="0" w:color="auto"/>
              <w:right w:val="single" w:sz="4" w:space="0" w:color="auto"/>
            </w:tcBorders>
            <w:shd w:val="clear" w:color="auto" w:fill="C00000"/>
          </w:tcPr>
          <w:p w14:paraId="28D56640"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8</w:t>
            </w:r>
          </w:p>
        </w:tc>
        <w:tc>
          <w:tcPr>
            <w:tcW w:w="1987"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14:paraId="1DC0744D" w14:textId="77777777" w:rsidR="00994DC0" w:rsidRPr="00040F0A" w:rsidRDefault="001E0D74" w:rsidP="00040F0A">
            <w:pPr>
              <w:spacing w:line="360" w:lineRule="auto"/>
              <w:jc w:val="both"/>
              <w:rPr>
                <w:rFonts w:ascii="Times New Roman" w:hAnsi="Times New Roman" w:cs="Times New Roman"/>
                <w:b/>
                <w:sz w:val="24"/>
                <w:szCs w:val="24"/>
              </w:rPr>
            </w:pPr>
            <w:r w:rsidRPr="00040F0A">
              <w:rPr>
                <w:rFonts w:ascii="Times New Roman" w:hAnsi="Times New Roman" w:cs="Times New Roman"/>
                <w:b/>
                <w:sz w:val="24"/>
                <w:szCs w:val="24"/>
              </w:rPr>
              <w:t xml:space="preserve">Medium </w:t>
            </w:r>
          </w:p>
        </w:tc>
      </w:tr>
      <w:tr w:rsidR="00994DC0" w:rsidRPr="00040F0A" w14:paraId="3640C69A" w14:textId="77777777" w:rsidTr="004611B3">
        <w:trPr>
          <w:trHeight w:val="642"/>
        </w:trPr>
        <w:tc>
          <w:tcPr>
            <w:tcW w:w="568" w:type="dxa"/>
            <w:tcBorders>
              <w:top w:val="single" w:sz="4" w:space="0" w:color="auto"/>
              <w:left w:val="single" w:sz="4" w:space="0" w:color="auto"/>
              <w:bottom w:val="single" w:sz="4" w:space="0" w:color="auto"/>
              <w:right w:val="single" w:sz="4" w:space="0" w:color="auto"/>
            </w:tcBorders>
          </w:tcPr>
          <w:p w14:paraId="0D59C0AE" w14:textId="77777777" w:rsidR="00994DC0" w:rsidRPr="00040F0A" w:rsidRDefault="00994DC0" w:rsidP="00040F0A">
            <w:pPr>
              <w:spacing w:line="360" w:lineRule="auto"/>
              <w:jc w:val="both"/>
              <w:rPr>
                <w:rFonts w:ascii="Times New Roman" w:hAnsi="Times New Roman" w:cs="Times New Roman"/>
                <w:sz w:val="24"/>
                <w:szCs w:val="24"/>
              </w:rPr>
            </w:pPr>
          </w:p>
          <w:p w14:paraId="474191ED" w14:textId="77777777" w:rsidR="00994DC0" w:rsidRPr="00040F0A" w:rsidRDefault="00430DFD"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2</w:t>
            </w:r>
          </w:p>
        </w:tc>
        <w:tc>
          <w:tcPr>
            <w:tcW w:w="5528" w:type="dxa"/>
            <w:tcBorders>
              <w:top w:val="single" w:sz="4" w:space="0" w:color="auto"/>
              <w:left w:val="single" w:sz="4" w:space="0" w:color="auto"/>
              <w:bottom w:val="single" w:sz="4" w:space="0" w:color="auto"/>
              <w:right w:val="single" w:sz="4" w:space="0" w:color="auto"/>
            </w:tcBorders>
          </w:tcPr>
          <w:p w14:paraId="39880C36"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Raffle without proper licences</w:t>
            </w:r>
          </w:p>
        </w:tc>
        <w:tc>
          <w:tcPr>
            <w:tcW w:w="1985" w:type="dxa"/>
            <w:tcBorders>
              <w:top w:val="single" w:sz="4" w:space="0" w:color="auto"/>
              <w:left w:val="single" w:sz="4" w:space="0" w:color="auto"/>
              <w:bottom w:val="single" w:sz="4" w:space="0" w:color="auto"/>
              <w:right w:val="single" w:sz="4" w:space="0" w:color="auto"/>
            </w:tcBorders>
            <w:shd w:val="clear" w:color="auto" w:fill="FFC000"/>
          </w:tcPr>
          <w:p w14:paraId="334948A9"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B2A1C7" w:themeFill="accent4" w:themeFillTint="99"/>
          </w:tcPr>
          <w:p w14:paraId="1D755B74"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5</w:t>
            </w:r>
          </w:p>
        </w:tc>
        <w:tc>
          <w:tcPr>
            <w:tcW w:w="1843"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14:paraId="3A4245BC"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5</w:t>
            </w:r>
          </w:p>
        </w:tc>
        <w:tc>
          <w:tcPr>
            <w:tcW w:w="1987"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14:paraId="1B7A19E9" w14:textId="77777777" w:rsidR="00994DC0" w:rsidRPr="00040F0A" w:rsidRDefault="001E0D74" w:rsidP="00040F0A">
            <w:pPr>
              <w:spacing w:line="360" w:lineRule="auto"/>
              <w:jc w:val="both"/>
              <w:rPr>
                <w:rFonts w:ascii="Times New Roman" w:hAnsi="Times New Roman" w:cs="Times New Roman"/>
                <w:b/>
                <w:sz w:val="24"/>
                <w:szCs w:val="24"/>
              </w:rPr>
            </w:pPr>
            <w:r w:rsidRPr="00040F0A">
              <w:rPr>
                <w:rFonts w:ascii="Times New Roman" w:hAnsi="Times New Roman" w:cs="Times New Roman"/>
                <w:b/>
                <w:sz w:val="24"/>
                <w:szCs w:val="24"/>
              </w:rPr>
              <w:t xml:space="preserve">Medium </w:t>
            </w:r>
          </w:p>
        </w:tc>
      </w:tr>
      <w:tr w:rsidR="00994DC0" w:rsidRPr="00040F0A" w14:paraId="380510A2" w14:textId="77777777" w:rsidTr="004611B3">
        <w:trPr>
          <w:trHeight w:val="659"/>
        </w:trPr>
        <w:tc>
          <w:tcPr>
            <w:tcW w:w="568" w:type="dxa"/>
            <w:tcBorders>
              <w:top w:val="single" w:sz="4" w:space="0" w:color="auto"/>
              <w:left w:val="single" w:sz="4" w:space="0" w:color="auto"/>
              <w:bottom w:val="single" w:sz="4" w:space="0" w:color="auto"/>
              <w:right w:val="single" w:sz="4" w:space="0" w:color="auto"/>
            </w:tcBorders>
          </w:tcPr>
          <w:p w14:paraId="6E0FDC4E" w14:textId="77777777" w:rsidR="00994DC0" w:rsidRPr="00040F0A" w:rsidRDefault="00994DC0" w:rsidP="00040F0A">
            <w:pPr>
              <w:spacing w:line="360" w:lineRule="auto"/>
              <w:jc w:val="both"/>
              <w:rPr>
                <w:rFonts w:ascii="Times New Roman" w:hAnsi="Times New Roman" w:cs="Times New Roman"/>
                <w:sz w:val="24"/>
                <w:szCs w:val="24"/>
              </w:rPr>
            </w:pPr>
          </w:p>
          <w:p w14:paraId="71839EC9" w14:textId="77777777" w:rsidR="00994DC0" w:rsidRPr="00040F0A" w:rsidRDefault="00430DFD"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3</w:t>
            </w:r>
          </w:p>
        </w:tc>
        <w:tc>
          <w:tcPr>
            <w:tcW w:w="5528" w:type="dxa"/>
            <w:tcBorders>
              <w:top w:val="single" w:sz="4" w:space="0" w:color="auto"/>
              <w:left w:val="single" w:sz="4" w:space="0" w:color="auto"/>
              <w:bottom w:val="single" w:sz="4" w:space="0" w:color="auto"/>
              <w:right w:val="single" w:sz="4" w:space="0" w:color="auto"/>
            </w:tcBorders>
          </w:tcPr>
          <w:p w14:paraId="616F6800"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Injury from overcrowding during the event</w:t>
            </w:r>
          </w:p>
        </w:tc>
        <w:tc>
          <w:tcPr>
            <w:tcW w:w="1985" w:type="dxa"/>
            <w:tcBorders>
              <w:top w:val="single" w:sz="4" w:space="0" w:color="auto"/>
              <w:left w:val="single" w:sz="4" w:space="0" w:color="auto"/>
              <w:bottom w:val="single" w:sz="4" w:space="0" w:color="auto"/>
              <w:right w:val="single" w:sz="4" w:space="0" w:color="auto"/>
            </w:tcBorders>
            <w:shd w:val="clear" w:color="auto" w:fill="FFFF00"/>
          </w:tcPr>
          <w:p w14:paraId="09F59FE5"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shd w:val="clear" w:color="auto" w:fill="9BBB59" w:themeFill="accent3"/>
          </w:tcPr>
          <w:p w14:paraId="2F03CA24"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4</w:t>
            </w:r>
          </w:p>
        </w:tc>
        <w:tc>
          <w:tcPr>
            <w:tcW w:w="1843" w:type="dxa"/>
            <w:tcBorders>
              <w:top w:val="single" w:sz="4" w:space="0" w:color="auto"/>
              <w:left w:val="single" w:sz="4" w:space="0" w:color="auto"/>
              <w:bottom w:val="single" w:sz="4" w:space="0" w:color="auto"/>
              <w:right w:val="single" w:sz="4" w:space="0" w:color="auto"/>
            </w:tcBorders>
            <w:shd w:val="clear" w:color="auto" w:fill="FF0000"/>
          </w:tcPr>
          <w:p w14:paraId="3F6E9887"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12</w:t>
            </w:r>
          </w:p>
        </w:tc>
        <w:tc>
          <w:tcPr>
            <w:tcW w:w="1987" w:type="dxa"/>
            <w:tcBorders>
              <w:top w:val="single" w:sz="4" w:space="0" w:color="auto"/>
              <w:left w:val="single" w:sz="4" w:space="0" w:color="auto"/>
              <w:bottom w:val="single" w:sz="4" w:space="0" w:color="auto"/>
              <w:right w:val="single" w:sz="4" w:space="0" w:color="auto"/>
            </w:tcBorders>
            <w:shd w:val="clear" w:color="auto" w:fill="FF0000"/>
          </w:tcPr>
          <w:p w14:paraId="10DE3788" w14:textId="77777777" w:rsidR="00994DC0" w:rsidRPr="00040F0A" w:rsidRDefault="001E0D74" w:rsidP="00040F0A">
            <w:pPr>
              <w:spacing w:line="360" w:lineRule="auto"/>
              <w:jc w:val="both"/>
              <w:rPr>
                <w:rFonts w:ascii="Times New Roman" w:hAnsi="Times New Roman" w:cs="Times New Roman"/>
                <w:b/>
                <w:sz w:val="24"/>
                <w:szCs w:val="24"/>
              </w:rPr>
            </w:pPr>
            <w:r w:rsidRPr="00040F0A">
              <w:rPr>
                <w:rFonts w:ascii="Times New Roman" w:hAnsi="Times New Roman" w:cs="Times New Roman"/>
                <w:b/>
                <w:sz w:val="24"/>
                <w:szCs w:val="24"/>
              </w:rPr>
              <w:t xml:space="preserve">High </w:t>
            </w:r>
          </w:p>
        </w:tc>
      </w:tr>
      <w:tr w:rsidR="00994DC0" w:rsidRPr="00040F0A" w14:paraId="45D64B68" w14:textId="77777777" w:rsidTr="004611B3">
        <w:trPr>
          <w:trHeight w:val="659"/>
        </w:trPr>
        <w:tc>
          <w:tcPr>
            <w:tcW w:w="568" w:type="dxa"/>
            <w:tcBorders>
              <w:top w:val="single" w:sz="4" w:space="0" w:color="auto"/>
              <w:left w:val="single" w:sz="4" w:space="0" w:color="auto"/>
              <w:bottom w:val="single" w:sz="4" w:space="0" w:color="auto"/>
              <w:right w:val="single" w:sz="4" w:space="0" w:color="auto"/>
            </w:tcBorders>
          </w:tcPr>
          <w:p w14:paraId="355BE17B" w14:textId="77777777" w:rsidR="00994DC0" w:rsidRPr="00040F0A" w:rsidRDefault="00994DC0" w:rsidP="00040F0A">
            <w:pPr>
              <w:spacing w:line="360" w:lineRule="auto"/>
              <w:jc w:val="both"/>
              <w:rPr>
                <w:rFonts w:ascii="Times New Roman" w:hAnsi="Times New Roman" w:cs="Times New Roman"/>
                <w:sz w:val="24"/>
                <w:szCs w:val="24"/>
              </w:rPr>
            </w:pPr>
          </w:p>
          <w:p w14:paraId="20E6023A" w14:textId="77777777" w:rsidR="00994DC0" w:rsidRPr="00040F0A" w:rsidRDefault="00430DFD"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4</w:t>
            </w:r>
          </w:p>
        </w:tc>
        <w:tc>
          <w:tcPr>
            <w:tcW w:w="5528" w:type="dxa"/>
            <w:tcBorders>
              <w:top w:val="single" w:sz="4" w:space="0" w:color="auto"/>
              <w:left w:val="single" w:sz="4" w:space="0" w:color="auto"/>
              <w:bottom w:val="single" w:sz="4" w:space="0" w:color="auto"/>
              <w:right w:val="single" w:sz="4" w:space="0" w:color="auto"/>
            </w:tcBorders>
          </w:tcPr>
          <w:p w14:paraId="32F03D0B"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 xml:space="preserve">Equipment failure for the musician </w:t>
            </w:r>
          </w:p>
        </w:tc>
        <w:tc>
          <w:tcPr>
            <w:tcW w:w="1985" w:type="dxa"/>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45629DE5"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4F6228" w:themeFill="accent3" w:themeFillShade="80"/>
          </w:tcPr>
          <w:p w14:paraId="73503E4B"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E36C0A" w:themeFill="accent6" w:themeFillShade="BF"/>
          </w:tcPr>
          <w:p w14:paraId="6872B6DC"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6</w:t>
            </w:r>
          </w:p>
        </w:tc>
        <w:tc>
          <w:tcPr>
            <w:tcW w:w="1987"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14:paraId="13DDFA41" w14:textId="77777777" w:rsidR="00994DC0" w:rsidRPr="00040F0A" w:rsidRDefault="001E0D74" w:rsidP="00040F0A">
            <w:pPr>
              <w:spacing w:line="360" w:lineRule="auto"/>
              <w:jc w:val="both"/>
              <w:rPr>
                <w:rFonts w:ascii="Times New Roman" w:hAnsi="Times New Roman" w:cs="Times New Roman"/>
                <w:b/>
                <w:sz w:val="24"/>
                <w:szCs w:val="24"/>
              </w:rPr>
            </w:pPr>
            <w:r w:rsidRPr="00040F0A">
              <w:rPr>
                <w:rFonts w:ascii="Times New Roman" w:hAnsi="Times New Roman" w:cs="Times New Roman"/>
                <w:b/>
                <w:sz w:val="24"/>
                <w:szCs w:val="24"/>
              </w:rPr>
              <w:t xml:space="preserve">Medium </w:t>
            </w:r>
          </w:p>
        </w:tc>
      </w:tr>
      <w:tr w:rsidR="00994DC0" w:rsidRPr="00040F0A" w14:paraId="4EAD0173" w14:textId="77777777" w:rsidTr="004611B3">
        <w:trPr>
          <w:trHeight w:val="642"/>
        </w:trPr>
        <w:tc>
          <w:tcPr>
            <w:tcW w:w="568" w:type="dxa"/>
            <w:tcBorders>
              <w:top w:val="single" w:sz="4" w:space="0" w:color="auto"/>
              <w:left w:val="single" w:sz="4" w:space="0" w:color="auto"/>
              <w:bottom w:val="single" w:sz="4" w:space="0" w:color="auto"/>
              <w:right w:val="single" w:sz="4" w:space="0" w:color="auto"/>
            </w:tcBorders>
          </w:tcPr>
          <w:p w14:paraId="4917ACAC" w14:textId="77777777" w:rsidR="00994DC0" w:rsidRPr="00040F0A" w:rsidRDefault="00994DC0" w:rsidP="00040F0A">
            <w:pPr>
              <w:spacing w:line="360" w:lineRule="auto"/>
              <w:jc w:val="both"/>
              <w:rPr>
                <w:rFonts w:ascii="Times New Roman" w:hAnsi="Times New Roman" w:cs="Times New Roman"/>
                <w:sz w:val="24"/>
                <w:szCs w:val="24"/>
              </w:rPr>
            </w:pPr>
          </w:p>
          <w:p w14:paraId="2C481ECC" w14:textId="77777777" w:rsidR="00994DC0" w:rsidRPr="00040F0A" w:rsidRDefault="00430DFD"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5</w:t>
            </w:r>
          </w:p>
        </w:tc>
        <w:tc>
          <w:tcPr>
            <w:tcW w:w="5528" w:type="dxa"/>
            <w:tcBorders>
              <w:top w:val="single" w:sz="4" w:space="0" w:color="auto"/>
              <w:left w:val="single" w:sz="4" w:space="0" w:color="auto"/>
              <w:bottom w:val="single" w:sz="4" w:space="0" w:color="auto"/>
              <w:right w:val="single" w:sz="4" w:space="0" w:color="auto"/>
            </w:tcBorders>
          </w:tcPr>
          <w:p w14:paraId="65D2498E"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Theft or loss of raffle proceeds</w:t>
            </w:r>
          </w:p>
        </w:tc>
        <w:tc>
          <w:tcPr>
            <w:tcW w:w="1985" w:type="dxa"/>
            <w:tcBorders>
              <w:top w:val="single" w:sz="4" w:space="0" w:color="auto"/>
              <w:left w:val="single" w:sz="4" w:space="0" w:color="auto"/>
              <w:bottom w:val="single" w:sz="4" w:space="0" w:color="auto"/>
              <w:right w:val="single" w:sz="4" w:space="0" w:color="auto"/>
            </w:tcBorders>
            <w:shd w:val="clear" w:color="auto" w:fill="FFC000"/>
          </w:tcPr>
          <w:p w14:paraId="4F5CB76F"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14:paraId="32F5F7EA"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5</w:t>
            </w:r>
          </w:p>
        </w:tc>
        <w:tc>
          <w:tcPr>
            <w:tcW w:w="1843"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14:paraId="213496A3" w14:textId="77777777" w:rsidR="00994DC0" w:rsidRPr="00040F0A" w:rsidRDefault="001E0D74" w:rsidP="00040F0A">
            <w:pPr>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t>5</w:t>
            </w:r>
          </w:p>
        </w:tc>
        <w:tc>
          <w:tcPr>
            <w:tcW w:w="1987"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14:paraId="7983C1C1" w14:textId="77777777" w:rsidR="00994DC0" w:rsidRPr="00040F0A" w:rsidRDefault="001E0D74" w:rsidP="00040F0A">
            <w:pPr>
              <w:spacing w:line="360" w:lineRule="auto"/>
              <w:jc w:val="both"/>
              <w:rPr>
                <w:rFonts w:ascii="Times New Roman" w:hAnsi="Times New Roman" w:cs="Times New Roman"/>
                <w:b/>
                <w:sz w:val="24"/>
                <w:szCs w:val="24"/>
              </w:rPr>
            </w:pPr>
            <w:r w:rsidRPr="00040F0A">
              <w:rPr>
                <w:rFonts w:ascii="Times New Roman" w:hAnsi="Times New Roman" w:cs="Times New Roman"/>
                <w:b/>
                <w:sz w:val="24"/>
                <w:szCs w:val="24"/>
              </w:rPr>
              <w:t xml:space="preserve">Medium </w:t>
            </w:r>
          </w:p>
        </w:tc>
      </w:tr>
    </w:tbl>
    <w:p w14:paraId="5E1D67D3"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b/>
          <w:sz w:val="24"/>
          <w:szCs w:val="24"/>
        </w:rPr>
      </w:pPr>
    </w:p>
    <w:tbl>
      <w:tblPr>
        <w:tblStyle w:val="TableGrid"/>
        <w:tblW w:w="0" w:type="auto"/>
        <w:tblLook w:val="04A0" w:firstRow="1" w:lastRow="0" w:firstColumn="1" w:lastColumn="0" w:noHBand="0" w:noVBand="1"/>
      </w:tblPr>
      <w:tblGrid>
        <w:gridCol w:w="13948"/>
      </w:tblGrid>
      <w:tr w:rsidR="001E0D74" w:rsidRPr="00040F0A" w14:paraId="0CE81171" w14:textId="77777777" w:rsidTr="001E0D74">
        <w:tc>
          <w:tcPr>
            <w:tcW w:w="13948" w:type="dxa"/>
          </w:tcPr>
          <w:p w14:paraId="2924FBB2" w14:textId="77777777" w:rsidR="001E0D74" w:rsidRPr="00040F0A" w:rsidRDefault="001E0D74"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b/>
                <w:sz w:val="24"/>
                <w:szCs w:val="24"/>
              </w:rPr>
            </w:pPr>
          </w:p>
          <w:p w14:paraId="0AD8A0AD" w14:textId="77777777" w:rsidR="001E0D74" w:rsidRPr="00040F0A" w:rsidRDefault="001E0D74" w:rsidP="00040F0A">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b/>
                <w:sz w:val="24"/>
                <w:szCs w:val="24"/>
              </w:rPr>
              <w:t>Ref 1:</w:t>
            </w:r>
            <w:r w:rsidRPr="00040F0A">
              <w:rPr>
                <w:rFonts w:ascii="Times New Roman" w:eastAsia="Arial Unicode MS" w:hAnsi="Times New Roman" w:cs="Times New Roman"/>
                <w:sz w:val="24"/>
                <w:szCs w:val="24"/>
              </w:rPr>
              <w:t xml:space="preserve"> Food is a universal need and, therefore, food safety is also a key area. Though the threat factor is very low as the provision of healthcare products demand high modification under the FDA, the impact is high if such a breach for patients could come concerning their health impacts.</w:t>
            </w:r>
          </w:p>
          <w:p w14:paraId="3398CB7D" w14:textId="77777777" w:rsidR="001E0D74" w:rsidRPr="00040F0A" w:rsidRDefault="001E0D74" w:rsidP="00040F0A">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b/>
                <w:sz w:val="24"/>
                <w:szCs w:val="24"/>
              </w:rPr>
              <w:lastRenderedPageBreak/>
              <w:t>Ref 2:</w:t>
            </w:r>
            <w:r w:rsidRPr="00040F0A">
              <w:rPr>
                <w:rFonts w:ascii="Times New Roman" w:eastAsia="Arial Unicode MS" w:hAnsi="Times New Roman" w:cs="Times New Roman"/>
                <w:sz w:val="24"/>
                <w:szCs w:val="24"/>
              </w:rPr>
              <w:t xml:space="preserve"> Making sure to stick to the regulations of the local law that apply to raffles is something that one must focus on. This is not probably to be expected, provided that good order prevails, but the effect can be nota</w:t>
            </w:r>
            <w:r w:rsidR="00040F0A" w:rsidRPr="00040F0A">
              <w:rPr>
                <w:rFonts w:ascii="Times New Roman" w:eastAsia="Arial Unicode MS" w:hAnsi="Times New Roman" w:cs="Times New Roman"/>
                <w:sz w:val="24"/>
                <w:szCs w:val="24"/>
              </w:rPr>
              <w:t>ble, due to legal concerns</w:t>
            </w:r>
          </w:p>
          <w:p w14:paraId="07C34E8F" w14:textId="77777777" w:rsidR="001E0D74" w:rsidRPr="00040F0A" w:rsidRDefault="001E0D74" w:rsidP="00040F0A">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b/>
                <w:sz w:val="24"/>
                <w:szCs w:val="24"/>
              </w:rPr>
              <w:t>Ref 3:</w:t>
            </w:r>
            <w:r w:rsidRPr="00040F0A">
              <w:rPr>
                <w:rFonts w:ascii="Times New Roman" w:eastAsia="Arial Unicode MS" w:hAnsi="Times New Roman" w:cs="Times New Roman"/>
                <w:sz w:val="24"/>
                <w:szCs w:val="24"/>
              </w:rPr>
              <w:t xml:space="preserve"> The possibility of an injury is more likely with a bigger group of vehicles. How high </w:t>
            </w:r>
            <w:proofErr w:type="spellStart"/>
            <w:r w:rsidRPr="00040F0A">
              <w:rPr>
                <w:rFonts w:ascii="Times New Roman" w:eastAsia="Arial Unicode MS" w:hAnsi="Times New Roman" w:cs="Times New Roman"/>
                <w:sz w:val="24"/>
                <w:szCs w:val="24"/>
              </w:rPr>
              <w:t>impactal</w:t>
            </w:r>
            <w:proofErr w:type="spellEnd"/>
            <w:r w:rsidRPr="00040F0A">
              <w:rPr>
                <w:rFonts w:ascii="Times New Roman" w:eastAsia="Arial Unicode MS" w:hAnsi="Times New Roman" w:cs="Times New Roman"/>
                <w:sz w:val="24"/>
                <w:szCs w:val="24"/>
              </w:rPr>
              <w:t xml:space="preserve"> and </w:t>
            </w:r>
            <w:proofErr w:type="spellStart"/>
            <w:r w:rsidRPr="00040F0A">
              <w:rPr>
                <w:rFonts w:ascii="Times New Roman" w:eastAsia="Arial Unicode MS" w:hAnsi="Times New Roman" w:cs="Times New Roman"/>
                <w:sz w:val="24"/>
                <w:szCs w:val="24"/>
              </w:rPr>
              <w:t>offeredt</w:t>
            </w:r>
            <w:proofErr w:type="spellEnd"/>
            <w:r w:rsidRPr="00040F0A">
              <w:rPr>
                <w:rFonts w:ascii="Times New Roman" w:eastAsia="Arial Unicode MS" w:hAnsi="Times New Roman" w:cs="Times New Roman"/>
                <w:sz w:val="24"/>
                <w:szCs w:val="24"/>
              </w:rPr>
              <w:t xml:space="preserve"> is that </w:t>
            </w:r>
            <w:proofErr w:type="gramStart"/>
            <w:r w:rsidRPr="00040F0A">
              <w:rPr>
                <w:rFonts w:ascii="Times New Roman" w:eastAsia="Arial Unicode MS" w:hAnsi="Times New Roman" w:cs="Times New Roman"/>
                <w:sz w:val="24"/>
                <w:szCs w:val="24"/>
              </w:rPr>
              <w:t>risk ,</w:t>
            </w:r>
            <w:proofErr w:type="gramEnd"/>
            <w:r w:rsidRPr="00040F0A">
              <w:rPr>
                <w:rFonts w:ascii="Times New Roman" w:eastAsia="Arial Unicode MS" w:hAnsi="Times New Roman" w:cs="Times New Roman"/>
                <w:sz w:val="24"/>
                <w:szCs w:val="24"/>
              </w:rPr>
              <w:t xml:space="preserve"> </w:t>
            </w:r>
            <w:proofErr w:type="spellStart"/>
            <w:r w:rsidRPr="00040F0A">
              <w:rPr>
                <w:rFonts w:ascii="Times New Roman" w:eastAsia="Arial Unicode MS" w:hAnsi="Times New Roman" w:cs="Times New Roman"/>
                <w:sz w:val="24"/>
                <w:szCs w:val="24"/>
              </w:rPr>
              <w:t>beeing</w:t>
            </w:r>
            <w:proofErr w:type="spellEnd"/>
            <w:r w:rsidRPr="00040F0A">
              <w:rPr>
                <w:rFonts w:ascii="Times New Roman" w:eastAsia="Arial Unicode MS" w:hAnsi="Times New Roman" w:cs="Times New Roman"/>
                <w:sz w:val="24"/>
                <w:szCs w:val="24"/>
              </w:rPr>
              <w:t xml:space="preserve"> equal</w:t>
            </w:r>
            <w:r w:rsidR="00040F0A" w:rsidRPr="00040F0A">
              <w:rPr>
                <w:rFonts w:ascii="Times New Roman" w:eastAsia="Arial Unicode MS" w:hAnsi="Times New Roman" w:cs="Times New Roman"/>
                <w:sz w:val="24"/>
                <w:szCs w:val="24"/>
              </w:rPr>
              <w:t xml:space="preserve">s </w:t>
            </w:r>
            <w:proofErr w:type="spellStart"/>
            <w:r w:rsidR="00040F0A" w:rsidRPr="00040F0A">
              <w:rPr>
                <w:rFonts w:ascii="Times New Roman" w:eastAsia="Arial Unicode MS" w:hAnsi="Times New Roman" w:cs="Times New Roman"/>
                <w:sz w:val="24"/>
                <w:szCs w:val="24"/>
              </w:rPr>
              <w:t>oft</w:t>
            </w:r>
            <w:proofErr w:type="spellEnd"/>
            <w:r w:rsidR="00040F0A" w:rsidRPr="00040F0A">
              <w:rPr>
                <w:rFonts w:ascii="Times New Roman" w:eastAsia="Arial Unicode MS" w:hAnsi="Times New Roman" w:cs="Times New Roman"/>
                <w:sz w:val="24"/>
                <w:szCs w:val="24"/>
              </w:rPr>
              <w:t xml:space="preserve"> being high severity risk (</w:t>
            </w:r>
            <w:proofErr w:type="spellStart"/>
            <w:r w:rsidR="00040F0A" w:rsidRPr="00040F0A">
              <w:rPr>
                <w:rFonts w:ascii="Times New Roman" w:hAnsi="Times New Roman" w:cs="Times New Roman"/>
                <w:color w:val="222222"/>
                <w:sz w:val="24"/>
                <w:szCs w:val="24"/>
                <w:shd w:val="clear" w:color="auto" w:fill="FFFFFF"/>
              </w:rPr>
              <w:t>Azrai</w:t>
            </w:r>
            <w:proofErr w:type="spellEnd"/>
            <w:r w:rsidR="00040F0A" w:rsidRPr="00040F0A">
              <w:rPr>
                <w:rFonts w:ascii="Times New Roman" w:hAnsi="Times New Roman" w:cs="Times New Roman"/>
                <w:color w:val="222222"/>
                <w:sz w:val="24"/>
                <w:szCs w:val="24"/>
                <w:shd w:val="clear" w:color="auto" w:fill="FFFFFF"/>
              </w:rPr>
              <w:t xml:space="preserve"> </w:t>
            </w:r>
            <w:proofErr w:type="spellStart"/>
            <w:r w:rsidR="00040F0A" w:rsidRPr="00040F0A">
              <w:rPr>
                <w:rFonts w:ascii="Times New Roman" w:hAnsi="Times New Roman" w:cs="Times New Roman"/>
                <w:color w:val="222222"/>
                <w:sz w:val="24"/>
                <w:szCs w:val="24"/>
                <w:shd w:val="clear" w:color="auto" w:fill="FFFFFF"/>
              </w:rPr>
              <w:t>Azaimi</w:t>
            </w:r>
            <w:proofErr w:type="spellEnd"/>
            <w:r w:rsidR="00040F0A" w:rsidRPr="00040F0A">
              <w:rPr>
                <w:rFonts w:ascii="Times New Roman" w:hAnsi="Times New Roman" w:cs="Times New Roman"/>
                <w:color w:val="222222"/>
                <w:sz w:val="24"/>
                <w:szCs w:val="24"/>
                <w:shd w:val="clear" w:color="auto" w:fill="FFFFFF"/>
              </w:rPr>
              <w:t xml:space="preserve"> Ambrose, 2021).</w:t>
            </w:r>
          </w:p>
          <w:p w14:paraId="6AA976C0" w14:textId="77777777" w:rsidR="001E0D74" w:rsidRPr="00040F0A" w:rsidRDefault="001E0D74" w:rsidP="00040F0A">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sz w:val="24"/>
                <w:szCs w:val="24"/>
              </w:rPr>
            </w:pPr>
            <w:r w:rsidRPr="00040F0A">
              <w:rPr>
                <w:rFonts w:ascii="Times New Roman" w:eastAsia="Arial Unicode MS" w:hAnsi="Times New Roman" w:cs="Times New Roman"/>
                <w:b/>
                <w:sz w:val="24"/>
                <w:szCs w:val="24"/>
              </w:rPr>
              <w:t>Ref 4:</w:t>
            </w:r>
            <w:r w:rsidRPr="00040F0A">
              <w:rPr>
                <w:rFonts w:ascii="Times New Roman" w:eastAsia="Arial Unicode MS" w:hAnsi="Times New Roman" w:cs="Times New Roman"/>
                <w:sz w:val="24"/>
                <w:szCs w:val="24"/>
              </w:rPr>
              <w:t xml:space="preserve"> Equipment failure may result in show time disruption. The probability level is rather high, but the consequence is at the level of "rather big" because it influences the essence of the event.</w:t>
            </w:r>
          </w:p>
          <w:p w14:paraId="023D8370" w14:textId="77777777" w:rsidR="001E0D74" w:rsidRPr="00040F0A" w:rsidRDefault="001E0D74" w:rsidP="00040F0A">
            <w:pPr>
              <w:pStyle w:val="ListParagraph"/>
              <w:numPr>
                <w:ilvl w:val="0"/>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b/>
                <w:sz w:val="24"/>
                <w:szCs w:val="24"/>
              </w:rPr>
            </w:pPr>
            <w:r w:rsidRPr="00040F0A">
              <w:rPr>
                <w:rFonts w:ascii="Times New Roman" w:eastAsia="Arial Unicode MS" w:hAnsi="Times New Roman" w:cs="Times New Roman"/>
                <w:b/>
                <w:sz w:val="24"/>
                <w:szCs w:val="24"/>
              </w:rPr>
              <w:t>Ref 5:</w:t>
            </w:r>
            <w:r w:rsidRPr="00040F0A">
              <w:rPr>
                <w:rFonts w:ascii="Times New Roman" w:eastAsia="Arial Unicode MS" w:hAnsi="Times New Roman" w:cs="Times New Roman"/>
                <w:sz w:val="24"/>
                <w:szCs w:val="24"/>
              </w:rPr>
              <w:t xml:space="preserve"> Financial controls are the core objective. The probability of burglary may be low, if the right precautions are made, but its consequence are much more serious as they include money loss and damaged reputation.</w:t>
            </w:r>
          </w:p>
        </w:tc>
      </w:tr>
    </w:tbl>
    <w:p w14:paraId="3DF1E6E8" w14:textId="77777777" w:rsidR="001E0D74" w:rsidRPr="00040F0A" w:rsidRDefault="001E0D74"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Arial Unicode MS" w:hAnsi="Times New Roman" w:cs="Times New Roman"/>
          <w:b/>
          <w:sz w:val="24"/>
          <w:szCs w:val="24"/>
        </w:rPr>
      </w:pPr>
    </w:p>
    <w:p w14:paraId="04342E5D"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Arial Unicode MS" w:hAnsi="Times New Roman" w:cs="Times New Roman"/>
          <w:b/>
          <w:sz w:val="24"/>
          <w:szCs w:val="24"/>
        </w:rPr>
      </w:pPr>
    </w:p>
    <w:p w14:paraId="60E3530A"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Arial Unicode MS" w:hAnsi="Times New Roman" w:cs="Times New Roman"/>
          <w:b/>
          <w:sz w:val="24"/>
          <w:szCs w:val="24"/>
        </w:rPr>
      </w:pPr>
    </w:p>
    <w:p w14:paraId="0BF59BC0"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Arial Unicode MS" w:hAnsi="Times New Roman" w:cs="Times New Roman"/>
          <w:b/>
          <w:sz w:val="24"/>
          <w:szCs w:val="24"/>
        </w:rPr>
      </w:pPr>
    </w:p>
    <w:p w14:paraId="6864C48D"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eastAsia="Arial Unicode MS" w:hAnsi="Times New Roman" w:cs="Times New Roman"/>
          <w:b/>
          <w:sz w:val="24"/>
          <w:szCs w:val="24"/>
        </w:rPr>
      </w:pPr>
    </w:p>
    <w:p w14:paraId="7CD55113"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b/>
          <w:sz w:val="24"/>
          <w:szCs w:val="24"/>
        </w:rPr>
        <w:sectPr w:rsidR="00994DC0" w:rsidRPr="00040F0A" w:rsidSect="000C63D7">
          <w:pgSz w:w="16838" w:h="11906" w:orient="landscape"/>
          <w:pgMar w:top="1440" w:right="1440" w:bottom="1440" w:left="1440" w:header="709" w:footer="709" w:gutter="0"/>
          <w:cols w:space="708"/>
          <w:docGrid w:linePitch="360"/>
        </w:sectPr>
      </w:pPr>
    </w:p>
    <w:p w14:paraId="1E944FC6" w14:textId="77777777" w:rsidR="00994DC0" w:rsidRPr="00040F0A" w:rsidRDefault="00430DFD" w:rsidP="00040F0A">
      <w:pPr>
        <w:pStyle w:val="Heading1"/>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lastRenderedPageBreak/>
        <w:t>5. CONCLUSION AND RECOMMENDATIONS</w:t>
      </w:r>
    </w:p>
    <w:p w14:paraId="3AC51ACC" w14:textId="77777777" w:rsidR="00994DC0" w:rsidRPr="00040F0A" w:rsidRDefault="00994DC0" w:rsidP="00040F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eastAsia="Arial Unicode MS" w:hAnsi="Times New Roman" w:cs="Times New Roman"/>
          <w:b/>
          <w:sz w:val="24"/>
          <w:szCs w:val="24"/>
        </w:rPr>
      </w:pPr>
    </w:p>
    <w:p w14:paraId="36A1E2F8" w14:textId="77777777" w:rsidR="001E0D74" w:rsidRPr="00040F0A" w:rsidRDefault="001E0D74" w:rsidP="00040F0A">
      <w:pPr>
        <w:adjustRightInd w:val="0"/>
        <w:spacing w:line="360" w:lineRule="auto"/>
        <w:ind w:right="-51"/>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 xml:space="preserve">Summing up, being aware of the right risk assessment measures for the hospital annual fundraising event, several main factors have been found of interest. Food safety becomes the primary focus and tools for the volunteers to amend the situation are taught according to the health regulations and training on food handling. Financial management, among other things, requires proper maintenance, and ensuring that there are secure cash handling procedures and financial supervision that can entirely protect the donated money. </w:t>
      </w:r>
    </w:p>
    <w:p w14:paraId="7B8D1C48" w14:textId="77777777" w:rsidR="001E0D74" w:rsidRPr="00040F0A" w:rsidRDefault="001E0D74" w:rsidP="00040F0A">
      <w:pPr>
        <w:adjustRightInd w:val="0"/>
        <w:spacing w:line="360" w:lineRule="auto"/>
        <w:ind w:right="-51"/>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It is vital to adopt an integrated solution for the operation of Earth's vital systems that are currently endangered by these critical risks. Initially, working with the set standards of hospital’s food service department can be appropriate to give the volunteers such food safety training related to protocols set by the department</w:t>
      </w:r>
      <w:r w:rsidR="00040F0A" w:rsidRPr="00040F0A">
        <w:rPr>
          <w:rFonts w:ascii="Times New Roman" w:eastAsia="Arial Unicode MS" w:hAnsi="Times New Roman" w:cs="Times New Roman"/>
          <w:sz w:val="24"/>
          <w:szCs w:val="24"/>
        </w:rPr>
        <w:t xml:space="preserve"> (</w:t>
      </w:r>
      <w:r w:rsidR="00040F0A" w:rsidRPr="00040F0A">
        <w:rPr>
          <w:rFonts w:ascii="Times New Roman" w:hAnsi="Times New Roman" w:cs="Times New Roman"/>
          <w:color w:val="222222"/>
          <w:sz w:val="24"/>
          <w:szCs w:val="24"/>
          <w:shd w:val="clear" w:color="auto" w:fill="FFFFFF"/>
        </w:rPr>
        <w:t>Osborne et al., 2020)</w:t>
      </w:r>
      <w:r w:rsidRPr="00040F0A">
        <w:rPr>
          <w:rFonts w:ascii="Times New Roman" w:eastAsia="Arial Unicode MS" w:hAnsi="Times New Roman" w:cs="Times New Roman"/>
          <w:sz w:val="24"/>
          <w:szCs w:val="24"/>
        </w:rPr>
        <w:t xml:space="preserve">. To begin with, establish sound cash dealing procedure which would be fair sales desks, locks on donation boxes and online </w:t>
      </w:r>
      <w:proofErr w:type="gramStart"/>
      <w:r w:rsidRPr="00040F0A">
        <w:rPr>
          <w:rFonts w:ascii="Times New Roman" w:eastAsia="Arial Unicode MS" w:hAnsi="Times New Roman" w:cs="Times New Roman"/>
          <w:sz w:val="24"/>
          <w:szCs w:val="24"/>
        </w:rPr>
        <w:t>payment .</w:t>
      </w:r>
      <w:proofErr w:type="gramEnd"/>
      <w:r w:rsidRPr="00040F0A">
        <w:rPr>
          <w:rFonts w:ascii="Times New Roman" w:eastAsia="Arial Unicode MS" w:hAnsi="Times New Roman" w:cs="Times New Roman"/>
          <w:sz w:val="24"/>
          <w:szCs w:val="24"/>
        </w:rPr>
        <w:t xml:space="preserve"> </w:t>
      </w:r>
    </w:p>
    <w:p w14:paraId="0CFE66EF" w14:textId="196DEB32" w:rsidR="00994DC0" w:rsidRDefault="001E0D74" w:rsidP="00040F0A">
      <w:pPr>
        <w:adjustRightInd w:val="0"/>
        <w:spacing w:line="360" w:lineRule="auto"/>
        <w:ind w:right="-51"/>
        <w:jc w:val="both"/>
        <w:rPr>
          <w:rFonts w:ascii="Times New Roman" w:eastAsia="Arial Unicode MS" w:hAnsi="Times New Roman" w:cs="Times New Roman"/>
          <w:sz w:val="24"/>
          <w:szCs w:val="24"/>
        </w:rPr>
      </w:pPr>
      <w:r w:rsidRPr="00040F0A">
        <w:rPr>
          <w:rFonts w:ascii="Times New Roman" w:eastAsia="Arial Unicode MS" w:hAnsi="Times New Roman" w:cs="Times New Roman"/>
          <w:sz w:val="24"/>
          <w:szCs w:val="24"/>
        </w:rPr>
        <w:t>With the implementation of these proposals, the hospital will be on the way to reduce paperwork, time, and inherent risks during the fundraising event. Under the proactive approach, safety is a priority and all the people involved should enjoy themselves. The good thing is community members can come together and generate much money for the hospital without compromising safety or compliance.</w:t>
      </w:r>
    </w:p>
    <w:p w14:paraId="65C11BE6" w14:textId="77777777" w:rsidR="00DE43F7" w:rsidRDefault="00DE43F7" w:rsidP="00040F0A">
      <w:pPr>
        <w:adjustRightInd w:val="0"/>
        <w:spacing w:line="360" w:lineRule="auto"/>
        <w:ind w:right="-51"/>
        <w:jc w:val="both"/>
        <w:rPr>
          <w:rFonts w:ascii="Times New Roman" w:eastAsia="Arial Unicode MS" w:hAnsi="Times New Roman" w:cs="Times New Roman"/>
          <w:sz w:val="24"/>
          <w:szCs w:val="24"/>
        </w:rPr>
      </w:pPr>
    </w:p>
    <w:p w14:paraId="213D968C" w14:textId="77777777" w:rsidR="00DE43F7" w:rsidRDefault="00DE43F7" w:rsidP="00040F0A">
      <w:pPr>
        <w:adjustRightInd w:val="0"/>
        <w:spacing w:line="360" w:lineRule="auto"/>
        <w:ind w:right="-51"/>
        <w:jc w:val="both"/>
        <w:rPr>
          <w:rFonts w:ascii="Times New Roman" w:eastAsia="Arial Unicode MS" w:hAnsi="Times New Roman" w:cs="Times New Roman"/>
          <w:sz w:val="24"/>
          <w:szCs w:val="24"/>
        </w:rPr>
      </w:pPr>
    </w:p>
    <w:p w14:paraId="74F1867E" w14:textId="77777777" w:rsidR="00DE43F7" w:rsidRDefault="00DE43F7" w:rsidP="00040F0A">
      <w:pPr>
        <w:adjustRightInd w:val="0"/>
        <w:spacing w:line="360" w:lineRule="auto"/>
        <w:ind w:right="-51"/>
        <w:jc w:val="both"/>
        <w:rPr>
          <w:rFonts w:ascii="Times New Roman" w:eastAsia="Arial Unicode MS" w:hAnsi="Times New Roman" w:cs="Times New Roman"/>
          <w:sz w:val="24"/>
          <w:szCs w:val="24"/>
        </w:rPr>
      </w:pPr>
    </w:p>
    <w:p w14:paraId="4B530BDD" w14:textId="77777777" w:rsidR="00DE43F7" w:rsidRDefault="00DE43F7" w:rsidP="00040F0A">
      <w:pPr>
        <w:adjustRightInd w:val="0"/>
        <w:spacing w:line="360" w:lineRule="auto"/>
        <w:ind w:right="-51"/>
        <w:jc w:val="both"/>
        <w:rPr>
          <w:rFonts w:ascii="Times New Roman" w:eastAsia="Arial Unicode MS" w:hAnsi="Times New Roman" w:cs="Times New Roman"/>
          <w:sz w:val="24"/>
          <w:szCs w:val="24"/>
        </w:rPr>
      </w:pPr>
    </w:p>
    <w:p w14:paraId="74382BB1" w14:textId="77777777" w:rsidR="00DE43F7" w:rsidRDefault="00DE43F7" w:rsidP="00040F0A">
      <w:pPr>
        <w:adjustRightInd w:val="0"/>
        <w:spacing w:line="360" w:lineRule="auto"/>
        <w:ind w:right="-51"/>
        <w:jc w:val="both"/>
        <w:rPr>
          <w:rFonts w:ascii="Times New Roman" w:eastAsia="Arial Unicode MS" w:hAnsi="Times New Roman" w:cs="Times New Roman"/>
          <w:sz w:val="24"/>
          <w:szCs w:val="24"/>
        </w:rPr>
      </w:pPr>
    </w:p>
    <w:p w14:paraId="23CE10E3" w14:textId="77777777" w:rsidR="00DE43F7" w:rsidRPr="00040F0A" w:rsidRDefault="00DE43F7" w:rsidP="00040F0A">
      <w:pPr>
        <w:adjustRightInd w:val="0"/>
        <w:spacing w:line="360" w:lineRule="auto"/>
        <w:ind w:right="-51"/>
        <w:jc w:val="both"/>
        <w:rPr>
          <w:rFonts w:ascii="Times New Roman" w:eastAsia="Arial Unicode MS" w:hAnsi="Times New Roman" w:cs="Times New Roman"/>
          <w:sz w:val="24"/>
          <w:szCs w:val="24"/>
        </w:rPr>
      </w:pPr>
    </w:p>
    <w:p w14:paraId="1C49738F" w14:textId="77777777" w:rsidR="00DE43F7" w:rsidRDefault="00DE43F7" w:rsidP="00040F0A">
      <w:pPr>
        <w:pStyle w:val="Heading1"/>
        <w:spacing w:line="360" w:lineRule="auto"/>
        <w:jc w:val="both"/>
        <w:rPr>
          <w:rFonts w:ascii="Times New Roman" w:hAnsi="Times New Roman" w:cs="Times New Roman"/>
          <w:sz w:val="24"/>
          <w:szCs w:val="24"/>
        </w:rPr>
      </w:pPr>
    </w:p>
    <w:p w14:paraId="433AD7EF" w14:textId="77777777" w:rsidR="00DE43F7" w:rsidRDefault="00DE43F7" w:rsidP="00040F0A">
      <w:pPr>
        <w:pStyle w:val="Heading1"/>
        <w:spacing w:line="360" w:lineRule="auto"/>
        <w:jc w:val="both"/>
        <w:rPr>
          <w:rFonts w:ascii="Times New Roman" w:hAnsi="Times New Roman" w:cs="Times New Roman"/>
          <w:sz w:val="24"/>
          <w:szCs w:val="24"/>
        </w:rPr>
      </w:pPr>
    </w:p>
    <w:p w14:paraId="590EF024" w14:textId="77777777" w:rsidR="00DE43F7" w:rsidRDefault="00DE43F7" w:rsidP="00040F0A">
      <w:pPr>
        <w:pStyle w:val="Heading1"/>
        <w:spacing w:line="360" w:lineRule="auto"/>
        <w:jc w:val="both"/>
        <w:rPr>
          <w:rFonts w:ascii="Times New Roman" w:hAnsi="Times New Roman" w:cs="Times New Roman"/>
          <w:sz w:val="24"/>
          <w:szCs w:val="24"/>
        </w:rPr>
      </w:pPr>
    </w:p>
    <w:p w14:paraId="2E6FAB2F" w14:textId="77777777" w:rsidR="00DE43F7" w:rsidRDefault="00DE43F7" w:rsidP="00040F0A">
      <w:pPr>
        <w:pStyle w:val="Heading1"/>
        <w:spacing w:line="360" w:lineRule="auto"/>
        <w:jc w:val="both"/>
        <w:rPr>
          <w:rFonts w:ascii="Times New Roman" w:hAnsi="Times New Roman" w:cs="Times New Roman"/>
          <w:sz w:val="24"/>
          <w:szCs w:val="24"/>
        </w:rPr>
      </w:pPr>
    </w:p>
    <w:p w14:paraId="60AC9F7F" w14:textId="77777777" w:rsidR="00DE43F7" w:rsidRDefault="00DE43F7" w:rsidP="00040F0A">
      <w:pPr>
        <w:pStyle w:val="Heading1"/>
        <w:spacing w:line="360" w:lineRule="auto"/>
        <w:jc w:val="both"/>
        <w:rPr>
          <w:rFonts w:ascii="Times New Roman" w:hAnsi="Times New Roman" w:cs="Times New Roman"/>
          <w:sz w:val="24"/>
          <w:szCs w:val="24"/>
        </w:rPr>
      </w:pPr>
    </w:p>
    <w:p w14:paraId="2FD3060C" w14:textId="77777777" w:rsidR="00DE43F7" w:rsidRDefault="00DE43F7" w:rsidP="00040F0A">
      <w:pPr>
        <w:pStyle w:val="Heading1"/>
        <w:spacing w:line="360" w:lineRule="auto"/>
        <w:jc w:val="both"/>
        <w:rPr>
          <w:rFonts w:ascii="Times New Roman" w:hAnsi="Times New Roman" w:cs="Times New Roman"/>
          <w:sz w:val="24"/>
          <w:szCs w:val="24"/>
        </w:rPr>
      </w:pPr>
    </w:p>
    <w:p w14:paraId="6CCCA9D8" w14:textId="77777777" w:rsidR="00DE43F7" w:rsidRDefault="00DE43F7" w:rsidP="00040F0A">
      <w:pPr>
        <w:pStyle w:val="Heading1"/>
        <w:spacing w:line="360" w:lineRule="auto"/>
        <w:jc w:val="both"/>
        <w:rPr>
          <w:rFonts w:ascii="Times New Roman" w:hAnsi="Times New Roman" w:cs="Times New Roman"/>
          <w:sz w:val="24"/>
          <w:szCs w:val="24"/>
        </w:rPr>
      </w:pPr>
    </w:p>
    <w:p w14:paraId="52F75010" w14:textId="77777777" w:rsidR="00DE43F7" w:rsidRDefault="00DE43F7" w:rsidP="00040F0A">
      <w:pPr>
        <w:pStyle w:val="Heading1"/>
        <w:spacing w:line="360" w:lineRule="auto"/>
        <w:jc w:val="both"/>
        <w:rPr>
          <w:rFonts w:ascii="Times New Roman" w:hAnsi="Times New Roman" w:cs="Times New Roman"/>
          <w:sz w:val="24"/>
          <w:szCs w:val="24"/>
        </w:rPr>
      </w:pPr>
    </w:p>
    <w:p w14:paraId="1BC9538C" w14:textId="77777777" w:rsidR="00DE43F7" w:rsidRDefault="00DE43F7" w:rsidP="00040F0A">
      <w:pPr>
        <w:pStyle w:val="Heading1"/>
        <w:spacing w:line="360" w:lineRule="auto"/>
        <w:jc w:val="both"/>
        <w:rPr>
          <w:rFonts w:ascii="Times New Roman" w:hAnsi="Times New Roman" w:cs="Times New Roman"/>
          <w:sz w:val="24"/>
          <w:szCs w:val="24"/>
        </w:rPr>
      </w:pPr>
    </w:p>
    <w:p w14:paraId="16BFA4E3" w14:textId="74C745AF" w:rsidR="00040F0A" w:rsidRPr="00040F0A" w:rsidRDefault="001E0D74" w:rsidP="00040F0A">
      <w:pPr>
        <w:pStyle w:val="Heading1"/>
        <w:spacing w:line="360" w:lineRule="auto"/>
        <w:jc w:val="both"/>
        <w:rPr>
          <w:rFonts w:ascii="Times New Roman" w:hAnsi="Times New Roman" w:cs="Times New Roman"/>
          <w:sz w:val="24"/>
          <w:szCs w:val="24"/>
        </w:rPr>
      </w:pPr>
      <w:r w:rsidRPr="00040F0A">
        <w:rPr>
          <w:rFonts w:ascii="Times New Roman" w:hAnsi="Times New Roman" w:cs="Times New Roman"/>
          <w:sz w:val="24"/>
          <w:szCs w:val="24"/>
        </w:rPr>
        <w:lastRenderedPageBreak/>
        <w:t>REFERENCING:</w:t>
      </w:r>
    </w:p>
    <w:p w14:paraId="51254592" w14:textId="77777777" w:rsidR="00040F0A" w:rsidRPr="00040F0A" w:rsidRDefault="00040F0A" w:rsidP="00040F0A">
      <w:pPr>
        <w:spacing w:line="360" w:lineRule="auto"/>
        <w:ind w:left="720" w:hanging="720"/>
        <w:jc w:val="both"/>
        <w:rPr>
          <w:rFonts w:ascii="Times New Roman" w:eastAsia="Arial Unicode MS" w:hAnsi="Times New Roman" w:cs="Times New Roman"/>
          <w:sz w:val="24"/>
          <w:szCs w:val="24"/>
        </w:rPr>
      </w:pPr>
      <w:r w:rsidRPr="00040F0A">
        <w:rPr>
          <w:rFonts w:ascii="Times New Roman" w:hAnsi="Times New Roman" w:cs="Times New Roman"/>
          <w:color w:val="222222"/>
          <w:sz w:val="24"/>
          <w:szCs w:val="24"/>
          <w:shd w:val="clear" w:color="auto" w:fill="FFFFFF"/>
        </w:rPr>
        <w:t>Aznar-Crespo, P., Aledo, A., Melgarejo-Moreno, J. and Vallejos-Romero, A., 2021. Adapting social impact assessment to flood risk management. </w:t>
      </w:r>
      <w:r w:rsidRPr="00040F0A">
        <w:rPr>
          <w:rFonts w:ascii="Times New Roman" w:hAnsi="Times New Roman" w:cs="Times New Roman"/>
          <w:i/>
          <w:iCs/>
          <w:color w:val="222222"/>
          <w:sz w:val="24"/>
          <w:szCs w:val="24"/>
          <w:shd w:val="clear" w:color="auto" w:fill="FFFFFF"/>
        </w:rPr>
        <w:t>Sustainability</w:t>
      </w:r>
      <w:r w:rsidRPr="00040F0A">
        <w:rPr>
          <w:rFonts w:ascii="Times New Roman" w:hAnsi="Times New Roman" w:cs="Times New Roman"/>
          <w:color w:val="222222"/>
          <w:sz w:val="24"/>
          <w:szCs w:val="24"/>
          <w:shd w:val="clear" w:color="auto" w:fill="FFFFFF"/>
        </w:rPr>
        <w:t>, </w:t>
      </w:r>
      <w:r w:rsidRPr="00040F0A">
        <w:rPr>
          <w:rFonts w:ascii="Times New Roman" w:hAnsi="Times New Roman" w:cs="Times New Roman"/>
          <w:i/>
          <w:iCs/>
          <w:color w:val="222222"/>
          <w:sz w:val="24"/>
          <w:szCs w:val="24"/>
          <w:shd w:val="clear" w:color="auto" w:fill="FFFFFF"/>
        </w:rPr>
        <w:t>13</w:t>
      </w:r>
      <w:r w:rsidRPr="00040F0A">
        <w:rPr>
          <w:rFonts w:ascii="Times New Roman" w:hAnsi="Times New Roman" w:cs="Times New Roman"/>
          <w:color w:val="222222"/>
          <w:sz w:val="24"/>
          <w:szCs w:val="24"/>
          <w:shd w:val="clear" w:color="auto" w:fill="FFFFFF"/>
        </w:rPr>
        <w:t>(6), p.3410</w:t>
      </w:r>
    </w:p>
    <w:p w14:paraId="1DEAD938" w14:textId="77777777" w:rsidR="00040F0A" w:rsidRPr="00040F0A" w:rsidRDefault="00040F0A" w:rsidP="00040F0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040F0A">
        <w:rPr>
          <w:rFonts w:ascii="Times New Roman" w:hAnsi="Times New Roman" w:cs="Times New Roman"/>
          <w:color w:val="222222"/>
          <w:sz w:val="24"/>
          <w:szCs w:val="24"/>
          <w:shd w:val="clear" w:color="auto" w:fill="FFFFFF"/>
        </w:rPr>
        <w:t>Azrai</w:t>
      </w:r>
      <w:proofErr w:type="spellEnd"/>
      <w:r w:rsidRPr="00040F0A">
        <w:rPr>
          <w:rFonts w:ascii="Times New Roman" w:hAnsi="Times New Roman" w:cs="Times New Roman"/>
          <w:color w:val="222222"/>
          <w:sz w:val="24"/>
          <w:szCs w:val="24"/>
          <w:shd w:val="clear" w:color="auto" w:fill="FFFFFF"/>
        </w:rPr>
        <w:t xml:space="preserve"> </w:t>
      </w:r>
      <w:proofErr w:type="spellStart"/>
      <w:r w:rsidRPr="00040F0A">
        <w:rPr>
          <w:rFonts w:ascii="Times New Roman" w:hAnsi="Times New Roman" w:cs="Times New Roman"/>
          <w:color w:val="222222"/>
          <w:sz w:val="24"/>
          <w:szCs w:val="24"/>
          <w:shd w:val="clear" w:color="auto" w:fill="FFFFFF"/>
        </w:rPr>
        <w:t>Azaimi</w:t>
      </w:r>
      <w:proofErr w:type="spellEnd"/>
      <w:r w:rsidRPr="00040F0A">
        <w:rPr>
          <w:rFonts w:ascii="Times New Roman" w:hAnsi="Times New Roman" w:cs="Times New Roman"/>
          <w:color w:val="222222"/>
          <w:sz w:val="24"/>
          <w:szCs w:val="24"/>
          <w:shd w:val="clear" w:color="auto" w:fill="FFFFFF"/>
        </w:rPr>
        <w:t xml:space="preserve"> Ambrose, A.H. and Abdullah </w:t>
      </w:r>
      <w:proofErr w:type="spellStart"/>
      <w:r w:rsidRPr="00040F0A">
        <w:rPr>
          <w:rFonts w:ascii="Times New Roman" w:hAnsi="Times New Roman" w:cs="Times New Roman"/>
          <w:color w:val="222222"/>
          <w:sz w:val="24"/>
          <w:szCs w:val="24"/>
          <w:shd w:val="clear" w:color="auto" w:fill="FFFFFF"/>
        </w:rPr>
        <w:t>Asuhaimi</w:t>
      </w:r>
      <w:proofErr w:type="spellEnd"/>
      <w:r w:rsidRPr="00040F0A">
        <w:rPr>
          <w:rFonts w:ascii="Times New Roman" w:hAnsi="Times New Roman" w:cs="Times New Roman"/>
          <w:color w:val="222222"/>
          <w:sz w:val="24"/>
          <w:szCs w:val="24"/>
          <w:shd w:val="clear" w:color="auto" w:fill="FFFFFF"/>
        </w:rPr>
        <w:t>, F., 2021. Cash waqf risk management and perpetuity restriction conundrum. </w:t>
      </w:r>
      <w:r w:rsidRPr="00040F0A">
        <w:rPr>
          <w:rFonts w:ascii="Times New Roman" w:hAnsi="Times New Roman" w:cs="Times New Roman"/>
          <w:i/>
          <w:iCs/>
          <w:color w:val="222222"/>
          <w:sz w:val="24"/>
          <w:szCs w:val="24"/>
          <w:shd w:val="clear" w:color="auto" w:fill="FFFFFF"/>
        </w:rPr>
        <w:t>ISRA International Journal of Islamic Finance</w:t>
      </w:r>
      <w:r w:rsidRPr="00040F0A">
        <w:rPr>
          <w:rFonts w:ascii="Times New Roman" w:hAnsi="Times New Roman" w:cs="Times New Roman"/>
          <w:color w:val="222222"/>
          <w:sz w:val="24"/>
          <w:szCs w:val="24"/>
          <w:shd w:val="clear" w:color="auto" w:fill="FFFFFF"/>
        </w:rPr>
        <w:t>, </w:t>
      </w:r>
      <w:r w:rsidRPr="00040F0A">
        <w:rPr>
          <w:rFonts w:ascii="Times New Roman" w:hAnsi="Times New Roman" w:cs="Times New Roman"/>
          <w:i/>
          <w:iCs/>
          <w:color w:val="222222"/>
          <w:sz w:val="24"/>
          <w:szCs w:val="24"/>
          <w:shd w:val="clear" w:color="auto" w:fill="FFFFFF"/>
        </w:rPr>
        <w:t>13</w:t>
      </w:r>
      <w:r w:rsidRPr="00040F0A">
        <w:rPr>
          <w:rFonts w:ascii="Times New Roman" w:hAnsi="Times New Roman" w:cs="Times New Roman"/>
          <w:color w:val="222222"/>
          <w:sz w:val="24"/>
          <w:szCs w:val="24"/>
          <w:shd w:val="clear" w:color="auto" w:fill="FFFFFF"/>
        </w:rPr>
        <w:t>(2), pp.162-176.</w:t>
      </w:r>
    </w:p>
    <w:p w14:paraId="559BF164" w14:textId="77777777" w:rsidR="00040F0A" w:rsidRPr="00040F0A" w:rsidRDefault="00040F0A" w:rsidP="00040F0A">
      <w:pPr>
        <w:spacing w:line="360" w:lineRule="auto"/>
        <w:ind w:left="720" w:hanging="720"/>
        <w:jc w:val="both"/>
        <w:rPr>
          <w:rFonts w:ascii="Times New Roman" w:hAnsi="Times New Roman" w:cs="Times New Roman"/>
          <w:color w:val="222222"/>
          <w:sz w:val="24"/>
          <w:szCs w:val="24"/>
          <w:shd w:val="clear" w:color="auto" w:fill="FFFFFF"/>
        </w:rPr>
      </w:pPr>
      <w:r w:rsidRPr="00040F0A">
        <w:rPr>
          <w:rFonts w:ascii="Times New Roman" w:hAnsi="Times New Roman" w:cs="Times New Roman"/>
          <w:color w:val="222222"/>
          <w:sz w:val="24"/>
          <w:szCs w:val="24"/>
          <w:shd w:val="clear" w:color="auto" w:fill="FFFFFF"/>
        </w:rPr>
        <w:t xml:space="preserve">Douglas, M.D., Bent Weber, S., Bass, C., Li, C., Gaglioti, A.H., Benevides, T. and </w:t>
      </w:r>
      <w:proofErr w:type="spellStart"/>
      <w:r w:rsidRPr="00040F0A">
        <w:rPr>
          <w:rFonts w:ascii="Times New Roman" w:hAnsi="Times New Roman" w:cs="Times New Roman"/>
          <w:color w:val="222222"/>
          <w:sz w:val="24"/>
          <w:szCs w:val="24"/>
          <w:shd w:val="clear" w:color="auto" w:fill="FFFFFF"/>
        </w:rPr>
        <w:t>Heboyan</w:t>
      </w:r>
      <w:proofErr w:type="spellEnd"/>
      <w:r w:rsidRPr="00040F0A">
        <w:rPr>
          <w:rFonts w:ascii="Times New Roman" w:hAnsi="Times New Roman" w:cs="Times New Roman"/>
          <w:color w:val="222222"/>
          <w:sz w:val="24"/>
          <w:szCs w:val="24"/>
          <w:shd w:val="clear" w:color="auto" w:fill="FFFFFF"/>
        </w:rPr>
        <w:t>, V., 2022. Creation of a longitudinal legal data set to support legal epidemiology studies of mental health insurance legislation. </w:t>
      </w:r>
      <w:r w:rsidRPr="00040F0A">
        <w:rPr>
          <w:rFonts w:ascii="Times New Roman" w:hAnsi="Times New Roman" w:cs="Times New Roman"/>
          <w:i/>
          <w:iCs/>
          <w:color w:val="222222"/>
          <w:sz w:val="24"/>
          <w:szCs w:val="24"/>
          <w:shd w:val="clear" w:color="auto" w:fill="FFFFFF"/>
        </w:rPr>
        <w:t>Psychiatric Services</w:t>
      </w:r>
      <w:r w:rsidRPr="00040F0A">
        <w:rPr>
          <w:rFonts w:ascii="Times New Roman" w:hAnsi="Times New Roman" w:cs="Times New Roman"/>
          <w:color w:val="222222"/>
          <w:sz w:val="24"/>
          <w:szCs w:val="24"/>
          <w:shd w:val="clear" w:color="auto" w:fill="FFFFFF"/>
        </w:rPr>
        <w:t>, </w:t>
      </w:r>
      <w:r w:rsidRPr="00040F0A">
        <w:rPr>
          <w:rFonts w:ascii="Times New Roman" w:hAnsi="Times New Roman" w:cs="Times New Roman"/>
          <w:i/>
          <w:iCs/>
          <w:color w:val="222222"/>
          <w:sz w:val="24"/>
          <w:szCs w:val="24"/>
          <w:shd w:val="clear" w:color="auto" w:fill="FFFFFF"/>
        </w:rPr>
        <w:t>73</w:t>
      </w:r>
      <w:r w:rsidRPr="00040F0A">
        <w:rPr>
          <w:rFonts w:ascii="Times New Roman" w:hAnsi="Times New Roman" w:cs="Times New Roman"/>
          <w:color w:val="222222"/>
          <w:sz w:val="24"/>
          <w:szCs w:val="24"/>
          <w:shd w:val="clear" w:color="auto" w:fill="FFFFFF"/>
        </w:rPr>
        <w:t>(3), pp.265-270.</w:t>
      </w:r>
    </w:p>
    <w:p w14:paraId="5A885E12" w14:textId="77777777" w:rsidR="00040F0A" w:rsidRPr="00040F0A" w:rsidRDefault="00040F0A" w:rsidP="00040F0A">
      <w:pPr>
        <w:spacing w:line="360" w:lineRule="auto"/>
        <w:ind w:left="720" w:hanging="720"/>
        <w:jc w:val="both"/>
        <w:rPr>
          <w:rFonts w:ascii="Times New Roman" w:hAnsi="Times New Roman" w:cs="Times New Roman"/>
          <w:color w:val="222222"/>
          <w:sz w:val="24"/>
          <w:szCs w:val="24"/>
          <w:shd w:val="clear" w:color="auto" w:fill="FFFFFF"/>
        </w:rPr>
      </w:pPr>
      <w:r w:rsidRPr="00040F0A">
        <w:rPr>
          <w:rFonts w:ascii="Times New Roman" w:hAnsi="Times New Roman" w:cs="Times New Roman"/>
          <w:color w:val="222222"/>
          <w:sz w:val="24"/>
          <w:szCs w:val="24"/>
          <w:shd w:val="clear" w:color="auto" w:fill="FFFFFF"/>
        </w:rPr>
        <w:t>Duerksen, D.R., Lix, L.M., Johansson, H., McCloskey, E.V., Harvey, N.C., Kanis, J.A. and Leslie, W.D., 2021. Fracture risk assessment in celiac disease: a registry-based cohort study. </w:t>
      </w:r>
      <w:r w:rsidRPr="00040F0A">
        <w:rPr>
          <w:rFonts w:ascii="Times New Roman" w:hAnsi="Times New Roman" w:cs="Times New Roman"/>
          <w:i/>
          <w:iCs/>
          <w:color w:val="222222"/>
          <w:sz w:val="24"/>
          <w:szCs w:val="24"/>
          <w:shd w:val="clear" w:color="auto" w:fill="FFFFFF"/>
        </w:rPr>
        <w:t>Osteoporosis International</w:t>
      </w:r>
      <w:r w:rsidRPr="00040F0A">
        <w:rPr>
          <w:rFonts w:ascii="Times New Roman" w:hAnsi="Times New Roman" w:cs="Times New Roman"/>
          <w:color w:val="222222"/>
          <w:sz w:val="24"/>
          <w:szCs w:val="24"/>
          <w:shd w:val="clear" w:color="auto" w:fill="FFFFFF"/>
        </w:rPr>
        <w:t>, </w:t>
      </w:r>
      <w:r w:rsidRPr="00040F0A">
        <w:rPr>
          <w:rFonts w:ascii="Times New Roman" w:hAnsi="Times New Roman" w:cs="Times New Roman"/>
          <w:i/>
          <w:iCs/>
          <w:color w:val="222222"/>
          <w:sz w:val="24"/>
          <w:szCs w:val="24"/>
          <w:shd w:val="clear" w:color="auto" w:fill="FFFFFF"/>
        </w:rPr>
        <w:t>32</w:t>
      </w:r>
      <w:r w:rsidRPr="00040F0A">
        <w:rPr>
          <w:rFonts w:ascii="Times New Roman" w:hAnsi="Times New Roman" w:cs="Times New Roman"/>
          <w:color w:val="222222"/>
          <w:sz w:val="24"/>
          <w:szCs w:val="24"/>
          <w:shd w:val="clear" w:color="auto" w:fill="FFFFFF"/>
        </w:rPr>
        <w:t>, pp.93-99.</w:t>
      </w:r>
    </w:p>
    <w:p w14:paraId="3C8DC316" w14:textId="77777777" w:rsidR="00040F0A" w:rsidRPr="00040F0A" w:rsidRDefault="00040F0A" w:rsidP="00040F0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040F0A">
        <w:rPr>
          <w:rFonts w:ascii="Times New Roman" w:hAnsi="Times New Roman" w:cs="Times New Roman"/>
          <w:color w:val="222222"/>
          <w:sz w:val="24"/>
          <w:szCs w:val="24"/>
          <w:shd w:val="clear" w:color="auto" w:fill="FFFFFF"/>
        </w:rPr>
        <w:t>Flintham</w:t>
      </w:r>
      <w:proofErr w:type="spellEnd"/>
      <w:r w:rsidRPr="00040F0A">
        <w:rPr>
          <w:rFonts w:ascii="Times New Roman" w:hAnsi="Times New Roman" w:cs="Times New Roman"/>
          <w:color w:val="222222"/>
          <w:sz w:val="24"/>
          <w:szCs w:val="24"/>
          <w:shd w:val="clear" w:color="auto" w:fill="FFFFFF"/>
        </w:rPr>
        <w:t>, M., Hyde, R., Tennent, P., Meyer-</w:t>
      </w:r>
      <w:proofErr w:type="spellStart"/>
      <w:r w:rsidRPr="00040F0A">
        <w:rPr>
          <w:rFonts w:ascii="Times New Roman" w:hAnsi="Times New Roman" w:cs="Times New Roman"/>
          <w:color w:val="222222"/>
          <w:sz w:val="24"/>
          <w:szCs w:val="24"/>
          <w:shd w:val="clear" w:color="auto" w:fill="FFFFFF"/>
        </w:rPr>
        <w:t>Sahling</w:t>
      </w:r>
      <w:proofErr w:type="spellEnd"/>
      <w:r w:rsidRPr="00040F0A">
        <w:rPr>
          <w:rFonts w:ascii="Times New Roman" w:hAnsi="Times New Roman" w:cs="Times New Roman"/>
          <w:color w:val="222222"/>
          <w:sz w:val="24"/>
          <w:szCs w:val="24"/>
          <w:shd w:val="clear" w:color="auto" w:fill="FFFFFF"/>
        </w:rPr>
        <w:t>, J.H. and Moran, S., 2020, November. Now wash your hands: understanding food legislation compliance in a virtual reality restaurant kitchen. In </w:t>
      </w:r>
      <w:r w:rsidRPr="00040F0A">
        <w:rPr>
          <w:rFonts w:ascii="Times New Roman" w:hAnsi="Times New Roman" w:cs="Times New Roman"/>
          <w:i/>
          <w:iCs/>
          <w:color w:val="222222"/>
          <w:sz w:val="24"/>
          <w:szCs w:val="24"/>
          <w:shd w:val="clear" w:color="auto" w:fill="FFFFFF"/>
        </w:rPr>
        <w:t>Proceedings of the Annual Symposium on Computer-Human Interaction in Play</w:t>
      </w:r>
      <w:r w:rsidRPr="00040F0A">
        <w:rPr>
          <w:rFonts w:ascii="Times New Roman" w:hAnsi="Times New Roman" w:cs="Times New Roman"/>
          <w:color w:val="222222"/>
          <w:sz w:val="24"/>
          <w:szCs w:val="24"/>
          <w:shd w:val="clear" w:color="auto" w:fill="FFFFFF"/>
        </w:rPr>
        <w:t> (pp. 169-180).</w:t>
      </w:r>
    </w:p>
    <w:p w14:paraId="25820813" w14:textId="77777777" w:rsidR="00040F0A" w:rsidRPr="00040F0A" w:rsidRDefault="00040F0A" w:rsidP="00040F0A">
      <w:pPr>
        <w:spacing w:line="360" w:lineRule="auto"/>
        <w:ind w:left="720" w:hanging="720"/>
        <w:jc w:val="both"/>
        <w:rPr>
          <w:rFonts w:ascii="Times New Roman" w:hAnsi="Times New Roman" w:cs="Times New Roman"/>
          <w:color w:val="222222"/>
          <w:sz w:val="24"/>
          <w:szCs w:val="24"/>
          <w:shd w:val="clear" w:color="auto" w:fill="FFFFFF"/>
        </w:rPr>
      </w:pPr>
      <w:r w:rsidRPr="00040F0A">
        <w:rPr>
          <w:rFonts w:ascii="Times New Roman" w:hAnsi="Times New Roman" w:cs="Times New Roman"/>
          <w:color w:val="222222"/>
          <w:sz w:val="24"/>
          <w:szCs w:val="24"/>
          <w:shd w:val="clear" w:color="auto" w:fill="FFFFFF"/>
        </w:rPr>
        <w:t xml:space="preserve">Gungor, B., Aylin, M., Asena, A., </w:t>
      </w:r>
      <w:proofErr w:type="spellStart"/>
      <w:r w:rsidRPr="00040F0A">
        <w:rPr>
          <w:rFonts w:ascii="Times New Roman" w:hAnsi="Times New Roman" w:cs="Times New Roman"/>
          <w:color w:val="222222"/>
          <w:sz w:val="24"/>
          <w:szCs w:val="24"/>
          <w:shd w:val="clear" w:color="auto" w:fill="FFFFFF"/>
        </w:rPr>
        <w:t>Somuncuoglu</w:t>
      </w:r>
      <w:proofErr w:type="spellEnd"/>
      <w:r w:rsidRPr="00040F0A">
        <w:rPr>
          <w:rFonts w:ascii="Times New Roman" w:hAnsi="Times New Roman" w:cs="Times New Roman"/>
          <w:color w:val="222222"/>
          <w:sz w:val="24"/>
          <w:szCs w:val="24"/>
          <w:shd w:val="clear" w:color="auto" w:fill="FFFFFF"/>
        </w:rPr>
        <w:t xml:space="preserve">, E.I., Bozkurt, N.B., </w:t>
      </w:r>
      <w:proofErr w:type="spellStart"/>
      <w:r w:rsidRPr="00040F0A">
        <w:rPr>
          <w:rFonts w:ascii="Times New Roman" w:hAnsi="Times New Roman" w:cs="Times New Roman"/>
          <w:color w:val="222222"/>
          <w:sz w:val="24"/>
          <w:szCs w:val="24"/>
          <w:shd w:val="clear" w:color="auto" w:fill="FFFFFF"/>
        </w:rPr>
        <w:t>Ucku</w:t>
      </w:r>
      <w:proofErr w:type="spellEnd"/>
      <w:r w:rsidRPr="00040F0A">
        <w:rPr>
          <w:rFonts w:ascii="Times New Roman" w:hAnsi="Times New Roman" w:cs="Times New Roman"/>
          <w:color w:val="222222"/>
          <w:sz w:val="24"/>
          <w:szCs w:val="24"/>
          <w:shd w:val="clear" w:color="auto" w:fill="FFFFFF"/>
        </w:rPr>
        <w:t>, S.R. and Gelal, A., 2020. Evaluation of legal legislation compliance and readability of clinical trial informed consent forms. </w:t>
      </w:r>
      <w:r w:rsidRPr="00040F0A">
        <w:rPr>
          <w:rFonts w:ascii="Times New Roman" w:hAnsi="Times New Roman" w:cs="Times New Roman"/>
          <w:i/>
          <w:iCs/>
          <w:color w:val="222222"/>
          <w:sz w:val="24"/>
          <w:szCs w:val="24"/>
          <w:shd w:val="clear" w:color="auto" w:fill="FFFFFF"/>
        </w:rPr>
        <w:t>Therapeutic Innovation &amp; Regulatory Science</w:t>
      </w:r>
      <w:r w:rsidRPr="00040F0A">
        <w:rPr>
          <w:rFonts w:ascii="Times New Roman" w:hAnsi="Times New Roman" w:cs="Times New Roman"/>
          <w:color w:val="222222"/>
          <w:sz w:val="24"/>
          <w:szCs w:val="24"/>
          <w:shd w:val="clear" w:color="auto" w:fill="FFFFFF"/>
        </w:rPr>
        <w:t>, </w:t>
      </w:r>
      <w:r w:rsidRPr="00040F0A">
        <w:rPr>
          <w:rFonts w:ascii="Times New Roman" w:hAnsi="Times New Roman" w:cs="Times New Roman"/>
          <w:i/>
          <w:iCs/>
          <w:color w:val="222222"/>
          <w:sz w:val="24"/>
          <w:szCs w:val="24"/>
          <w:shd w:val="clear" w:color="auto" w:fill="FFFFFF"/>
        </w:rPr>
        <w:t>54</w:t>
      </w:r>
      <w:r w:rsidRPr="00040F0A">
        <w:rPr>
          <w:rFonts w:ascii="Times New Roman" w:hAnsi="Times New Roman" w:cs="Times New Roman"/>
          <w:color w:val="222222"/>
          <w:sz w:val="24"/>
          <w:szCs w:val="24"/>
          <w:shd w:val="clear" w:color="auto" w:fill="FFFFFF"/>
        </w:rPr>
        <w:t>, pp.468-475.</w:t>
      </w:r>
    </w:p>
    <w:p w14:paraId="087C75A8" w14:textId="77777777" w:rsidR="00040F0A" w:rsidRPr="00040F0A" w:rsidRDefault="00040F0A" w:rsidP="00040F0A">
      <w:pPr>
        <w:spacing w:line="360" w:lineRule="auto"/>
        <w:ind w:left="720" w:hanging="720"/>
        <w:jc w:val="both"/>
        <w:rPr>
          <w:rFonts w:ascii="Times New Roman" w:hAnsi="Times New Roman" w:cs="Times New Roman"/>
          <w:color w:val="222222"/>
          <w:sz w:val="24"/>
          <w:szCs w:val="24"/>
          <w:shd w:val="clear" w:color="auto" w:fill="FFFFFF"/>
        </w:rPr>
      </w:pPr>
      <w:r w:rsidRPr="00040F0A">
        <w:rPr>
          <w:rFonts w:ascii="Times New Roman" w:hAnsi="Times New Roman" w:cs="Times New Roman"/>
          <w:color w:val="222222"/>
          <w:sz w:val="24"/>
          <w:szCs w:val="24"/>
          <w:shd w:val="clear" w:color="auto" w:fill="FFFFFF"/>
        </w:rPr>
        <w:t>Osborne, V., Davies, M., Lane, S., Evans, A., Denyer, J., Dhanda, S., Roy, D. and Shakir, S., 2020. Lopinavir-ritonavir in the treatment of COVID-19: a dynamic systematic benefit-risk assessment. </w:t>
      </w:r>
      <w:r w:rsidRPr="00040F0A">
        <w:rPr>
          <w:rFonts w:ascii="Times New Roman" w:hAnsi="Times New Roman" w:cs="Times New Roman"/>
          <w:i/>
          <w:iCs/>
          <w:color w:val="222222"/>
          <w:sz w:val="24"/>
          <w:szCs w:val="24"/>
          <w:shd w:val="clear" w:color="auto" w:fill="FFFFFF"/>
        </w:rPr>
        <w:t>Drug Safety</w:t>
      </w:r>
      <w:r w:rsidRPr="00040F0A">
        <w:rPr>
          <w:rFonts w:ascii="Times New Roman" w:hAnsi="Times New Roman" w:cs="Times New Roman"/>
          <w:color w:val="222222"/>
          <w:sz w:val="24"/>
          <w:szCs w:val="24"/>
          <w:shd w:val="clear" w:color="auto" w:fill="FFFFFF"/>
        </w:rPr>
        <w:t>, </w:t>
      </w:r>
      <w:r w:rsidRPr="00040F0A">
        <w:rPr>
          <w:rFonts w:ascii="Times New Roman" w:hAnsi="Times New Roman" w:cs="Times New Roman"/>
          <w:i/>
          <w:iCs/>
          <w:color w:val="222222"/>
          <w:sz w:val="24"/>
          <w:szCs w:val="24"/>
          <w:shd w:val="clear" w:color="auto" w:fill="FFFFFF"/>
        </w:rPr>
        <w:t>43</w:t>
      </w:r>
      <w:r w:rsidRPr="00040F0A">
        <w:rPr>
          <w:rFonts w:ascii="Times New Roman" w:hAnsi="Times New Roman" w:cs="Times New Roman"/>
          <w:color w:val="222222"/>
          <w:sz w:val="24"/>
          <w:szCs w:val="24"/>
          <w:shd w:val="clear" w:color="auto" w:fill="FFFFFF"/>
        </w:rPr>
        <w:t>, pp.809-821.</w:t>
      </w:r>
    </w:p>
    <w:p w14:paraId="29BA5CB7" w14:textId="77777777" w:rsidR="00040F0A" w:rsidRPr="00040F0A" w:rsidRDefault="00040F0A" w:rsidP="00040F0A">
      <w:pPr>
        <w:spacing w:line="360" w:lineRule="auto"/>
        <w:ind w:left="720" w:hanging="720"/>
        <w:jc w:val="both"/>
        <w:rPr>
          <w:rFonts w:ascii="Times New Roman" w:hAnsi="Times New Roman" w:cs="Times New Roman"/>
          <w:color w:val="222222"/>
          <w:sz w:val="24"/>
          <w:szCs w:val="24"/>
          <w:shd w:val="clear" w:color="auto" w:fill="FFFFFF"/>
        </w:rPr>
      </w:pPr>
      <w:r w:rsidRPr="00040F0A">
        <w:rPr>
          <w:rFonts w:ascii="Times New Roman" w:hAnsi="Times New Roman" w:cs="Times New Roman"/>
          <w:color w:val="222222"/>
          <w:sz w:val="24"/>
          <w:szCs w:val="24"/>
          <w:shd w:val="clear" w:color="auto" w:fill="FFFFFF"/>
        </w:rPr>
        <w:t>Pavlicek, A., Part, F., Rose, G., Praetorius, A., Miernicki, M., Gazsó, A. and Huber-Humer, M., 2021. A European nano-registry as a reliable database for quantitative risk assessment of nanomaterials? A comparison of national approaches. </w:t>
      </w:r>
      <w:proofErr w:type="spellStart"/>
      <w:r w:rsidRPr="00040F0A">
        <w:rPr>
          <w:rFonts w:ascii="Times New Roman" w:hAnsi="Times New Roman" w:cs="Times New Roman"/>
          <w:i/>
          <w:iCs/>
          <w:color w:val="222222"/>
          <w:sz w:val="24"/>
          <w:szCs w:val="24"/>
          <w:shd w:val="clear" w:color="auto" w:fill="FFFFFF"/>
        </w:rPr>
        <w:t>NanoImpact</w:t>
      </w:r>
      <w:proofErr w:type="spellEnd"/>
      <w:r w:rsidRPr="00040F0A">
        <w:rPr>
          <w:rFonts w:ascii="Times New Roman" w:hAnsi="Times New Roman" w:cs="Times New Roman"/>
          <w:color w:val="222222"/>
          <w:sz w:val="24"/>
          <w:szCs w:val="24"/>
          <w:shd w:val="clear" w:color="auto" w:fill="FFFFFF"/>
        </w:rPr>
        <w:t>, </w:t>
      </w:r>
      <w:r w:rsidRPr="00040F0A">
        <w:rPr>
          <w:rFonts w:ascii="Times New Roman" w:hAnsi="Times New Roman" w:cs="Times New Roman"/>
          <w:i/>
          <w:iCs/>
          <w:color w:val="222222"/>
          <w:sz w:val="24"/>
          <w:szCs w:val="24"/>
          <w:shd w:val="clear" w:color="auto" w:fill="FFFFFF"/>
        </w:rPr>
        <w:t>21</w:t>
      </w:r>
      <w:r w:rsidRPr="00040F0A">
        <w:rPr>
          <w:rFonts w:ascii="Times New Roman" w:hAnsi="Times New Roman" w:cs="Times New Roman"/>
          <w:color w:val="222222"/>
          <w:sz w:val="24"/>
          <w:szCs w:val="24"/>
          <w:shd w:val="clear" w:color="auto" w:fill="FFFFFF"/>
        </w:rPr>
        <w:t>, p.100276.</w:t>
      </w:r>
    </w:p>
    <w:p w14:paraId="6D83922C" w14:textId="77777777" w:rsidR="00040F0A" w:rsidRPr="00040F0A" w:rsidRDefault="00040F0A" w:rsidP="00040F0A">
      <w:pPr>
        <w:spacing w:line="360" w:lineRule="auto"/>
        <w:ind w:left="720" w:hanging="720"/>
        <w:jc w:val="both"/>
        <w:rPr>
          <w:rFonts w:ascii="Times New Roman" w:hAnsi="Times New Roman" w:cs="Times New Roman"/>
          <w:color w:val="222222"/>
          <w:sz w:val="24"/>
          <w:szCs w:val="24"/>
          <w:shd w:val="clear" w:color="auto" w:fill="FFFFFF"/>
        </w:rPr>
      </w:pPr>
      <w:r w:rsidRPr="00040F0A">
        <w:rPr>
          <w:rFonts w:ascii="Times New Roman" w:hAnsi="Times New Roman" w:cs="Times New Roman"/>
          <w:color w:val="222222"/>
          <w:sz w:val="24"/>
          <w:szCs w:val="24"/>
          <w:shd w:val="clear" w:color="auto" w:fill="FFFFFF"/>
        </w:rPr>
        <w:t xml:space="preserve">Petersson, L., </w:t>
      </w:r>
      <w:proofErr w:type="spellStart"/>
      <w:r w:rsidRPr="00040F0A">
        <w:rPr>
          <w:rFonts w:ascii="Times New Roman" w:hAnsi="Times New Roman" w:cs="Times New Roman"/>
          <w:color w:val="222222"/>
          <w:sz w:val="24"/>
          <w:szCs w:val="24"/>
          <w:shd w:val="clear" w:color="auto" w:fill="FFFFFF"/>
        </w:rPr>
        <w:t>Schörgenhofer</w:t>
      </w:r>
      <w:proofErr w:type="spellEnd"/>
      <w:r w:rsidRPr="00040F0A">
        <w:rPr>
          <w:rFonts w:ascii="Times New Roman" w:hAnsi="Times New Roman" w:cs="Times New Roman"/>
          <w:color w:val="222222"/>
          <w:sz w:val="24"/>
          <w:szCs w:val="24"/>
          <w:shd w:val="clear" w:color="auto" w:fill="FFFFFF"/>
        </w:rPr>
        <w:t xml:space="preserve">, C., </w:t>
      </w:r>
      <w:proofErr w:type="spellStart"/>
      <w:r w:rsidRPr="00040F0A">
        <w:rPr>
          <w:rFonts w:ascii="Times New Roman" w:hAnsi="Times New Roman" w:cs="Times New Roman"/>
          <w:color w:val="222222"/>
          <w:sz w:val="24"/>
          <w:szCs w:val="24"/>
          <w:shd w:val="clear" w:color="auto" w:fill="FFFFFF"/>
        </w:rPr>
        <w:t>Askfors</w:t>
      </w:r>
      <w:proofErr w:type="spellEnd"/>
      <w:r w:rsidRPr="00040F0A">
        <w:rPr>
          <w:rFonts w:ascii="Times New Roman" w:hAnsi="Times New Roman" w:cs="Times New Roman"/>
          <w:color w:val="222222"/>
          <w:sz w:val="24"/>
          <w:szCs w:val="24"/>
          <w:shd w:val="clear" w:color="auto" w:fill="FFFFFF"/>
        </w:rPr>
        <w:t xml:space="preserve">, Y., Justad, H., Dahl, M.L. and Andersson, M.L., 2023. Pharmacological risk assessment among older patients with polypharmacy using the clinical decision support system </w:t>
      </w:r>
      <w:proofErr w:type="spellStart"/>
      <w:r w:rsidRPr="00040F0A">
        <w:rPr>
          <w:rFonts w:ascii="Times New Roman" w:hAnsi="Times New Roman" w:cs="Times New Roman"/>
          <w:color w:val="222222"/>
          <w:sz w:val="24"/>
          <w:szCs w:val="24"/>
          <w:shd w:val="clear" w:color="auto" w:fill="FFFFFF"/>
        </w:rPr>
        <w:t>Janusmed</w:t>
      </w:r>
      <w:proofErr w:type="spellEnd"/>
      <w:r w:rsidRPr="00040F0A">
        <w:rPr>
          <w:rFonts w:ascii="Times New Roman" w:hAnsi="Times New Roman" w:cs="Times New Roman"/>
          <w:color w:val="222222"/>
          <w:sz w:val="24"/>
          <w:szCs w:val="24"/>
          <w:shd w:val="clear" w:color="auto" w:fill="FFFFFF"/>
        </w:rPr>
        <w:t xml:space="preserve"> Risk Profile: a cross-sectional register study. </w:t>
      </w:r>
      <w:r w:rsidRPr="00040F0A">
        <w:rPr>
          <w:rFonts w:ascii="Times New Roman" w:hAnsi="Times New Roman" w:cs="Times New Roman"/>
          <w:i/>
          <w:iCs/>
          <w:color w:val="222222"/>
          <w:sz w:val="24"/>
          <w:szCs w:val="24"/>
          <w:shd w:val="clear" w:color="auto" w:fill="FFFFFF"/>
        </w:rPr>
        <w:t>Drugs &amp; Aging</w:t>
      </w:r>
      <w:r w:rsidRPr="00040F0A">
        <w:rPr>
          <w:rFonts w:ascii="Times New Roman" w:hAnsi="Times New Roman" w:cs="Times New Roman"/>
          <w:color w:val="222222"/>
          <w:sz w:val="24"/>
          <w:szCs w:val="24"/>
          <w:shd w:val="clear" w:color="auto" w:fill="FFFFFF"/>
        </w:rPr>
        <w:t>, </w:t>
      </w:r>
      <w:r w:rsidRPr="00040F0A">
        <w:rPr>
          <w:rFonts w:ascii="Times New Roman" w:hAnsi="Times New Roman" w:cs="Times New Roman"/>
          <w:i/>
          <w:iCs/>
          <w:color w:val="222222"/>
          <w:sz w:val="24"/>
          <w:szCs w:val="24"/>
          <w:shd w:val="clear" w:color="auto" w:fill="FFFFFF"/>
        </w:rPr>
        <w:t>40</w:t>
      </w:r>
      <w:r w:rsidRPr="00040F0A">
        <w:rPr>
          <w:rFonts w:ascii="Times New Roman" w:hAnsi="Times New Roman" w:cs="Times New Roman"/>
          <w:color w:val="222222"/>
          <w:sz w:val="24"/>
          <w:szCs w:val="24"/>
          <w:shd w:val="clear" w:color="auto" w:fill="FFFFFF"/>
        </w:rPr>
        <w:t>(4), pp.369-376.</w:t>
      </w:r>
    </w:p>
    <w:p w14:paraId="6B8B9CF0" w14:textId="77777777" w:rsidR="00040F0A" w:rsidRPr="00040F0A" w:rsidRDefault="00040F0A" w:rsidP="00040F0A">
      <w:pPr>
        <w:spacing w:line="360" w:lineRule="auto"/>
        <w:ind w:left="720" w:hanging="720"/>
        <w:jc w:val="both"/>
        <w:rPr>
          <w:rFonts w:ascii="Times New Roman" w:hAnsi="Times New Roman" w:cs="Times New Roman"/>
          <w:color w:val="222222"/>
          <w:sz w:val="24"/>
          <w:szCs w:val="24"/>
          <w:shd w:val="clear" w:color="auto" w:fill="FFFFFF"/>
        </w:rPr>
      </w:pPr>
      <w:r w:rsidRPr="00040F0A">
        <w:rPr>
          <w:rFonts w:ascii="Times New Roman" w:hAnsi="Times New Roman" w:cs="Times New Roman"/>
          <w:color w:val="222222"/>
          <w:sz w:val="24"/>
          <w:szCs w:val="24"/>
          <w:shd w:val="clear" w:color="auto" w:fill="FFFFFF"/>
        </w:rPr>
        <w:t xml:space="preserve">Spatola, G., Giusti, A., Mancini, S., </w:t>
      </w:r>
      <w:proofErr w:type="spellStart"/>
      <w:r w:rsidRPr="00040F0A">
        <w:rPr>
          <w:rFonts w:ascii="Times New Roman" w:hAnsi="Times New Roman" w:cs="Times New Roman"/>
          <w:color w:val="222222"/>
          <w:sz w:val="24"/>
          <w:szCs w:val="24"/>
          <w:shd w:val="clear" w:color="auto" w:fill="FFFFFF"/>
        </w:rPr>
        <w:t>Tinacci</w:t>
      </w:r>
      <w:proofErr w:type="spellEnd"/>
      <w:r w:rsidRPr="00040F0A">
        <w:rPr>
          <w:rFonts w:ascii="Times New Roman" w:hAnsi="Times New Roman" w:cs="Times New Roman"/>
          <w:color w:val="222222"/>
          <w:sz w:val="24"/>
          <w:szCs w:val="24"/>
          <w:shd w:val="clear" w:color="auto" w:fill="FFFFFF"/>
        </w:rPr>
        <w:t xml:space="preserve">, L., </w:t>
      </w:r>
      <w:proofErr w:type="spellStart"/>
      <w:r w:rsidRPr="00040F0A">
        <w:rPr>
          <w:rFonts w:ascii="Times New Roman" w:hAnsi="Times New Roman" w:cs="Times New Roman"/>
          <w:color w:val="222222"/>
          <w:sz w:val="24"/>
          <w:szCs w:val="24"/>
          <w:shd w:val="clear" w:color="auto" w:fill="FFFFFF"/>
        </w:rPr>
        <w:t>Nuvoloni</w:t>
      </w:r>
      <w:proofErr w:type="spellEnd"/>
      <w:r w:rsidRPr="00040F0A">
        <w:rPr>
          <w:rFonts w:ascii="Times New Roman" w:hAnsi="Times New Roman" w:cs="Times New Roman"/>
          <w:color w:val="222222"/>
          <w:sz w:val="24"/>
          <w:szCs w:val="24"/>
          <w:shd w:val="clear" w:color="auto" w:fill="FFFFFF"/>
        </w:rPr>
        <w:t xml:space="preserve">, R., Fratini, F., Di Iacovo, F. and Armani, A., 2024. Assessment of the information to consumers on insects-based products (Novel Food) sold by e-commerce in the light of the EU legislation: when </w:t>
      </w:r>
      <w:r w:rsidRPr="00040F0A">
        <w:rPr>
          <w:rFonts w:ascii="Times New Roman" w:hAnsi="Times New Roman" w:cs="Times New Roman"/>
          <w:color w:val="222222"/>
          <w:sz w:val="24"/>
          <w:szCs w:val="24"/>
          <w:shd w:val="clear" w:color="auto" w:fill="FFFFFF"/>
        </w:rPr>
        <w:lastRenderedPageBreak/>
        <w:t>labelling compliance becomes a matter of accuracy. </w:t>
      </w:r>
      <w:r w:rsidRPr="00040F0A">
        <w:rPr>
          <w:rFonts w:ascii="Times New Roman" w:hAnsi="Times New Roman" w:cs="Times New Roman"/>
          <w:i/>
          <w:iCs/>
          <w:color w:val="222222"/>
          <w:sz w:val="24"/>
          <w:szCs w:val="24"/>
          <w:shd w:val="clear" w:color="auto" w:fill="FFFFFF"/>
        </w:rPr>
        <w:t>Food Control</w:t>
      </w:r>
      <w:r w:rsidRPr="00040F0A">
        <w:rPr>
          <w:rFonts w:ascii="Times New Roman" w:hAnsi="Times New Roman" w:cs="Times New Roman"/>
          <w:color w:val="222222"/>
          <w:sz w:val="24"/>
          <w:szCs w:val="24"/>
          <w:shd w:val="clear" w:color="auto" w:fill="FFFFFF"/>
        </w:rPr>
        <w:t>, </w:t>
      </w:r>
      <w:r w:rsidRPr="00040F0A">
        <w:rPr>
          <w:rFonts w:ascii="Times New Roman" w:hAnsi="Times New Roman" w:cs="Times New Roman"/>
          <w:i/>
          <w:iCs/>
          <w:color w:val="222222"/>
          <w:sz w:val="24"/>
          <w:szCs w:val="24"/>
          <w:shd w:val="clear" w:color="auto" w:fill="FFFFFF"/>
        </w:rPr>
        <w:t>162</w:t>
      </w:r>
      <w:r w:rsidRPr="00040F0A">
        <w:rPr>
          <w:rFonts w:ascii="Times New Roman" w:hAnsi="Times New Roman" w:cs="Times New Roman"/>
          <w:color w:val="222222"/>
          <w:sz w:val="24"/>
          <w:szCs w:val="24"/>
          <w:shd w:val="clear" w:color="auto" w:fill="FFFFFF"/>
        </w:rPr>
        <w:t>, p.110440.</w:t>
      </w:r>
    </w:p>
    <w:p w14:paraId="6610A63C" w14:textId="77777777" w:rsidR="00040F0A" w:rsidRPr="00040F0A" w:rsidRDefault="00040F0A" w:rsidP="00040F0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040F0A">
        <w:rPr>
          <w:rFonts w:ascii="Times New Roman" w:hAnsi="Times New Roman" w:cs="Times New Roman"/>
          <w:color w:val="222222"/>
          <w:sz w:val="24"/>
          <w:szCs w:val="24"/>
          <w:shd w:val="clear" w:color="auto" w:fill="FFFFFF"/>
        </w:rPr>
        <w:t>Teaga</w:t>
      </w:r>
      <w:proofErr w:type="spellEnd"/>
      <w:r w:rsidRPr="00040F0A">
        <w:rPr>
          <w:rFonts w:ascii="Times New Roman" w:hAnsi="Times New Roman" w:cs="Times New Roman"/>
          <w:color w:val="222222"/>
          <w:sz w:val="24"/>
          <w:szCs w:val="24"/>
          <w:shd w:val="clear" w:color="auto" w:fill="FFFFFF"/>
        </w:rPr>
        <w:t xml:space="preserve"> Rajan, S.K., Nik </w:t>
      </w:r>
      <w:proofErr w:type="spellStart"/>
      <w:r w:rsidRPr="00040F0A">
        <w:rPr>
          <w:rFonts w:ascii="Times New Roman" w:hAnsi="Times New Roman" w:cs="Times New Roman"/>
          <w:color w:val="222222"/>
          <w:sz w:val="24"/>
          <w:szCs w:val="24"/>
          <w:shd w:val="clear" w:color="auto" w:fill="FFFFFF"/>
        </w:rPr>
        <w:t>Khansani</w:t>
      </w:r>
      <w:proofErr w:type="spellEnd"/>
      <w:r w:rsidRPr="00040F0A">
        <w:rPr>
          <w:rFonts w:ascii="Times New Roman" w:hAnsi="Times New Roman" w:cs="Times New Roman"/>
          <w:color w:val="222222"/>
          <w:sz w:val="24"/>
          <w:szCs w:val="24"/>
          <w:shd w:val="clear" w:color="auto" w:fill="FFFFFF"/>
        </w:rPr>
        <w:t>, N.Z.S. and Kueh, J.Z., 2022, October. Sustainable and Responsible Exploration and Production Operations Through Sustainable Risk Assessment Register and Matrix–A Suggestion for the Industry. In </w:t>
      </w:r>
      <w:r w:rsidRPr="00040F0A">
        <w:rPr>
          <w:rFonts w:ascii="Times New Roman" w:hAnsi="Times New Roman" w:cs="Times New Roman"/>
          <w:i/>
          <w:iCs/>
          <w:color w:val="222222"/>
          <w:sz w:val="24"/>
          <w:szCs w:val="24"/>
          <w:shd w:val="clear" w:color="auto" w:fill="FFFFFF"/>
        </w:rPr>
        <w:t>SPE Asia Pacific Oil and Gas Conference and Exhibition</w:t>
      </w:r>
      <w:r w:rsidRPr="00040F0A">
        <w:rPr>
          <w:rFonts w:ascii="Times New Roman" w:hAnsi="Times New Roman" w:cs="Times New Roman"/>
          <w:color w:val="222222"/>
          <w:sz w:val="24"/>
          <w:szCs w:val="24"/>
          <w:shd w:val="clear" w:color="auto" w:fill="FFFFFF"/>
        </w:rPr>
        <w:t> (p. D031S019R002). SPE.</w:t>
      </w:r>
    </w:p>
    <w:p w14:paraId="27C6402A" w14:textId="77777777" w:rsidR="00040F0A" w:rsidRPr="00040F0A" w:rsidRDefault="00040F0A" w:rsidP="00040F0A">
      <w:pPr>
        <w:spacing w:line="360" w:lineRule="auto"/>
        <w:ind w:left="720" w:hanging="720"/>
        <w:jc w:val="both"/>
        <w:rPr>
          <w:rFonts w:ascii="Times New Roman" w:hAnsi="Times New Roman" w:cs="Times New Roman"/>
          <w:color w:val="222222"/>
          <w:sz w:val="24"/>
          <w:szCs w:val="24"/>
          <w:shd w:val="clear" w:color="auto" w:fill="FFFFFF"/>
        </w:rPr>
      </w:pPr>
      <w:r w:rsidRPr="00040F0A">
        <w:rPr>
          <w:rFonts w:ascii="Times New Roman" w:hAnsi="Times New Roman" w:cs="Times New Roman"/>
          <w:color w:val="222222"/>
          <w:sz w:val="24"/>
          <w:szCs w:val="24"/>
          <w:shd w:val="clear" w:color="auto" w:fill="FFFFFF"/>
        </w:rPr>
        <w:t>Varol, N., 2022. Inflation accounting in terms of tax legislation and accounting standards in Turkey. </w:t>
      </w:r>
      <w:proofErr w:type="spellStart"/>
      <w:r w:rsidRPr="00040F0A">
        <w:rPr>
          <w:rFonts w:ascii="Times New Roman" w:hAnsi="Times New Roman" w:cs="Times New Roman"/>
          <w:i/>
          <w:iCs/>
          <w:color w:val="222222"/>
          <w:sz w:val="24"/>
          <w:szCs w:val="24"/>
          <w:shd w:val="clear" w:color="auto" w:fill="FFFFFF"/>
        </w:rPr>
        <w:t>Muhasebe</w:t>
      </w:r>
      <w:proofErr w:type="spellEnd"/>
      <w:r w:rsidRPr="00040F0A">
        <w:rPr>
          <w:rFonts w:ascii="Times New Roman" w:hAnsi="Times New Roman" w:cs="Times New Roman"/>
          <w:i/>
          <w:iCs/>
          <w:color w:val="222222"/>
          <w:sz w:val="24"/>
          <w:szCs w:val="24"/>
          <w:shd w:val="clear" w:color="auto" w:fill="FFFFFF"/>
        </w:rPr>
        <w:t xml:space="preserve"> </w:t>
      </w:r>
      <w:proofErr w:type="spellStart"/>
      <w:r w:rsidRPr="00040F0A">
        <w:rPr>
          <w:rFonts w:ascii="Times New Roman" w:hAnsi="Times New Roman" w:cs="Times New Roman"/>
          <w:i/>
          <w:iCs/>
          <w:color w:val="222222"/>
          <w:sz w:val="24"/>
          <w:szCs w:val="24"/>
          <w:shd w:val="clear" w:color="auto" w:fill="FFFFFF"/>
        </w:rPr>
        <w:t>ve</w:t>
      </w:r>
      <w:proofErr w:type="spellEnd"/>
      <w:r w:rsidRPr="00040F0A">
        <w:rPr>
          <w:rFonts w:ascii="Times New Roman" w:hAnsi="Times New Roman" w:cs="Times New Roman"/>
          <w:i/>
          <w:iCs/>
          <w:color w:val="222222"/>
          <w:sz w:val="24"/>
          <w:szCs w:val="24"/>
          <w:shd w:val="clear" w:color="auto" w:fill="FFFFFF"/>
        </w:rPr>
        <w:t xml:space="preserve"> </w:t>
      </w:r>
      <w:proofErr w:type="spellStart"/>
      <w:r w:rsidRPr="00040F0A">
        <w:rPr>
          <w:rFonts w:ascii="Times New Roman" w:hAnsi="Times New Roman" w:cs="Times New Roman"/>
          <w:i/>
          <w:iCs/>
          <w:color w:val="222222"/>
          <w:sz w:val="24"/>
          <w:szCs w:val="24"/>
          <w:shd w:val="clear" w:color="auto" w:fill="FFFFFF"/>
        </w:rPr>
        <w:t>Finansman</w:t>
      </w:r>
      <w:proofErr w:type="spellEnd"/>
      <w:r w:rsidRPr="00040F0A">
        <w:rPr>
          <w:rFonts w:ascii="Times New Roman" w:hAnsi="Times New Roman" w:cs="Times New Roman"/>
          <w:i/>
          <w:iCs/>
          <w:color w:val="222222"/>
          <w:sz w:val="24"/>
          <w:szCs w:val="24"/>
          <w:shd w:val="clear" w:color="auto" w:fill="FFFFFF"/>
        </w:rPr>
        <w:t xml:space="preserve"> </w:t>
      </w:r>
      <w:proofErr w:type="spellStart"/>
      <w:r w:rsidRPr="00040F0A">
        <w:rPr>
          <w:rFonts w:ascii="Times New Roman" w:hAnsi="Times New Roman" w:cs="Times New Roman"/>
          <w:i/>
          <w:iCs/>
          <w:color w:val="222222"/>
          <w:sz w:val="24"/>
          <w:szCs w:val="24"/>
          <w:shd w:val="clear" w:color="auto" w:fill="FFFFFF"/>
        </w:rPr>
        <w:t>Dergisi</w:t>
      </w:r>
      <w:proofErr w:type="spellEnd"/>
      <w:r w:rsidRPr="00040F0A">
        <w:rPr>
          <w:rFonts w:ascii="Times New Roman" w:hAnsi="Times New Roman" w:cs="Times New Roman"/>
          <w:color w:val="222222"/>
          <w:sz w:val="24"/>
          <w:szCs w:val="24"/>
          <w:shd w:val="clear" w:color="auto" w:fill="FFFFFF"/>
        </w:rPr>
        <w:t>, (93), pp.19-30.</w:t>
      </w:r>
    </w:p>
    <w:p w14:paraId="7B98421A" w14:textId="77777777" w:rsidR="00040F0A" w:rsidRPr="00040F0A" w:rsidRDefault="00040F0A" w:rsidP="00040F0A">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040F0A">
        <w:rPr>
          <w:rFonts w:ascii="Times New Roman" w:hAnsi="Times New Roman" w:cs="Times New Roman"/>
          <w:color w:val="222222"/>
          <w:sz w:val="24"/>
          <w:szCs w:val="24"/>
          <w:shd w:val="clear" w:color="auto" w:fill="FFFFFF"/>
        </w:rPr>
        <w:t>Vodencarevic</w:t>
      </w:r>
      <w:proofErr w:type="spellEnd"/>
      <w:r w:rsidRPr="00040F0A">
        <w:rPr>
          <w:rFonts w:ascii="Times New Roman" w:hAnsi="Times New Roman" w:cs="Times New Roman"/>
          <w:color w:val="222222"/>
          <w:sz w:val="24"/>
          <w:szCs w:val="24"/>
          <w:shd w:val="clear" w:color="auto" w:fill="FFFFFF"/>
        </w:rPr>
        <w:t xml:space="preserve">, A., </w:t>
      </w:r>
      <w:proofErr w:type="spellStart"/>
      <w:r w:rsidRPr="00040F0A">
        <w:rPr>
          <w:rFonts w:ascii="Times New Roman" w:hAnsi="Times New Roman" w:cs="Times New Roman"/>
          <w:color w:val="222222"/>
          <w:sz w:val="24"/>
          <w:szCs w:val="24"/>
          <w:shd w:val="clear" w:color="auto" w:fill="FFFFFF"/>
        </w:rPr>
        <w:t>Weingärtner</w:t>
      </w:r>
      <w:proofErr w:type="spellEnd"/>
      <w:r w:rsidRPr="00040F0A">
        <w:rPr>
          <w:rFonts w:ascii="Times New Roman" w:hAnsi="Times New Roman" w:cs="Times New Roman"/>
          <w:color w:val="222222"/>
          <w:sz w:val="24"/>
          <w:szCs w:val="24"/>
          <w:shd w:val="clear" w:color="auto" w:fill="FFFFFF"/>
        </w:rPr>
        <w:t xml:space="preserve">, M., Caro, J.J., </w:t>
      </w:r>
      <w:proofErr w:type="spellStart"/>
      <w:r w:rsidRPr="00040F0A">
        <w:rPr>
          <w:rFonts w:ascii="Times New Roman" w:hAnsi="Times New Roman" w:cs="Times New Roman"/>
          <w:color w:val="222222"/>
          <w:sz w:val="24"/>
          <w:szCs w:val="24"/>
          <w:shd w:val="clear" w:color="auto" w:fill="FFFFFF"/>
        </w:rPr>
        <w:t>Ukalovic</w:t>
      </w:r>
      <w:proofErr w:type="spellEnd"/>
      <w:r w:rsidRPr="00040F0A">
        <w:rPr>
          <w:rFonts w:ascii="Times New Roman" w:hAnsi="Times New Roman" w:cs="Times New Roman"/>
          <w:color w:val="222222"/>
          <w:sz w:val="24"/>
          <w:szCs w:val="24"/>
          <w:shd w:val="clear" w:color="auto" w:fill="FFFFFF"/>
        </w:rPr>
        <w:t>, D., Zimmermann-</w:t>
      </w:r>
      <w:proofErr w:type="spellStart"/>
      <w:r w:rsidRPr="00040F0A">
        <w:rPr>
          <w:rFonts w:ascii="Times New Roman" w:hAnsi="Times New Roman" w:cs="Times New Roman"/>
          <w:color w:val="222222"/>
          <w:sz w:val="24"/>
          <w:szCs w:val="24"/>
          <w:shd w:val="clear" w:color="auto" w:fill="FFFFFF"/>
        </w:rPr>
        <w:t>Rittereiser</w:t>
      </w:r>
      <w:proofErr w:type="spellEnd"/>
      <w:r w:rsidRPr="00040F0A">
        <w:rPr>
          <w:rFonts w:ascii="Times New Roman" w:hAnsi="Times New Roman" w:cs="Times New Roman"/>
          <w:color w:val="222222"/>
          <w:sz w:val="24"/>
          <w:szCs w:val="24"/>
          <w:shd w:val="clear" w:color="auto" w:fill="FFFFFF"/>
        </w:rPr>
        <w:t xml:space="preserve">, M., Schwab, S. and </w:t>
      </w:r>
      <w:proofErr w:type="spellStart"/>
      <w:r w:rsidRPr="00040F0A">
        <w:rPr>
          <w:rFonts w:ascii="Times New Roman" w:hAnsi="Times New Roman" w:cs="Times New Roman"/>
          <w:color w:val="222222"/>
          <w:sz w:val="24"/>
          <w:szCs w:val="24"/>
          <w:shd w:val="clear" w:color="auto" w:fill="FFFFFF"/>
        </w:rPr>
        <w:t>Kolominsky</w:t>
      </w:r>
      <w:proofErr w:type="spellEnd"/>
      <w:r w:rsidRPr="00040F0A">
        <w:rPr>
          <w:rFonts w:ascii="Times New Roman" w:hAnsi="Times New Roman" w:cs="Times New Roman"/>
          <w:color w:val="222222"/>
          <w:sz w:val="24"/>
          <w:szCs w:val="24"/>
          <w:shd w:val="clear" w:color="auto" w:fill="FFFFFF"/>
        </w:rPr>
        <w:t>-Rabas, P., 2022. Prediction of recurrent ischemic stroke using registry data and machine learning methods: the Erlangen stroke registry. </w:t>
      </w:r>
      <w:r w:rsidRPr="00040F0A">
        <w:rPr>
          <w:rFonts w:ascii="Times New Roman" w:hAnsi="Times New Roman" w:cs="Times New Roman"/>
          <w:i/>
          <w:iCs/>
          <w:color w:val="222222"/>
          <w:sz w:val="24"/>
          <w:szCs w:val="24"/>
          <w:shd w:val="clear" w:color="auto" w:fill="FFFFFF"/>
        </w:rPr>
        <w:t>Stroke</w:t>
      </w:r>
      <w:r w:rsidRPr="00040F0A">
        <w:rPr>
          <w:rFonts w:ascii="Times New Roman" w:hAnsi="Times New Roman" w:cs="Times New Roman"/>
          <w:color w:val="222222"/>
          <w:sz w:val="24"/>
          <w:szCs w:val="24"/>
          <w:shd w:val="clear" w:color="auto" w:fill="FFFFFF"/>
        </w:rPr>
        <w:t>, </w:t>
      </w:r>
      <w:r w:rsidRPr="00040F0A">
        <w:rPr>
          <w:rFonts w:ascii="Times New Roman" w:hAnsi="Times New Roman" w:cs="Times New Roman"/>
          <w:i/>
          <w:iCs/>
          <w:color w:val="222222"/>
          <w:sz w:val="24"/>
          <w:szCs w:val="24"/>
          <w:shd w:val="clear" w:color="auto" w:fill="FFFFFF"/>
        </w:rPr>
        <w:t>53</w:t>
      </w:r>
      <w:r w:rsidRPr="00040F0A">
        <w:rPr>
          <w:rFonts w:ascii="Times New Roman" w:hAnsi="Times New Roman" w:cs="Times New Roman"/>
          <w:color w:val="222222"/>
          <w:sz w:val="24"/>
          <w:szCs w:val="24"/>
          <w:shd w:val="clear" w:color="auto" w:fill="FFFFFF"/>
        </w:rPr>
        <w:t>(7), pp.2299-2306.</w:t>
      </w:r>
    </w:p>
    <w:p w14:paraId="1B2CDE27" w14:textId="77777777" w:rsidR="00040F0A" w:rsidRPr="00040F0A" w:rsidRDefault="00040F0A" w:rsidP="00040F0A">
      <w:pPr>
        <w:spacing w:line="360" w:lineRule="auto"/>
        <w:ind w:left="720" w:hanging="720"/>
        <w:jc w:val="both"/>
        <w:rPr>
          <w:rFonts w:ascii="Times New Roman" w:hAnsi="Times New Roman" w:cs="Times New Roman"/>
          <w:color w:val="222222"/>
          <w:sz w:val="24"/>
          <w:szCs w:val="24"/>
          <w:shd w:val="clear" w:color="auto" w:fill="FFFFFF"/>
        </w:rPr>
      </w:pPr>
      <w:r w:rsidRPr="00040F0A">
        <w:rPr>
          <w:rFonts w:ascii="Times New Roman" w:hAnsi="Times New Roman" w:cs="Times New Roman"/>
          <w:color w:val="222222"/>
          <w:sz w:val="24"/>
          <w:szCs w:val="24"/>
          <w:shd w:val="clear" w:color="auto" w:fill="FFFFFF"/>
        </w:rPr>
        <w:t xml:space="preserve">Yakob, R., </w:t>
      </w:r>
      <w:proofErr w:type="spellStart"/>
      <w:r w:rsidRPr="00040F0A">
        <w:rPr>
          <w:rFonts w:ascii="Times New Roman" w:hAnsi="Times New Roman" w:cs="Times New Roman"/>
          <w:color w:val="222222"/>
          <w:sz w:val="24"/>
          <w:szCs w:val="24"/>
          <w:shd w:val="clear" w:color="auto" w:fill="FFFFFF"/>
        </w:rPr>
        <w:t>Bangaan</w:t>
      </w:r>
      <w:proofErr w:type="spellEnd"/>
      <w:r w:rsidRPr="00040F0A">
        <w:rPr>
          <w:rFonts w:ascii="Times New Roman" w:hAnsi="Times New Roman" w:cs="Times New Roman"/>
          <w:color w:val="222222"/>
          <w:sz w:val="24"/>
          <w:szCs w:val="24"/>
          <w:shd w:val="clear" w:color="auto" w:fill="FFFFFF"/>
        </w:rPr>
        <w:t xml:space="preserve"> Abdullah, M.H.S., Yakob, S., Yakob, N., Md. Razali, N.H. and Mohamad, H., 2022. Analysis of enterprise risk management practices in Malaysian waqf institutions. </w:t>
      </w:r>
      <w:r w:rsidRPr="00040F0A">
        <w:rPr>
          <w:rFonts w:ascii="Times New Roman" w:hAnsi="Times New Roman" w:cs="Times New Roman"/>
          <w:i/>
          <w:iCs/>
          <w:color w:val="222222"/>
          <w:sz w:val="24"/>
          <w:szCs w:val="24"/>
          <w:shd w:val="clear" w:color="auto" w:fill="FFFFFF"/>
        </w:rPr>
        <w:t>International Journal of Islamic and Middle Eastern Finance and Management</w:t>
      </w:r>
      <w:r w:rsidRPr="00040F0A">
        <w:rPr>
          <w:rFonts w:ascii="Times New Roman" w:hAnsi="Times New Roman" w:cs="Times New Roman"/>
          <w:color w:val="222222"/>
          <w:sz w:val="24"/>
          <w:szCs w:val="24"/>
          <w:shd w:val="clear" w:color="auto" w:fill="FFFFFF"/>
        </w:rPr>
        <w:t>, </w:t>
      </w:r>
      <w:r w:rsidRPr="00040F0A">
        <w:rPr>
          <w:rFonts w:ascii="Times New Roman" w:hAnsi="Times New Roman" w:cs="Times New Roman"/>
          <w:i/>
          <w:iCs/>
          <w:color w:val="222222"/>
          <w:sz w:val="24"/>
          <w:szCs w:val="24"/>
          <w:shd w:val="clear" w:color="auto" w:fill="FFFFFF"/>
        </w:rPr>
        <w:t>15</w:t>
      </w:r>
      <w:r w:rsidRPr="00040F0A">
        <w:rPr>
          <w:rFonts w:ascii="Times New Roman" w:hAnsi="Times New Roman" w:cs="Times New Roman"/>
          <w:color w:val="222222"/>
          <w:sz w:val="24"/>
          <w:szCs w:val="24"/>
          <w:shd w:val="clear" w:color="auto" w:fill="FFFFFF"/>
        </w:rPr>
        <w:t>(3), pp.569-585.</w:t>
      </w:r>
    </w:p>
    <w:p w14:paraId="235337A4" w14:textId="77777777" w:rsidR="00994DC0" w:rsidRPr="00040F0A" w:rsidRDefault="00994DC0" w:rsidP="00040F0A">
      <w:pPr>
        <w:spacing w:line="360" w:lineRule="auto"/>
        <w:jc w:val="both"/>
        <w:rPr>
          <w:rFonts w:ascii="Times New Roman" w:eastAsia="Arial Unicode MS" w:hAnsi="Times New Roman" w:cs="Times New Roman"/>
          <w:sz w:val="24"/>
          <w:szCs w:val="24"/>
        </w:rPr>
      </w:pPr>
    </w:p>
    <w:p w14:paraId="4A8A4E44" w14:textId="77777777" w:rsidR="00994DC0" w:rsidRPr="00040F0A" w:rsidRDefault="00994DC0" w:rsidP="00040F0A">
      <w:pPr>
        <w:spacing w:line="360" w:lineRule="auto"/>
        <w:jc w:val="both"/>
        <w:rPr>
          <w:rFonts w:ascii="Times New Roman" w:eastAsia="Arial Unicode MS" w:hAnsi="Times New Roman" w:cs="Times New Roman"/>
          <w:sz w:val="24"/>
          <w:szCs w:val="24"/>
        </w:rPr>
      </w:pPr>
    </w:p>
    <w:p w14:paraId="36E96FAE" w14:textId="77777777" w:rsidR="00994DC0" w:rsidRPr="00040F0A" w:rsidRDefault="00994DC0" w:rsidP="00040F0A">
      <w:pPr>
        <w:spacing w:line="360" w:lineRule="auto"/>
        <w:jc w:val="both"/>
        <w:rPr>
          <w:rFonts w:ascii="Times New Roman" w:eastAsia="Arial Unicode MS" w:hAnsi="Times New Roman" w:cs="Times New Roman"/>
          <w:sz w:val="24"/>
          <w:szCs w:val="24"/>
        </w:rPr>
      </w:pPr>
    </w:p>
    <w:p w14:paraId="346E2C0C" w14:textId="77777777" w:rsidR="00994DC0" w:rsidRPr="00040F0A" w:rsidRDefault="00994DC0" w:rsidP="00040F0A">
      <w:pPr>
        <w:spacing w:line="360" w:lineRule="auto"/>
        <w:jc w:val="both"/>
        <w:rPr>
          <w:rFonts w:ascii="Times New Roman" w:eastAsia="Arial Unicode MS" w:hAnsi="Times New Roman" w:cs="Times New Roman"/>
          <w:sz w:val="24"/>
          <w:szCs w:val="24"/>
        </w:rPr>
      </w:pPr>
    </w:p>
    <w:p w14:paraId="019C86EE" w14:textId="77777777" w:rsidR="00994DC0" w:rsidRPr="00040F0A" w:rsidRDefault="00994DC0" w:rsidP="00040F0A">
      <w:pPr>
        <w:spacing w:line="360" w:lineRule="auto"/>
        <w:jc w:val="both"/>
        <w:rPr>
          <w:rFonts w:ascii="Times New Roman" w:eastAsia="Arial Unicode MS" w:hAnsi="Times New Roman" w:cs="Times New Roman"/>
          <w:sz w:val="24"/>
          <w:szCs w:val="24"/>
        </w:rPr>
      </w:pPr>
    </w:p>
    <w:p w14:paraId="6CF0FF45" w14:textId="77777777" w:rsidR="00994DC0" w:rsidRPr="00040F0A" w:rsidRDefault="00994DC0" w:rsidP="00040F0A">
      <w:pPr>
        <w:spacing w:line="360" w:lineRule="auto"/>
        <w:jc w:val="both"/>
        <w:rPr>
          <w:rFonts w:ascii="Times New Roman" w:eastAsia="Arial Unicode MS" w:hAnsi="Times New Roman" w:cs="Times New Roman"/>
          <w:sz w:val="24"/>
          <w:szCs w:val="24"/>
        </w:rPr>
      </w:pPr>
    </w:p>
    <w:p w14:paraId="747DFDB7" w14:textId="77777777" w:rsidR="00994DC0" w:rsidRPr="00040F0A" w:rsidRDefault="00994DC0" w:rsidP="00040F0A">
      <w:pPr>
        <w:spacing w:line="360" w:lineRule="auto"/>
        <w:jc w:val="both"/>
        <w:rPr>
          <w:rFonts w:ascii="Times New Roman" w:eastAsia="Arial Unicode MS" w:hAnsi="Times New Roman" w:cs="Times New Roman"/>
          <w:sz w:val="24"/>
          <w:szCs w:val="24"/>
        </w:rPr>
      </w:pPr>
    </w:p>
    <w:p w14:paraId="207B4068" w14:textId="77777777" w:rsidR="00994DC0" w:rsidRPr="00040F0A" w:rsidRDefault="00994DC0" w:rsidP="00040F0A">
      <w:pPr>
        <w:spacing w:line="360" w:lineRule="auto"/>
        <w:jc w:val="both"/>
        <w:rPr>
          <w:rFonts w:ascii="Times New Roman" w:eastAsia="Arial Unicode MS" w:hAnsi="Times New Roman" w:cs="Times New Roman"/>
          <w:sz w:val="24"/>
          <w:szCs w:val="24"/>
        </w:rPr>
      </w:pPr>
    </w:p>
    <w:p w14:paraId="3362910D" w14:textId="77777777" w:rsidR="00994DC0" w:rsidRPr="00040F0A" w:rsidRDefault="00994DC0" w:rsidP="00040F0A">
      <w:pPr>
        <w:spacing w:line="360" w:lineRule="auto"/>
        <w:jc w:val="both"/>
        <w:rPr>
          <w:rFonts w:ascii="Times New Roman" w:eastAsia="Arial Unicode MS" w:hAnsi="Times New Roman" w:cs="Times New Roman"/>
          <w:sz w:val="24"/>
          <w:szCs w:val="24"/>
        </w:rPr>
      </w:pPr>
    </w:p>
    <w:p w14:paraId="67636D32" w14:textId="77777777" w:rsidR="00994DC0" w:rsidRPr="00040F0A" w:rsidRDefault="00994DC0" w:rsidP="00040F0A">
      <w:pPr>
        <w:spacing w:line="360" w:lineRule="auto"/>
        <w:jc w:val="both"/>
        <w:rPr>
          <w:rFonts w:ascii="Times New Roman" w:eastAsia="Arial Unicode MS" w:hAnsi="Times New Roman" w:cs="Times New Roman"/>
          <w:sz w:val="24"/>
          <w:szCs w:val="24"/>
        </w:rPr>
      </w:pPr>
    </w:p>
    <w:p w14:paraId="6C611052" w14:textId="77777777" w:rsidR="00994DC0" w:rsidRDefault="00994DC0">
      <w:pPr>
        <w:jc w:val="both"/>
        <w:rPr>
          <w:rFonts w:asciiTheme="minorHAnsi" w:eastAsia="Arial Unicode MS" w:hAnsiTheme="minorHAnsi" w:cstheme="minorHAnsi"/>
        </w:rPr>
      </w:pPr>
    </w:p>
    <w:p w14:paraId="62BC0EFA" w14:textId="77777777" w:rsidR="00994DC0" w:rsidRDefault="00994DC0">
      <w:pPr>
        <w:jc w:val="both"/>
        <w:rPr>
          <w:rFonts w:asciiTheme="minorHAnsi" w:eastAsia="Arial Unicode MS" w:hAnsiTheme="minorHAnsi" w:cstheme="minorHAnsi"/>
        </w:rPr>
      </w:pPr>
    </w:p>
    <w:p w14:paraId="639769F4" w14:textId="77777777" w:rsidR="00994DC0" w:rsidRDefault="00994DC0">
      <w:pPr>
        <w:jc w:val="both"/>
        <w:rPr>
          <w:rFonts w:asciiTheme="minorHAnsi" w:eastAsia="Arial Unicode MS" w:hAnsiTheme="minorHAnsi" w:cstheme="minorHAnsi"/>
        </w:rPr>
      </w:pPr>
    </w:p>
    <w:p w14:paraId="42C8AD60" w14:textId="77777777" w:rsidR="00994DC0" w:rsidRDefault="00994DC0">
      <w:pPr>
        <w:jc w:val="both"/>
        <w:rPr>
          <w:rFonts w:asciiTheme="minorHAnsi" w:eastAsia="Arial Unicode MS" w:hAnsiTheme="minorHAnsi" w:cstheme="minorHAnsi"/>
        </w:rPr>
      </w:pPr>
    </w:p>
    <w:p w14:paraId="27B01FC2" w14:textId="77777777" w:rsidR="00994DC0" w:rsidRDefault="00994DC0">
      <w:pPr>
        <w:jc w:val="both"/>
        <w:rPr>
          <w:rFonts w:asciiTheme="minorHAnsi" w:eastAsia="Arial Unicode MS" w:hAnsiTheme="minorHAnsi" w:cstheme="minorHAnsi"/>
        </w:rPr>
      </w:pPr>
    </w:p>
    <w:p w14:paraId="2ABF0DD3" w14:textId="77777777" w:rsidR="00994DC0" w:rsidRDefault="00994DC0">
      <w:pPr>
        <w:jc w:val="both"/>
        <w:rPr>
          <w:rFonts w:asciiTheme="minorHAnsi" w:eastAsia="Arial Unicode MS" w:hAnsiTheme="minorHAnsi" w:cstheme="minorHAnsi"/>
        </w:rPr>
      </w:pPr>
    </w:p>
    <w:p w14:paraId="7E8221E7" w14:textId="77777777" w:rsidR="00994DC0" w:rsidRDefault="00994DC0">
      <w:pPr>
        <w:jc w:val="both"/>
        <w:rPr>
          <w:rFonts w:asciiTheme="minorHAnsi" w:eastAsia="Arial Unicode MS" w:hAnsiTheme="minorHAnsi" w:cstheme="minorHAnsi"/>
        </w:rPr>
      </w:pPr>
    </w:p>
    <w:p w14:paraId="615B9B58" w14:textId="77777777" w:rsidR="00994DC0" w:rsidRDefault="00994DC0">
      <w:pPr>
        <w:jc w:val="both"/>
        <w:rPr>
          <w:rFonts w:asciiTheme="minorHAnsi" w:eastAsia="Arial Unicode MS" w:hAnsiTheme="minorHAnsi" w:cstheme="minorHAnsi"/>
        </w:rPr>
      </w:pPr>
    </w:p>
    <w:p w14:paraId="126365B3" w14:textId="77777777" w:rsidR="00994DC0" w:rsidRDefault="00994DC0">
      <w:pPr>
        <w:jc w:val="both"/>
        <w:rPr>
          <w:rFonts w:asciiTheme="minorHAnsi" w:eastAsia="Arial Unicode MS" w:hAnsiTheme="minorHAnsi" w:cstheme="minorHAnsi"/>
        </w:rPr>
      </w:pPr>
    </w:p>
    <w:p w14:paraId="0A4138A1" w14:textId="77777777" w:rsidR="00994DC0" w:rsidRDefault="00994DC0">
      <w:pPr>
        <w:jc w:val="both"/>
        <w:rPr>
          <w:rFonts w:asciiTheme="minorHAnsi" w:eastAsia="Arial Unicode MS" w:hAnsiTheme="minorHAnsi" w:cstheme="minorHAnsi"/>
        </w:rPr>
      </w:pPr>
    </w:p>
    <w:p w14:paraId="03263F99" w14:textId="77777777" w:rsidR="00994DC0" w:rsidRDefault="00994DC0">
      <w:pPr>
        <w:jc w:val="both"/>
        <w:rPr>
          <w:rFonts w:asciiTheme="minorHAnsi" w:eastAsia="Arial Unicode MS" w:hAnsiTheme="minorHAnsi" w:cstheme="minorHAnsi"/>
        </w:rPr>
      </w:pPr>
    </w:p>
    <w:p w14:paraId="6D629284" w14:textId="77777777" w:rsidR="00994DC0" w:rsidRDefault="00994DC0">
      <w:pPr>
        <w:jc w:val="both"/>
        <w:rPr>
          <w:rFonts w:asciiTheme="minorHAnsi" w:eastAsia="Arial Unicode MS" w:hAnsiTheme="minorHAnsi" w:cstheme="minorHAnsi"/>
        </w:rPr>
      </w:pPr>
    </w:p>
    <w:p w14:paraId="799BCC29" w14:textId="77777777" w:rsidR="00994DC0" w:rsidRDefault="00994DC0">
      <w:pPr>
        <w:rPr>
          <w:rFonts w:asciiTheme="minorHAnsi" w:eastAsia="Arial Unicode MS" w:hAnsiTheme="minorHAnsi" w:cstheme="minorHAnsi"/>
          <w:b/>
          <w:sz w:val="28"/>
          <w:szCs w:val="28"/>
        </w:rPr>
      </w:pPr>
    </w:p>
    <w:p w14:paraId="68F43B8D"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7C9D7765"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FFA6277" w14:textId="77777777" w:rsidR="00994DC0" w:rsidRDefault="00994D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sectPr w:rsidR="00994DC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2D51EA" w14:textId="77777777" w:rsidR="000C63D7" w:rsidRDefault="000C63D7">
      <w:r>
        <w:separator/>
      </w:r>
    </w:p>
  </w:endnote>
  <w:endnote w:type="continuationSeparator" w:id="0">
    <w:p w14:paraId="1AC7679F" w14:textId="77777777" w:rsidR="000C63D7" w:rsidRDefault="000C6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1661103"/>
      <w:docPartObj>
        <w:docPartGallery w:val="AutoText"/>
      </w:docPartObj>
    </w:sdtPr>
    <w:sdtContent>
      <w:p w14:paraId="7A75AF08" w14:textId="77777777" w:rsidR="00994DC0" w:rsidRDefault="00430DFD">
        <w:pPr>
          <w:pStyle w:val="Footer"/>
          <w:jc w:val="center"/>
        </w:pPr>
        <w:r>
          <w:fldChar w:fldCharType="begin"/>
        </w:r>
        <w:r>
          <w:instrText xml:space="preserve"> PAGE   \* MERGEFORMAT </w:instrText>
        </w:r>
        <w:r>
          <w:fldChar w:fldCharType="separate"/>
        </w:r>
        <w:r w:rsidR="004611B3">
          <w:rPr>
            <w:noProof/>
          </w:rPr>
          <w:t>11</w:t>
        </w:r>
        <w:r>
          <w:fldChar w:fldCharType="end"/>
        </w:r>
      </w:p>
    </w:sdtContent>
  </w:sdt>
  <w:p w14:paraId="0FC8C237" w14:textId="77777777" w:rsidR="00994DC0" w:rsidRDefault="00994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E639E0" w14:textId="77777777" w:rsidR="000C63D7" w:rsidRDefault="000C63D7">
      <w:r>
        <w:separator/>
      </w:r>
    </w:p>
  </w:footnote>
  <w:footnote w:type="continuationSeparator" w:id="0">
    <w:p w14:paraId="09658257" w14:textId="77777777" w:rsidR="000C63D7" w:rsidRDefault="000C6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3360732"/>
      <w:docPartObj>
        <w:docPartGallery w:val="AutoText"/>
      </w:docPartObj>
    </w:sdtPr>
    <w:sdtContent>
      <w:p w14:paraId="2439A265" w14:textId="77777777" w:rsidR="00994DC0" w:rsidRDefault="00430DFD">
        <w:pPr>
          <w:pStyle w:val="Header"/>
          <w:jc w:val="center"/>
        </w:pPr>
        <w:r>
          <w:fldChar w:fldCharType="begin"/>
        </w:r>
        <w:r>
          <w:instrText xml:space="preserve"> PAGE   \* MERGEFORMAT </w:instrText>
        </w:r>
        <w:r>
          <w:fldChar w:fldCharType="separate"/>
        </w:r>
        <w:r w:rsidR="004611B3">
          <w:rPr>
            <w:noProof/>
          </w:rPr>
          <w:t>11</w:t>
        </w:r>
        <w:r>
          <w:fldChar w:fldCharType="end"/>
        </w:r>
      </w:p>
    </w:sdtContent>
  </w:sdt>
  <w:p w14:paraId="5217C106" w14:textId="77777777" w:rsidR="00994DC0" w:rsidRDefault="00994D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55C85"/>
    <w:multiLevelType w:val="multilevel"/>
    <w:tmpl w:val="05E55C8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B236B8F"/>
    <w:multiLevelType w:val="hybridMultilevel"/>
    <w:tmpl w:val="2F321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8C54C8"/>
    <w:multiLevelType w:val="hybridMultilevel"/>
    <w:tmpl w:val="89109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2F6570"/>
    <w:multiLevelType w:val="multilevel"/>
    <w:tmpl w:val="3D2F65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D4B28F9"/>
    <w:multiLevelType w:val="hybridMultilevel"/>
    <w:tmpl w:val="02061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134D31"/>
    <w:multiLevelType w:val="hybridMultilevel"/>
    <w:tmpl w:val="3D984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6861BC"/>
    <w:multiLevelType w:val="multilevel"/>
    <w:tmpl w:val="496861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3602A4B"/>
    <w:multiLevelType w:val="multilevel"/>
    <w:tmpl w:val="63602A4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665171AB"/>
    <w:multiLevelType w:val="hybridMultilevel"/>
    <w:tmpl w:val="D778C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A05053"/>
    <w:multiLevelType w:val="hybridMultilevel"/>
    <w:tmpl w:val="B2A4B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E238EF"/>
    <w:multiLevelType w:val="hybridMultilevel"/>
    <w:tmpl w:val="F2EA9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804239"/>
    <w:multiLevelType w:val="hybridMultilevel"/>
    <w:tmpl w:val="A04E6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E34637"/>
    <w:multiLevelType w:val="hybridMultilevel"/>
    <w:tmpl w:val="DFDA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7893795">
    <w:abstractNumId w:val="7"/>
  </w:num>
  <w:num w:numId="2" w16cid:durableId="1756124219">
    <w:abstractNumId w:val="6"/>
  </w:num>
  <w:num w:numId="3" w16cid:durableId="605306689">
    <w:abstractNumId w:val="3"/>
  </w:num>
  <w:num w:numId="4" w16cid:durableId="1322201294">
    <w:abstractNumId w:val="0"/>
  </w:num>
  <w:num w:numId="5" w16cid:durableId="535309672">
    <w:abstractNumId w:val="5"/>
  </w:num>
  <w:num w:numId="6" w16cid:durableId="1612863071">
    <w:abstractNumId w:val="9"/>
  </w:num>
  <w:num w:numId="7" w16cid:durableId="1408065598">
    <w:abstractNumId w:val="8"/>
  </w:num>
  <w:num w:numId="8" w16cid:durableId="899248711">
    <w:abstractNumId w:val="12"/>
  </w:num>
  <w:num w:numId="9" w16cid:durableId="442924829">
    <w:abstractNumId w:val="4"/>
  </w:num>
  <w:num w:numId="10" w16cid:durableId="269632549">
    <w:abstractNumId w:val="11"/>
  </w:num>
  <w:num w:numId="11" w16cid:durableId="416827922">
    <w:abstractNumId w:val="1"/>
  </w:num>
  <w:num w:numId="12" w16cid:durableId="2109808471">
    <w:abstractNumId w:val="10"/>
  </w:num>
  <w:num w:numId="13" w16cid:durableId="18103176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6228"/>
    <w:rsid w:val="000214B7"/>
    <w:rsid w:val="00040F0A"/>
    <w:rsid w:val="000C63D7"/>
    <w:rsid w:val="00124059"/>
    <w:rsid w:val="00157057"/>
    <w:rsid w:val="0016282F"/>
    <w:rsid w:val="001D52F6"/>
    <w:rsid w:val="001D5E53"/>
    <w:rsid w:val="001D7BC5"/>
    <w:rsid w:val="001E0D74"/>
    <w:rsid w:val="00211822"/>
    <w:rsid w:val="00226E6E"/>
    <w:rsid w:val="00245BB0"/>
    <w:rsid w:val="002D2606"/>
    <w:rsid w:val="002D2E30"/>
    <w:rsid w:val="002E01B5"/>
    <w:rsid w:val="00304A2B"/>
    <w:rsid w:val="003200FC"/>
    <w:rsid w:val="00323841"/>
    <w:rsid w:val="003774C2"/>
    <w:rsid w:val="003A1771"/>
    <w:rsid w:val="00402BA5"/>
    <w:rsid w:val="00430DFD"/>
    <w:rsid w:val="004611B3"/>
    <w:rsid w:val="0046736D"/>
    <w:rsid w:val="004A6BE9"/>
    <w:rsid w:val="004D1306"/>
    <w:rsid w:val="004E078E"/>
    <w:rsid w:val="005527C3"/>
    <w:rsid w:val="00576ADB"/>
    <w:rsid w:val="00585286"/>
    <w:rsid w:val="005A6E02"/>
    <w:rsid w:val="005B1EBD"/>
    <w:rsid w:val="005C2C7A"/>
    <w:rsid w:val="005E6698"/>
    <w:rsid w:val="005F6917"/>
    <w:rsid w:val="006075C0"/>
    <w:rsid w:val="006107E7"/>
    <w:rsid w:val="00620D31"/>
    <w:rsid w:val="00627A58"/>
    <w:rsid w:val="006B7C10"/>
    <w:rsid w:val="007239AE"/>
    <w:rsid w:val="0073183E"/>
    <w:rsid w:val="007535DE"/>
    <w:rsid w:val="00765C8D"/>
    <w:rsid w:val="00766D97"/>
    <w:rsid w:val="00776E89"/>
    <w:rsid w:val="007E1664"/>
    <w:rsid w:val="00802A09"/>
    <w:rsid w:val="00820D61"/>
    <w:rsid w:val="008A34A8"/>
    <w:rsid w:val="009565F3"/>
    <w:rsid w:val="00957325"/>
    <w:rsid w:val="009651F0"/>
    <w:rsid w:val="00994DC0"/>
    <w:rsid w:val="009A3C88"/>
    <w:rsid w:val="009C7069"/>
    <w:rsid w:val="009F4C67"/>
    <w:rsid w:val="009F5D6C"/>
    <w:rsid w:val="00A612B2"/>
    <w:rsid w:val="00AA064B"/>
    <w:rsid w:val="00AE4CEF"/>
    <w:rsid w:val="00B024D1"/>
    <w:rsid w:val="00B43FCC"/>
    <w:rsid w:val="00B90EDD"/>
    <w:rsid w:val="00BB6640"/>
    <w:rsid w:val="00BC1C53"/>
    <w:rsid w:val="00C46B32"/>
    <w:rsid w:val="00C764A3"/>
    <w:rsid w:val="00C82D10"/>
    <w:rsid w:val="00C93C3A"/>
    <w:rsid w:val="00C94C0A"/>
    <w:rsid w:val="00CB49C0"/>
    <w:rsid w:val="00D252A7"/>
    <w:rsid w:val="00D45065"/>
    <w:rsid w:val="00D65A4A"/>
    <w:rsid w:val="00D665AB"/>
    <w:rsid w:val="00D759DB"/>
    <w:rsid w:val="00D948AC"/>
    <w:rsid w:val="00DE0325"/>
    <w:rsid w:val="00DE43F7"/>
    <w:rsid w:val="00DF310B"/>
    <w:rsid w:val="00E40BEA"/>
    <w:rsid w:val="00EC468D"/>
    <w:rsid w:val="00EE3A14"/>
    <w:rsid w:val="00FB62BF"/>
    <w:rsid w:val="00FF0EEF"/>
    <w:rsid w:val="76331C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AD9A3"/>
  <w15:docId w15:val="{A1C7B48A-F532-4EAC-9AE6-35B9CB743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Calibri Light" w:eastAsia="Calibri Light" w:hAnsi="Calibri Light" w:cs="Calibri Light"/>
      <w:sz w:val="22"/>
      <w:szCs w:val="22"/>
      <w:lang w:val="en-GB" w:eastAsia="en-GB" w:bidi="en-GB"/>
    </w:rPr>
  </w:style>
  <w:style w:type="paragraph" w:styleId="Heading1">
    <w:name w:val="heading 1"/>
    <w:basedOn w:val="Normal"/>
    <w:autoRedefine/>
    <w:uiPriority w:val="1"/>
    <w:qFormat/>
    <w:rsid w:val="00D45065"/>
    <w:pPr>
      <w:ind w:left="220"/>
      <w:outlineLvl w:val="0"/>
    </w:pPr>
    <w:rPr>
      <w:b/>
      <w:sz w:val="32"/>
      <w:szCs w:val="32"/>
    </w:rPr>
  </w:style>
  <w:style w:type="paragraph" w:styleId="Heading2">
    <w:name w:val="heading 2"/>
    <w:basedOn w:val="Normal"/>
    <w:autoRedefine/>
    <w:uiPriority w:val="1"/>
    <w:qFormat/>
    <w:rsid w:val="001E0D74"/>
    <w:pPr>
      <w:ind w:left="220"/>
      <w:outlineLvl w:val="1"/>
    </w:pPr>
    <w:rPr>
      <w:b/>
      <w:sz w:val="28"/>
      <w:szCs w:val="28"/>
    </w:rPr>
  </w:style>
  <w:style w:type="paragraph" w:styleId="Heading3">
    <w:name w:val="heading 3"/>
    <w:basedOn w:val="Normal"/>
    <w:autoRedefine/>
    <w:uiPriority w:val="1"/>
    <w:qFormat/>
    <w:rsid w:val="001E0D74"/>
    <w:pPr>
      <w:spacing w:before="10"/>
      <w:ind w:left="40"/>
      <w:outlineLvl w:val="2"/>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autoRedefine/>
    <w:uiPriority w:val="1"/>
    <w:qFormat/>
  </w:style>
  <w:style w:type="paragraph" w:styleId="Footer">
    <w:name w:val="footer"/>
    <w:basedOn w:val="Normal"/>
    <w:link w:val="FooterChar"/>
    <w:autoRedefine/>
    <w:uiPriority w:val="99"/>
    <w:unhideWhenUsed/>
    <w:qFormat/>
    <w:pPr>
      <w:widowControl/>
      <w:tabs>
        <w:tab w:val="center" w:pos="4513"/>
        <w:tab w:val="right" w:pos="9026"/>
      </w:tabs>
      <w:autoSpaceDE/>
      <w:autoSpaceDN/>
    </w:pPr>
    <w:rPr>
      <w:rFonts w:asciiTheme="minorHAnsi" w:eastAsiaTheme="minorHAnsi" w:hAnsiTheme="minorHAnsi" w:cstheme="minorBidi"/>
      <w:lang w:eastAsia="en-US" w:bidi="ar-SA"/>
    </w:rPr>
  </w:style>
  <w:style w:type="paragraph" w:styleId="Header">
    <w:name w:val="header"/>
    <w:basedOn w:val="Normal"/>
    <w:link w:val="HeaderChar"/>
    <w:autoRedefine/>
    <w:uiPriority w:val="99"/>
    <w:unhideWhenUsed/>
    <w:qFormat/>
    <w:pPr>
      <w:widowControl/>
      <w:tabs>
        <w:tab w:val="center" w:pos="4513"/>
        <w:tab w:val="right" w:pos="9026"/>
      </w:tabs>
      <w:autoSpaceDE/>
      <w:autoSpaceDN/>
    </w:pPr>
    <w:rPr>
      <w:rFonts w:asciiTheme="minorHAnsi" w:eastAsiaTheme="minorHAnsi" w:hAnsiTheme="minorHAnsi" w:cstheme="minorBidi"/>
      <w:lang w:eastAsia="en-US" w:bidi="ar-SA"/>
    </w:rPr>
  </w:style>
  <w:style w:type="character" w:styleId="Hyperlink">
    <w:name w:val="Hyperlink"/>
    <w:basedOn w:val="DefaultParagraphFont"/>
    <w:autoRedefine/>
    <w:uiPriority w:val="99"/>
    <w:unhideWhenUsed/>
    <w:qFormat/>
    <w:rPr>
      <w:color w:val="0000FF" w:themeColor="hyperlink"/>
      <w:u w:val="single"/>
    </w:rPr>
  </w:style>
  <w:style w:type="paragraph" w:styleId="NormalWeb">
    <w:name w:val="Normal (Web)"/>
    <w:basedOn w:val="Normal"/>
    <w:autoRedefine/>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styleId="TableGrid">
    <w:name w:val="Table Grid"/>
    <w:basedOn w:val="TableNormal"/>
    <w:autoRedefine/>
    <w:uiPriority w:val="5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autoRedefine/>
    <w:uiPriority w:val="34"/>
    <w:qFormat/>
    <w:pPr>
      <w:ind w:left="940" w:hanging="360"/>
    </w:pPr>
  </w:style>
  <w:style w:type="paragraph" w:customStyle="1" w:styleId="TableParagraph">
    <w:name w:val="Table Paragraph"/>
    <w:basedOn w:val="Normal"/>
    <w:autoRedefine/>
    <w:uiPriority w:val="1"/>
    <w:qFormat/>
    <w:pPr>
      <w:ind w:left="107"/>
    </w:pPr>
  </w:style>
  <w:style w:type="character" w:customStyle="1" w:styleId="HeaderChar">
    <w:name w:val="Header Char"/>
    <w:basedOn w:val="DefaultParagraphFont"/>
    <w:link w:val="Header"/>
    <w:autoRedefine/>
    <w:uiPriority w:val="99"/>
    <w:qFormat/>
    <w:rPr>
      <w:lang w:val="en-GB"/>
    </w:rPr>
  </w:style>
  <w:style w:type="character" w:customStyle="1" w:styleId="FooterChar">
    <w:name w:val="Footer Char"/>
    <w:basedOn w:val="DefaultParagraphFont"/>
    <w:link w:val="Footer"/>
    <w:autoRedefine/>
    <w:uiPriority w:val="99"/>
    <w:qFormat/>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2515</Words>
  <Characters>14336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zak</cp:lastModifiedBy>
  <cp:revision>2</cp:revision>
  <dcterms:created xsi:type="dcterms:W3CDTF">2024-05-01T23:01:00Z</dcterms:created>
  <dcterms:modified xsi:type="dcterms:W3CDTF">2024-05-01T23:01:00Z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KSOProductBuildVer">
    <vt:lpwstr>1033-12.2.0.16731</vt:lpwstr>
  </property>
  <property fmtid="{D5CDD505-2E9C-101B-9397-08002B2CF9AE}" pid="6" name="ICV">
    <vt:lpwstr>A544BFFBF2724DACAB1142ED6C323278_13</vt:lpwstr>
  </property>
</Properties>
</file>