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A1F34" w14:textId="77777777" w:rsidR="002156CE" w:rsidRDefault="00000000">
      <w:pPr>
        <w:jc w:val="center"/>
      </w:pPr>
      <w:r>
        <w:rPr>
          <w:noProof/>
        </w:rPr>
        <w:drawing>
          <wp:inline distT="0" distB="0" distL="0" distR="0" wp14:anchorId="5148F077" wp14:editId="763DE5A9">
            <wp:extent cx="32099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209925" cy="1428750"/>
                    </a:xfrm>
                    <a:prstGeom prst="rect">
                      <a:avLst/>
                    </a:prstGeom>
                    <a:ln/>
                  </pic:spPr>
                </pic:pic>
              </a:graphicData>
            </a:graphic>
          </wp:inline>
        </w:drawing>
      </w:r>
    </w:p>
    <w:p w14:paraId="225BE93B" w14:textId="77777777" w:rsidR="002156CE" w:rsidRDefault="002156CE">
      <w:pPr>
        <w:jc w:val="center"/>
        <w:rPr>
          <w:rFonts w:ascii="Arial" w:eastAsia="Arial" w:hAnsi="Arial" w:cs="Arial"/>
        </w:rPr>
      </w:pPr>
    </w:p>
    <w:p w14:paraId="3B0F4005" w14:textId="77777777" w:rsidR="002156CE" w:rsidRDefault="00000000">
      <w:pPr>
        <w:jc w:val="center"/>
        <w:rPr>
          <w:rFonts w:ascii="Arial" w:eastAsia="Arial" w:hAnsi="Arial" w:cs="Arial"/>
          <w:sz w:val="72"/>
          <w:szCs w:val="72"/>
        </w:rPr>
      </w:pPr>
      <w:r>
        <w:rPr>
          <w:rFonts w:ascii="Arial" w:eastAsia="Arial" w:hAnsi="Arial" w:cs="Arial"/>
          <w:sz w:val="72"/>
          <w:szCs w:val="72"/>
        </w:rPr>
        <w:t>Cover Page</w:t>
      </w:r>
    </w:p>
    <w:p w14:paraId="541A1E4F" w14:textId="3208F3D7" w:rsidR="00A223DC" w:rsidRDefault="00A223DC">
      <w:pPr>
        <w:jc w:val="center"/>
        <w:rPr>
          <w:rFonts w:ascii="Arial" w:eastAsia="Arial" w:hAnsi="Arial" w:cs="Arial"/>
          <w:sz w:val="72"/>
          <w:szCs w:val="72"/>
        </w:rPr>
      </w:pPr>
      <w:proofErr w:type="spellStart"/>
      <w:r>
        <w:rPr>
          <w:rFonts w:ascii="Arial" w:eastAsia="Arial" w:hAnsi="Arial" w:cs="Arial"/>
          <w:sz w:val="72"/>
          <w:szCs w:val="72"/>
        </w:rPr>
        <w:t>Naveeda</w:t>
      </w:r>
      <w:proofErr w:type="spellEnd"/>
      <w:r>
        <w:rPr>
          <w:rFonts w:ascii="Arial" w:eastAsia="Arial" w:hAnsi="Arial" w:cs="Arial"/>
          <w:sz w:val="72"/>
          <w:szCs w:val="72"/>
        </w:rPr>
        <w:t xml:space="preserve"> Qayyum</w:t>
      </w:r>
    </w:p>
    <w:p w14:paraId="5C2DD177" w14:textId="2C6CF6B0" w:rsidR="00A223DC" w:rsidRDefault="00A223DC">
      <w:pPr>
        <w:jc w:val="center"/>
        <w:rPr>
          <w:rFonts w:ascii="Arial" w:eastAsia="Arial" w:hAnsi="Arial" w:cs="Arial"/>
          <w:sz w:val="72"/>
          <w:szCs w:val="72"/>
        </w:rPr>
      </w:pPr>
      <w:r>
        <w:rPr>
          <w:rFonts w:ascii="Arial" w:eastAsia="Arial" w:hAnsi="Arial" w:cs="Arial"/>
          <w:sz w:val="72"/>
          <w:szCs w:val="72"/>
        </w:rPr>
        <w:t>2323253</w:t>
      </w:r>
    </w:p>
    <w:p w14:paraId="23FAEDC8" w14:textId="36366524" w:rsidR="00A223DC" w:rsidRDefault="00A223DC">
      <w:pPr>
        <w:jc w:val="center"/>
        <w:rPr>
          <w:rFonts w:ascii="Arial" w:eastAsia="Arial" w:hAnsi="Arial" w:cs="Arial"/>
          <w:sz w:val="96"/>
          <w:szCs w:val="96"/>
        </w:rPr>
      </w:pPr>
      <w:r>
        <w:rPr>
          <w:rFonts w:ascii="Arial" w:eastAsia="Arial" w:hAnsi="Arial" w:cs="Arial"/>
          <w:sz w:val="72"/>
          <w:szCs w:val="72"/>
        </w:rPr>
        <w:t>Elena Leonova</w:t>
      </w:r>
    </w:p>
    <w:p w14:paraId="09098EC0" w14:textId="77777777" w:rsidR="002156CE" w:rsidRDefault="002156CE">
      <w:pPr>
        <w:jc w:val="center"/>
        <w:rPr>
          <w:rFonts w:ascii="Arial" w:eastAsia="Arial" w:hAnsi="Arial" w:cs="Arial"/>
          <w:sz w:val="72"/>
          <w:szCs w:val="72"/>
        </w:rPr>
      </w:pPr>
    </w:p>
    <w:p w14:paraId="4EB60B41" w14:textId="77777777" w:rsidR="002156CE" w:rsidRDefault="002156CE">
      <w:pPr>
        <w:jc w:val="center"/>
        <w:rPr>
          <w:rFonts w:ascii="Arial" w:eastAsia="Arial" w:hAnsi="Arial" w:cs="Arial"/>
          <w:sz w:val="72"/>
          <w:szCs w:val="72"/>
        </w:rPr>
      </w:pPr>
    </w:p>
    <w:p w14:paraId="38DA9C99" w14:textId="77777777" w:rsidR="002156CE" w:rsidRDefault="002156CE">
      <w:pPr>
        <w:jc w:val="center"/>
        <w:rPr>
          <w:rFonts w:ascii="Arial" w:eastAsia="Arial" w:hAnsi="Arial" w:cs="Arial"/>
          <w:sz w:val="72"/>
          <w:szCs w:val="72"/>
        </w:rPr>
      </w:pPr>
    </w:p>
    <w:p w14:paraId="35B66735" w14:textId="77777777" w:rsidR="002156CE" w:rsidRDefault="002156CE">
      <w:pPr>
        <w:jc w:val="center"/>
        <w:rPr>
          <w:rFonts w:ascii="Arial" w:eastAsia="Arial" w:hAnsi="Arial" w:cs="Arial"/>
          <w:sz w:val="72"/>
          <w:szCs w:val="72"/>
        </w:rPr>
      </w:pPr>
    </w:p>
    <w:p w14:paraId="31A23CFD" w14:textId="77777777" w:rsidR="002156CE" w:rsidRDefault="002156CE">
      <w:pPr>
        <w:jc w:val="center"/>
        <w:rPr>
          <w:rFonts w:ascii="Arial" w:eastAsia="Arial" w:hAnsi="Arial" w:cs="Arial"/>
          <w:sz w:val="72"/>
          <w:szCs w:val="72"/>
        </w:rPr>
      </w:pPr>
    </w:p>
    <w:p w14:paraId="380A7C7E" w14:textId="77777777" w:rsidR="002156CE" w:rsidRDefault="002156CE">
      <w:pPr>
        <w:jc w:val="center"/>
        <w:rPr>
          <w:rFonts w:ascii="Arial" w:eastAsia="Arial" w:hAnsi="Arial" w:cs="Arial"/>
          <w:sz w:val="72"/>
          <w:szCs w:val="72"/>
        </w:rPr>
      </w:pPr>
    </w:p>
    <w:p w14:paraId="0556CBAA" w14:textId="77777777" w:rsidR="002156CE" w:rsidRDefault="002156CE">
      <w:pPr>
        <w:rPr>
          <w:rFonts w:ascii="Arial" w:eastAsia="Arial" w:hAnsi="Arial" w:cs="Arial"/>
          <w:sz w:val="72"/>
          <w:szCs w:val="72"/>
        </w:rPr>
      </w:pPr>
    </w:p>
    <w:p w14:paraId="6DCFDCB9" w14:textId="77777777" w:rsidR="002156CE" w:rsidRDefault="002156CE">
      <w:pPr>
        <w:rPr>
          <w:rFonts w:ascii="Arial" w:eastAsia="Arial" w:hAnsi="Arial" w:cs="Arial"/>
          <w:sz w:val="72"/>
          <w:szCs w:val="72"/>
        </w:rPr>
      </w:pPr>
    </w:p>
    <w:p w14:paraId="5A53863D" w14:textId="77777777" w:rsidR="002156CE" w:rsidRDefault="00000000">
      <w:pPr>
        <w:rPr>
          <w:rFonts w:ascii="Arial" w:eastAsia="Arial" w:hAnsi="Arial" w:cs="Arial"/>
          <w:sz w:val="44"/>
          <w:szCs w:val="44"/>
        </w:rPr>
      </w:pPr>
      <w:r>
        <w:rPr>
          <w:rFonts w:ascii="Arial" w:eastAsia="Arial" w:hAnsi="Arial" w:cs="Arial"/>
          <w:sz w:val="44"/>
          <w:szCs w:val="44"/>
        </w:rPr>
        <w:t>Task 1 – Concept Map</w:t>
      </w:r>
    </w:p>
    <w:p w14:paraId="5151B4B1" w14:textId="77777777" w:rsidR="002156CE" w:rsidRDefault="00000000">
      <w:r>
        <w:rPr>
          <w:noProof/>
        </w:rPr>
        <w:drawing>
          <wp:inline distT="114300" distB="114300" distL="114300" distR="114300" wp14:anchorId="3FA07BD5" wp14:editId="0ABB628A">
            <wp:extent cx="5943600" cy="445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943600" cy="4457700"/>
                    </a:xfrm>
                    <a:prstGeom prst="rect">
                      <a:avLst/>
                    </a:prstGeom>
                    <a:ln/>
                  </pic:spPr>
                </pic:pic>
              </a:graphicData>
            </a:graphic>
          </wp:inline>
        </w:drawing>
      </w:r>
    </w:p>
    <w:p w14:paraId="468DBEAC" w14:textId="77777777" w:rsidR="002156CE" w:rsidRDefault="00000000">
      <w:pPr>
        <w:spacing w:before="240" w:after="240"/>
        <w:ind w:firstLine="720"/>
        <w:jc w:val="both"/>
      </w:pPr>
      <w:r>
        <w:t xml:space="preserve">In health and social care, creativity can be seen as the ability of staff, service users and communities to generate new and useful ideas about how care is delivered. These ideas only become valuable when they are turned into changes that improve outcomes, experiences or use of resources, which is the essence of value creation. In practice, </w:t>
      </w:r>
      <w:r>
        <w:lastRenderedPageBreak/>
        <w:t>creativity feeds directly into improvement cycles: people notice problems, imagine alternative ways of working and suggest small experiments that can be tested in real settings. When those ideas demonstrably reduce harm, waiting times or inequalities, they create value for patients, families, staff and the wider system. Research on health service innovation shows that creative ideas can range from new digital tools to redesigned care pathways or community based initiatives, but they only make a difference when supported by leadership, data and collaborative learning cultures (Greenhalgh, 2023; Lee, 2024).</w:t>
      </w:r>
      <w:hyperlink r:id="rId6">
        <w:r>
          <w:t xml:space="preserve"> </w:t>
        </w:r>
      </w:hyperlink>
      <w:r>
        <w:t xml:space="preserve">In a typical pathway, front line staff or service users identify a gap in care, </w:t>
      </w:r>
      <w:proofErr w:type="spellStart"/>
      <w:r>
        <w:t>co</w:t>
      </w:r>
      <w:proofErr w:type="spellEnd"/>
      <w:r>
        <w:t xml:space="preserve"> design a new approach and test it on a small scale. Evaluation determines whether it improves safety, experience and cost effectiveness; successful ideas are then spread across teams or </w:t>
      </w:r>
      <w:proofErr w:type="spellStart"/>
      <w:r>
        <w:t>organisations</w:t>
      </w:r>
      <w:proofErr w:type="spellEnd"/>
      <w:r>
        <w:t xml:space="preserve">. Over time, this interaction between creativity, value creation and systematic improvement builds a culture where innovation is normal rather than exceptional, helping health and social care respond to pressures such as rising demand, workforce shortages and changing population needs. This dynamic, iterative relationship is at the heart of </w:t>
      </w:r>
      <w:proofErr w:type="gramStart"/>
      <w:r>
        <w:t>high quality</w:t>
      </w:r>
      <w:proofErr w:type="gramEnd"/>
      <w:r>
        <w:t xml:space="preserve"> services, because it links imaginative thinking with measurable benefits for people.</w:t>
      </w:r>
    </w:p>
    <w:p w14:paraId="46D89431" w14:textId="77777777" w:rsidR="002156CE" w:rsidRDefault="002156CE"/>
    <w:p w14:paraId="7DB9EF1E" w14:textId="77777777" w:rsidR="002156CE" w:rsidRDefault="002156CE">
      <w:pPr>
        <w:rPr>
          <w:rFonts w:ascii="Arial" w:eastAsia="Arial" w:hAnsi="Arial" w:cs="Arial"/>
          <w:i/>
          <w:iCs/>
          <w:color w:val="000000"/>
        </w:rPr>
      </w:pPr>
    </w:p>
    <w:p w14:paraId="61175180" w14:textId="77777777" w:rsidR="002156CE" w:rsidRDefault="002156CE">
      <w:pPr>
        <w:rPr>
          <w:rFonts w:ascii="Arial" w:eastAsia="Arial" w:hAnsi="Arial" w:cs="Arial"/>
          <w:i/>
          <w:iCs/>
          <w:color w:val="000000"/>
        </w:rPr>
      </w:pPr>
    </w:p>
    <w:p w14:paraId="569E823A" w14:textId="77777777" w:rsidR="002156CE" w:rsidRDefault="002156CE">
      <w:pPr>
        <w:rPr>
          <w:rFonts w:ascii="Arial" w:eastAsia="Arial" w:hAnsi="Arial" w:cs="Arial"/>
          <w:i/>
          <w:iCs/>
          <w:color w:val="000000"/>
        </w:rPr>
      </w:pPr>
    </w:p>
    <w:p w14:paraId="19F6C609" w14:textId="77777777" w:rsidR="002156CE" w:rsidRDefault="002156CE">
      <w:pPr>
        <w:rPr>
          <w:rFonts w:ascii="Arial" w:eastAsia="Arial" w:hAnsi="Arial" w:cs="Arial"/>
          <w:i/>
          <w:iCs/>
          <w:color w:val="000000"/>
        </w:rPr>
      </w:pPr>
    </w:p>
    <w:p w14:paraId="2B180E61" w14:textId="77777777" w:rsidR="002156CE" w:rsidRDefault="002156CE">
      <w:pPr>
        <w:rPr>
          <w:rFonts w:ascii="Arial" w:eastAsia="Arial" w:hAnsi="Arial" w:cs="Arial"/>
          <w:i/>
          <w:iCs/>
          <w:color w:val="000000"/>
        </w:rPr>
      </w:pPr>
    </w:p>
    <w:p w14:paraId="54EC612D" w14:textId="77777777" w:rsidR="002156CE" w:rsidRDefault="002156CE">
      <w:pPr>
        <w:rPr>
          <w:rFonts w:ascii="Arial" w:eastAsia="Arial" w:hAnsi="Arial" w:cs="Arial"/>
          <w:i/>
          <w:iCs/>
          <w:color w:val="000000"/>
        </w:rPr>
      </w:pPr>
    </w:p>
    <w:p w14:paraId="0B58CF32" w14:textId="77777777" w:rsidR="002156CE" w:rsidRDefault="002156CE">
      <w:pPr>
        <w:rPr>
          <w:rFonts w:ascii="Arial" w:eastAsia="Arial" w:hAnsi="Arial" w:cs="Arial"/>
          <w:i/>
          <w:iCs/>
          <w:color w:val="000000"/>
        </w:rPr>
      </w:pPr>
    </w:p>
    <w:p w14:paraId="69116E74" w14:textId="77777777" w:rsidR="002156CE" w:rsidRDefault="002156CE">
      <w:pPr>
        <w:rPr>
          <w:rFonts w:ascii="Arial" w:eastAsia="Arial" w:hAnsi="Arial" w:cs="Arial"/>
          <w:i/>
          <w:iCs/>
          <w:color w:val="000000"/>
        </w:rPr>
      </w:pPr>
    </w:p>
    <w:p w14:paraId="5CC7484F" w14:textId="77777777" w:rsidR="002156CE" w:rsidRDefault="002156CE">
      <w:pPr>
        <w:rPr>
          <w:rFonts w:ascii="Arial" w:eastAsia="Arial" w:hAnsi="Arial" w:cs="Arial"/>
          <w:i/>
          <w:iCs/>
          <w:color w:val="000000"/>
        </w:rPr>
      </w:pPr>
    </w:p>
    <w:p w14:paraId="642DD550" w14:textId="77777777" w:rsidR="002156CE" w:rsidRDefault="002156CE">
      <w:pPr>
        <w:rPr>
          <w:rFonts w:ascii="Arial" w:eastAsia="Arial" w:hAnsi="Arial" w:cs="Arial"/>
          <w:i/>
          <w:iCs/>
          <w:color w:val="000000"/>
        </w:rPr>
      </w:pPr>
    </w:p>
    <w:p w14:paraId="4D5D5D5D" w14:textId="77777777" w:rsidR="002156CE" w:rsidRDefault="002156CE">
      <w:pPr>
        <w:rPr>
          <w:rFonts w:ascii="Arial" w:eastAsia="Arial" w:hAnsi="Arial" w:cs="Arial"/>
          <w:i/>
          <w:iCs/>
          <w:color w:val="000000"/>
        </w:rPr>
      </w:pPr>
    </w:p>
    <w:p w14:paraId="11D3A9EE" w14:textId="77777777" w:rsidR="002156CE" w:rsidRDefault="002156CE">
      <w:pPr>
        <w:rPr>
          <w:rFonts w:ascii="Arial" w:eastAsia="Arial" w:hAnsi="Arial" w:cs="Arial"/>
          <w:i/>
          <w:iCs/>
          <w:color w:val="000000"/>
        </w:rPr>
      </w:pPr>
    </w:p>
    <w:p w14:paraId="002ACD95" w14:textId="77777777" w:rsidR="002156CE" w:rsidRDefault="002156CE">
      <w:pPr>
        <w:rPr>
          <w:rFonts w:ascii="Arial" w:eastAsia="Arial" w:hAnsi="Arial" w:cs="Arial"/>
          <w:i/>
          <w:iCs/>
          <w:color w:val="000000"/>
        </w:rPr>
      </w:pPr>
    </w:p>
    <w:p w14:paraId="051D7080" w14:textId="77777777" w:rsidR="002156CE" w:rsidRDefault="002156CE">
      <w:pPr>
        <w:rPr>
          <w:rFonts w:ascii="Arial" w:eastAsia="Arial" w:hAnsi="Arial" w:cs="Arial"/>
          <w:i/>
          <w:iCs/>
          <w:color w:val="000000"/>
        </w:rPr>
      </w:pPr>
    </w:p>
    <w:p w14:paraId="557187C9" w14:textId="77777777" w:rsidR="002156CE" w:rsidRDefault="002156CE">
      <w:pPr>
        <w:rPr>
          <w:rFonts w:ascii="Arial" w:eastAsia="Arial" w:hAnsi="Arial" w:cs="Arial"/>
          <w:i/>
          <w:iCs/>
          <w:color w:val="000000"/>
        </w:rPr>
      </w:pPr>
    </w:p>
    <w:p w14:paraId="7F731573" w14:textId="77777777" w:rsidR="002156CE" w:rsidRDefault="002156CE">
      <w:pPr>
        <w:rPr>
          <w:rFonts w:ascii="Arial" w:eastAsia="Arial" w:hAnsi="Arial" w:cs="Arial"/>
          <w:i/>
          <w:iCs/>
          <w:color w:val="000000"/>
        </w:rPr>
      </w:pPr>
    </w:p>
    <w:p w14:paraId="7D0AD841" w14:textId="77777777" w:rsidR="002156CE" w:rsidRDefault="002156CE">
      <w:pPr>
        <w:rPr>
          <w:rFonts w:ascii="Arial" w:eastAsia="Arial" w:hAnsi="Arial" w:cs="Arial"/>
          <w:i/>
          <w:iCs/>
          <w:color w:val="000000"/>
        </w:rPr>
      </w:pPr>
    </w:p>
    <w:p w14:paraId="24174301" w14:textId="77777777" w:rsidR="002156CE" w:rsidRDefault="002156CE">
      <w:pPr>
        <w:rPr>
          <w:rFonts w:ascii="Arial" w:eastAsia="Arial" w:hAnsi="Arial" w:cs="Arial"/>
          <w:i/>
          <w:iCs/>
          <w:color w:val="000000"/>
        </w:rPr>
      </w:pPr>
    </w:p>
    <w:p w14:paraId="2B724DEA" w14:textId="77777777" w:rsidR="002156CE" w:rsidRDefault="00000000">
      <w:pPr>
        <w:rPr>
          <w:rFonts w:ascii="Arial" w:eastAsia="Arial" w:hAnsi="Arial" w:cs="Arial"/>
          <w:sz w:val="44"/>
          <w:szCs w:val="44"/>
        </w:rPr>
      </w:pPr>
      <w:r>
        <w:br w:type="page"/>
      </w:r>
    </w:p>
    <w:p w14:paraId="5B23C799"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2 - Self-Reflection of Group Activity</w:t>
      </w:r>
    </w:p>
    <w:p w14:paraId="06AD1E43" w14:textId="77777777" w:rsidR="002156CE" w:rsidRDefault="00000000">
      <w:pPr>
        <w:spacing w:before="240" w:after="240"/>
        <w:ind w:firstLine="720"/>
        <w:jc w:val="both"/>
      </w:pPr>
      <w:r>
        <w:t xml:space="preserve">I used Gibbs’ reflective cycle to think about the convergent and divergent thinking activity we completed in class. In the session, our group was asked to generate as many ideas as possible to improve patient discharge, then narrow these down to one workable solution. At first during the divergent phase I felt excited but also slightly uncomfortable, because we were encouraged to say ideas without judging them. I </w:t>
      </w:r>
      <w:proofErr w:type="spellStart"/>
      <w:r>
        <w:t>realised</w:t>
      </w:r>
      <w:proofErr w:type="spellEnd"/>
      <w:r>
        <w:t xml:space="preserve"> how strongly I am used to filtering myself to avoid being wrong. During the discussion I sometimes held back, while others spoke more freely, which meant some of my thoughts about involving carers earlier in discharge planning were initially lost. In the convergent phase, when we had to evaluate and </w:t>
      </w:r>
      <w:proofErr w:type="spellStart"/>
      <w:r>
        <w:t>prioritise</w:t>
      </w:r>
      <w:proofErr w:type="spellEnd"/>
      <w:r>
        <w:t xml:space="preserve"> ideas, I felt more confident because this relied on structure and evidence, which plays to my strengths. Looking back, I can see that I tend to jump too quickly into convergent thinking and risk </w:t>
      </w:r>
      <w:proofErr w:type="gramStart"/>
      <w:r>
        <w:t>closing down</w:t>
      </w:r>
      <w:proofErr w:type="gramEnd"/>
      <w:r>
        <w:t xml:space="preserve"> creative options. Gibbs’ model helped me </w:t>
      </w:r>
      <w:proofErr w:type="spellStart"/>
      <w:r>
        <w:t>analyse</w:t>
      </w:r>
      <w:proofErr w:type="spellEnd"/>
      <w:r>
        <w:t xml:space="preserve"> this pattern by moving step by step through description, feelings, evaluation, analysis, conclusion and action plan (Gibbs, 1988). In future group work I plan to deliberately stay longer in the divergent stage, contribute at least one unpolished idea, and support others to do the same. I will also suggest that our teams separate brainstorming from decision making, so that creativity is encouraged while still ending with a clear, </w:t>
      </w:r>
      <w:proofErr w:type="gramStart"/>
      <w:r>
        <w:t>realistic improvement</w:t>
      </w:r>
      <w:proofErr w:type="gramEnd"/>
      <w:r>
        <w:t xml:space="preserve"> idea for health and social care practice. Over time this should strengthen my confidence in using creativity professionally.</w:t>
      </w:r>
    </w:p>
    <w:p w14:paraId="3A6EB679" w14:textId="77777777" w:rsidR="002156CE" w:rsidRDefault="002156CE"/>
    <w:p w14:paraId="445B1A65" w14:textId="77777777" w:rsidR="002156CE" w:rsidRDefault="002156CE">
      <w:pPr>
        <w:rPr>
          <w:rFonts w:ascii="Arial" w:eastAsia="Arial" w:hAnsi="Arial" w:cs="Arial"/>
          <w:i/>
          <w:iCs/>
          <w:color w:val="000000"/>
        </w:rPr>
      </w:pPr>
    </w:p>
    <w:p w14:paraId="761077BE" w14:textId="77777777" w:rsidR="002156CE" w:rsidRDefault="002156CE">
      <w:pPr>
        <w:rPr>
          <w:rFonts w:ascii="Arial" w:eastAsia="Arial" w:hAnsi="Arial" w:cs="Arial"/>
          <w:i/>
          <w:iCs/>
          <w:color w:val="000000"/>
        </w:rPr>
      </w:pPr>
    </w:p>
    <w:p w14:paraId="70CEB92B" w14:textId="77777777" w:rsidR="002156CE" w:rsidRDefault="002156CE">
      <w:pPr>
        <w:rPr>
          <w:rFonts w:ascii="Arial" w:eastAsia="Arial" w:hAnsi="Arial" w:cs="Arial"/>
          <w:i/>
          <w:iCs/>
          <w:color w:val="000000"/>
        </w:rPr>
      </w:pPr>
    </w:p>
    <w:p w14:paraId="45A29E48" w14:textId="77777777" w:rsidR="002156CE" w:rsidRDefault="002156CE">
      <w:pPr>
        <w:rPr>
          <w:rFonts w:ascii="Arial" w:eastAsia="Arial" w:hAnsi="Arial" w:cs="Arial"/>
          <w:i/>
          <w:iCs/>
          <w:color w:val="000000"/>
        </w:rPr>
      </w:pPr>
    </w:p>
    <w:p w14:paraId="0A9F0D25" w14:textId="77777777" w:rsidR="002156CE" w:rsidRDefault="002156CE">
      <w:pPr>
        <w:rPr>
          <w:rFonts w:ascii="Arial" w:eastAsia="Arial" w:hAnsi="Arial" w:cs="Arial"/>
          <w:i/>
          <w:iCs/>
          <w:color w:val="000000"/>
        </w:rPr>
      </w:pPr>
    </w:p>
    <w:p w14:paraId="12C807E1" w14:textId="77777777" w:rsidR="002156CE" w:rsidRDefault="002156CE">
      <w:pPr>
        <w:rPr>
          <w:rFonts w:ascii="Arial" w:eastAsia="Arial" w:hAnsi="Arial" w:cs="Arial"/>
          <w:i/>
          <w:iCs/>
          <w:color w:val="000000"/>
        </w:rPr>
      </w:pPr>
    </w:p>
    <w:p w14:paraId="1EE30880" w14:textId="77777777" w:rsidR="002156CE" w:rsidRDefault="002156CE">
      <w:pPr>
        <w:rPr>
          <w:rFonts w:ascii="Arial" w:eastAsia="Arial" w:hAnsi="Arial" w:cs="Arial"/>
          <w:i/>
          <w:iCs/>
          <w:color w:val="000000"/>
        </w:rPr>
      </w:pPr>
    </w:p>
    <w:p w14:paraId="06C9CE1A" w14:textId="77777777" w:rsidR="002156CE" w:rsidRDefault="002156CE">
      <w:pPr>
        <w:rPr>
          <w:rFonts w:ascii="Arial" w:eastAsia="Arial" w:hAnsi="Arial" w:cs="Arial"/>
          <w:i/>
          <w:iCs/>
          <w:color w:val="000000"/>
        </w:rPr>
      </w:pPr>
    </w:p>
    <w:p w14:paraId="06F46662" w14:textId="77777777" w:rsidR="002156CE" w:rsidRDefault="002156CE">
      <w:pPr>
        <w:rPr>
          <w:rFonts w:ascii="Arial" w:eastAsia="Arial" w:hAnsi="Arial" w:cs="Arial"/>
          <w:i/>
          <w:iCs/>
          <w:color w:val="000000"/>
        </w:rPr>
      </w:pPr>
    </w:p>
    <w:p w14:paraId="69087426" w14:textId="77777777" w:rsidR="002156CE" w:rsidRDefault="002156CE">
      <w:pPr>
        <w:rPr>
          <w:rFonts w:ascii="Arial" w:eastAsia="Arial" w:hAnsi="Arial" w:cs="Arial"/>
          <w:i/>
          <w:iCs/>
          <w:color w:val="000000"/>
        </w:rPr>
      </w:pPr>
    </w:p>
    <w:p w14:paraId="045CB8A4" w14:textId="77777777" w:rsidR="002156CE" w:rsidRDefault="00000000">
      <w:pPr>
        <w:rPr>
          <w:rFonts w:ascii="Arial" w:eastAsia="Arial" w:hAnsi="Arial" w:cs="Arial"/>
          <w:sz w:val="44"/>
          <w:szCs w:val="44"/>
        </w:rPr>
      </w:pPr>
      <w:r>
        <w:lastRenderedPageBreak/>
        <w:br w:type="page"/>
      </w:r>
    </w:p>
    <w:p w14:paraId="74240F17"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3 - Case Study of a UK innovation</w:t>
      </w:r>
    </w:p>
    <w:p w14:paraId="2663E94E" w14:textId="77777777" w:rsidR="002156CE" w:rsidRDefault="00000000">
      <w:pPr>
        <w:spacing w:before="240" w:after="240"/>
        <w:ind w:firstLine="720"/>
        <w:jc w:val="both"/>
        <w:rPr>
          <w:rFonts w:ascii="Arial" w:eastAsia="Arial" w:hAnsi="Arial" w:cs="Arial"/>
        </w:rPr>
      </w:pPr>
      <w:r>
        <w:rPr>
          <w:rFonts w:ascii="Arial" w:eastAsia="Arial" w:hAnsi="Arial" w:cs="Arial"/>
        </w:rPr>
        <w:t xml:space="preserve">One example of an innovative project in the NHS is the expansion of virtual wards, sometimes described as </w:t>
      </w:r>
      <w:proofErr w:type="gramStart"/>
      <w:r>
        <w:rPr>
          <w:rFonts w:ascii="Arial" w:eastAsia="Arial" w:hAnsi="Arial" w:cs="Arial"/>
        </w:rPr>
        <w:t>hospital</w:t>
      </w:r>
      <w:proofErr w:type="gramEnd"/>
      <w:r>
        <w:rPr>
          <w:rFonts w:ascii="Arial" w:eastAsia="Arial" w:hAnsi="Arial" w:cs="Arial"/>
        </w:rPr>
        <w:t xml:space="preserve"> at home. These services use remote monitoring technology, multidisciplinary teams and planned home visits to provide hospital level care for people in their own homes instead of on a ward. NHS England describes virtual wards as a way to support people at the place they call home while still offering consultant led care, often for frailty, respiratory conditions or recovery after illness (NHS England, 2023).</w:t>
      </w:r>
      <w:hyperlink r:id="rId7">
        <w:r>
          <w:rPr>
            <w:rFonts w:ascii="Arial" w:eastAsia="Arial" w:hAnsi="Arial" w:cs="Arial"/>
          </w:rPr>
          <w:t xml:space="preserve"> </w:t>
        </w:r>
      </w:hyperlink>
      <w:r>
        <w:rPr>
          <w:rFonts w:ascii="Arial" w:eastAsia="Arial" w:hAnsi="Arial" w:cs="Arial"/>
        </w:rPr>
        <w:t>In practice, patients are given equipment such as pulse oximeters or blood pressure monitors and submit readings digitally, while nurses and doctors review data, phone or video call the patient and visit if needed.</w:t>
      </w:r>
    </w:p>
    <w:p w14:paraId="61FA2A3A" w14:textId="77777777" w:rsidR="002156CE" w:rsidRDefault="00000000">
      <w:pPr>
        <w:spacing w:before="240" w:after="240"/>
        <w:ind w:firstLine="720"/>
        <w:jc w:val="both"/>
        <w:rPr>
          <w:rFonts w:ascii="Arial" w:eastAsia="Arial" w:hAnsi="Arial" w:cs="Arial"/>
          <w:color w:val="1155CC"/>
          <w:u w:val="single"/>
        </w:rPr>
      </w:pPr>
      <w:r>
        <w:rPr>
          <w:rFonts w:ascii="Arial" w:eastAsia="Arial" w:hAnsi="Arial" w:cs="Arial"/>
        </w:rPr>
        <w:t xml:space="preserve">This model emerged rapidly during and after the COVID 19 pandemic as a creative response to bed pressures and infection risks. It represents creativity because professionals reimagined where and how acute care could safely happen, combining existing technologies in new ways rather than relying on new drugs or buildings. National evidence and policy reviews suggest that virtual wards can reduce length of stay and avoid admissions while maintaining high patient satisfaction, although implementation is complex (Cathers and Lally, </w:t>
      </w:r>
      <w:proofErr w:type="gramStart"/>
      <w:r>
        <w:rPr>
          <w:rFonts w:ascii="Arial" w:eastAsia="Arial" w:hAnsi="Arial" w:cs="Arial"/>
        </w:rPr>
        <w:t>2025;</w:t>
      </w:r>
      <w:proofErr w:type="gramEnd"/>
      <w:r>
        <w:rPr>
          <w:rFonts w:ascii="Arial" w:eastAsia="Arial" w:hAnsi="Arial" w:cs="Arial"/>
        </w:rPr>
        <w:t xml:space="preserve"> Getting It Right First Time, 2024). A recent service evaluation of a virtual ward in Cornwall reported that patients valued being cared for at home, felt more independent and experienced clear communication, while staff highlighted the importance of strong digital infrastructure and clear clinical criteria for admission (Lyndon, 2025).</w:t>
      </w:r>
      <w:hyperlink r:id="rId8">
        <w:r>
          <w:rPr>
            <w:rFonts w:ascii="Arial" w:eastAsia="Arial" w:hAnsi="Arial" w:cs="Arial"/>
          </w:rPr>
          <w:t xml:space="preserve"> </w:t>
        </w:r>
      </w:hyperlink>
    </w:p>
    <w:p w14:paraId="5532EB8E" w14:textId="77777777" w:rsidR="002156CE" w:rsidRDefault="00000000">
      <w:pPr>
        <w:spacing w:before="240" w:after="240"/>
        <w:ind w:firstLine="720"/>
        <w:jc w:val="both"/>
        <w:rPr>
          <w:rFonts w:ascii="Arial" w:eastAsia="Arial" w:hAnsi="Arial" w:cs="Arial"/>
        </w:rPr>
      </w:pPr>
      <w:r>
        <w:rPr>
          <w:rFonts w:ascii="Arial" w:eastAsia="Arial" w:hAnsi="Arial" w:cs="Arial"/>
        </w:rPr>
        <w:t>An evaluation of a virtual hospital in West Hertfordshire found that average hospital stay was reduced by nearly three days and remote care was around 80 percent cheaper than keeping patients in a physical bed, while satisfaction remained very high (West Hertfordshire Teaching Hospitals NHS Trust, 2025). The value created therefore extends beyond cost savings. Patients often sleep better, maintain routines and stay connected to family, which may reduce delirium and deconditioning. Carers feel more involved in care planning and monitoring. For staff, the model offers opportunities to work in more flexible, community focused teams that use data in real time to guide decisions. However, there are also risks, including digital exclusion, workload pressures and the need for robust escalation pathways. Overall, virtual wards show how creative redesign of service delivery can generate value for patients, professionals and the wider NHS when supported by leadership, evaluation and investment in technology (Yahya et al., 2025).</w:t>
      </w:r>
    </w:p>
    <w:p w14:paraId="1D83836D" w14:textId="77777777" w:rsidR="002156CE" w:rsidRDefault="00000000">
      <w:pPr>
        <w:rPr>
          <w:rFonts w:ascii="Arial" w:eastAsia="Arial" w:hAnsi="Arial" w:cs="Arial"/>
        </w:rPr>
      </w:pPr>
      <w:r>
        <w:br w:type="page"/>
      </w:r>
    </w:p>
    <w:p w14:paraId="5955A218"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4 - Research Task</w:t>
      </w:r>
    </w:p>
    <w:p w14:paraId="45386715" w14:textId="77777777" w:rsidR="002156CE" w:rsidRDefault="00000000">
      <w:pPr>
        <w:spacing w:before="240" w:after="240"/>
        <w:ind w:firstLine="720"/>
        <w:jc w:val="both"/>
      </w:pPr>
      <w:r>
        <w:t>A major current issue in health and social care is that many people with mental health needs still do not seek or receive appropriate help, partly because of stigma. One study by Knaak and colleagues reviewed how stigma among health professionals themselves acts as a barrier to access and quality of care (Knaak et al., 2017).</w:t>
      </w:r>
      <w:hyperlink r:id="rId9">
        <w:r>
          <w:t xml:space="preserve"> </w:t>
        </w:r>
      </w:hyperlink>
      <w:r>
        <w:t xml:space="preserve">The authors found evidence that some clinicians hold pessimistic beliefs about recovery, fear violence or view patients with diagnoses such as schizophrenia or personality disorder as difficult or less deserving. These attitudes can lead to </w:t>
      </w:r>
      <w:proofErr w:type="spellStart"/>
      <w:r>
        <w:t>behaviours</w:t>
      </w:r>
      <w:proofErr w:type="spellEnd"/>
      <w:r>
        <w:t xml:space="preserve"> such as reduced time in consultations, over reliance on medication and failure to offer evidence based psychological therapies. Service users report feeling dismissed, blamed for their symptoms or not believed, which reduces trust and discourages help seeking. The paper also highlighted that </w:t>
      </w:r>
      <w:proofErr w:type="spellStart"/>
      <w:r>
        <w:t>organisational</w:t>
      </w:r>
      <w:proofErr w:type="spellEnd"/>
      <w:r>
        <w:t xml:space="preserve"> cultures and lack of training can reinforce stigma, suggesting that anti stigma interventions need to target teams and systems, not just individuals.</w:t>
      </w:r>
    </w:p>
    <w:p w14:paraId="1FD76DD8" w14:textId="77777777" w:rsidR="002156CE" w:rsidRDefault="00000000">
      <w:pPr>
        <w:spacing w:before="240" w:after="240"/>
        <w:ind w:firstLine="720"/>
        <w:jc w:val="both"/>
        <w:rPr>
          <w:rFonts w:ascii="Arial" w:eastAsia="Arial" w:hAnsi="Arial" w:cs="Arial"/>
          <w:i/>
          <w:iCs/>
          <w:color w:val="000000"/>
        </w:rPr>
      </w:pPr>
      <w:r>
        <w:t>Williamson and colleagues examined perceived stigma and barriers to care in a sample of UK Armed Forces personnel (Williamson et al., 2019).</w:t>
      </w:r>
      <w:hyperlink r:id="rId10">
        <w:r>
          <w:t xml:space="preserve"> </w:t>
        </w:r>
      </w:hyperlink>
      <w:r>
        <w:t xml:space="preserve">They compared those with and without probable mental health diagnoses and found that those likely to have a condition such as depression, anxiety or </w:t>
      </w:r>
      <w:proofErr w:type="spellStart"/>
      <w:r>
        <w:t>post traumatic</w:t>
      </w:r>
      <w:proofErr w:type="spellEnd"/>
      <w:r>
        <w:t xml:space="preserve"> stress disorder were more likely to report fears about negative career impact, being seen as weak and being treated differently by colleagues if they sought support. Practical barriers, such as difficulties getting time off work or not knowing where to go, were also common, but perceived stigma was a strong factor. The study concluded that even when formal services are available, </w:t>
      </w:r>
      <w:proofErr w:type="spellStart"/>
      <w:r>
        <w:t>internalised</w:t>
      </w:r>
      <w:proofErr w:type="spellEnd"/>
      <w:r>
        <w:t xml:space="preserve"> stigma and anticipated judgement from others can prevent people from accessing them. It recommended psychoeducation, confidential pathways to care and visible leadership messages to </w:t>
      </w:r>
      <w:proofErr w:type="spellStart"/>
      <w:r>
        <w:t>normalise</w:t>
      </w:r>
      <w:proofErr w:type="spellEnd"/>
      <w:r>
        <w:t xml:space="preserve"> help seeking within high pressure occupational cultures like the military.</w:t>
      </w:r>
    </w:p>
    <w:p w14:paraId="269DA973" w14:textId="77777777" w:rsidR="002156CE" w:rsidRDefault="002156CE">
      <w:pPr>
        <w:rPr>
          <w:rFonts w:ascii="Arial" w:eastAsia="Arial" w:hAnsi="Arial" w:cs="Arial"/>
          <w:color w:val="000000"/>
        </w:rPr>
      </w:pPr>
    </w:p>
    <w:p w14:paraId="097A5A2D" w14:textId="77777777" w:rsidR="002156CE" w:rsidRDefault="00000000">
      <w:pPr>
        <w:rPr>
          <w:rFonts w:ascii="Arial" w:eastAsia="Arial" w:hAnsi="Arial" w:cs="Arial"/>
          <w:sz w:val="44"/>
          <w:szCs w:val="44"/>
        </w:rPr>
      </w:pPr>
      <w:r>
        <w:br w:type="page"/>
      </w:r>
    </w:p>
    <w:p w14:paraId="35E22912"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5 - Podcast</w:t>
      </w:r>
    </w:p>
    <w:p w14:paraId="404E5E46" w14:textId="77777777" w:rsidR="002156CE" w:rsidRDefault="00000000">
      <w:pPr>
        <w:spacing w:before="240" w:after="240"/>
        <w:jc w:val="both"/>
      </w:pPr>
      <w:r>
        <w:t>Hello, in this short podcast I am going to introduce my innovation idea for Component 2, called Sober Spaces Alcohol Free Social Nights.</w:t>
      </w:r>
    </w:p>
    <w:p w14:paraId="198368E4" w14:textId="77777777" w:rsidR="002156CE" w:rsidRDefault="00000000">
      <w:pPr>
        <w:spacing w:before="240" w:after="240"/>
        <w:jc w:val="both"/>
      </w:pPr>
      <w:r>
        <w:t xml:space="preserve">The aim of Sober Spaces is to create fun, late evening events where alcohol is not the focus. Instead of pubs or bars, young people would be able to attend mocktail cafes, film nights, open mic sessions, board game evenings or </w:t>
      </w:r>
      <w:proofErr w:type="gramStart"/>
      <w:r>
        <w:t>late night</w:t>
      </w:r>
      <w:proofErr w:type="gramEnd"/>
      <w:r>
        <w:t xml:space="preserve"> sports in safe community venues. Evidence suggests that enjoyable </w:t>
      </w:r>
      <w:proofErr w:type="gramStart"/>
      <w:r>
        <w:t>alcohol free</w:t>
      </w:r>
      <w:proofErr w:type="gramEnd"/>
      <w:r>
        <w:t xml:space="preserve"> activities can support recovery and reduce heavy drinking by offering alternative sources of reward and social connection (Kuhlemeier et al., 2024; McKay et al., 2024).</w:t>
      </w:r>
    </w:p>
    <w:p w14:paraId="615BB4EA" w14:textId="77777777" w:rsidR="002156CE" w:rsidRDefault="00000000">
      <w:pPr>
        <w:spacing w:before="240" w:after="240"/>
        <w:jc w:val="both"/>
      </w:pPr>
      <w:r>
        <w:t xml:space="preserve">The issue I want to address is the rising level of alcohol related harm in the UK, particularly among young adults. Recent statistics show record numbers of alcohol specific deaths and over a million alcohol related hospital admissions, alongside high economic costs and personal suffering (Office for National Statistics, 2025; Office for Health Improvement and Disparities, 2025). Many interventions focus on treatment once problems are severe, while there are fewer </w:t>
      </w:r>
      <w:proofErr w:type="gramStart"/>
      <w:r>
        <w:t>community based</w:t>
      </w:r>
      <w:proofErr w:type="gramEnd"/>
      <w:r>
        <w:t xml:space="preserve"> options that promote healthy </w:t>
      </w:r>
      <w:proofErr w:type="spellStart"/>
      <w:r>
        <w:t>socialising</w:t>
      </w:r>
      <w:proofErr w:type="spellEnd"/>
      <w:r>
        <w:t xml:space="preserve"> earlier on.</w:t>
      </w:r>
    </w:p>
    <w:p w14:paraId="163856CB" w14:textId="77777777" w:rsidR="002156CE" w:rsidRDefault="00000000">
      <w:pPr>
        <w:spacing w:before="240" w:after="240"/>
        <w:jc w:val="both"/>
      </w:pPr>
      <w:r>
        <w:t xml:space="preserve">My target group is mainly </w:t>
      </w:r>
      <w:proofErr w:type="gramStart"/>
      <w:r>
        <w:t>16 to 30 year olds</w:t>
      </w:r>
      <w:proofErr w:type="gramEnd"/>
      <w:r>
        <w:t xml:space="preserve">, such as students, apprentices and young workers, who often experience social pressure to drink. However, surveys also show a growing number of young adults choosing to drink less or not at all, which means there is demand for alternative </w:t>
      </w:r>
      <w:proofErr w:type="gramStart"/>
      <w:r>
        <w:t>night life</w:t>
      </w:r>
      <w:proofErr w:type="gramEnd"/>
      <w:r>
        <w:t xml:space="preserve">. By partnering with councils, universities and youth services, Sober Spaces aims to </w:t>
      </w:r>
      <w:proofErr w:type="spellStart"/>
      <w:r>
        <w:t>normalise</w:t>
      </w:r>
      <w:proofErr w:type="spellEnd"/>
      <w:r>
        <w:t xml:space="preserve"> alcohol free fun, reduce harm and support wellbeing.</w:t>
      </w:r>
    </w:p>
    <w:p w14:paraId="0A665ECD" w14:textId="77777777" w:rsidR="002156CE" w:rsidRDefault="00000000">
      <w:pPr>
        <w:spacing w:before="240" w:after="240"/>
        <w:jc w:val="both"/>
      </w:pPr>
      <w:r>
        <w:t>Thank you for listening.</w:t>
      </w:r>
    </w:p>
    <w:p w14:paraId="144F82AB" w14:textId="77777777" w:rsidR="002156CE" w:rsidRDefault="002156CE"/>
    <w:p w14:paraId="49548355" w14:textId="77777777" w:rsidR="002156CE" w:rsidRDefault="002156CE"/>
    <w:p w14:paraId="4A3F29F9" w14:textId="77777777" w:rsidR="002156CE" w:rsidRDefault="002156CE">
      <w:pPr>
        <w:rPr>
          <w:rFonts w:ascii="Arial" w:eastAsia="Arial" w:hAnsi="Arial" w:cs="Arial"/>
          <w:i/>
          <w:iCs/>
        </w:rPr>
      </w:pPr>
    </w:p>
    <w:p w14:paraId="743A03FB" w14:textId="77777777" w:rsidR="002156CE" w:rsidRDefault="002156CE">
      <w:pPr>
        <w:rPr>
          <w:rFonts w:ascii="Arial" w:eastAsia="Arial" w:hAnsi="Arial" w:cs="Arial"/>
          <w:i/>
          <w:iCs/>
        </w:rPr>
      </w:pPr>
    </w:p>
    <w:p w14:paraId="70B79BCF" w14:textId="77777777" w:rsidR="002156CE" w:rsidRDefault="002156CE">
      <w:pPr>
        <w:rPr>
          <w:rFonts w:ascii="Arial" w:eastAsia="Arial" w:hAnsi="Arial" w:cs="Arial"/>
          <w:i/>
          <w:iCs/>
        </w:rPr>
      </w:pPr>
    </w:p>
    <w:p w14:paraId="4EE13621" w14:textId="77777777" w:rsidR="002156CE" w:rsidRDefault="002156CE">
      <w:pPr>
        <w:rPr>
          <w:rFonts w:ascii="Arial" w:eastAsia="Arial" w:hAnsi="Arial" w:cs="Arial"/>
          <w:i/>
          <w:iCs/>
        </w:rPr>
      </w:pPr>
    </w:p>
    <w:p w14:paraId="30E6796A" w14:textId="77777777" w:rsidR="002156CE" w:rsidRDefault="002156CE">
      <w:pPr>
        <w:rPr>
          <w:rFonts w:ascii="Arial" w:eastAsia="Arial" w:hAnsi="Arial" w:cs="Arial"/>
          <w:color w:val="000000"/>
          <w:sz w:val="44"/>
          <w:szCs w:val="44"/>
        </w:rPr>
      </w:pPr>
    </w:p>
    <w:p w14:paraId="14CCA0CA" w14:textId="77777777" w:rsidR="002156CE" w:rsidRDefault="002156CE">
      <w:pPr>
        <w:rPr>
          <w:rFonts w:ascii="Arial" w:eastAsia="Arial" w:hAnsi="Arial" w:cs="Arial"/>
          <w:color w:val="000000"/>
          <w:sz w:val="44"/>
          <w:szCs w:val="44"/>
        </w:rPr>
      </w:pPr>
    </w:p>
    <w:p w14:paraId="09413197" w14:textId="77777777" w:rsidR="002156CE" w:rsidRDefault="002156CE">
      <w:pPr>
        <w:rPr>
          <w:rFonts w:ascii="Arial" w:eastAsia="Arial" w:hAnsi="Arial" w:cs="Arial"/>
          <w:color w:val="000000"/>
          <w:sz w:val="44"/>
          <w:szCs w:val="44"/>
        </w:rPr>
      </w:pPr>
    </w:p>
    <w:p w14:paraId="251816EB" w14:textId="77777777" w:rsidR="002156CE" w:rsidRDefault="002156CE">
      <w:pPr>
        <w:rPr>
          <w:rFonts w:ascii="Arial" w:eastAsia="Arial" w:hAnsi="Arial" w:cs="Arial"/>
          <w:color w:val="000000"/>
          <w:sz w:val="44"/>
          <w:szCs w:val="44"/>
        </w:rPr>
      </w:pPr>
    </w:p>
    <w:p w14:paraId="2833FD87" w14:textId="77777777" w:rsidR="002156CE" w:rsidRDefault="002156CE">
      <w:pPr>
        <w:rPr>
          <w:rFonts w:ascii="Arial" w:eastAsia="Arial" w:hAnsi="Arial" w:cs="Arial"/>
          <w:color w:val="000000"/>
          <w:sz w:val="44"/>
          <w:szCs w:val="44"/>
        </w:rPr>
      </w:pPr>
    </w:p>
    <w:p w14:paraId="6D91FACF" w14:textId="77777777" w:rsidR="002156CE" w:rsidRDefault="002156CE">
      <w:pPr>
        <w:rPr>
          <w:rFonts w:ascii="Arial" w:eastAsia="Arial" w:hAnsi="Arial" w:cs="Arial"/>
          <w:color w:val="000000"/>
          <w:sz w:val="44"/>
          <w:szCs w:val="44"/>
        </w:rPr>
      </w:pPr>
    </w:p>
    <w:p w14:paraId="144FBE14" w14:textId="77777777" w:rsidR="002156CE" w:rsidRDefault="002156CE">
      <w:pPr>
        <w:rPr>
          <w:rFonts w:ascii="Arial" w:eastAsia="Arial" w:hAnsi="Arial" w:cs="Arial"/>
          <w:color w:val="000000"/>
          <w:sz w:val="44"/>
          <w:szCs w:val="44"/>
        </w:rPr>
      </w:pPr>
    </w:p>
    <w:p w14:paraId="523BC7E0" w14:textId="77777777" w:rsidR="002156CE" w:rsidRDefault="002156CE">
      <w:pPr>
        <w:rPr>
          <w:rFonts w:ascii="Arial" w:eastAsia="Arial" w:hAnsi="Arial" w:cs="Arial"/>
          <w:color w:val="000000"/>
          <w:sz w:val="44"/>
          <w:szCs w:val="44"/>
        </w:rPr>
      </w:pPr>
    </w:p>
    <w:p w14:paraId="5A6FC892" w14:textId="77777777" w:rsidR="002156CE" w:rsidRDefault="00000000">
      <w:pPr>
        <w:rPr>
          <w:rFonts w:ascii="Arial" w:eastAsia="Arial" w:hAnsi="Arial" w:cs="Arial"/>
          <w:sz w:val="44"/>
          <w:szCs w:val="44"/>
        </w:rPr>
      </w:pPr>
      <w:r>
        <w:br w:type="page"/>
      </w:r>
    </w:p>
    <w:p w14:paraId="0D6E6DF9"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6 - NHS Leadership Framework Analysis</w:t>
      </w:r>
    </w:p>
    <w:p w14:paraId="607D9045" w14:textId="77777777" w:rsidR="002156CE" w:rsidRDefault="00000000">
      <w:pPr>
        <w:spacing w:before="240" w:after="240"/>
        <w:jc w:val="both"/>
        <w:rPr>
          <w:b/>
          <w:bCs/>
        </w:rPr>
      </w:pPr>
      <w:r>
        <w:rPr>
          <w:b/>
          <w:bCs/>
        </w:rPr>
        <w:t>Summary of the NHS Leadership Framework</w:t>
      </w:r>
    </w:p>
    <w:p w14:paraId="4C14845A" w14:textId="77777777" w:rsidR="002156CE" w:rsidRDefault="00000000">
      <w:pPr>
        <w:spacing w:before="240" w:after="240"/>
        <w:ind w:firstLine="720"/>
        <w:jc w:val="both"/>
      </w:pPr>
      <w:r>
        <w:t xml:space="preserve">The NHS Leadership Framework was developed to describe the </w:t>
      </w:r>
      <w:proofErr w:type="spellStart"/>
      <w:r>
        <w:t>behaviours</w:t>
      </w:r>
      <w:proofErr w:type="spellEnd"/>
      <w:r>
        <w:t xml:space="preserve"> expected of all staff who have leadership roles in health and social care, from front line clinicians to senior managers. It sets out seven core domains: demonstrating personal qualities, working with others, managing services, improving services, setting direction, creating the vision and delivering the strategy (NHS Leadership Academy, 2011).</w:t>
      </w:r>
      <w:hyperlink r:id="rId11">
        <w:r>
          <w:t xml:space="preserve"> </w:t>
        </w:r>
      </w:hyperlink>
      <w:r>
        <w:t xml:space="preserve">Each domain is broken down into more detailed elements, such as </w:t>
      </w:r>
      <w:proofErr w:type="spellStart"/>
      <w:r>
        <w:t>self awareness</w:t>
      </w:r>
      <w:proofErr w:type="spellEnd"/>
      <w:r>
        <w:t xml:space="preserve">, team working, managing resources, ensuring patient safety and leading change. The framework </w:t>
      </w:r>
      <w:proofErr w:type="spellStart"/>
      <w:r>
        <w:t>emphasises</w:t>
      </w:r>
      <w:proofErr w:type="spellEnd"/>
      <w:r>
        <w:t xml:space="preserve"> that leadership is not tied to a job title but is a shared responsibility, so anyone can show leadership by acting on values, collaborating and seeking better ways of working. It links individual </w:t>
      </w:r>
      <w:proofErr w:type="spellStart"/>
      <w:r>
        <w:t>behaviour</w:t>
      </w:r>
      <w:proofErr w:type="spellEnd"/>
      <w:r>
        <w:t xml:space="preserve"> to wider </w:t>
      </w:r>
      <w:proofErr w:type="spellStart"/>
      <w:r>
        <w:t>organisational</w:t>
      </w:r>
      <w:proofErr w:type="spellEnd"/>
      <w:r>
        <w:t xml:space="preserve"> goals like quality, safety and patient experience. The framework is also used to guide recruitment, appraisal, education and development </w:t>
      </w:r>
      <w:proofErr w:type="spellStart"/>
      <w:r>
        <w:t>programmes</w:t>
      </w:r>
      <w:proofErr w:type="spellEnd"/>
      <w:r>
        <w:t>, helping staff to identify strengths and areas for growth. More recent NHS documents build on these ideas, stressing inclusive, compassionate and clinically engaged leadership as essential for high quality, innovative care (NHS England, 2021).</w:t>
      </w:r>
      <w:hyperlink r:id="rId12">
        <w:r>
          <w:t xml:space="preserve"> </w:t>
        </w:r>
      </w:hyperlink>
      <w:r>
        <w:t>It therefore remains a useful reference point when planning leadership development activities.</w:t>
      </w:r>
    </w:p>
    <w:p w14:paraId="4A265001" w14:textId="77777777" w:rsidR="002156CE" w:rsidRDefault="00000000">
      <w:pPr>
        <w:spacing w:before="240" w:after="240"/>
        <w:jc w:val="both"/>
        <w:rPr>
          <w:b/>
          <w:bCs/>
        </w:rPr>
      </w:pPr>
      <w:r>
        <w:rPr>
          <w:b/>
          <w:bCs/>
        </w:rPr>
        <w:t>Using one component to encourage creativity and improve care</w:t>
      </w:r>
    </w:p>
    <w:p w14:paraId="3AD81200" w14:textId="77777777" w:rsidR="002156CE" w:rsidRDefault="00000000">
      <w:pPr>
        <w:spacing w:before="240" w:after="240"/>
        <w:ind w:firstLine="720"/>
        <w:jc w:val="both"/>
      </w:pPr>
      <w:r>
        <w:t xml:space="preserve">Focusing on </w:t>
      </w:r>
      <w:proofErr w:type="gramStart"/>
      <w:r>
        <w:t>the improving</w:t>
      </w:r>
      <w:proofErr w:type="gramEnd"/>
      <w:r>
        <w:t xml:space="preserve"> services </w:t>
      </w:r>
      <w:proofErr w:type="gramStart"/>
      <w:r>
        <w:t>component</w:t>
      </w:r>
      <w:proofErr w:type="gramEnd"/>
      <w:r>
        <w:t xml:space="preserve">, a ward manager could use this part of the framework to champion creativity in everyday practice. The domain highlights the need to continually measure quality, gather feedback, identify gaps and test changes in a structured way (NHS Leadership Academy, 2011). On a busy ward, the manager might start by sharing simple data on falls or delayed discharges, then invite staff and patients to suggest new approaches through short idea generating sessions. Using Plan Do Study Act cycles, the team could trial small changes such as new communication huddles, redesigned documentation or co designed patient information. The leader’s role is to create psychological </w:t>
      </w:r>
      <w:proofErr w:type="gramStart"/>
      <w:r>
        <w:t>safety</w:t>
      </w:r>
      <w:proofErr w:type="gramEnd"/>
      <w:r>
        <w:t xml:space="preserve"> so staff feel able to raise problems and experiment without fear of blame, while still maintaining clear governance around risk. By modelling curiosity, celebrating learning from both successes and failures and securing </w:t>
      </w:r>
      <w:proofErr w:type="spellStart"/>
      <w:r>
        <w:t>organisational</w:t>
      </w:r>
      <w:proofErr w:type="spellEnd"/>
      <w:r>
        <w:t xml:space="preserve"> support for promising ideas, the manager can turn the improving services domain into a practical engine for innovation and better care.</w:t>
      </w:r>
    </w:p>
    <w:p w14:paraId="0E376976" w14:textId="77777777" w:rsidR="002156CE" w:rsidRDefault="00000000">
      <w:pPr>
        <w:rPr>
          <w:rFonts w:ascii="Arial" w:eastAsia="Arial" w:hAnsi="Arial" w:cs="Arial"/>
          <w:i/>
          <w:iCs/>
        </w:rPr>
      </w:pPr>
      <w:r>
        <w:br w:type="page"/>
      </w:r>
    </w:p>
    <w:p w14:paraId="7ED59713" w14:textId="77777777" w:rsidR="002156CE" w:rsidRDefault="00000000">
      <w:pPr>
        <w:rPr>
          <w:rFonts w:ascii="Arial" w:eastAsia="Arial" w:hAnsi="Arial" w:cs="Arial"/>
          <w:color w:val="000000"/>
          <w:sz w:val="44"/>
          <w:szCs w:val="44"/>
        </w:rPr>
      </w:pPr>
      <w:r>
        <w:rPr>
          <w:rFonts w:ascii="Arial" w:eastAsia="Arial" w:hAnsi="Arial" w:cs="Arial"/>
          <w:color w:val="000000"/>
          <w:sz w:val="44"/>
          <w:szCs w:val="44"/>
        </w:rPr>
        <w:lastRenderedPageBreak/>
        <w:t>Task 7 - Self-Reflection Journal Entry</w:t>
      </w:r>
    </w:p>
    <w:p w14:paraId="6311B17B" w14:textId="77777777" w:rsidR="002156CE" w:rsidRDefault="00000000">
      <w:pPr>
        <w:spacing w:before="240" w:after="240"/>
        <w:ind w:firstLine="720"/>
        <w:jc w:val="both"/>
      </w:pPr>
      <w:r>
        <w:t xml:space="preserve">Throughout this module my understanding of creativity and value creation in health and social care has shifted from seeing them as nice extras to </w:t>
      </w:r>
      <w:proofErr w:type="spellStart"/>
      <w:r>
        <w:t>recognising</w:t>
      </w:r>
      <w:proofErr w:type="spellEnd"/>
      <w:r>
        <w:t xml:space="preserve"> them as central to safe, person </w:t>
      </w:r>
      <w:proofErr w:type="spellStart"/>
      <w:r>
        <w:t>centred</w:t>
      </w:r>
      <w:proofErr w:type="spellEnd"/>
      <w:r>
        <w:t xml:space="preserve"> practice. At the beginning I tended to equate creativity with artistic skills or dramatic innovations, such as new technologies. The lectures and activities showed me that small, everyday ideas, </w:t>
      </w:r>
      <w:proofErr w:type="spellStart"/>
      <w:proofErr w:type="gramStart"/>
      <w:r>
        <w:t>co produced</w:t>
      </w:r>
      <w:proofErr w:type="spellEnd"/>
      <w:proofErr w:type="gramEnd"/>
      <w:r>
        <w:t xml:space="preserve"> with patients and colleagues, can also be powerful when they address real problems. Learning about tools like divergent and convergent thinking, and seeing case studies of NHS innovations, helped me </w:t>
      </w:r>
      <w:proofErr w:type="spellStart"/>
      <w:r>
        <w:t>realise</w:t>
      </w:r>
      <w:proofErr w:type="spellEnd"/>
      <w:r>
        <w:t xml:space="preserve"> that creative work still needs structure, evidence and evaluation. I now think more in terms of value for different stakeholders: patients’ experiences, staff wellbeing, equity and use of resources, rather than only cost savings. This has influenced my professional practice by encouraging me to question why we do things this way and to look for opportunities to test changes on a small scale. I also feel more confident that, as a student and future practitioner, I can contribute ideas and participate in improvement projects rather than assuming that innovation is only for senior leaders or managers. In future roles I aim to keep reflecting on how my own attitudes either support or block creativity in teams.</w:t>
      </w:r>
    </w:p>
    <w:p w14:paraId="38D2A602" w14:textId="77777777" w:rsidR="002156CE" w:rsidRDefault="002156CE">
      <w:pPr>
        <w:rPr>
          <w:rFonts w:ascii="Arial" w:eastAsia="Arial" w:hAnsi="Arial" w:cs="Arial"/>
          <w:i/>
          <w:iCs/>
          <w:color w:val="000000"/>
        </w:rPr>
      </w:pPr>
    </w:p>
    <w:p w14:paraId="04376AE7" w14:textId="77777777" w:rsidR="002156CE" w:rsidRDefault="002156CE">
      <w:pPr>
        <w:rPr>
          <w:rFonts w:ascii="Arial" w:eastAsia="Arial" w:hAnsi="Arial" w:cs="Arial"/>
          <w:i/>
          <w:iCs/>
          <w:color w:val="000000"/>
        </w:rPr>
      </w:pPr>
    </w:p>
    <w:p w14:paraId="5D0CE107" w14:textId="77777777" w:rsidR="002156CE" w:rsidRDefault="00000000">
      <w:pPr>
        <w:rPr>
          <w:rFonts w:ascii="Arial" w:eastAsia="Arial" w:hAnsi="Arial" w:cs="Arial"/>
          <w:sz w:val="48"/>
          <w:szCs w:val="48"/>
        </w:rPr>
      </w:pPr>
      <w:r>
        <w:br w:type="page"/>
      </w:r>
    </w:p>
    <w:p w14:paraId="5221C3D3" w14:textId="77777777" w:rsidR="002156CE" w:rsidRDefault="00000000">
      <w:pPr>
        <w:rPr>
          <w:rFonts w:ascii="Arial" w:eastAsia="Arial" w:hAnsi="Arial" w:cs="Arial"/>
          <w:sz w:val="48"/>
          <w:szCs w:val="48"/>
        </w:rPr>
      </w:pPr>
      <w:r>
        <w:rPr>
          <w:rFonts w:ascii="Arial" w:eastAsia="Arial" w:hAnsi="Arial" w:cs="Arial"/>
          <w:color w:val="000000"/>
          <w:sz w:val="48"/>
          <w:szCs w:val="48"/>
        </w:rPr>
        <w:lastRenderedPageBreak/>
        <w:t>Reference</w:t>
      </w:r>
      <w:r>
        <w:rPr>
          <w:rFonts w:ascii="Arial" w:eastAsia="Arial" w:hAnsi="Arial" w:cs="Arial"/>
          <w:sz w:val="48"/>
          <w:szCs w:val="48"/>
        </w:rPr>
        <w:t>s</w:t>
      </w:r>
    </w:p>
    <w:p w14:paraId="74626046" w14:textId="77777777" w:rsidR="002156CE" w:rsidRDefault="00000000">
      <w:pPr>
        <w:spacing w:before="240" w:after="240"/>
        <w:ind w:left="566" w:hanging="566"/>
        <w:rPr>
          <w:color w:val="1155CC"/>
          <w:u w:val="single"/>
        </w:rPr>
      </w:pPr>
      <w:r>
        <w:t xml:space="preserve">Cathers, S. and Lally, C. (2025) Virtual wards and hospital at home. Parliamentary Office of Science and Technology </w:t>
      </w:r>
      <w:proofErr w:type="spellStart"/>
      <w:r>
        <w:t>POSTnote</w:t>
      </w:r>
      <w:proofErr w:type="spellEnd"/>
      <w:r>
        <w:t xml:space="preserve"> 744. Available at: </w:t>
      </w:r>
      <w:hyperlink r:id="rId13">
        <w:r>
          <w:rPr>
            <w:color w:val="1155CC"/>
            <w:u w:val="single"/>
          </w:rPr>
          <w:t>https://post.parliament.uk/research-briefings/post-pn-0744/</w:t>
        </w:r>
      </w:hyperlink>
      <w:r>
        <w:t xml:space="preserve"> </w:t>
      </w:r>
    </w:p>
    <w:p w14:paraId="7D144979" w14:textId="77777777" w:rsidR="002156CE" w:rsidRDefault="00000000">
      <w:pPr>
        <w:spacing w:before="240" w:after="240"/>
        <w:ind w:left="566" w:hanging="566"/>
        <w:rPr>
          <w:color w:val="1155CC"/>
          <w:u w:val="single"/>
        </w:rPr>
      </w:pPr>
      <w:r>
        <w:t>Charity Finance Group (n.d.) GDPR for small charities. Available at:</w:t>
      </w:r>
      <w:hyperlink r:id="rId14">
        <w:r>
          <w:t xml:space="preserve"> </w:t>
        </w:r>
      </w:hyperlink>
      <w:r>
        <w:rPr>
          <w:color w:val="1155CC"/>
          <w:u w:val="single"/>
        </w:rPr>
        <w:t>https://cfg.org.uk/resources/gdpr_guide_for_small_charities</w:t>
      </w:r>
    </w:p>
    <w:p w14:paraId="0E53A477" w14:textId="77777777" w:rsidR="002156CE" w:rsidRDefault="00000000">
      <w:pPr>
        <w:spacing w:before="240" w:after="240"/>
        <w:ind w:left="566" w:hanging="566"/>
        <w:rPr>
          <w:color w:val="1155CC"/>
          <w:u w:val="single"/>
        </w:rPr>
      </w:pPr>
      <w:r>
        <w:t>Disclosure and Barring Service (2024) Disclosure application process for volunteers. Available at:</w:t>
      </w:r>
      <w:hyperlink r:id="rId15">
        <w:r>
          <w:t xml:space="preserve"> </w:t>
        </w:r>
      </w:hyperlink>
      <w:hyperlink r:id="rId16">
        <w:r>
          <w:rPr>
            <w:color w:val="1155CC"/>
            <w:u w:val="single"/>
          </w:rPr>
          <w:t>https://www.gov.uk/government/publications/disclosure-application-process-for-volunteers</w:t>
        </w:r>
      </w:hyperlink>
    </w:p>
    <w:p w14:paraId="39D9264C" w14:textId="77777777" w:rsidR="002156CE" w:rsidRDefault="00000000">
      <w:pPr>
        <w:spacing w:before="240" w:after="240"/>
        <w:ind w:left="566" w:hanging="566"/>
        <w:rPr>
          <w:color w:val="1155CC"/>
          <w:u w:val="single"/>
        </w:rPr>
      </w:pPr>
      <w:r>
        <w:t>Fundraising Regulator (2018) GDPR and charitable fundraising: Spotlight on community fundraising. Available at:</w:t>
      </w:r>
      <w:hyperlink r:id="rId17">
        <w:r>
          <w:t xml:space="preserve"> </w:t>
        </w:r>
      </w:hyperlink>
      <w:hyperlink r:id="rId18">
        <w:r>
          <w:rPr>
            <w:color w:val="1155CC"/>
            <w:u w:val="single"/>
          </w:rPr>
          <w:t>https://www.fundraisingregulator.org.uk/sites/default/files/2018-05/GDPR-briefings-community.pdf</w:t>
        </w:r>
      </w:hyperlink>
    </w:p>
    <w:p w14:paraId="5A9F0CDF" w14:textId="77777777" w:rsidR="002156CE" w:rsidRDefault="00000000">
      <w:pPr>
        <w:spacing w:before="240" w:after="240"/>
        <w:ind w:left="566" w:hanging="566"/>
      </w:pPr>
      <w:r>
        <w:t>Gibbs, G. (1988) Learning by doing: A guide to teaching and learning methods. Oxford: Oxford Polytechnic.</w:t>
      </w:r>
    </w:p>
    <w:p w14:paraId="22BDA9FE" w14:textId="77777777" w:rsidR="002156CE" w:rsidRDefault="00000000">
      <w:pPr>
        <w:spacing w:before="240" w:after="240"/>
        <w:ind w:left="566" w:hanging="566"/>
        <w:rPr>
          <w:color w:val="1155CC"/>
          <w:u w:val="single"/>
        </w:rPr>
      </w:pPr>
      <w:r>
        <w:t xml:space="preserve">Getting It Right First Time (2024) Making the most of virtual </w:t>
      </w:r>
      <w:proofErr w:type="gramStart"/>
      <w:r>
        <w:t>wards</w:t>
      </w:r>
      <w:proofErr w:type="gramEnd"/>
      <w:r>
        <w:t>, including Hospital at Home. London: NHS England.</w:t>
      </w:r>
      <w:hyperlink r:id="rId19">
        <w:r>
          <w:t xml:space="preserve"> </w:t>
        </w:r>
      </w:hyperlink>
      <w:r>
        <w:rPr>
          <w:color w:val="1155CC"/>
          <w:u w:val="single"/>
        </w:rPr>
        <w:t>https://gettingitrightfirsttime.co.uk/wp-content/uploads/2024/09/FINAL-Making-the-most-of-virtual-wards-September-2024-update.pdf</w:t>
      </w:r>
    </w:p>
    <w:p w14:paraId="612F4D16" w14:textId="77777777" w:rsidR="002156CE" w:rsidRDefault="00000000">
      <w:pPr>
        <w:spacing w:before="240" w:after="240"/>
        <w:ind w:left="566" w:hanging="566"/>
        <w:rPr>
          <w:color w:val="1155CC"/>
          <w:u w:val="single"/>
        </w:rPr>
      </w:pPr>
      <w:r>
        <w:t>Greenhalgh, T. (2023) Achieving innovation in health and social care: A narrative review. Health and Care Research Wales.</w:t>
      </w:r>
      <w:hyperlink r:id="rId20">
        <w:r>
          <w:t xml:space="preserve"> </w:t>
        </w:r>
      </w:hyperlink>
      <w:r>
        <w:rPr>
          <w:color w:val="1155CC"/>
          <w:u w:val="single"/>
        </w:rPr>
        <w:t>https://lshubwales.com/sites/default/files/2024-04/Achieving%20Innovation%20in%20Health%20and%20Social%20Care%20-%20a%20narrative%20review.pdf</w:t>
      </w:r>
    </w:p>
    <w:p w14:paraId="6EAD40B2" w14:textId="77777777" w:rsidR="002156CE" w:rsidRDefault="00000000">
      <w:pPr>
        <w:spacing w:before="240" w:after="240"/>
        <w:ind w:left="566" w:hanging="566"/>
        <w:rPr>
          <w:color w:val="1155CC"/>
          <w:u w:val="single"/>
        </w:rPr>
      </w:pPr>
      <w:r>
        <w:t xml:space="preserve">Knaak, S., </w:t>
      </w:r>
      <w:proofErr w:type="spellStart"/>
      <w:r>
        <w:t>Mantler</w:t>
      </w:r>
      <w:proofErr w:type="spellEnd"/>
      <w:r>
        <w:t>, E. and Szeto, A. (2017) ‘Mental illness related stigma in healthcare: Barriers to access and care and evidence based solutions’, Healthcare Management Forum, 30(2), pp. 111–116.</w:t>
      </w:r>
      <w:hyperlink r:id="rId21">
        <w:r>
          <w:t xml:space="preserve"> </w:t>
        </w:r>
      </w:hyperlink>
    </w:p>
    <w:p w14:paraId="0797E899" w14:textId="77777777" w:rsidR="002156CE" w:rsidRDefault="00000000">
      <w:pPr>
        <w:spacing w:before="240" w:after="240"/>
        <w:ind w:left="566" w:hanging="566"/>
      </w:pPr>
      <w:r>
        <w:t xml:space="preserve">Kuhlemeier, A., Tucker, J.A. and </w:t>
      </w:r>
      <w:proofErr w:type="spellStart"/>
      <w:r>
        <w:t>Witkiewitz</w:t>
      </w:r>
      <w:proofErr w:type="spellEnd"/>
      <w:r>
        <w:t xml:space="preserve">, K. (2024) ‘Role of relative reinforcement value of </w:t>
      </w:r>
      <w:proofErr w:type="gramStart"/>
      <w:r>
        <w:t>alcohol free</w:t>
      </w:r>
      <w:proofErr w:type="gramEnd"/>
      <w:r>
        <w:t xml:space="preserve"> activities during recovery from alcohol use disorder’, Experimental and Clinical Psychopharmacology, 32(4), pp. 410–417.</w:t>
      </w:r>
    </w:p>
    <w:p w14:paraId="69C2F9D7" w14:textId="77777777" w:rsidR="002156CE" w:rsidRDefault="00000000">
      <w:pPr>
        <w:spacing w:before="240" w:after="240"/>
        <w:ind w:left="566" w:hanging="566"/>
        <w:rPr>
          <w:color w:val="1155CC"/>
          <w:u w:val="single"/>
        </w:rPr>
      </w:pPr>
      <w:r>
        <w:lastRenderedPageBreak/>
        <w:t>Lee, Y.S.H. et al. (2024) ‘Leveraging patients’ creative ideas for innovation in healthcare’, Milbank Quarterly, 102(1), pp. 1–31.</w:t>
      </w:r>
      <w:hyperlink r:id="rId22">
        <w:r>
          <w:t xml:space="preserve"> </w:t>
        </w:r>
      </w:hyperlink>
    </w:p>
    <w:p w14:paraId="77F79926" w14:textId="77777777" w:rsidR="002156CE" w:rsidRDefault="00000000">
      <w:pPr>
        <w:spacing w:before="240" w:after="240"/>
        <w:ind w:left="566" w:hanging="566"/>
        <w:rPr>
          <w:color w:val="1155CC"/>
          <w:u w:val="single"/>
        </w:rPr>
      </w:pPr>
      <w:r>
        <w:t>Lyndon, H. (2025) ‘A service evaluation of virtual wards in Cornwall, UK’, British Journal of Community Nursing, 30(5), pp. 210–218.</w:t>
      </w:r>
      <w:hyperlink r:id="rId23">
        <w:r>
          <w:t xml:space="preserve"> </w:t>
        </w:r>
      </w:hyperlink>
    </w:p>
    <w:p w14:paraId="70BB4428" w14:textId="77777777" w:rsidR="002156CE" w:rsidRDefault="00000000">
      <w:pPr>
        <w:spacing w:before="240" w:after="240"/>
        <w:ind w:left="566" w:hanging="566"/>
      </w:pPr>
      <w:r>
        <w:t>McKay, J.R. et al. (</w:t>
      </w:r>
      <w:proofErr w:type="gramStart"/>
      <w:r>
        <w:t>2024) ‘</w:t>
      </w:r>
      <w:proofErr w:type="gramEnd"/>
      <w:r>
        <w:t>Examining the role of reinforcing activities and time horizon in recovery’, Frontiers in Public Health, 12, 1363586.</w:t>
      </w:r>
    </w:p>
    <w:p w14:paraId="5B32AE63" w14:textId="77777777" w:rsidR="002156CE" w:rsidRDefault="00000000">
      <w:pPr>
        <w:spacing w:before="240" w:after="240"/>
        <w:ind w:left="566" w:hanging="566"/>
        <w:rPr>
          <w:color w:val="1155CC"/>
          <w:u w:val="single"/>
        </w:rPr>
      </w:pPr>
      <w:r>
        <w:t>NHS Digital (2024) Health Survey for England 2022: Adult drinking. Available at:</w:t>
      </w:r>
      <w:hyperlink r:id="rId24">
        <w:r>
          <w:t xml:space="preserve"> </w:t>
        </w:r>
      </w:hyperlink>
      <w:hyperlink r:id="rId25">
        <w:r>
          <w:rPr>
            <w:color w:val="1155CC"/>
            <w:u w:val="single"/>
          </w:rPr>
          <w:t>https://digital.nhs.uk/data-and-information/publications/statistical/health-survey-for-england/2022-part-1/adult-drinking</w:t>
        </w:r>
      </w:hyperlink>
    </w:p>
    <w:p w14:paraId="4258EF8B" w14:textId="77777777" w:rsidR="002156CE" w:rsidRDefault="00000000">
      <w:pPr>
        <w:spacing w:before="240" w:after="240"/>
        <w:ind w:left="566" w:hanging="566"/>
        <w:rPr>
          <w:color w:val="1155CC"/>
          <w:u w:val="single"/>
        </w:rPr>
      </w:pPr>
      <w:r>
        <w:t>NHS England (2021) Clinical leadership: A framework for action. Available at:</w:t>
      </w:r>
      <w:hyperlink r:id="rId26">
        <w:r>
          <w:t xml:space="preserve"> </w:t>
        </w:r>
      </w:hyperlink>
      <w:hyperlink r:id="rId27">
        <w:r>
          <w:rPr>
            <w:color w:val="1155CC"/>
            <w:u w:val="single"/>
          </w:rPr>
          <w:t>https://www.england.nhs.uk/wp-content/uploads/2021/08/clinical-leadership-framework.pdf</w:t>
        </w:r>
      </w:hyperlink>
      <w:hyperlink r:id="rId28">
        <w:r>
          <w:t xml:space="preserve"> </w:t>
        </w:r>
      </w:hyperlink>
      <w:hyperlink r:id="rId29">
        <w:r>
          <w:rPr>
            <w:color w:val="1155CC"/>
            <w:u w:val="single"/>
          </w:rPr>
          <w:t>NHS England</w:t>
        </w:r>
      </w:hyperlink>
    </w:p>
    <w:p w14:paraId="68EA90B1" w14:textId="77777777" w:rsidR="002156CE" w:rsidRDefault="00000000">
      <w:pPr>
        <w:spacing w:before="240" w:after="240"/>
        <w:ind w:left="566" w:hanging="566"/>
        <w:rPr>
          <w:color w:val="1155CC"/>
          <w:u w:val="single"/>
        </w:rPr>
      </w:pPr>
      <w:r>
        <w:t>NHS England (2023) Virtual wards. Available at:</w:t>
      </w:r>
      <w:hyperlink r:id="rId30">
        <w:r>
          <w:t xml:space="preserve"> </w:t>
        </w:r>
      </w:hyperlink>
      <w:r>
        <w:rPr>
          <w:color w:val="1155CC"/>
          <w:u w:val="single"/>
        </w:rPr>
        <w:t>https://www.england.nhs.uk/virtual-wards/</w:t>
      </w:r>
    </w:p>
    <w:p w14:paraId="09BDD768" w14:textId="77777777" w:rsidR="002156CE" w:rsidRDefault="00000000">
      <w:pPr>
        <w:spacing w:before="240" w:after="240"/>
        <w:ind w:left="566" w:hanging="566"/>
        <w:rPr>
          <w:color w:val="1155CC"/>
          <w:u w:val="single"/>
        </w:rPr>
      </w:pPr>
      <w:r>
        <w:t>NHS Leadership Academy (2011) NHS Leadership Framework. Coventry: NHS Institute for Innovation and Improvement.</w:t>
      </w:r>
      <w:hyperlink r:id="rId31">
        <w:r>
          <w:t xml:space="preserve"> </w:t>
        </w:r>
      </w:hyperlink>
      <w:r>
        <w:rPr>
          <w:color w:val="1155CC"/>
          <w:u w:val="single"/>
        </w:rPr>
        <w:t>https://www.leadershipacademy.nhs.uk/wp-content/uploads/2012/11/NHSLeadership-Framework-LeadershipFramework.pdf</w:t>
      </w:r>
    </w:p>
    <w:p w14:paraId="52FD62FB" w14:textId="77777777" w:rsidR="002156CE" w:rsidRDefault="00000000">
      <w:pPr>
        <w:spacing w:before="240" w:after="240"/>
        <w:ind w:left="566" w:hanging="566"/>
        <w:rPr>
          <w:color w:val="1155CC"/>
          <w:u w:val="single"/>
        </w:rPr>
      </w:pPr>
      <w:r>
        <w:t>Office for Health Improvement and Disparities (2025) Local Alcohol Profiles for England: Short statistical commentary. Available at:</w:t>
      </w:r>
      <w:hyperlink r:id="rId32">
        <w:r>
          <w:t xml:space="preserve"> </w:t>
        </w:r>
      </w:hyperlink>
      <w:hyperlink r:id="rId33">
        <w:r>
          <w:rPr>
            <w:color w:val="1155CC"/>
            <w:u w:val="single"/>
          </w:rPr>
          <w:t>https://fingertips.phe.org.uk/profile/local-alcohol-profiles</w:t>
        </w:r>
      </w:hyperlink>
    </w:p>
    <w:p w14:paraId="5DCB2BD8" w14:textId="77777777" w:rsidR="002156CE" w:rsidRDefault="00000000">
      <w:pPr>
        <w:spacing w:before="240" w:after="240"/>
        <w:ind w:left="566" w:hanging="566"/>
        <w:rPr>
          <w:color w:val="1155CC"/>
          <w:u w:val="single"/>
        </w:rPr>
      </w:pPr>
      <w:r>
        <w:t>Office for National Statistics (2025) Alcohol specific deaths in the UK: Registered in 2023. Available at:</w:t>
      </w:r>
      <w:hyperlink r:id="rId34">
        <w:r>
          <w:t xml:space="preserve"> </w:t>
        </w:r>
      </w:hyperlink>
      <w:hyperlink r:id="rId35">
        <w:r>
          <w:rPr>
            <w:color w:val="1155CC"/>
            <w:u w:val="single"/>
          </w:rPr>
          <w:t>https://www.ons.gov.uk/peoplepopulationandcommunity/healthandsocialcare/causesofdeath/bulletins/alcoholspecificdeathsintheuk/registeredin2023</w:t>
        </w:r>
      </w:hyperlink>
    </w:p>
    <w:p w14:paraId="565DF68D" w14:textId="77777777" w:rsidR="002156CE" w:rsidRDefault="00000000">
      <w:pPr>
        <w:spacing w:before="240" w:after="240"/>
        <w:ind w:left="566" w:hanging="566"/>
        <w:rPr>
          <w:color w:val="1155CC"/>
          <w:u w:val="single"/>
        </w:rPr>
      </w:pPr>
      <w:r>
        <w:t>Semrau, M. et al. (</w:t>
      </w:r>
      <w:proofErr w:type="gramStart"/>
      <w:r>
        <w:t>2024) ‘</w:t>
      </w:r>
      <w:proofErr w:type="gramEnd"/>
      <w:r>
        <w:t>Reducing stigma and improving access to care for people with mental health conditions’, International Journal of Mental Health Systems, 18, 32.</w:t>
      </w:r>
    </w:p>
    <w:p w14:paraId="6DC86D71" w14:textId="77777777" w:rsidR="002156CE" w:rsidRDefault="00000000">
      <w:pPr>
        <w:spacing w:before="240" w:after="240"/>
        <w:ind w:left="566" w:hanging="566"/>
        <w:rPr>
          <w:color w:val="1155CC"/>
          <w:u w:val="single"/>
        </w:rPr>
      </w:pPr>
      <w:r>
        <w:t xml:space="preserve">West Hertfordshire Teaching Hospitals NHS Trust (2025) Most </w:t>
      </w:r>
      <w:proofErr w:type="gramStart"/>
      <w:r>
        <w:t>in depth</w:t>
      </w:r>
      <w:proofErr w:type="gramEnd"/>
      <w:r>
        <w:t xml:space="preserve"> evaluation of Hospital at Home to date reveals millions in savings, better outcomes and high patient satisfaction. Available at: </w:t>
      </w:r>
      <w:hyperlink r:id="rId36">
        <w:r>
          <w:rPr>
            <w:color w:val="1155CC"/>
            <w:u w:val="single"/>
          </w:rPr>
          <w:t>https://www.westhertshospitals.nhs.uk/about-us/news/most-depth-evaluation-hospital-home-date-reveals-millions-savings-better-outcomes-and-sky-high-patient-satisfaction</w:t>
        </w:r>
      </w:hyperlink>
      <w:r>
        <w:t xml:space="preserve"> </w:t>
      </w:r>
    </w:p>
    <w:p w14:paraId="3D1B694F" w14:textId="77777777" w:rsidR="002156CE" w:rsidRDefault="00000000">
      <w:pPr>
        <w:spacing w:before="240" w:after="240"/>
        <w:ind w:left="566" w:hanging="566"/>
        <w:rPr>
          <w:color w:val="1155CC"/>
          <w:u w:val="single"/>
        </w:rPr>
      </w:pPr>
      <w:r>
        <w:lastRenderedPageBreak/>
        <w:t>Williamson, V. et al. (2019) ‘Perceived stigma and barriers to care in UK Armed Forces personnel and veterans with and without probable mental disorders’, BMC Psychology, 7, 1–11.</w:t>
      </w:r>
      <w:hyperlink r:id="rId37">
        <w:r>
          <w:t xml:space="preserve"> </w:t>
        </w:r>
      </w:hyperlink>
    </w:p>
    <w:p w14:paraId="5FA3CCD8" w14:textId="77777777" w:rsidR="002156CE" w:rsidRDefault="00000000">
      <w:pPr>
        <w:spacing w:before="240" w:after="240"/>
        <w:ind w:left="566" w:hanging="566"/>
      </w:pPr>
      <w:r>
        <w:t>Yahya, F. et al. (</w:t>
      </w:r>
      <w:proofErr w:type="gramStart"/>
      <w:r>
        <w:t>2025) ‘</w:t>
      </w:r>
      <w:proofErr w:type="gramEnd"/>
      <w:r>
        <w:t>Hospital at home (virtual wards): Developing a logic model of outcomes in England’, BMC Health Services Research, 25, 12872.</w:t>
      </w:r>
    </w:p>
    <w:p w14:paraId="29F66FCF" w14:textId="77777777" w:rsidR="002156CE" w:rsidRDefault="002156CE">
      <w:pPr>
        <w:rPr>
          <w:color w:val="000000"/>
          <w:sz w:val="44"/>
          <w:szCs w:val="44"/>
        </w:rPr>
      </w:pPr>
    </w:p>
    <w:p w14:paraId="6E2C1CE8" w14:textId="77777777" w:rsidR="002156CE" w:rsidRDefault="002156CE">
      <w:pPr>
        <w:rPr>
          <w:color w:val="000000"/>
          <w:sz w:val="44"/>
          <w:szCs w:val="44"/>
        </w:rPr>
      </w:pPr>
    </w:p>
    <w:p w14:paraId="2D5DDFC7" w14:textId="77777777" w:rsidR="002156CE" w:rsidRDefault="002156CE">
      <w:pPr>
        <w:rPr>
          <w:color w:val="000000"/>
        </w:rPr>
      </w:pPr>
    </w:p>
    <w:p w14:paraId="055E9390" w14:textId="77777777" w:rsidR="002156CE" w:rsidRDefault="002156CE">
      <w:pPr>
        <w:rPr>
          <w:color w:val="000000"/>
        </w:rPr>
      </w:pPr>
    </w:p>
    <w:p w14:paraId="184FAC9E" w14:textId="77777777" w:rsidR="002156CE" w:rsidRDefault="002156CE">
      <w:pPr>
        <w:rPr>
          <w:color w:val="000000"/>
        </w:rPr>
      </w:pPr>
    </w:p>
    <w:p w14:paraId="439DF0CE" w14:textId="77777777" w:rsidR="002156CE" w:rsidRDefault="002156CE">
      <w:pPr>
        <w:rPr>
          <w:color w:val="000000"/>
        </w:rPr>
      </w:pPr>
    </w:p>
    <w:p w14:paraId="1D2BECA6" w14:textId="77777777" w:rsidR="002156CE" w:rsidRDefault="002156CE">
      <w:pPr>
        <w:rPr>
          <w:color w:val="000000"/>
        </w:rPr>
      </w:pPr>
    </w:p>
    <w:p w14:paraId="39225FAA" w14:textId="77777777" w:rsidR="002156CE" w:rsidRDefault="002156CE">
      <w:pPr>
        <w:rPr>
          <w:color w:val="000000"/>
        </w:rPr>
      </w:pPr>
    </w:p>
    <w:p w14:paraId="76BCE1E8" w14:textId="77777777" w:rsidR="002156CE" w:rsidRDefault="002156CE">
      <w:pPr>
        <w:rPr>
          <w:color w:val="000000"/>
        </w:rPr>
      </w:pPr>
    </w:p>
    <w:p w14:paraId="473389BA" w14:textId="77777777" w:rsidR="002156CE" w:rsidRDefault="002156CE">
      <w:pPr>
        <w:rPr>
          <w:color w:val="000000"/>
        </w:rPr>
      </w:pPr>
    </w:p>
    <w:p w14:paraId="1F377592" w14:textId="77777777" w:rsidR="002156CE" w:rsidRDefault="002156CE">
      <w:pPr>
        <w:rPr>
          <w:color w:val="000000"/>
        </w:rPr>
      </w:pPr>
    </w:p>
    <w:p w14:paraId="2DA62314" w14:textId="77777777" w:rsidR="002156CE" w:rsidRDefault="002156CE">
      <w:pPr>
        <w:rPr>
          <w:color w:val="000000"/>
        </w:rPr>
      </w:pPr>
    </w:p>
    <w:p w14:paraId="599C8337" w14:textId="77777777" w:rsidR="002156CE" w:rsidRDefault="002156CE">
      <w:pPr>
        <w:rPr>
          <w:color w:val="000000"/>
        </w:rPr>
      </w:pPr>
    </w:p>
    <w:p w14:paraId="6462C3B9" w14:textId="77777777" w:rsidR="002156CE" w:rsidRDefault="002156CE">
      <w:pPr>
        <w:rPr>
          <w:color w:val="000000"/>
        </w:rPr>
      </w:pPr>
    </w:p>
    <w:p w14:paraId="3BFB7BE1" w14:textId="77777777" w:rsidR="002156CE" w:rsidRDefault="002156CE">
      <w:pPr>
        <w:rPr>
          <w:color w:val="000000"/>
        </w:rPr>
      </w:pPr>
    </w:p>
    <w:p w14:paraId="39CC4141" w14:textId="77777777" w:rsidR="002156CE" w:rsidRDefault="002156CE">
      <w:pPr>
        <w:rPr>
          <w:color w:val="000000"/>
        </w:rPr>
      </w:pPr>
    </w:p>
    <w:p w14:paraId="6BF01E45" w14:textId="77777777" w:rsidR="002156CE" w:rsidRDefault="002156CE">
      <w:pPr>
        <w:rPr>
          <w:i/>
          <w:iCs/>
          <w:color w:val="000000"/>
        </w:rPr>
      </w:pPr>
    </w:p>
    <w:p w14:paraId="75C63E17" w14:textId="77777777" w:rsidR="002156CE" w:rsidRDefault="002156CE">
      <w:pPr>
        <w:rPr>
          <w:sz w:val="44"/>
          <w:szCs w:val="44"/>
        </w:rPr>
      </w:pPr>
    </w:p>
    <w:sectPr w:rsidR="002156C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211920C6-974A-4889-85E4-F3147E443CEF}"/>
    <w:embedBold r:id="rId2" w:fontKey="{BC30CB93-1D51-405B-BAF6-95B9E8987513}"/>
    <w:embedItalic r:id="rId3" w:fontKey="{DFD8D464-E241-46A6-B8C0-7E721EAE9545}"/>
  </w:font>
  <w:font w:name="Play">
    <w:charset w:val="00"/>
    <w:family w:val="auto"/>
    <w:pitch w:val="default"/>
    <w:embedRegular r:id="rId4" w:fontKey="{52546EA9-F31F-4E1F-AD77-013623DDEE59}"/>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98080C58-7FEB-441F-9E9D-EF44348D8202}"/>
  </w:font>
  <w:font w:name="Cambria">
    <w:panose1 w:val="02040503050406030204"/>
    <w:charset w:val="00"/>
    <w:family w:val="roman"/>
    <w:pitch w:val="variable"/>
    <w:sig w:usb0="E00006FF" w:usb1="420024FF" w:usb2="02000000" w:usb3="00000000" w:csb0="0000019F" w:csb1="00000000"/>
    <w:embedRegular r:id="rId6" w:fontKey="{98E658AC-ABDC-4742-A799-435A225AB5E6}"/>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6CE"/>
    <w:rsid w:val="001D0A9D"/>
    <w:rsid w:val="002156CE"/>
    <w:rsid w:val="009A08B2"/>
    <w:rsid w:val="00A22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5233B"/>
  <w15:docId w15:val="{97558C85-2979-4FA3-814C-617BA18E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ost.parliament.uk/research-briefings/post-pn-0744/" TargetMode="External"/><Relationship Id="rId18" Type="http://schemas.openxmlformats.org/officeDocument/2006/relationships/hyperlink" Target="https://www.fundraisingregulator.org.uk/sites/default/files/2018-05/GDPR-briefings-community.pdf" TargetMode="External"/><Relationship Id="rId26" Type="http://schemas.openxmlformats.org/officeDocument/2006/relationships/hyperlink" Target="https://www.england.nhs.uk/wp-content/uploads/2021/08/clinical-leadership-framework.pdf?utm_source=chatgpt.com" TargetMode="External"/><Relationship Id="rId39" Type="http://schemas.openxmlformats.org/officeDocument/2006/relationships/theme" Target="theme/theme1.xml"/><Relationship Id="rId21" Type="http://schemas.openxmlformats.org/officeDocument/2006/relationships/hyperlink" Target="https://pmc.ncbi.nlm.nih.gov/articles/PMC5347358/?utm_source=chatgpt.com" TargetMode="External"/><Relationship Id="rId34" Type="http://schemas.openxmlformats.org/officeDocument/2006/relationships/hyperlink" Target="https://www.ons.gov.uk/peoplepopulationandcommunity/healthandsocialcare/causesofdeath/bulletins/alcoholspecificdeathsintheuk/registeredin2023" TargetMode="External"/><Relationship Id="rId7" Type="http://schemas.openxmlformats.org/officeDocument/2006/relationships/hyperlink" Target="https://www.england.nhs.uk/virtual-wards/?utm_source=chatgpt.com" TargetMode="External"/><Relationship Id="rId12" Type="http://schemas.openxmlformats.org/officeDocument/2006/relationships/hyperlink" Target="https://www.england.nhs.uk/wp-content/uploads/2021/08/clinical-leadership-framework.pdf?utm_source=chatgpt.com" TargetMode="External"/><Relationship Id="rId17" Type="http://schemas.openxmlformats.org/officeDocument/2006/relationships/hyperlink" Target="https://www.fundraisingregulator.org.uk/sites/default/files/2018-05/GDPR-briefings-community.pdf" TargetMode="External"/><Relationship Id="rId25" Type="http://schemas.openxmlformats.org/officeDocument/2006/relationships/hyperlink" Target="https://digital.nhs.uk/data-and-information/publications/statistical/health-survey-for-england/2022-part-1/adult-drinking" TargetMode="External"/><Relationship Id="rId33" Type="http://schemas.openxmlformats.org/officeDocument/2006/relationships/hyperlink" Target="https://fingertips.phe.org.uk/profile/local-alcohol-profile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publications/disclosure-application-process-for-volunteers" TargetMode="External"/><Relationship Id="rId20" Type="http://schemas.openxmlformats.org/officeDocument/2006/relationships/hyperlink" Target="https://lshubwales.com/sites/default/files/2024-04/Achieving%20Innovation%20in%20Health%20and%20Social%20Care%20-%20a%20narrative%20review.pdf?utm_source=chatgpt.com" TargetMode="External"/><Relationship Id="rId29" Type="http://schemas.openxmlformats.org/officeDocument/2006/relationships/hyperlink" Target="https://www.england.nhs.uk/wp-content/uploads/2021/08/clinical-leadership-framework.pdf?utm_source=chatgpt.com" TargetMode="External"/><Relationship Id="rId1" Type="http://schemas.openxmlformats.org/officeDocument/2006/relationships/styles" Target="styles.xml"/><Relationship Id="rId6" Type="http://schemas.openxmlformats.org/officeDocument/2006/relationships/hyperlink" Target="https://lshubwales.com/sites/default/files/2024-04/Achieving%20Innovation%20in%20Health%20and%20Social%20Care%20-%20a%20narrative%20review.pdf?utm_source=chatgpt.com" TargetMode="External"/><Relationship Id="rId11" Type="http://schemas.openxmlformats.org/officeDocument/2006/relationships/hyperlink" Target="https://www.leadershipacademy.nhs.uk/wp-content/uploads/2012/11/NHSLeadership-Framework-LeadershipFramework.pdf?utm_source=chatgpt.com" TargetMode="External"/><Relationship Id="rId24" Type="http://schemas.openxmlformats.org/officeDocument/2006/relationships/hyperlink" Target="https://digital.nhs.uk/data-and-information/publications/statistical/health-survey-for-england/2022-part-1/adult-drinking" TargetMode="External"/><Relationship Id="rId32" Type="http://schemas.openxmlformats.org/officeDocument/2006/relationships/hyperlink" Target="https://fingertips.phe.org.uk/profile/local-alcohol-profiles" TargetMode="External"/><Relationship Id="rId37" Type="http://schemas.openxmlformats.org/officeDocument/2006/relationships/hyperlink" Target="https://bmcpsychology.biomedcentral.com/articles/10.1186/s40359-019-0351-7?utm_source=chatgpt.com" TargetMode="External"/><Relationship Id="rId5" Type="http://schemas.openxmlformats.org/officeDocument/2006/relationships/image" Target="media/image2.png"/><Relationship Id="rId15" Type="http://schemas.openxmlformats.org/officeDocument/2006/relationships/hyperlink" Target="https://www.gov.uk/government/publications/disclosure-application-process-for-volunteers" TargetMode="External"/><Relationship Id="rId23" Type="http://schemas.openxmlformats.org/officeDocument/2006/relationships/hyperlink" Target="https://pubmed.ncbi.nlm.nih.gov/40331105/?utm_source=chatgpt.com" TargetMode="External"/><Relationship Id="rId28" Type="http://schemas.openxmlformats.org/officeDocument/2006/relationships/hyperlink" Target="https://www.england.nhs.uk/wp-content/uploads/2021/08/clinical-leadership-framework.pdf?utm_source=chatgpt.com" TargetMode="External"/><Relationship Id="rId36" Type="http://schemas.openxmlformats.org/officeDocument/2006/relationships/hyperlink" Target="https://www.westhertshospitals.nhs.uk/about-us/news/most-depth-evaluation-hospital-home-date-reveals-millions-savings-better-outcomes-and-sky-high-patient-satisfaction" TargetMode="External"/><Relationship Id="rId10" Type="http://schemas.openxmlformats.org/officeDocument/2006/relationships/hyperlink" Target="https://bmcpsychology.biomedcentral.com/articles/10.1186/s40359-019-0351-7?utm_source=chatgpt.com" TargetMode="External"/><Relationship Id="rId19" Type="http://schemas.openxmlformats.org/officeDocument/2006/relationships/hyperlink" Target="https://gettingitrightfirsttime.co.uk/wp-content/uploads/2024/09/FINAL-Making-the-most-of-virtual-wards-September-2024-update.pdf?utm_source=chatgpt.com" TargetMode="External"/><Relationship Id="rId31" Type="http://schemas.openxmlformats.org/officeDocument/2006/relationships/hyperlink" Target="https://www.leadershipacademy.nhs.uk/wp-content/uploads/2012/11/NHSLeadership-Framework-LeadershipFramework.pdf?utm_source=chatgpt.com" TargetMode="External"/><Relationship Id="rId4" Type="http://schemas.openxmlformats.org/officeDocument/2006/relationships/image" Target="media/image1.png"/><Relationship Id="rId9" Type="http://schemas.openxmlformats.org/officeDocument/2006/relationships/hyperlink" Target="https://pmc.ncbi.nlm.nih.gov/articles/PMC5347358/?utm_source=chatgpt.com" TargetMode="External"/><Relationship Id="rId14" Type="http://schemas.openxmlformats.org/officeDocument/2006/relationships/hyperlink" Target="https://cfg.org.uk/resources/gdpr_guide_for_small_charities" TargetMode="External"/><Relationship Id="rId22" Type="http://schemas.openxmlformats.org/officeDocument/2006/relationships/hyperlink" Target="https://onlinelibrary.wiley.com/doi/10.1111/1468-0009.12682?utm_source=chatgpt.com" TargetMode="External"/><Relationship Id="rId27" Type="http://schemas.openxmlformats.org/officeDocument/2006/relationships/hyperlink" Target="https://www.england.nhs.uk/wp-content/uploads/2021/08/clinical-leadership-framework.pdf?utm_source=chatgpt.com" TargetMode="External"/><Relationship Id="rId30" Type="http://schemas.openxmlformats.org/officeDocument/2006/relationships/hyperlink" Target="https://www.england.nhs.uk/virtual-wards/?utm_source=chatgpt.com" TargetMode="External"/><Relationship Id="rId35" Type="http://schemas.openxmlformats.org/officeDocument/2006/relationships/hyperlink" Target="https://www.ons.gov.uk/peoplepopulationandcommunity/healthandsocialcare/causesofdeath/bulletins/alcoholspecificdeathsintheuk/registeredin2023" TargetMode="External"/><Relationship Id="rId8" Type="http://schemas.openxmlformats.org/officeDocument/2006/relationships/hyperlink" Target="https://pubmed.ncbi.nlm.nih.gov/40331105/?utm_source=chatgpt.com" TargetMode="External"/><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3257</Words>
  <Characters>18567</Characters>
  <Application>Microsoft Office Word</Application>
  <DocSecurity>0</DocSecurity>
  <Lines>154</Lines>
  <Paragraphs>43</Paragraphs>
  <ScaleCrop>false</ScaleCrop>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Nabila Nazam</dc:creator>
  <cp:lastModifiedBy>Nabila Nazam (2324644)</cp:lastModifiedBy>
  <cp:revision>2</cp:revision>
  <dcterms:created xsi:type="dcterms:W3CDTF">2025-11-16T13:05:00Z</dcterms:created>
  <dcterms:modified xsi:type="dcterms:W3CDTF">2025-11-16T13:05:00Z</dcterms:modified>
</cp:coreProperties>
</file>