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0956FD" w14:textId="77777777" w:rsidR="00293558" w:rsidRDefault="00293558" w:rsidP="002D1F26">
      <w:pPr>
        <w:spacing w:line="276" w:lineRule="auto"/>
        <w:rPr>
          <w:rFonts w:ascii="Arial" w:hAnsi="Arial" w:cs="Arial"/>
          <w:b/>
          <w:bCs/>
          <w:sz w:val="36"/>
          <w:szCs w:val="36"/>
        </w:rPr>
      </w:pPr>
      <w:r w:rsidRPr="00A406E5">
        <w:rPr>
          <w:rFonts w:ascii="Arial" w:hAnsi="Arial" w:cs="Arial"/>
          <w:noProof/>
        </w:rPr>
        <w:drawing>
          <wp:anchor distT="0" distB="0" distL="114300" distR="114300" simplePos="0" relativeHeight="251659264" behindDoc="0" locked="0" layoutInCell="1" allowOverlap="1" wp14:anchorId="687CE0C8" wp14:editId="3FCE29A9">
            <wp:simplePos x="0" y="0"/>
            <wp:positionH relativeFrom="column">
              <wp:posOffset>7620</wp:posOffset>
            </wp:positionH>
            <wp:positionV relativeFrom="paragraph">
              <wp:posOffset>304800</wp:posOffset>
            </wp:positionV>
            <wp:extent cx="1809750" cy="723900"/>
            <wp:effectExtent l="0" t="0" r="0" b="0"/>
            <wp:wrapSquare wrapText="bothSides"/>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B5B3B00" w14:textId="77777777" w:rsidR="00293558" w:rsidRDefault="00293558" w:rsidP="002D1F26">
      <w:pPr>
        <w:spacing w:line="276" w:lineRule="auto"/>
        <w:rPr>
          <w:rFonts w:ascii="Arial" w:hAnsi="Arial" w:cs="Arial"/>
          <w:b/>
          <w:bCs/>
          <w:sz w:val="36"/>
          <w:szCs w:val="36"/>
        </w:rPr>
      </w:pPr>
    </w:p>
    <w:p w14:paraId="72F31E1E" w14:textId="77777777" w:rsidR="00293558" w:rsidRDefault="00293558" w:rsidP="002D1F26">
      <w:pPr>
        <w:spacing w:line="276" w:lineRule="auto"/>
        <w:rPr>
          <w:rFonts w:ascii="Arial" w:hAnsi="Arial" w:cs="Arial"/>
          <w:b/>
          <w:bCs/>
          <w:sz w:val="36"/>
          <w:szCs w:val="36"/>
        </w:rPr>
      </w:pPr>
    </w:p>
    <w:p w14:paraId="275A3EB2" w14:textId="77777777" w:rsidR="00293558" w:rsidRDefault="00293558" w:rsidP="002D1F26">
      <w:pPr>
        <w:spacing w:line="276" w:lineRule="auto"/>
        <w:rPr>
          <w:rFonts w:ascii="Arial" w:hAnsi="Arial" w:cs="Arial"/>
          <w:b/>
          <w:bCs/>
          <w:sz w:val="36"/>
          <w:szCs w:val="36"/>
        </w:rPr>
      </w:pPr>
    </w:p>
    <w:p w14:paraId="1D374B97" w14:textId="77777777" w:rsidR="00293558" w:rsidRDefault="00293558" w:rsidP="002D1F26">
      <w:pPr>
        <w:spacing w:line="276" w:lineRule="auto"/>
        <w:rPr>
          <w:rFonts w:ascii="Arial" w:hAnsi="Arial" w:cs="Arial"/>
          <w:b/>
          <w:bCs/>
          <w:sz w:val="36"/>
          <w:szCs w:val="36"/>
        </w:rPr>
      </w:pPr>
    </w:p>
    <w:p w14:paraId="46E360AF" w14:textId="4C240742" w:rsidR="002D1F26" w:rsidRPr="00C136C1" w:rsidRDefault="002D1F26" w:rsidP="002D1F26">
      <w:pPr>
        <w:spacing w:line="276" w:lineRule="auto"/>
        <w:rPr>
          <w:rFonts w:ascii="Arial" w:hAnsi="Arial" w:cs="Arial"/>
          <w:b/>
          <w:bCs/>
          <w:sz w:val="36"/>
          <w:szCs w:val="36"/>
        </w:rPr>
      </w:pPr>
      <w:r w:rsidRPr="00C136C1">
        <w:rPr>
          <w:rFonts w:ascii="Arial" w:hAnsi="Arial" w:cs="Arial"/>
          <w:b/>
          <w:bCs/>
          <w:sz w:val="36"/>
          <w:szCs w:val="36"/>
        </w:rPr>
        <w:t>UNIVERSITY OF WALES – TRINITY SAINT DAVID</w:t>
      </w:r>
    </w:p>
    <w:p w14:paraId="1C00FD02" w14:textId="77777777" w:rsidR="002D1F26" w:rsidRDefault="002D1F26" w:rsidP="002D1F26">
      <w:pPr>
        <w:spacing w:line="276" w:lineRule="auto"/>
        <w:jc w:val="center"/>
        <w:rPr>
          <w:rFonts w:ascii="Arial" w:hAnsi="Arial" w:cs="Arial"/>
          <w:b/>
          <w:bCs/>
          <w:sz w:val="48"/>
          <w:szCs w:val="48"/>
        </w:rPr>
      </w:pPr>
    </w:p>
    <w:p w14:paraId="6CF6EAA0" w14:textId="77777777" w:rsidR="002D1F26" w:rsidRDefault="002D1F26" w:rsidP="002D1F26">
      <w:pPr>
        <w:spacing w:line="276" w:lineRule="auto"/>
        <w:jc w:val="center"/>
        <w:rPr>
          <w:rFonts w:ascii="Arial" w:hAnsi="Arial" w:cs="Arial"/>
          <w:b/>
          <w:bCs/>
          <w:sz w:val="48"/>
          <w:szCs w:val="48"/>
        </w:rPr>
      </w:pPr>
    </w:p>
    <w:p w14:paraId="46C2EE92" w14:textId="77777777" w:rsidR="002D1F26" w:rsidRDefault="002D1F26" w:rsidP="002D1F26">
      <w:pPr>
        <w:spacing w:line="360" w:lineRule="auto"/>
        <w:jc w:val="center"/>
        <w:rPr>
          <w:rFonts w:ascii="Arial" w:hAnsi="Arial" w:cs="Arial"/>
          <w:b/>
          <w:bCs/>
          <w:sz w:val="32"/>
          <w:szCs w:val="32"/>
        </w:rPr>
      </w:pPr>
    </w:p>
    <w:p w14:paraId="28DA7D08" w14:textId="77777777" w:rsidR="002D1F26" w:rsidRDefault="002D1F26" w:rsidP="002D1F26">
      <w:pPr>
        <w:spacing w:line="360" w:lineRule="auto"/>
        <w:jc w:val="center"/>
        <w:rPr>
          <w:rFonts w:ascii="Arial" w:hAnsi="Arial" w:cs="Arial"/>
          <w:b/>
          <w:bCs/>
          <w:sz w:val="32"/>
          <w:szCs w:val="32"/>
        </w:rPr>
      </w:pPr>
    </w:p>
    <w:p w14:paraId="29DB3252" w14:textId="77777777" w:rsidR="002D1F26" w:rsidRDefault="002D1F26" w:rsidP="002D1F26">
      <w:pPr>
        <w:spacing w:line="360" w:lineRule="auto"/>
        <w:jc w:val="center"/>
        <w:rPr>
          <w:rFonts w:ascii="Arial" w:hAnsi="Arial" w:cs="Arial"/>
          <w:b/>
          <w:bCs/>
          <w:sz w:val="32"/>
          <w:szCs w:val="32"/>
        </w:rPr>
      </w:pPr>
    </w:p>
    <w:p w14:paraId="28E81FED" w14:textId="77777777" w:rsidR="002D1F26" w:rsidRDefault="002D1F26" w:rsidP="002D1F26">
      <w:pPr>
        <w:spacing w:line="360" w:lineRule="auto"/>
        <w:jc w:val="center"/>
        <w:rPr>
          <w:rFonts w:ascii="Arial" w:hAnsi="Arial" w:cs="Arial"/>
          <w:b/>
          <w:bCs/>
          <w:sz w:val="32"/>
          <w:szCs w:val="32"/>
        </w:rPr>
      </w:pPr>
    </w:p>
    <w:p w14:paraId="5793DF1B" w14:textId="59262F0E" w:rsidR="002D1F26" w:rsidRDefault="002D1F26" w:rsidP="002D1F26">
      <w:pPr>
        <w:spacing w:line="360" w:lineRule="auto"/>
        <w:jc w:val="center"/>
        <w:rPr>
          <w:rFonts w:ascii="Arial" w:hAnsi="Arial" w:cs="Arial"/>
          <w:b/>
          <w:bCs/>
          <w:sz w:val="32"/>
          <w:szCs w:val="32"/>
        </w:rPr>
      </w:pPr>
      <w:r w:rsidRPr="00C136C1">
        <w:rPr>
          <w:rFonts w:ascii="Arial" w:hAnsi="Arial" w:cs="Arial"/>
          <w:b/>
          <w:bCs/>
          <w:sz w:val="32"/>
          <w:szCs w:val="32"/>
        </w:rPr>
        <w:t>LCLM</w:t>
      </w:r>
      <w:r>
        <w:rPr>
          <w:rFonts w:ascii="Arial" w:hAnsi="Arial" w:cs="Arial"/>
          <w:b/>
          <w:bCs/>
          <w:sz w:val="32"/>
          <w:szCs w:val="32"/>
        </w:rPr>
        <w:t>5003 PROJECT MANAGEMENT</w:t>
      </w:r>
    </w:p>
    <w:p w14:paraId="252EAD15" w14:textId="0AB2BE19" w:rsidR="002D1F26" w:rsidRDefault="002D1F26" w:rsidP="002D1F26">
      <w:pPr>
        <w:spacing w:line="360" w:lineRule="auto"/>
        <w:jc w:val="center"/>
        <w:rPr>
          <w:rFonts w:ascii="Arial" w:hAnsi="Arial" w:cs="Arial"/>
          <w:b/>
          <w:bCs/>
          <w:sz w:val="32"/>
          <w:szCs w:val="32"/>
        </w:rPr>
      </w:pPr>
    </w:p>
    <w:p w14:paraId="063372CB" w14:textId="77777777" w:rsidR="002D1F26" w:rsidRDefault="002D1F26" w:rsidP="002D1F26">
      <w:pPr>
        <w:spacing w:line="360" w:lineRule="auto"/>
        <w:jc w:val="center"/>
        <w:rPr>
          <w:rFonts w:ascii="Arial" w:hAnsi="Arial" w:cs="Arial"/>
          <w:b/>
          <w:bCs/>
          <w:sz w:val="32"/>
          <w:szCs w:val="32"/>
        </w:rPr>
      </w:pPr>
    </w:p>
    <w:p w14:paraId="2F673E8F" w14:textId="00662064" w:rsidR="002D1F26" w:rsidRPr="00C136C1" w:rsidRDefault="002D1F26" w:rsidP="002D1F26">
      <w:pPr>
        <w:spacing w:line="360" w:lineRule="auto"/>
        <w:jc w:val="center"/>
        <w:rPr>
          <w:rFonts w:ascii="Arial" w:hAnsi="Arial" w:cs="Arial"/>
          <w:b/>
          <w:bCs/>
          <w:sz w:val="32"/>
          <w:szCs w:val="32"/>
        </w:rPr>
      </w:pPr>
      <w:r>
        <w:rPr>
          <w:rFonts w:ascii="Arial" w:hAnsi="Arial" w:cs="Arial"/>
          <w:b/>
          <w:bCs/>
          <w:sz w:val="32"/>
          <w:szCs w:val="32"/>
        </w:rPr>
        <w:t>PORTFOLIO</w:t>
      </w:r>
    </w:p>
    <w:p w14:paraId="5EE2E6B3" w14:textId="77777777" w:rsidR="002D1F26" w:rsidRDefault="002D1F26" w:rsidP="002D1F26">
      <w:pPr>
        <w:spacing w:line="276" w:lineRule="auto"/>
        <w:rPr>
          <w:rFonts w:ascii="Arial" w:hAnsi="Arial" w:cs="Arial"/>
          <w:b/>
          <w:bCs/>
          <w:sz w:val="48"/>
          <w:szCs w:val="48"/>
        </w:rPr>
      </w:pPr>
    </w:p>
    <w:p w14:paraId="41B93D57" w14:textId="77777777" w:rsidR="002D1F26" w:rsidRDefault="002D1F26" w:rsidP="002D1F26">
      <w:pPr>
        <w:spacing w:line="276" w:lineRule="auto"/>
        <w:rPr>
          <w:rFonts w:ascii="Arial" w:hAnsi="Arial" w:cs="Arial"/>
          <w:b/>
          <w:bCs/>
          <w:sz w:val="48"/>
          <w:szCs w:val="48"/>
        </w:rPr>
      </w:pPr>
    </w:p>
    <w:p w14:paraId="7A73040D" w14:textId="77777777" w:rsidR="002D1F26" w:rsidRDefault="002D1F26" w:rsidP="002D1F26">
      <w:pPr>
        <w:spacing w:line="276" w:lineRule="auto"/>
        <w:rPr>
          <w:rFonts w:ascii="Arial" w:hAnsi="Arial" w:cs="Arial"/>
          <w:b/>
          <w:bCs/>
          <w:sz w:val="48"/>
          <w:szCs w:val="48"/>
        </w:rPr>
      </w:pPr>
    </w:p>
    <w:p w14:paraId="296F5192" w14:textId="77777777" w:rsidR="002D1F26" w:rsidRPr="00C136C1" w:rsidRDefault="002D1F26" w:rsidP="002D1F26">
      <w:pPr>
        <w:spacing w:line="360" w:lineRule="auto"/>
        <w:jc w:val="center"/>
        <w:rPr>
          <w:rFonts w:ascii="Arial" w:hAnsi="Arial" w:cs="Arial"/>
          <w:b/>
          <w:bCs/>
          <w:sz w:val="32"/>
          <w:szCs w:val="32"/>
        </w:rPr>
      </w:pPr>
    </w:p>
    <w:p w14:paraId="2E9928C7" w14:textId="77777777" w:rsidR="002D1F26" w:rsidRPr="00C136C1" w:rsidRDefault="002D1F26" w:rsidP="00293558">
      <w:pPr>
        <w:spacing w:line="360" w:lineRule="auto"/>
        <w:jc w:val="right"/>
        <w:rPr>
          <w:rFonts w:ascii="Arial" w:hAnsi="Arial" w:cs="Arial"/>
          <w:sz w:val="32"/>
          <w:szCs w:val="32"/>
        </w:rPr>
      </w:pPr>
      <w:r w:rsidRPr="00C136C1">
        <w:rPr>
          <w:rFonts w:ascii="Arial" w:hAnsi="Arial" w:cs="Arial"/>
          <w:b/>
          <w:bCs/>
          <w:sz w:val="32"/>
          <w:szCs w:val="32"/>
        </w:rPr>
        <w:t xml:space="preserve">Student name: </w:t>
      </w:r>
      <w:r w:rsidRPr="00CA5E19">
        <w:rPr>
          <w:rFonts w:ascii="Arial" w:hAnsi="Arial" w:cs="Arial"/>
          <w:sz w:val="32"/>
          <w:szCs w:val="32"/>
        </w:rPr>
        <w:t>Alexandru Constantin Popa</w:t>
      </w:r>
    </w:p>
    <w:p w14:paraId="44BE32DC" w14:textId="636F8755" w:rsidR="002D1F26" w:rsidRDefault="002D1F26" w:rsidP="00293558">
      <w:pPr>
        <w:spacing w:line="360" w:lineRule="auto"/>
        <w:jc w:val="right"/>
        <w:rPr>
          <w:rFonts w:ascii="Arial" w:hAnsi="Arial" w:cs="Arial"/>
          <w:sz w:val="32"/>
          <w:szCs w:val="32"/>
        </w:rPr>
      </w:pPr>
      <w:r w:rsidRPr="00C136C1">
        <w:rPr>
          <w:rFonts w:ascii="Arial" w:hAnsi="Arial" w:cs="Arial"/>
          <w:b/>
          <w:bCs/>
          <w:sz w:val="32"/>
          <w:szCs w:val="32"/>
        </w:rPr>
        <w:t xml:space="preserve">Student </w:t>
      </w:r>
      <w:r w:rsidR="00293558">
        <w:rPr>
          <w:rFonts w:ascii="Arial" w:hAnsi="Arial" w:cs="Arial"/>
          <w:b/>
          <w:bCs/>
          <w:sz w:val="32"/>
          <w:szCs w:val="32"/>
        </w:rPr>
        <w:t>ID</w:t>
      </w:r>
      <w:r w:rsidRPr="00C136C1">
        <w:rPr>
          <w:rFonts w:ascii="Arial" w:hAnsi="Arial" w:cs="Arial"/>
          <w:b/>
          <w:bCs/>
          <w:sz w:val="32"/>
          <w:szCs w:val="32"/>
        </w:rPr>
        <w:t xml:space="preserve">: </w:t>
      </w:r>
      <w:r w:rsidRPr="00CA5E19">
        <w:rPr>
          <w:rFonts w:ascii="Arial" w:hAnsi="Arial" w:cs="Arial"/>
          <w:sz w:val="32"/>
          <w:szCs w:val="32"/>
        </w:rPr>
        <w:t>2332748</w:t>
      </w:r>
    </w:p>
    <w:p w14:paraId="0DE23ED9" w14:textId="77777777" w:rsidR="00293558" w:rsidRPr="00A2003A" w:rsidRDefault="00293558" w:rsidP="00293558">
      <w:pPr>
        <w:spacing w:before="100" w:beforeAutospacing="1" w:after="100" w:afterAutospacing="1" w:line="360" w:lineRule="auto"/>
        <w:ind w:left="1440" w:firstLine="720"/>
        <w:jc w:val="right"/>
        <w:outlineLvl w:val="0"/>
        <w:rPr>
          <w:rFonts w:ascii="Arial" w:hAnsi="Arial" w:cs="Arial"/>
          <w:b/>
          <w:bCs/>
          <w:kern w:val="36"/>
        </w:rPr>
      </w:pPr>
      <w:r w:rsidRPr="00293AD0">
        <w:rPr>
          <w:rFonts w:ascii="Arial" w:hAnsi="Arial" w:cs="Arial"/>
          <w:b/>
          <w:bCs/>
          <w:sz w:val="36"/>
          <w:szCs w:val="36"/>
        </w:rPr>
        <w:t>Lecturer’s Name:</w:t>
      </w:r>
      <w:r>
        <w:rPr>
          <w:rFonts w:ascii="Arial" w:hAnsi="Arial" w:cs="Arial"/>
          <w:b/>
          <w:bCs/>
          <w:sz w:val="36"/>
          <w:szCs w:val="36"/>
        </w:rPr>
        <w:t xml:space="preserve"> </w:t>
      </w:r>
      <w:r w:rsidRPr="001F78EA">
        <w:rPr>
          <w:rFonts w:ascii="Arial" w:hAnsi="Arial" w:cs="Arial"/>
          <w:sz w:val="36"/>
          <w:szCs w:val="36"/>
        </w:rPr>
        <w:t xml:space="preserve">Navid </w:t>
      </w:r>
      <w:proofErr w:type="spellStart"/>
      <w:r w:rsidRPr="001F78EA">
        <w:rPr>
          <w:rFonts w:ascii="Arial" w:hAnsi="Arial" w:cs="Arial"/>
          <w:sz w:val="36"/>
          <w:szCs w:val="36"/>
        </w:rPr>
        <w:t>Nasirpourosgoei</w:t>
      </w:r>
      <w:proofErr w:type="spellEnd"/>
    </w:p>
    <w:p w14:paraId="656939AE" w14:textId="77777777" w:rsidR="00293558" w:rsidRDefault="00293558" w:rsidP="00293558">
      <w:pPr>
        <w:spacing w:line="360" w:lineRule="auto"/>
        <w:jc w:val="right"/>
        <w:rPr>
          <w:rFonts w:ascii="Arial" w:hAnsi="Arial" w:cs="Arial"/>
          <w:b/>
          <w:bCs/>
          <w:sz w:val="32"/>
          <w:szCs w:val="32"/>
        </w:rPr>
      </w:pPr>
    </w:p>
    <w:p w14:paraId="0E1A119E" w14:textId="1922A375" w:rsidR="002D1F26" w:rsidRDefault="002D1F26" w:rsidP="002D1F26">
      <w:pPr>
        <w:spacing w:before="100" w:beforeAutospacing="1" w:after="100" w:afterAutospacing="1" w:line="360" w:lineRule="auto"/>
        <w:jc w:val="both"/>
        <w:outlineLvl w:val="0"/>
        <w:rPr>
          <w:b/>
          <w:bCs/>
          <w:kern w:val="36"/>
          <w:sz w:val="48"/>
          <w:szCs w:val="48"/>
        </w:rPr>
      </w:pPr>
    </w:p>
    <w:sdt>
      <w:sdtPr>
        <w:rPr>
          <w:rFonts w:ascii="Times New Roman" w:eastAsia="Times New Roman" w:hAnsi="Times New Roman" w:cs="Times New Roman"/>
          <w:b w:val="0"/>
          <w:bCs w:val="0"/>
          <w:color w:val="auto"/>
          <w:sz w:val="24"/>
          <w:szCs w:val="24"/>
          <w:lang w:val="en-GB" w:eastAsia="en-GB"/>
        </w:rPr>
        <w:id w:val="-84383847"/>
        <w:docPartObj>
          <w:docPartGallery w:val="Table of Contents"/>
          <w:docPartUnique/>
        </w:docPartObj>
      </w:sdtPr>
      <w:sdtEndPr>
        <w:rPr>
          <w:noProof/>
        </w:rPr>
      </w:sdtEndPr>
      <w:sdtContent>
        <w:p w14:paraId="6F4D0C91" w14:textId="65335625" w:rsidR="002D1F26" w:rsidRDefault="002D1F26">
          <w:pPr>
            <w:pStyle w:val="TOCHeading"/>
          </w:pPr>
          <w:r>
            <w:t>Table of Contents</w:t>
          </w:r>
        </w:p>
        <w:p w14:paraId="2FBAD053" w14:textId="3D923192" w:rsidR="0072230A" w:rsidRDefault="002D1F26">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214197522" w:history="1">
            <w:r w:rsidR="0072230A" w:rsidRPr="0055507F">
              <w:rPr>
                <w:rStyle w:val="Hyperlink"/>
                <w:noProof/>
              </w:rPr>
              <w:t>1. Part One: Individual Project Poster Presentation</w:t>
            </w:r>
            <w:r w:rsidR="0072230A">
              <w:rPr>
                <w:noProof/>
                <w:webHidden/>
              </w:rPr>
              <w:tab/>
            </w:r>
            <w:r w:rsidR="0072230A">
              <w:rPr>
                <w:noProof/>
                <w:webHidden/>
              </w:rPr>
              <w:fldChar w:fldCharType="begin"/>
            </w:r>
            <w:r w:rsidR="0072230A">
              <w:rPr>
                <w:noProof/>
                <w:webHidden/>
              </w:rPr>
              <w:instrText xml:space="preserve"> PAGEREF _Toc214197522 \h </w:instrText>
            </w:r>
            <w:r w:rsidR="0072230A">
              <w:rPr>
                <w:noProof/>
                <w:webHidden/>
              </w:rPr>
            </w:r>
            <w:r w:rsidR="0072230A">
              <w:rPr>
                <w:noProof/>
                <w:webHidden/>
              </w:rPr>
              <w:fldChar w:fldCharType="separate"/>
            </w:r>
            <w:r w:rsidR="0072230A">
              <w:rPr>
                <w:noProof/>
                <w:webHidden/>
              </w:rPr>
              <w:t>3</w:t>
            </w:r>
            <w:r w:rsidR="0072230A">
              <w:rPr>
                <w:noProof/>
                <w:webHidden/>
              </w:rPr>
              <w:fldChar w:fldCharType="end"/>
            </w:r>
          </w:hyperlink>
        </w:p>
        <w:p w14:paraId="2CD6BB59" w14:textId="3901835C" w:rsidR="0072230A" w:rsidRDefault="0072230A">
          <w:pPr>
            <w:pStyle w:val="TOC1"/>
            <w:tabs>
              <w:tab w:val="right" w:leader="dot" w:pos="9016"/>
            </w:tabs>
            <w:rPr>
              <w:rFonts w:eastAsiaTheme="minorEastAsia" w:cstheme="minorBidi"/>
              <w:b w:val="0"/>
              <w:bCs w:val="0"/>
              <w:i w:val="0"/>
              <w:iCs w:val="0"/>
              <w:noProof/>
            </w:rPr>
          </w:pPr>
          <w:hyperlink w:anchor="_Toc214197523" w:history="1">
            <w:r w:rsidRPr="0055507F">
              <w:rPr>
                <w:rStyle w:val="Hyperlink"/>
                <w:noProof/>
              </w:rPr>
              <w:t>2. Part Two: Reflective Writing: Driscoll’s Model of Reflection</w:t>
            </w:r>
            <w:r>
              <w:rPr>
                <w:noProof/>
                <w:webHidden/>
              </w:rPr>
              <w:tab/>
            </w:r>
            <w:r>
              <w:rPr>
                <w:noProof/>
                <w:webHidden/>
              </w:rPr>
              <w:fldChar w:fldCharType="begin"/>
            </w:r>
            <w:r>
              <w:rPr>
                <w:noProof/>
                <w:webHidden/>
              </w:rPr>
              <w:instrText xml:space="preserve"> PAGEREF _Toc214197523 \h </w:instrText>
            </w:r>
            <w:r>
              <w:rPr>
                <w:noProof/>
                <w:webHidden/>
              </w:rPr>
            </w:r>
            <w:r>
              <w:rPr>
                <w:noProof/>
                <w:webHidden/>
              </w:rPr>
              <w:fldChar w:fldCharType="separate"/>
            </w:r>
            <w:r>
              <w:rPr>
                <w:noProof/>
                <w:webHidden/>
              </w:rPr>
              <w:t>4</w:t>
            </w:r>
            <w:r>
              <w:rPr>
                <w:noProof/>
                <w:webHidden/>
              </w:rPr>
              <w:fldChar w:fldCharType="end"/>
            </w:r>
          </w:hyperlink>
        </w:p>
        <w:p w14:paraId="44DE0BD7" w14:textId="6D262626" w:rsidR="0072230A" w:rsidRDefault="0072230A">
          <w:pPr>
            <w:pStyle w:val="TOC2"/>
            <w:tabs>
              <w:tab w:val="right" w:leader="dot" w:pos="9016"/>
            </w:tabs>
            <w:rPr>
              <w:rFonts w:eastAsiaTheme="minorEastAsia" w:cstheme="minorBidi"/>
              <w:b w:val="0"/>
              <w:bCs w:val="0"/>
              <w:noProof/>
              <w:sz w:val="24"/>
              <w:szCs w:val="24"/>
            </w:rPr>
          </w:pPr>
          <w:hyperlink w:anchor="_Toc214197524" w:history="1">
            <w:r w:rsidRPr="0055507F">
              <w:rPr>
                <w:rStyle w:val="Hyperlink"/>
                <w:noProof/>
              </w:rPr>
              <w:t>2.1 What?</w:t>
            </w:r>
            <w:r>
              <w:rPr>
                <w:noProof/>
                <w:webHidden/>
              </w:rPr>
              <w:tab/>
            </w:r>
            <w:r>
              <w:rPr>
                <w:noProof/>
                <w:webHidden/>
              </w:rPr>
              <w:fldChar w:fldCharType="begin"/>
            </w:r>
            <w:r>
              <w:rPr>
                <w:noProof/>
                <w:webHidden/>
              </w:rPr>
              <w:instrText xml:space="preserve"> PAGEREF _Toc214197524 \h </w:instrText>
            </w:r>
            <w:r>
              <w:rPr>
                <w:noProof/>
                <w:webHidden/>
              </w:rPr>
            </w:r>
            <w:r>
              <w:rPr>
                <w:noProof/>
                <w:webHidden/>
              </w:rPr>
              <w:fldChar w:fldCharType="separate"/>
            </w:r>
            <w:r>
              <w:rPr>
                <w:noProof/>
                <w:webHidden/>
              </w:rPr>
              <w:t>4</w:t>
            </w:r>
            <w:r>
              <w:rPr>
                <w:noProof/>
                <w:webHidden/>
              </w:rPr>
              <w:fldChar w:fldCharType="end"/>
            </w:r>
          </w:hyperlink>
        </w:p>
        <w:p w14:paraId="15790E06" w14:textId="7B250B08" w:rsidR="0072230A" w:rsidRDefault="0072230A">
          <w:pPr>
            <w:pStyle w:val="TOC2"/>
            <w:tabs>
              <w:tab w:val="right" w:leader="dot" w:pos="9016"/>
            </w:tabs>
            <w:rPr>
              <w:rFonts w:eastAsiaTheme="minorEastAsia" w:cstheme="minorBidi"/>
              <w:b w:val="0"/>
              <w:bCs w:val="0"/>
              <w:noProof/>
              <w:sz w:val="24"/>
              <w:szCs w:val="24"/>
            </w:rPr>
          </w:pPr>
          <w:hyperlink w:anchor="_Toc214197525" w:history="1">
            <w:r w:rsidRPr="0055507F">
              <w:rPr>
                <w:rStyle w:val="Hyperlink"/>
                <w:noProof/>
              </w:rPr>
              <w:t>2.2 So what?</w:t>
            </w:r>
            <w:r>
              <w:rPr>
                <w:noProof/>
                <w:webHidden/>
              </w:rPr>
              <w:tab/>
            </w:r>
            <w:r>
              <w:rPr>
                <w:noProof/>
                <w:webHidden/>
              </w:rPr>
              <w:fldChar w:fldCharType="begin"/>
            </w:r>
            <w:r>
              <w:rPr>
                <w:noProof/>
                <w:webHidden/>
              </w:rPr>
              <w:instrText xml:space="preserve"> PAGEREF _Toc214197525 \h </w:instrText>
            </w:r>
            <w:r>
              <w:rPr>
                <w:noProof/>
                <w:webHidden/>
              </w:rPr>
            </w:r>
            <w:r>
              <w:rPr>
                <w:noProof/>
                <w:webHidden/>
              </w:rPr>
              <w:fldChar w:fldCharType="separate"/>
            </w:r>
            <w:r>
              <w:rPr>
                <w:noProof/>
                <w:webHidden/>
              </w:rPr>
              <w:t>4</w:t>
            </w:r>
            <w:r>
              <w:rPr>
                <w:noProof/>
                <w:webHidden/>
              </w:rPr>
              <w:fldChar w:fldCharType="end"/>
            </w:r>
          </w:hyperlink>
        </w:p>
        <w:p w14:paraId="601BCAA1" w14:textId="5CAB4926" w:rsidR="0072230A" w:rsidRDefault="0072230A">
          <w:pPr>
            <w:pStyle w:val="TOC2"/>
            <w:tabs>
              <w:tab w:val="right" w:leader="dot" w:pos="9016"/>
            </w:tabs>
            <w:rPr>
              <w:rFonts w:eastAsiaTheme="minorEastAsia" w:cstheme="minorBidi"/>
              <w:b w:val="0"/>
              <w:bCs w:val="0"/>
              <w:noProof/>
              <w:sz w:val="24"/>
              <w:szCs w:val="24"/>
            </w:rPr>
          </w:pPr>
          <w:hyperlink w:anchor="_Toc214197526" w:history="1">
            <w:r w:rsidRPr="0055507F">
              <w:rPr>
                <w:rStyle w:val="Hyperlink"/>
                <w:noProof/>
              </w:rPr>
              <w:t>2.3 Now what?</w:t>
            </w:r>
            <w:r>
              <w:rPr>
                <w:noProof/>
                <w:webHidden/>
              </w:rPr>
              <w:tab/>
            </w:r>
            <w:r>
              <w:rPr>
                <w:noProof/>
                <w:webHidden/>
              </w:rPr>
              <w:fldChar w:fldCharType="begin"/>
            </w:r>
            <w:r>
              <w:rPr>
                <w:noProof/>
                <w:webHidden/>
              </w:rPr>
              <w:instrText xml:space="preserve"> PAGEREF _Toc214197526 \h </w:instrText>
            </w:r>
            <w:r>
              <w:rPr>
                <w:noProof/>
                <w:webHidden/>
              </w:rPr>
            </w:r>
            <w:r>
              <w:rPr>
                <w:noProof/>
                <w:webHidden/>
              </w:rPr>
              <w:fldChar w:fldCharType="separate"/>
            </w:r>
            <w:r>
              <w:rPr>
                <w:noProof/>
                <w:webHidden/>
              </w:rPr>
              <w:t>5</w:t>
            </w:r>
            <w:r>
              <w:rPr>
                <w:noProof/>
                <w:webHidden/>
              </w:rPr>
              <w:fldChar w:fldCharType="end"/>
            </w:r>
          </w:hyperlink>
        </w:p>
        <w:p w14:paraId="25396326" w14:textId="26871BC9" w:rsidR="0072230A" w:rsidRDefault="0072230A">
          <w:pPr>
            <w:pStyle w:val="TOC1"/>
            <w:tabs>
              <w:tab w:val="right" w:leader="dot" w:pos="9016"/>
            </w:tabs>
            <w:rPr>
              <w:rFonts w:eastAsiaTheme="minorEastAsia" w:cstheme="minorBidi"/>
              <w:b w:val="0"/>
              <w:bCs w:val="0"/>
              <w:i w:val="0"/>
              <w:iCs w:val="0"/>
              <w:noProof/>
            </w:rPr>
          </w:pPr>
          <w:hyperlink w:anchor="_Toc214197527" w:history="1">
            <w:r w:rsidRPr="0055507F">
              <w:rPr>
                <w:rStyle w:val="Hyperlink"/>
                <w:noProof/>
              </w:rPr>
              <w:t>3. Part Three: Project Management Plan: Reconstruction of Highway 5, British Columbia</w:t>
            </w:r>
            <w:r>
              <w:rPr>
                <w:noProof/>
                <w:webHidden/>
              </w:rPr>
              <w:tab/>
            </w:r>
            <w:r>
              <w:rPr>
                <w:noProof/>
                <w:webHidden/>
              </w:rPr>
              <w:fldChar w:fldCharType="begin"/>
            </w:r>
            <w:r>
              <w:rPr>
                <w:noProof/>
                <w:webHidden/>
              </w:rPr>
              <w:instrText xml:space="preserve"> PAGEREF _Toc214197527 \h </w:instrText>
            </w:r>
            <w:r>
              <w:rPr>
                <w:noProof/>
                <w:webHidden/>
              </w:rPr>
            </w:r>
            <w:r>
              <w:rPr>
                <w:noProof/>
                <w:webHidden/>
              </w:rPr>
              <w:fldChar w:fldCharType="separate"/>
            </w:r>
            <w:r>
              <w:rPr>
                <w:noProof/>
                <w:webHidden/>
              </w:rPr>
              <w:t>6</w:t>
            </w:r>
            <w:r>
              <w:rPr>
                <w:noProof/>
                <w:webHidden/>
              </w:rPr>
              <w:fldChar w:fldCharType="end"/>
            </w:r>
          </w:hyperlink>
        </w:p>
        <w:p w14:paraId="259D686C" w14:textId="1FA566C1" w:rsidR="0072230A" w:rsidRDefault="0072230A">
          <w:pPr>
            <w:pStyle w:val="TOC2"/>
            <w:tabs>
              <w:tab w:val="right" w:leader="dot" w:pos="9016"/>
            </w:tabs>
            <w:rPr>
              <w:rFonts w:eastAsiaTheme="minorEastAsia" w:cstheme="minorBidi"/>
              <w:b w:val="0"/>
              <w:bCs w:val="0"/>
              <w:noProof/>
              <w:sz w:val="24"/>
              <w:szCs w:val="24"/>
            </w:rPr>
          </w:pPr>
          <w:hyperlink w:anchor="_Toc214197528" w:history="1">
            <w:r w:rsidRPr="0055507F">
              <w:rPr>
                <w:rStyle w:val="Hyperlink"/>
                <w:noProof/>
              </w:rPr>
              <w:t>3.1 Introduction</w:t>
            </w:r>
            <w:r>
              <w:rPr>
                <w:noProof/>
                <w:webHidden/>
              </w:rPr>
              <w:tab/>
            </w:r>
            <w:r>
              <w:rPr>
                <w:noProof/>
                <w:webHidden/>
              </w:rPr>
              <w:fldChar w:fldCharType="begin"/>
            </w:r>
            <w:r>
              <w:rPr>
                <w:noProof/>
                <w:webHidden/>
              </w:rPr>
              <w:instrText xml:space="preserve"> PAGEREF _Toc214197528 \h </w:instrText>
            </w:r>
            <w:r>
              <w:rPr>
                <w:noProof/>
                <w:webHidden/>
              </w:rPr>
            </w:r>
            <w:r>
              <w:rPr>
                <w:noProof/>
                <w:webHidden/>
              </w:rPr>
              <w:fldChar w:fldCharType="separate"/>
            </w:r>
            <w:r>
              <w:rPr>
                <w:noProof/>
                <w:webHidden/>
              </w:rPr>
              <w:t>6</w:t>
            </w:r>
            <w:r>
              <w:rPr>
                <w:noProof/>
                <w:webHidden/>
              </w:rPr>
              <w:fldChar w:fldCharType="end"/>
            </w:r>
          </w:hyperlink>
        </w:p>
        <w:p w14:paraId="22BBB2E1" w14:textId="6FDA35E6" w:rsidR="0072230A" w:rsidRDefault="0072230A">
          <w:pPr>
            <w:pStyle w:val="TOC2"/>
            <w:tabs>
              <w:tab w:val="right" w:leader="dot" w:pos="9016"/>
            </w:tabs>
            <w:rPr>
              <w:rFonts w:eastAsiaTheme="minorEastAsia" w:cstheme="minorBidi"/>
              <w:b w:val="0"/>
              <w:bCs w:val="0"/>
              <w:noProof/>
              <w:sz w:val="24"/>
              <w:szCs w:val="24"/>
            </w:rPr>
          </w:pPr>
          <w:hyperlink w:anchor="_Toc214197529" w:history="1">
            <w:r w:rsidRPr="0055507F">
              <w:rPr>
                <w:rStyle w:val="Hyperlink"/>
                <w:noProof/>
              </w:rPr>
              <w:t>3.2 Project Description</w:t>
            </w:r>
            <w:r>
              <w:rPr>
                <w:noProof/>
                <w:webHidden/>
              </w:rPr>
              <w:tab/>
            </w:r>
            <w:r>
              <w:rPr>
                <w:noProof/>
                <w:webHidden/>
              </w:rPr>
              <w:fldChar w:fldCharType="begin"/>
            </w:r>
            <w:r>
              <w:rPr>
                <w:noProof/>
                <w:webHidden/>
              </w:rPr>
              <w:instrText xml:space="preserve"> PAGEREF _Toc214197529 \h </w:instrText>
            </w:r>
            <w:r>
              <w:rPr>
                <w:noProof/>
                <w:webHidden/>
              </w:rPr>
            </w:r>
            <w:r>
              <w:rPr>
                <w:noProof/>
                <w:webHidden/>
              </w:rPr>
              <w:fldChar w:fldCharType="separate"/>
            </w:r>
            <w:r>
              <w:rPr>
                <w:noProof/>
                <w:webHidden/>
              </w:rPr>
              <w:t>6</w:t>
            </w:r>
            <w:r>
              <w:rPr>
                <w:noProof/>
                <w:webHidden/>
              </w:rPr>
              <w:fldChar w:fldCharType="end"/>
            </w:r>
          </w:hyperlink>
        </w:p>
        <w:p w14:paraId="15CA2BB2" w14:textId="6EFBA0D1" w:rsidR="0072230A" w:rsidRDefault="0072230A">
          <w:pPr>
            <w:pStyle w:val="TOC2"/>
            <w:tabs>
              <w:tab w:val="right" w:leader="dot" w:pos="9016"/>
            </w:tabs>
            <w:rPr>
              <w:rFonts w:eastAsiaTheme="minorEastAsia" w:cstheme="minorBidi"/>
              <w:b w:val="0"/>
              <w:bCs w:val="0"/>
              <w:noProof/>
              <w:sz w:val="24"/>
              <w:szCs w:val="24"/>
            </w:rPr>
          </w:pPr>
          <w:hyperlink w:anchor="_Toc214197530" w:history="1">
            <w:r w:rsidRPr="0055507F">
              <w:rPr>
                <w:rStyle w:val="Hyperlink"/>
                <w:noProof/>
              </w:rPr>
              <w:t>3.3 Scope</w:t>
            </w:r>
            <w:r>
              <w:rPr>
                <w:noProof/>
                <w:webHidden/>
              </w:rPr>
              <w:tab/>
            </w:r>
            <w:r>
              <w:rPr>
                <w:noProof/>
                <w:webHidden/>
              </w:rPr>
              <w:fldChar w:fldCharType="begin"/>
            </w:r>
            <w:r>
              <w:rPr>
                <w:noProof/>
                <w:webHidden/>
              </w:rPr>
              <w:instrText xml:space="preserve"> PAGEREF _Toc214197530 \h </w:instrText>
            </w:r>
            <w:r>
              <w:rPr>
                <w:noProof/>
                <w:webHidden/>
              </w:rPr>
            </w:r>
            <w:r>
              <w:rPr>
                <w:noProof/>
                <w:webHidden/>
              </w:rPr>
              <w:fldChar w:fldCharType="separate"/>
            </w:r>
            <w:r>
              <w:rPr>
                <w:noProof/>
                <w:webHidden/>
              </w:rPr>
              <w:t>7</w:t>
            </w:r>
            <w:r>
              <w:rPr>
                <w:noProof/>
                <w:webHidden/>
              </w:rPr>
              <w:fldChar w:fldCharType="end"/>
            </w:r>
          </w:hyperlink>
        </w:p>
        <w:p w14:paraId="07FB09DC" w14:textId="0CF32F04" w:rsidR="0072230A" w:rsidRDefault="0072230A">
          <w:pPr>
            <w:pStyle w:val="TOC2"/>
            <w:tabs>
              <w:tab w:val="right" w:leader="dot" w:pos="9016"/>
            </w:tabs>
            <w:rPr>
              <w:rFonts w:eastAsiaTheme="minorEastAsia" w:cstheme="minorBidi"/>
              <w:b w:val="0"/>
              <w:bCs w:val="0"/>
              <w:noProof/>
              <w:sz w:val="24"/>
              <w:szCs w:val="24"/>
            </w:rPr>
          </w:pPr>
          <w:hyperlink w:anchor="_Toc214197531" w:history="1">
            <w:r w:rsidRPr="0055507F">
              <w:rPr>
                <w:rStyle w:val="Hyperlink"/>
                <w:noProof/>
              </w:rPr>
              <w:t>3.4 Work Breakdown Structure</w:t>
            </w:r>
            <w:r>
              <w:rPr>
                <w:noProof/>
                <w:webHidden/>
              </w:rPr>
              <w:tab/>
            </w:r>
            <w:r>
              <w:rPr>
                <w:noProof/>
                <w:webHidden/>
              </w:rPr>
              <w:fldChar w:fldCharType="begin"/>
            </w:r>
            <w:r>
              <w:rPr>
                <w:noProof/>
                <w:webHidden/>
              </w:rPr>
              <w:instrText xml:space="preserve"> PAGEREF _Toc214197531 \h </w:instrText>
            </w:r>
            <w:r>
              <w:rPr>
                <w:noProof/>
                <w:webHidden/>
              </w:rPr>
            </w:r>
            <w:r>
              <w:rPr>
                <w:noProof/>
                <w:webHidden/>
              </w:rPr>
              <w:fldChar w:fldCharType="separate"/>
            </w:r>
            <w:r>
              <w:rPr>
                <w:noProof/>
                <w:webHidden/>
              </w:rPr>
              <w:t>7</w:t>
            </w:r>
            <w:r>
              <w:rPr>
                <w:noProof/>
                <w:webHidden/>
              </w:rPr>
              <w:fldChar w:fldCharType="end"/>
            </w:r>
          </w:hyperlink>
        </w:p>
        <w:p w14:paraId="44B5E742" w14:textId="6508A34E" w:rsidR="0072230A" w:rsidRDefault="0072230A">
          <w:pPr>
            <w:pStyle w:val="TOC3"/>
            <w:tabs>
              <w:tab w:val="right" w:leader="dot" w:pos="9016"/>
            </w:tabs>
            <w:rPr>
              <w:rFonts w:eastAsiaTheme="minorEastAsia" w:cstheme="minorBidi"/>
              <w:noProof/>
              <w:sz w:val="24"/>
              <w:szCs w:val="24"/>
            </w:rPr>
          </w:pPr>
          <w:hyperlink w:anchor="_Toc214197532" w:history="1">
            <w:r w:rsidRPr="0055507F">
              <w:rPr>
                <w:rStyle w:val="Hyperlink"/>
                <w:b/>
                <w:bCs/>
                <w:noProof/>
              </w:rPr>
              <w:t>Figure 1. Work Breakdown Structure</w:t>
            </w:r>
            <w:r>
              <w:rPr>
                <w:noProof/>
                <w:webHidden/>
              </w:rPr>
              <w:tab/>
            </w:r>
            <w:r>
              <w:rPr>
                <w:noProof/>
                <w:webHidden/>
              </w:rPr>
              <w:fldChar w:fldCharType="begin"/>
            </w:r>
            <w:r>
              <w:rPr>
                <w:noProof/>
                <w:webHidden/>
              </w:rPr>
              <w:instrText xml:space="preserve"> PAGEREF _Toc214197532 \h </w:instrText>
            </w:r>
            <w:r>
              <w:rPr>
                <w:noProof/>
                <w:webHidden/>
              </w:rPr>
            </w:r>
            <w:r>
              <w:rPr>
                <w:noProof/>
                <w:webHidden/>
              </w:rPr>
              <w:fldChar w:fldCharType="separate"/>
            </w:r>
            <w:r>
              <w:rPr>
                <w:noProof/>
                <w:webHidden/>
              </w:rPr>
              <w:t>8</w:t>
            </w:r>
            <w:r>
              <w:rPr>
                <w:noProof/>
                <w:webHidden/>
              </w:rPr>
              <w:fldChar w:fldCharType="end"/>
            </w:r>
          </w:hyperlink>
        </w:p>
        <w:p w14:paraId="11759A82" w14:textId="32EE56CF" w:rsidR="0072230A" w:rsidRDefault="0072230A">
          <w:pPr>
            <w:pStyle w:val="TOC2"/>
            <w:tabs>
              <w:tab w:val="right" w:leader="dot" w:pos="9016"/>
            </w:tabs>
            <w:rPr>
              <w:rFonts w:eastAsiaTheme="minorEastAsia" w:cstheme="minorBidi"/>
              <w:b w:val="0"/>
              <w:bCs w:val="0"/>
              <w:noProof/>
              <w:sz w:val="24"/>
              <w:szCs w:val="24"/>
            </w:rPr>
          </w:pPr>
          <w:hyperlink w:anchor="_Toc214197533" w:history="1">
            <w:r w:rsidRPr="0055507F">
              <w:rPr>
                <w:rStyle w:val="Hyperlink"/>
                <w:noProof/>
              </w:rPr>
              <w:t>3.5 Quad Chart</w:t>
            </w:r>
            <w:r>
              <w:rPr>
                <w:noProof/>
                <w:webHidden/>
              </w:rPr>
              <w:tab/>
            </w:r>
            <w:r>
              <w:rPr>
                <w:noProof/>
                <w:webHidden/>
              </w:rPr>
              <w:fldChar w:fldCharType="begin"/>
            </w:r>
            <w:r>
              <w:rPr>
                <w:noProof/>
                <w:webHidden/>
              </w:rPr>
              <w:instrText xml:space="preserve"> PAGEREF _Toc214197533 \h </w:instrText>
            </w:r>
            <w:r>
              <w:rPr>
                <w:noProof/>
                <w:webHidden/>
              </w:rPr>
            </w:r>
            <w:r>
              <w:rPr>
                <w:noProof/>
                <w:webHidden/>
              </w:rPr>
              <w:fldChar w:fldCharType="separate"/>
            </w:r>
            <w:r>
              <w:rPr>
                <w:noProof/>
                <w:webHidden/>
              </w:rPr>
              <w:t>8</w:t>
            </w:r>
            <w:r>
              <w:rPr>
                <w:noProof/>
                <w:webHidden/>
              </w:rPr>
              <w:fldChar w:fldCharType="end"/>
            </w:r>
          </w:hyperlink>
        </w:p>
        <w:p w14:paraId="67B5244C" w14:textId="76A0E55E" w:rsidR="0072230A" w:rsidRDefault="0072230A">
          <w:pPr>
            <w:pStyle w:val="TOC3"/>
            <w:tabs>
              <w:tab w:val="right" w:leader="dot" w:pos="9016"/>
            </w:tabs>
            <w:rPr>
              <w:rFonts w:eastAsiaTheme="minorEastAsia" w:cstheme="minorBidi"/>
              <w:noProof/>
              <w:sz w:val="24"/>
              <w:szCs w:val="24"/>
            </w:rPr>
          </w:pPr>
          <w:hyperlink w:anchor="_Toc214197534" w:history="1">
            <w:r w:rsidRPr="0055507F">
              <w:rPr>
                <w:rStyle w:val="Hyperlink"/>
                <w:b/>
                <w:bCs/>
                <w:noProof/>
              </w:rPr>
              <w:t>Figure 2. Quad Chart</w:t>
            </w:r>
            <w:r>
              <w:rPr>
                <w:noProof/>
                <w:webHidden/>
              </w:rPr>
              <w:tab/>
            </w:r>
            <w:r>
              <w:rPr>
                <w:noProof/>
                <w:webHidden/>
              </w:rPr>
              <w:fldChar w:fldCharType="begin"/>
            </w:r>
            <w:r>
              <w:rPr>
                <w:noProof/>
                <w:webHidden/>
              </w:rPr>
              <w:instrText xml:space="preserve"> PAGEREF _Toc214197534 \h </w:instrText>
            </w:r>
            <w:r>
              <w:rPr>
                <w:noProof/>
                <w:webHidden/>
              </w:rPr>
            </w:r>
            <w:r>
              <w:rPr>
                <w:noProof/>
                <w:webHidden/>
              </w:rPr>
              <w:fldChar w:fldCharType="separate"/>
            </w:r>
            <w:r>
              <w:rPr>
                <w:noProof/>
                <w:webHidden/>
              </w:rPr>
              <w:t>9</w:t>
            </w:r>
            <w:r>
              <w:rPr>
                <w:noProof/>
                <w:webHidden/>
              </w:rPr>
              <w:fldChar w:fldCharType="end"/>
            </w:r>
          </w:hyperlink>
        </w:p>
        <w:p w14:paraId="2B3E64DB" w14:textId="5A8EBF76" w:rsidR="0072230A" w:rsidRDefault="0072230A">
          <w:pPr>
            <w:pStyle w:val="TOC2"/>
            <w:tabs>
              <w:tab w:val="right" w:leader="dot" w:pos="9016"/>
            </w:tabs>
            <w:rPr>
              <w:rFonts w:eastAsiaTheme="minorEastAsia" w:cstheme="minorBidi"/>
              <w:b w:val="0"/>
              <w:bCs w:val="0"/>
              <w:noProof/>
              <w:sz w:val="24"/>
              <w:szCs w:val="24"/>
            </w:rPr>
          </w:pPr>
          <w:hyperlink w:anchor="_Toc214197535" w:history="1">
            <w:r w:rsidRPr="0055507F">
              <w:rPr>
                <w:rStyle w:val="Hyperlink"/>
                <w:noProof/>
              </w:rPr>
              <w:t>3.6 Gantt Chart</w:t>
            </w:r>
            <w:r>
              <w:rPr>
                <w:noProof/>
                <w:webHidden/>
              </w:rPr>
              <w:tab/>
            </w:r>
            <w:r>
              <w:rPr>
                <w:noProof/>
                <w:webHidden/>
              </w:rPr>
              <w:fldChar w:fldCharType="begin"/>
            </w:r>
            <w:r>
              <w:rPr>
                <w:noProof/>
                <w:webHidden/>
              </w:rPr>
              <w:instrText xml:space="preserve"> PAGEREF _Toc214197535 \h </w:instrText>
            </w:r>
            <w:r>
              <w:rPr>
                <w:noProof/>
                <w:webHidden/>
              </w:rPr>
            </w:r>
            <w:r>
              <w:rPr>
                <w:noProof/>
                <w:webHidden/>
              </w:rPr>
              <w:fldChar w:fldCharType="separate"/>
            </w:r>
            <w:r>
              <w:rPr>
                <w:noProof/>
                <w:webHidden/>
              </w:rPr>
              <w:t>10</w:t>
            </w:r>
            <w:r>
              <w:rPr>
                <w:noProof/>
                <w:webHidden/>
              </w:rPr>
              <w:fldChar w:fldCharType="end"/>
            </w:r>
          </w:hyperlink>
        </w:p>
        <w:p w14:paraId="13AFF8F5" w14:textId="74E35432" w:rsidR="0072230A" w:rsidRDefault="0072230A">
          <w:pPr>
            <w:pStyle w:val="TOC3"/>
            <w:tabs>
              <w:tab w:val="right" w:leader="dot" w:pos="9016"/>
            </w:tabs>
            <w:rPr>
              <w:rFonts w:eastAsiaTheme="minorEastAsia" w:cstheme="minorBidi"/>
              <w:noProof/>
              <w:sz w:val="24"/>
              <w:szCs w:val="24"/>
            </w:rPr>
          </w:pPr>
          <w:hyperlink w:anchor="_Toc214197536" w:history="1">
            <w:r w:rsidRPr="0055507F">
              <w:rPr>
                <w:rStyle w:val="Hyperlink"/>
                <w:b/>
                <w:bCs/>
                <w:noProof/>
              </w:rPr>
              <w:t>Figure 3. Gantt Chart</w:t>
            </w:r>
            <w:r>
              <w:rPr>
                <w:noProof/>
                <w:webHidden/>
              </w:rPr>
              <w:tab/>
            </w:r>
            <w:r>
              <w:rPr>
                <w:noProof/>
                <w:webHidden/>
              </w:rPr>
              <w:fldChar w:fldCharType="begin"/>
            </w:r>
            <w:r>
              <w:rPr>
                <w:noProof/>
                <w:webHidden/>
              </w:rPr>
              <w:instrText xml:space="preserve"> PAGEREF _Toc214197536 \h </w:instrText>
            </w:r>
            <w:r>
              <w:rPr>
                <w:noProof/>
                <w:webHidden/>
              </w:rPr>
            </w:r>
            <w:r>
              <w:rPr>
                <w:noProof/>
                <w:webHidden/>
              </w:rPr>
              <w:fldChar w:fldCharType="separate"/>
            </w:r>
            <w:r>
              <w:rPr>
                <w:noProof/>
                <w:webHidden/>
              </w:rPr>
              <w:t>10</w:t>
            </w:r>
            <w:r>
              <w:rPr>
                <w:noProof/>
                <w:webHidden/>
              </w:rPr>
              <w:fldChar w:fldCharType="end"/>
            </w:r>
          </w:hyperlink>
        </w:p>
        <w:p w14:paraId="60EE88D9" w14:textId="1DB88789" w:rsidR="0072230A" w:rsidRDefault="0072230A">
          <w:pPr>
            <w:pStyle w:val="TOC2"/>
            <w:tabs>
              <w:tab w:val="right" w:leader="dot" w:pos="9016"/>
            </w:tabs>
            <w:rPr>
              <w:rFonts w:eastAsiaTheme="minorEastAsia" w:cstheme="minorBidi"/>
              <w:b w:val="0"/>
              <w:bCs w:val="0"/>
              <w:noProof/>
              <w:sz w:val="24"/>
              <w:szCs w:val="24"/>
            </w:rPr>
          </w:pPr>
          <w:hyperlink w:anchor="_Toc214197537" w:history="1">
            <w:r w:rsidRPr="0055507F">
              <w:rPr>
                <w:rStyle w:val="Hyperlink"/>
                <w:noProof/>
              </w:rPr>
              <w:t>3.7 Stakeholders’ Involvement</w:t>
            </w:r>
            <w:r>
              <w:rPr>
                <w:noProof/>
                <w:webHidden/>
              </w:rPr>
              <w:tab/>
            </w:r>
            <w:r>
              <w:rPr>
                <w:noProof/>
                <w:webHidden/>
              </w:rPr>
              <w:fldChar w:fldCharType="begin"/>
            </w:r>
            <w:r>
              <w:rPr>
                <w:noProof/>
                <w:webHidden/>
              </w:rPr>
              <w:instrText xml:space="preserve"> PAGEREF _Toc214197537 \h </w:instrText>
            </w:r>
            <w:r>
              <w:rPr>
                <w:noProof/>
                <w:webHidden/>
              </w:rPr>
            </w:r>
            <w:r>
              <w:rPr>
                <w:noProof/>
                <w:webHidden/>
              </w:rPr>
              <w:fldChar w:fldCharType="separate"/>
            </w:r>
            <w:r>
              <w:rPr>
                <w:noProof/>
                <w:webHidden/>
              </w:rPr>
              <w:t>10</w:t>
            </w:r>
            <w:r>
              <w:rPr>
                <w:noProof/>
                <w:webHidden/>
              </w:rPr>
              <w:fldChar w:fldCharType="end"/>
            </w:r>
          </w:hyperlink>
        </w:p>
        <w:p w14:paraId="3A04CF5D" w14:textId="49E67032" w:rsidR="0072230A" w:rsidRDefault="0072230A">
          <w:pPr>
            <w:pStyle w:val="TOC2"/>
            <w:tabs>
              <w:tab w:val="right" w:leader="dot" w:pos="9016"/>
            </w:tabs>
            <w:rPr>
              <w:rFonts w:eastAsiaTheme="minorEastAsia" w:cstheme="minorBidi"/>
              <w:b w:val="0"/>
              <w:bCs w:val="0"/>
              <w:noProof/>
              <w:sz w:val="24"/>
              <w:szCs w:val="24"/>
            </w:rPr>
          </w:pPr>
          <w:hyperlink w:anchor="_Toc214197538" w:history="1">
            <w:r w:rsidRPr="0055507F">
              <w:rPr>
                <w:rStyle w:val="Hyperlink"/>
                <w:noProof/>
              </w:rPr>
              <w:t>3.8 Allocation of Resources</w:t>
            </w:r>
            <w:r>
              <w:rPr>
                <w:noProof/>
                <w:webHidden/>
              </w:rPr>
              <w:tab/>
            </w:r>
            <w:r>
              <w:rPr>
                <w:noProof/>
                <w:webHidden/>
              </w:rPr>
              <w:fldChar w:fldCharType="begin"/>
            </w:r>
            <w:r>
              <w:rPr>
                <w:noProof/>
                <w:webHidden/>
              </w:rPr>
              <w:instrText xml:space="preserve"> PAGEREF _Toc214197538 \h </w:instrText>
            </w:r>
            <w:r>
              <w:rPr>
                <w:noProof/>
                <w:webHidden/>
              </w:rPr>
            </w:r>
            <w:r>
              <w:rPr>
                <w:noProof/>
                <w:webHidden/>
              </w:rPr>
              <w:fldChar w:fldCharType="separate"/>
            </w:r>
            <w:r>
              <w:rPr>
                <w:noProof/>
                <w:webHidden/>
              </w:rPr>
              <w:t>12</w:t>
            </w:r>
            <w:r>
              <w:rPr>
                <w:noProof/>
                <w:webHidden/>
              </w:rPr>
              <w:fldChar w:fldCharType="end"/>
            </w:r>
          </w:hyperlink>
        </w:p>
        <w:p w14:paraId="6593F727" w14:textId="1F76D019" w:rsidR="0072230A" w:rsidRDefault="0072230A">
          <w:pPr>
            <w:pStyle w:val="TOC2"/>
            <w:tabs>
              <w:tab w:val="right" w:leader="dot" w:pos="9016"/>
            </w:tabs>
            <w:rPr>
              <w:rFonts w:eastAsiaTheme="minorEastAsia" w:cstheme="minorBidi"/>
              <w:b w:val="0"/>
              <w:bCs w:val="0"/>
              <w:noProof/>
              <w:sz w:val="24"/>
              <w:szCs w:val="24"/>
            </w:rPr>
          </w:pPr>
          <w:hyperlink w:anchor="_Toc214197539" w:history="1">
            <w:r w:rsidRPr="0055507F">
              <w:rPr>
                <w:rStyle w:val="Hyperlink"/>
                <w:noProof/>
              </w:rPr>
              <w:t>3.9 Risk Analysis</w:t>
            </w:r>
            <w:r>
              <w:rPr>
                <w:noProof/>
                <w:webHidden/>
              </w:rPr>
              <w:tab/>
            </w:r>
            <w:r>
              <w:rPr>
                <w:noProof/>
                <w:webHidden/>
              </w:rPr>
              <w:fldChar w:fldCharType="begin"/>
            </w:r>
            <w:r>
              <w:rPr>
                <w:noProof/>
                <w:webHidden/>
              </w:rPr>
              <w:instrText xml:space="preserve"> PAGEREF _Toc214197539 \h </w:instrText>
            </w:r>
            <w:r>
              <w:rPr>
                <w:noProof/>
                <w:webHidden/>
              </w:rPr>
            </w:r>
            <w:r>
              <w:rPr>
                <w:noProof/>
                <w:webHidden/>
              </w:rPr>
              <w:fldChar w:fldCharType="separate"/>
            </w:r>
            <w:r>
              <w:rPr>
                <w:noProof/>
                <w:webHidden/>
              </w:rPr>
              <w:t>14</w:t>
            </w:r>
            <w:r>
              <w:rPr>
                <w:noProof/>
                <w:webHidden/>
              </w:rPr>
              <w:fldChar w:fldCharType="end"/>
            </w:r>
          </w:hyperlink>
        </w:p>
        <w:p w14:paraId="787D813C" w14:textId="52610F97" w:rsidR="0072230A" w:rsidRDefault="0072230A">
          <w:pPr>
            <w:pStyle w:val="TOC3"/>
            <w:tabs>
              <w:tab w:val="right" w:leader="dot" w:pos="9016"/>
            </w:tabs>
            <w:rPr>
              <w:rFonts w:eastAsiaTheme="minorEastAsia" w:cstheme="minorBidi"/>
              <w:noProof/>
              <w:sz w:val="24"/>
              <w:szCs w:val="24"/>
            </w:rPr>
          </w:pPr>
          <w:hyperlink w:anchor="_Toc214197540" w:history="1">
            <w:r w:rsidRPr="0055507F">
              <w:rPr>
                <w:rStyle w:val="Hyperlink"/>
                <w:noProof/>
              </w:rPr>
              <w:t>1. Extreme Weather Conditions (High Risk)</w:t>
            </w:r>
            <w:r>
              <w:rPr>
                <w:noProof/>
                <w:webHidden/>
              </w:rPr>
              <w:tab/>
            </w:r>
            <w:r>
              <w:rPr>
                <w:noProof/>
                <w:webHidden/>
              </w:rPr>
              <w:fldChar w:fldCharType="begin"/>
            </w:r>
            <w:r>
              <w:rPr>
                <w:noProof/>
                <w:webHidden/>
              </w:rPr>
              <w:instrText xml:space="preserve"> PAGEREF _Toc214197540 \h </w:instrText>
            </w:r>
            <w:r>
              <w:rPr>
                <w:noProof/>
                <w:webHidden/>
              </w:rPr>
            </w:r>
            <w:r>
              <w:rPr>
                <w:noProof/>
                <w:webHidden/>
              </w:rPr>
              <w:fldChar w:fldCharType="separate"/>
            </w:r>
            <w:r>
              <w:rPr>
                <w:noProof/>
                <w:webHidden/>
              </w:rPr>
              <w:t>14</w:t>
            </w:r>
            <w:r>
              <w:rPr>
                <w:noProof/>
                <w:webHidden/>
              </w:rPr>
              <w:fldChar w:fldCharType="end"/>
            </w:r>
          </w:hyperlink>
        </w:p>
        <w:p w14:paraId="01D3D47C" w14:textId="457D3083" w:rsidR="0072230A" w:rsidRDefault="0072230A">
          <w:pPr>
            <w:pStyle w:val="TOC3"/>
            <w:tabs>
              <w:tab w:val="right" w:leader="dot" w:pos="9016"/>
            </w:tabs>
            <w:rPr>
              <w:rFonts w:eastAsiaTheme="minorEastAsia" w:cstheme="minorBidi"/>
              <w:noProof/>
              <w:sz w:val="24"/>
              <w:szCs w:val="24"/>
            </w:rPr>
          </w:pPr>
          <w:hyperlink w:anchor="_Toc214197541" w:history="1">
            <w:r w:rsidRPr="0055507F">
              <w:rPr>
                <w:rStyle w:val="Hyperlink"/>
                <w:noProof/>
              </w:rPr>
              <w:t>2. Material Shortages (Medium Risk)</w:t>
            </w:r>
            <w:r>
              <w:rPr>
                <w:noProof/>
                <w:webHidden/>
              </w:rPr>
              <w:tab/>
            </w:r>
            <w:r>
              <w:rPr>
                <w:noProof/>
                <w:webHidden/>
              </w:rPr>
              <w:fldChar w:fldCharType="begin"/>
            </w:r>
            <w:r>
              <w:rPr>
                <w:noProof/>
                <w:webHidden/>
              </w:rPr>
              <w:instrText xml:space="preserve"> PAGEREF _Toc214197541 \h </w:instrText>
            </w:r>
            <w:r>
              <w:rPr>
                <w:noProof/>
                <w:webHidden/>
              </w:rPr>
            </w:r>
            <w:r>
              <w:rPr>
                <w:noProof/>
                <w:webHidden/>
              </w:rPr>
              <w:fldChar w:fldCharType="separate"/>
            </w:r>
            <w:r>
              <w:rPr>
                <w:noProof/>
                <w:webHidden/>
              </w:rPr>
              <w:t>14</w:t>
            </w:r>
            <w:r>
              <w:rPr>
                <w:noProof/>
                <w:webHidden/>
              </w:rPr>
              <w:fldChar w:fldCharType="end"/>
            </w:r>
          </w:hyperlink>
        </w:p>
        <w:p w14:paraId="368B4BED" w14:textId="7D192F4B" w:rsidR="0072230A" w:rsidRDefault="0072230A">
          <w:pPr>
            <w:pStyle w:val="TOC3"/>
            <w:tabs>
              <w:tab w:val="right" w:leader="dot" w:pos="9016"/>
            </w:tabs>
            <w:rPr>
              <w:rFonts w:eastAsiaTheme="minorEastAsia" w:cstheme="minorBidi"/>
              <w:noProof/>
              <w:sz w:val="24"/>
              <w:szCs w:val="24"/>
            </w:rPr>
          </w:pPr>
          <w:hyperlink w:anchor="_Toc214197542" w:history="1">
            <w:r w:rsidRPr="0055507F">
              <w:rPr>
                <w:rStyle w:val="Hyperlink"/>
                <w:noProof/>
              </w:rPr>
              <w:t>3. Budget Overruns (High Risk)</w:t>
            </w:r>
            <w:r>
              <w:rPr>
                <w:noProof/>
                <w:webHidden/>
              </w:rPr>
              <w:tab/>
            </w:r>
            <w:r>
              <w:rPr>
                <w:noProof/>
                <w:webHidden/>
              </w:rPr>
              <w:fldChar w:fldCharType="begin"/>
            </w:r>
            <w:r>
              <w:rPr>
                <w:noProof/>
                <w:webHidden/>
              </w:rPr>
              <w:instrText xml:space="preserve"> PAGEREF _Toc214197542 \h </w:instrText>
            </w:r>
            <w:r>
              <w:rPr>
                <w:noProof/>
                <w:webHidden/>
              </w:rPr>
            </w:r>
            <w:r>
              <w:rPr>
                <w:noProof/>
                <w:webHidden/>
              </w:rPr>
              <w:fldChar w:fldCharType="separate"/>
            </w:r>
            <w:r>
              <w:rPr>
                <w:noProof/>
                <w:webHidden/>
              </w:rPr>
              <w:t>14</w:t>
            </w:r>
            <w:r>
              <w:rPr>
                <w:noProof/>
                <w:webHidden/>
              </w:rPr>
              <w:fldChar w:fldCharType="end"/>
            </w:r>
          </w:hyperlink>
        </w:p>
        <w:p w14:paraId="18EC8364" w14:textId="7C1E617B" w:rsidR="0072230A" w:rsidRDefault="0072230A">
          <w:pPr>
            <w:pStyle w:val="TOC3"/>
            <w:tabs>
              <w:tab w:val="right" w:leader="dot" w:pos="9016"/>
            </w:tabs>
            <w:rPr>
              <w:rFonts w:eastAsiaTheme="minorEastAsia" w:cstheme="minorBidi"/>
              <w:noProof/>
              <w:sz w:val="24"/>
              <w:szCs w:val="24"/>
            </w:rPr>
          </w:pPr>
          <w:hyperlink w:anchor="_Toc214197543" w:history="1">
            <w:r w:rsidRPr="0055507F">
              <w:rPr>
                <w:rStyle w:val="Hyperlink"/>
                <w:noProof/>
              </w:rPr>
              <w:t>4. Environmental Approval Delays (Medium Risk)</w:t>
            </w:r>
            <w:r>
              <w:rPr>
                <w:noProof/>
                <w:webHidden/>
              </w:rPr>
              <w:tab/>
            </w:r>
            <w:r>
              <w:rPr>
                <w:noProof/>
                <w:webHidden/>
              </w:rPr>
              <w:fldChar w:fldCharType="begin"/>
            </w:r>
            <w:r>
              <w:rPr>
                <w:noProof/>
                <w:webHidden/>
              </w:rPr>
              <w:instrText xml:space="preserve"> PAGEREF _Toc214197543 \h </w:instrText>
            </w:r>
            <w:r>
              <w:rPr>
                <w:noProof/>
                <w:webHidden/>
              </w:rPr>
            </w:r>
            <w:r>
              <w:rPr>
                <w:noProof/>
                <w:webHidden/>
              </w:rPr>
              <w:fldChar w:fldCharType="separate"/>
            </w:r>
            <w:r>
              <w:rPr>
                <w:noProof/>
                <w:webHidden/>
              </w:rPr>
              <w:t>15</w:t>
            </w:r>
            <w:r>
              <w:rPr>
                <w:noProof/>
                <w:webHidden/>
              </w:rPr>
              <w:fldChar w:fldCharType="end"/>
            </w:r>
          </w:hyperlink>
        </w:p>
        <w:p w14:paraId="447957F6" w14:textId="3B6695BF" w:rsidR="0072230A" w:rsidRDefault="0072230A">
          <w:pPr>
            <w:pStyle w:val="TOC3"/>
            <w:tabs>
              <w:tab w:val="right" w:leader="dot" w:pos="9016"/>
            </w:tabs>
            <w:rPr>
              <w:rFonts w:eastAsiaTheme="minorEastAsia" w:cstheme="minorBidi"/>
              <w:noProof/>
              <w:sz w:val="24"/>
              <w:szCs w:val="24"/>
            </w:rPr>
          </w:pPr>
          <w:hyperlink w:anchor="_Toc214197544" w:history="1">
            <w:r w:rsidRPr="0055507F">
              <w:rPr>
                <w:rStyle w:val="Hyperlink"/>
                <w:noProof/>
              </w:rPr>
              <w:t>Critical Evaluation of Risk Governance</w:t>
            </w:r>
            <w:r>
              <w:rPr>
                <w:noProof/>
                <w:webHidden/>
              </w:rPr>
              <w:tab/>
            </w:r>
            <w:r>
              <w:rPr>
                <w:noProof/>
                <w:webHidden/>
              </w:rPr>
              <w:fldChar w:fldCharType="begin"/>
            </w:r>
            <w:r>
              <w:rPr>
                <w:noProof/>
                <w:webHidden/>
              </w:rPr>
              <w:instrText xml:space="preserve"> PAGEREF _Toc214197544 \h </w:instrText>
            </w:r>
            <w:r>
              <w:rPr>
                <w:noProof/>
                <w:webHidden/>
              </w:rPr>
            </w:r>
            <w:r>
              <w:rPr>
                <w:noProof/>
                <w:webHidden/>
              </w:rPr>
              <w:fldChar w:fldCharType="separate"/>
            </w:r>
            <w:r>
              <w:rPr>
                <w:noProof/>
                <w:webHidden/>
              </w:rPr>
              <w:t>15</w:t>
            </w:r>
            <w:r>
              <w:rPr>
                <w:noProof/>
                <w:webHidden/>
              </w:rPr>
              <w:fldChar w:fldCharType="end"/>
            </w:r>
          </w:hyperlink>
        </w:p>
        <w:p w14:paraId="7E3060E4" w14:textId="32E4D659" w:rsidR="0072230A" w:rsidRDefault="0072230A">
          <w:pPr>
            <w:pStyle w:val="TOC2"/>
            <w:tabs>
              <w:tab w:val="right" w:leader="dot" w:pos="9016"/>
            </w:tabs>
            <w:rPr>
              <w:rFonts w:eastAsiaTheme="minorEastAsia" w:cstheme="minorBidi"/>
              <w:b w:val="0"/>
              <w:bCs w:val="0"/>
              <w:noProof/>
              <w:sz w:val="24"/>
              <w:szCs w:val="24"/>
            </w:rPr>
          </w:pPr>
          <w:hyperlink w:anchor="_Toc214197545" w:history="1">
            <w:r w:rsidRPr="0055507F">
              <w:rPr>
                <w:rStyle w:val="Hyperlink"/>
                <w:noProof/>
              </w:rPr>
              <w:t>3.10 Conclusion</w:t>
            </w:r>
            <w:r>
              <w:rPr>
                <w:noProof/>
                <w:webHidden/>
              </w:rPr>
              <w:tab/>
            </w:r>
            <w:r>
              <w:rPr>
                <w:noProof/>
                <w:webHidden/>
              </w:rPr>
              <w:fldChar w:fldCharType="begin"/>
            </w:r>
            <w:r>
              <w:rPr>
                <w:noProof/>
                <w:webHidden/>
              </w:rPr>
              <w:instrText xml:space="preserve"> PAGEREF _Toc214197545 \h </w:instrText>
            </w:r>
            <w:r>
              <w:rPr>
                <w:noProof/>
                <w:webHidden/>
              </w:rPr>
            </w:r>
            <w:r>
              <w:rPr>
                <w:noProof/>
                <w:webHidden/>
              </w:rPr>
              <w:fldChar w:fldCharType="separate"/>
            </w:r>
            <w:r>
              <w:rPr>
                <w:noProof/>
                <w:webHidden/>
              </w:rPr>
              <w:t>15</w:t>
            </w:r>
            <w:r>
              <w:rPr>
                <w:noProof/>
                <w:webHidden/>
              </w:rPr>
              <w:fldChar w:fldCharType="end"/>
            </w:r>
          </w:hyperlink>
        </w:p>
        <w:p w14:paraId="2101F395" w14:textId="133BDF99" w:rsidR="0072230A" w:rsidRDefault="0072230A">
          <w:pPr>
            <w:pStyle w:val="TOC1"/>
            <w:tabs>
              <w:tab w:val="right" w:leader="dot" w:pos="9016"/>
            </w:tabs>
            <w:rPr>
              <w:rFonts w:eastAsiaTheme="minorEastAsia" w:cstheme="minorBidi"/>
              <w:b w:val="0"/>
              <w:bCs w:val="0"/>
              <w:i w:val="0"/>
              <w:iCs w:val="0"/>
              <w:noProof/>
            </w:rPr>
          </w:pPr>
          <w:hyperlink w:anchor="_Toc214197546" w:history="1">
            <w:r w:rsidR="00293558">
              <w:rPr>
                <w:rStyle w:val="Hyperlink"/>
                <w:noProof/>
              </w:rPr>
              <w:t xml:space="preserve"> </w:t>
            </w:r>
            <w:r w:rsidRPr="0055507F">
              <w:rPr>
                <w:rStyle w:val="Hyperlink"/>
                <w:noProof/>
              </w:rPr>
              <w:t xml:space="preserve"> List of References</w:t>
            </w:r>
            <w:r>
              <w:rPr>
                <w:noProof/>
                <w:webHidden/>
              </w:rPr>
              <w:tab/>
            </w:r>
            <w:r>
              <w:rPr>
                <w:noProof/>
                <w:webHidden/>
              </w:rPr>
              <w:fldChar w:fldCharType="begin"/>
            </w:r>
            <w:r>
              <w:rPr>
                <w:noProof/>
                <w:webHidden/>
              </w:rPr>
              <w:instrText xml:space="preserve"> PAGEREF _Toc214197546 \h </w:instrText>
            </w:r>
            <w:r>
              <w:rPr>
                <w:noProof/>
                <w:webHidden/>
              </w:rPr>
            </w:r>
            <w:r>
              <w:rPr>
                <w:noProof/>
                <w:webHidden/>
              </w:rPr>
              <w:fldChar w:fldCharType="separate"/>
            </w:r>
            <w:r>
              <w:rPr>
                <w:noProof/>
                <w:webHidden/>
              </w:rPr>
              <w:t>16</w:t>
            </w:r>
            <w:r>
              <w:rPr>
                <w:noProof/>
                <w:webHidden/>
              </w:rPr>
              <w:fldChar w:fldCharType="end"/>
            </w:r>
          </w:hyperlink>
        </w:p>
        <w:p w14:paraId="79E80079" w14:textId="62EA4C35" w:rsidR="002D1F26" w:rsidRDefault="002D1F26">
          <w:r>
            <w:rPr>
              <w:b/>
              <w:bCs/>
              <w:noProof/>
            </w:rPr>
            <w:fldChar w:fldCharType="end"/>
          </w:r>
        </w:p>
      </w:sdtContent>
    </w:sdt>
    <w:p w14:paraId="36C17B57" w14:textId="77777777" w:rsidR="002D1F26" w:rsidRDefault="002D1F26" w:rsidP="002D1F26">
      <w:pPr>
        <w:spacing w:before="100" w:beforeAutospacing="1" w:after="100" w:afterAutospacing="1" w:line="360" w:lineRule="auto"/>
        <w:jc w:val="both"/>
        <w:outlineLvl w:val="0"/>
        <w:rPr>
          <w:b/>
          <w:bCs/>
          <w:kern w:val="36"/>
          <w:sz w:val="48"/>
          <w:szCs w:val="48"/>
        </w:rPr>
      </w:pPr>
    </w:p>
    <w:p w14:paraId="64ABB018" w14:textId="6C1D99E4" w:rsidR="002D1F26" w:rsidRDefault="002D1F26" w:rsidP="002D1F26">
      <w:pPr>
        <w:spacing w:before="100" w:beforeAutospacing="1" w:after="100" w:afterAutospacing="1" w:line="360" w:lineRule="auto"/>
        <w:jc w:val="both"/>
        <w:outlineLvl w:val="0"/>
        <w:rPr>
          <w:b/>
          <w:bCs/>
          <w:kern w:val="36"/>
          <w:sz w:val="48"/>
          <w:szCs w:val="48"/>
        </w:rPr>
      </w:pPr>
    </w:p>
    <w:p w14:paraId="48476D3A" w14:textId="77777777" w:rsidR="002D1F26" w:rsidRDefault="002D1F26" w:rsidP="002D1F26">
      <w:pPr>
        <w:spacing w:before="100" w:beforeAutospacing="1" w:after="100" w:afterAutospacing="1" w:line="360" w:lineRule="auto"/>
        <w:jc w:val="both"/>
        <w:outlineLvl w:val="0"/>
        <w:rPr>
          <w:b/>
          <w:bCs/>
          <w:kern w:val="36"/>
          <w:sz w:val="48"/>
          <w:szCs w:val="48"/>
        </w:rPr>
      </w:pPr>
    </w:p>
    <w:p w14:paraId="010EE839" w14:textId="22636A41" w:rsidR="002D1F26" w:rsidRDefault="0072230A" w:rsidP="002D1F26">
      <w:pPr>
        <w:pStyle w:val="Heading1"/>
        <w:spacing w:line="360" w:lineRule="auto"/>
        <w:jc w:val="both"/>
      </w:pPr>
      <w:bookmarkStart w:id="0" w:name="_Toc214197522"/>
      <w:r>
        <w:lastRenderedPageBreak/>
        <w:t xml:space="preserve">1. </w:t>
      </w:r>
      <w:r w:rsidR="002D1F26">
        <w:t>Part One: Individual Project Poster Presentation</w:t>
      </w:r>
      <w:bookmarkEnd w:id="0"/>
    </w:p>
    <w:p w14:paraId="4D479DA5" w14:textId="4F77A3AC" w:rsidR="002D1F26" w:rsidRDefault="002D1F26" w:rsidP="002D1F26">
      <w:pPr>
        <w:pStyle w:val="Heading1"/>
        <w:spacing w:line="360" w:lineRule="auto"/>
        <w:jc w:val="both"/>
      </w:pPr>
    </w:p>
    <w:p w14:paraId="3BCEEA6E" w14:textId="1E445E2A" w:rsidR="002D1F26" w:rsidRDefault="002D1F26" w:rsidP="002D1F26">
      <w:pPr>
        <w:rPr>
          <w:b/>
          <w:bCs/>
        </w:rPr>
      </w:pPr>
      <w:r>
        <w:rPr>
          <w:noProof/>
        </w:rPr>
        <w:drawing>
          <wp:inline distT="0" distB="0" distL="0" distR="0" wp14:anchorId="3FDD2BED" wp14:editId="7AFD9E36">
            <wp:extent cx="5731510" cy="4009390"/>
            <wp:effectExtent l="0" t="0" r="0" b="3810"/>
            <wp:docPr id="13" name="Picture 13" descr="A poster of a road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oster of a road projec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009390"/>
                    </a:xfrm>
                    <a:prstGeom prst="rect">
                      <a:avLst/>
                    </a:prstGeom>
                  </pic:spPr>
                </pic:pic>
              </a:graphicData>
            </a:graphic>
          </wp:inline>
        </w:drawing>
      </w:r>
    </w:p>
    <w:p w14:paraId="2EDBE71A" w14:textId="2E3ACADC" w:rsidR="002D1F26" w:rsidRDefault="002D1F26" w:rsidP="002D1F26">
      <w:pPr>
        <w:spacing w:before="100" w:beforeAutospacing="1" w:after="100" w:afterAutospacing="1" w:line="360" w:lineRule="auto"/>
        <w:jc w:val="both"/>
        <w:outlineLvl w:val="0"/>
        <w:rPr>
          <w:b/>
          <w:bCs/>
          <w:kern w:val="36"/>
          <w:sz w:val="48"/>
          <w:szCs w:val="48"/>
        </w:rPr>
      </w:pPr>
    </w:p>
    <w:p w14:paraId="20852347" w14:textId="2EA72DF7" w:rsidR="002D1F26" w:rsidRDefault="002D1F26" w:rsidP="002D1F26">
      <w:pPr>
        <w:spacing w:before="100" w:beforeAutospacing="1" w:after="100" w:afterAutospacing="1" w:line="360" w:lineRule="auto"/>
        <w:jc w:val="both"/>
        <w:outlineLvl w:val="0"/>
        <w:rPr>
          <w:b/>
          <w:bCs/>
          <w:kern w:val="36"/>
          <w:sz w:val="48"/>
          <w:szCs w:val="48"/>
        </w:rPr>
      </w:pPr>
    </w:p>
    <w:p w14:paraId="5E9B2808" w14:textId="7DCDFA4F" w:rsidR="002D1F26" w:rsidRDefault="002D1F26" w:rsidP="002D1F26">
      <w:pPr>
        <w:spacing w:before="100" w:beforeAutospacing="1" w:after="100" w:afterAutospacing="1" w:line="360" w:lineRule="auto"/>
        <w:jc w:val="both"/>
        <w:outlineLvl w:val="0"/>
        <w:rPr>
          <w:b/>
          <w:bCs/>
          <w:kern w:val="36"/>
          <w:sz w:val="48"/>
          <w:szCs w:val="48"/>
        </w:rPr>
      </w:pPr>
    </w:p>
    <w:p w14:paraId="62089EEF" w14:textId="3C1C96B2" w:rsidR="002D1F26" w:rsidRDefault="002D1F26" w:rsidP="002D1F26">
      <w:pPr>
        <w:spacing w:before="100" w:beforeAutospacing="1" w:after="100" w:afterAutospacing="1" w:line="360" w:lineRule="auto"/>
        <w:jc w:val="both"/>
        <w:outlineLvl w:val="0"/>
        <w:rPr>
          <w:b/>
          <w:bCs/>
          <w:kern w:val="36"/>
          <w:sz w:val="48"/>
          <w:szCs w:val="48"/>
        </w:rPr>
      </w:pPr>
    </w:p>
    <w:p w14:paraId="7A2B23C5" w14:textId="77777777" w:rsidR="002D1F26" w:rsidRDefault="002D1F26" w:rsidP="002D1F26">
      <w:pPr>
        <w:spacing w:before="100" w:beforeAutospacing="1" w:after="100" w:afterAutospacing="1" w:line="360" w:lineRule="auto"/>
        <w:jc w:val="both"/>
        <w:outlineLvl w:val="0"/>
        <w:rPr>
          <w:b/>
          <w:bCs/>
          <w:kern w:val="36"/>
          <w:sz w:val="48"/>
          <w:szCs w:val="48"/>
        </w:rPr>
      </w:pPr>
    </w:p>
    <w:p w14:paraId="040D06C5" w14:textId="62903259" w:rsidR="002D1F26" w:rsidRPr="002D1F26" w:rsidRDefault="0072230A" w:rsidP="002D1F26">
      <w:pPr>
        <w:pStyle w:val="Heading1"/>
        <w:spacing w:line="360" w:lineRule="auto"/>
        <w:jc w:val="both"/>
      </w:pPr>
      <w:bookmarkStart w:id="1" w:name="_Toc214197523"/>
      <w:r>
        <w:lastRenderedPageBreak/>
        <w:t xml:space="preserve">2. </w:t>
      </w:r>
      <w:r w:rsidR="002D1F26">
        <w:t xml:space="preserve">Part Two: </w:t>
      </w:r>
      <w:r w:rsidR="002D1F26" w:rsidRPr="002D1F26">
        <w:t>Reflective Writing: Driscoll’s Model of Reflection</w:t>
      </w:r>
      <w:bookmarkEnd w:id="1"/>
    </w:p>
    <w:p w14:paraId="318EFCE2" w14:textId="0503DB44" w:rsidR="0072230A" w:rsidRDefault="0072230A" w:rsidP="0072230A">
      <w:pPr>
        <w:pStyle w:val="Heading2"/>
      </w:pPr>
      <w:bookmarkStart w:id="2" w:name="_Toc214197524"/>
      <w:r>
        <w:t>2.1 What?</w:t>
      </w:r>
      <w:bookmarkEnd w:id="2"/>
    </w:p>
    <w:p w14:paraId="0B124A14" w14:textId="26F8CAF6" w:rsidR="002D1F26" w:rsidRPr="002D1F26" w:rsidRDefault="002D1F26" w:rsidP="002D1F26">
      <w:pPr>
        <w:spacing w:before="100" w:beforeAutospacing="1" w:after="100" w:afterAutospacing="1" w:line="360" w:lineRule="auto"/>
        <w:jc w:val="both"/>
      </w:pPr>
      <w:r w:rsidRPr="002D1F26">
        <w:t>Completing both the project poster and the project management report for the Highway 5 reconstruction project was a challenging but valuable experience. The task required me to integrate large amounts of information, including environmental impacts, infrastructure damage, project phases, risks, and stakeholder roles. At the beginning, I struggled to bring all of this information together in a logical and organised way. Although I had access to credible sources such as government reports and academic texts, I found it difficult to decide what was most important and how to link it directly to the scenario.</w:t>
      </w:r>
    </w:p>
    <w:p w14:paraId="57B087B4" w14:textId="77777777" w:rsidR="002D1F26" w:rsidRPr="002D1F26" w:rsidRDefault="002D1F26" w:rsidP="002D1F26">
      <w:pPr>
        <w:spacing w:before="100" w:beforeAutospacing="1" w:after="100" w:afterAutospacing="1" w:line="360" w:lineRule="auto"/>
        <w:jc w:val="both"/>
      </w:pPr>
      <w:r w:rsidRPr="002D1F26">
        <w:t>The poster also tested me in unexpected ways. Unlike the report, the poster needed to be concise and visually clear, which meant I had to summarise complex ideas into short, impactful sections. This process made me realise how difficult it can be to communicate technical content effectively without oversimplifying it.</w:t>
      </w:r>
    </w:p>
    <w:p w14:paraId="492FA314" w14:textId="2ED4509D" w:rsidR="002D1F26" w:rsidRPr="002D1F26" w:rsidRDefault="002D1F26" w:rsidP="002D1F26">
      <w:pPr>
        <w:spacing w:before="100" w:beforeAutospacing="1" w:after="100" w:afterAutospacing="1" w:line="360" w:lineRule="auto"/>
        <w:jc w:val="both"/>
      </w:pPr>
      <w:r w:rsidRPr="002D1F26">
        <w:t>During the formative presentation, my tutor gave feedback pointing out that my critical analysis was not strong enough and that I needed to connect project management theory more explicitly to the scenario. Although this feedback initially highlighted my weaknesses, it played a crucial role in shaping how I approached the final report. I returned to my research, reassessed my structure, and re-evaluated the relevance of the information I had selected.</w:t>
      </w:r>
    </w:p>
    <w:p w14:paraId="3273AD21" w14:textId="5B6EF0EB" w:rsidR="0072230A" w:rsidRDefault="0072230A" w:rsidP="0072230A">
      <w:pPr>
        <w:pStyle w:val="Heading2"/>
      </w:pPr>
      <w:bookmarkStart w:id="3" w:name="_Toc214197525"/>
      <w:r>
        <w:t>2.2 So what?</w:t>
      </w:r>
      <w:bookmarkEnd w:id="3"/>
    </w:p>
    <w:p w14:paraId="08C3CD9D" w14:textId="6584CB2F" w:rsidR="002D1F26" w:rsidRPr="002D1F26" w:rsidRDefault="002D1F26" w:rsidP="002D1F26">
      <w:pPr>
        <w:spacing w:before="100" w:beforeAutospacing="1" w:after="100" w:afterAutospacing="1" w:line="360" w:lineRule="auto"/>
        <w:jc w:val="both"/>
      </w:pPr>
      <w:r w:rsidRPr="002D1F26">
        <w:t>Reflecting on the process, I now recognise that the challenges I faced have significantly improved my academic abilities. The difficulty in organising information forced me to think more critically and to identify the most relevant concepts. Instead of simply describing project management techniques, I learned to justify why each one applied to the Highway 5 scenario. This strengthened my critical thinking and helped me produce work that was analytical rather than descriptive.</w:t>
      </w:r>
    </w:p>
    <w:p w14:paraId="5AB3B72E" w14:textId="77777777" w:rsidR="002D1F26" w:rsidRPr="002D1F26" w:rsidRDefault="002D1F26" w:rsidP="002D1F26">
      <w:pPr>
        <w:spacing w:before="100" w:beforeAutospacing="1" w:after="100" w:afterAutospacing="1" w:line="360" w:lineRule="auto"/>
        <w:jc w:val="both"/>
      </w:pPr>
      <w:r w:rsidRPr="002D1F26">
        <w:t xml:space="preserve">The tutor’s feedback was particularly valuable because it made me aware of gaps in my reasoning. It pushed me to refine my arguments and ensured that I linked theories such as scope management, stakeholder engagement, and risk analysis more clearly to the real-world context </w:t>
      </w:r>
      <w:r w:rsidRPr="002D1F26">
        <w:lastRenderedPageBreak/>
        <w:t>of the project. As a result, I developed a deeper understanding of how academic concepts translate into practice.</w:t>
      </w:r>
    </w:p>
    <w:p w14:paraId="3B8753ED" w14:textId="77777777" w:rsidR="002D1F26" w:rsidRPr="002D1F26" w:rsidRDefault="002D1F26" w:rsidP="002D1F26">
      <w:pPr>
        <w:spacing w:before="100" w:beforeAutospacing="1" w:after="100" w:afterAutospacing="1" w:line="360" w:lineRule="auto"/>
        <w:jc w:val="both"/>
      </w:pPr>
      <w:r w:rsidRPr="002D1F26">
        <w:t>Researching for the assignment further challenged my academic skills. I found it difficult to locate sources that were both credible and directly applicable to the scenario. This encouraged me to refine my search strategies, evaluate sources more critically, and ensure that every reference contributed meaningfully to the analysis.</w:t>
      </w:r>
    </w:p>
    <w:p w14:paraId="41446792" w14:textId="69F341D6" w:rsidR="0072230A" w:rsidRDefault="0072230A" w:rsidP="0072230A">
      <w:pPr>
        <w:pStyle w:val="Heading2"/>
      </w:pPr>
      <w:bookmarkStart w:id="4" w:name="_Toc214197526"/>
      <w:r>
        <w:t>2.3 Now what?</w:t>
      </w:r>
      <w:bookmarkEnd w:id="4"/>
    </w:p>
    <w:p w14:paraId="38ECCABB" w14:textId="74E08456" w:rsidR="002D1F26" w:rsidRPr="002D1F26" w:rsidRDefault="002D1F26" w:rsidP="002D1F26">
      <w:pPr>
        <w:spacing w:before="100" w:beforeAutospacing="1" w:after="100" w:afterAutospacing="1" w:line="360" w:lineRule="auto"/>
        <w:jc w:val="both"/>
      </w:pPr>
      <w:r w:rsidRPr="002D1F26">
        <w:t>Going forward, I will continue to apply the research and critical thinking skills I developed through this project. I plan to use more structured research methods, including focused keywords and database filters, to help me find relevant information more efficiently. I also intend to adopt a more reflective writing process</w:t>
      </w:r>
      <w:r w:rsidR="00293558">
        <w:t xml:space="preserve"> </w:t>
      </w:r>
      <w:r w:rsidRPr="002D1F26">
        <w:t>one that involves planning, drafting, reviewing, and linking theory to practice throughout.</w:t>
      </w:r>
    </w:p>
    <w:p w14:paraId="6F2A27B2" w14:textId="77777777" w:rsidR="002D1F26" w:rsidRPr="002D1F26" w:rsidRDefault="002D1F26" w:rsidP="002D1F26">
      <w:pPr>
        <w:spacing w:before="100" w:beforeAutospacing="1" w:after="100" w:afterAutospacing="1" w:line="360" w:lineRule="auto"/>
        <w:jc w:val="both"/>
      </w:pPr>
      <w:r w:rsidRPr="002D1F26">
        <w:t>This experience has also improved my confidence in visually communicating information, which will be beneficial for future assignments and professional presentations. Overall, completing the poster and project management report has strengthened my academic skills and prepared me for more complex analytical tasks in the future.</w:t>
      </w:r>
    </w:p>
    <w:p w14:paraId="12C67331" w14:textId="77777777" w:rsidR="002D1F26" w:rsidRDefault="002D1F26" w:rsidP="002D1F26">
      <w:pPr>
        <w:spacing w:before="100" w:beforeAutospacing="1" w:after="100" w:afterAutospacing="1" w:line="360" w:lineRule="auto"/>
        <w:jc w:val="both"/>
        <w:outlineLvl w:val="0"/>
        <w:rPr>
          <w:b/>
          <w:bCs/>
          <w:kern w:val="36"/>
          <w:sz w:val="48"/>
          <w:szCs w:val="48"/>
        </w:rPr>
      </w:pPr>
    </w:p>
    <w:p w14:paraId="77321948" w14:textId="641B3D8A" w:rsidR="002D1F26" w:rsidRDefault="002D1F26" w:rsidP="002D1F26">
      <w:pPr>
        <w:spacing w:before="100" w:beforeAutospacing="1" w:after="100" w:afterAutospacing="1" w:line="360" w:lineRule="auto"/>
        <w:jc w:val="both"/>
        <w:outlineLvl w:val="0"/>
        <w:rPr>
          <w:b/>
          <w:bCs/>
          <w:kern w:val="36"/>
          <w:sz w:val="48"/>
          <w:szCs w:val="48"/>
        </w:rPr>
      </w:pPr>
    </w:p>
    <w:p w14:paraId="0414C8E1" w14:textId="2C6B08E0" w:rsidR="002D1F26" w:rsidRDefault="002D1F26" w:rsidP="002D1F26">
      <w:pPr>
        <w:spacing w:before="100" w:beforeAutospacing="1" w:after="100" w:afterAutospacing="1" w:line="360" w:lineRule="auto"/>
        <w:jc w:val="both"/>
        <w:outlineLvl w:val="0"/>
        <w:rPr>
          <w:b/>
          <w:bCs/>
          <w:kern w:val="36"/>
          <w:sz w:val="48"/>
          <w:szCs w:val="48"/>
        </w:rPr>
      </w:pPr>
    </w:p>
    <w:p w14:paraId="21404880" w14:textId="3A2A2926" w:rsidR="002D1F26" w:rsidRDefault="002D1F26" w:rsidP="002D1F26">
      <w:pPr>
        <w:spacing w:before="100" w:beforeAutospacing="1" w:after="100" w:afterAutospacing="1" w:line="360" w:lineRule="auto"/>
        <w:jc w:val="both"/>
        <w:outlineLvl w:val="0"/>
        <w:rPr>
          <w:b/>
          <w:bCs/>
          <w:kern w:val="36"/>
          <w:sz w:val="48"/>
          <w:szCs w:val="48"/>
        </w:rPr>
      </w:pPr>
    </w:p>
    <w:p w14:paraId="30F94709" w14:textId="77777777" w:rsidR="002D1F26" w:rsidRDefault="002D1F26" w:rsidP="002D1F26">
      <w:pPr>
        <w:spacing w:before="100" w:beforeAutospacing="1" w:after="100" w:afterAutospacing="1" w:line="360" w:lineRule="auto"/>
        <w:jc w:val="both"/>
        <w:outlineLvl w:val="0"/>
        <w:rPr>
          <w:b/>
          <w:bCs/>
          <w:kern w:val="36"/>
          <w:sz w:val="48"/>
          <w:szCs w:val="48"/>
        </w:rPr>
      </w:pPr>
    </w:p>
    <w:p w14:paraId="2E91E596" w14:textId="1665BA79" w:rsidR="002D1F26" w:rsidRPr="002D1F26" w:rsidRDefault="0072230A" w:rsidP="002D1F26">
      <w:pPr>
        <w:pStyle w:val="Heading1"/>
        <w:spacing w:line="360" w:lineRule="auto"/>
        <w:jc w:val="both"/>
        <w:rPr>
          <w:sz w:val="36"/>
          <w:szCs w:val="52"/>
        </w:rPr>
      </w:pPr>
      <w:bookmarkStart w:id="5" w:name="_Toc214197527"/>
      <w:r>
        <w:rPr>
          <w:sz w:val="36"/>
          <w:szCs w:val="52"/>
        </w:rPr>
        <w:lastRenderedPageBreak/>
        <w:t xml:space="preserve">3. </w:t>
      </w:r>
      <w:r w:rsidR="002D1F26">
        <w:rPr>
          <w:sz w:val="36"/>
          <w:szCs w:val="52"/>
        </w:rPr>
        <w:t xml:space="preserve">Part Three: </w:t>
      </w:r>
      <w:r w:rsidR="002D1F26" w:rsidRPr="002D1F26">
        <w:rPr>
          <w:sz w:val="36"/>
          <w:szCs w:val="52"/>
        </w:rPr>
        <w:t>Project Management Plan: Reconstruction of Highway 5, British Columbia</w:t>
      </w:r>
      <w:bookmarkEnd w:id="5"/>
    </w:p>
    <w:p w14:paraId="2E2169C2" w14:textId="6B407DB5" w:rsidR="002D1F26" w:rsidRPr="002D1F26" w:rsidRDefault="0072230A" w:rsidP="002D1F26">
      <w:pPr>
        <w:pStyle w:val="Heading2"/>
        <w:spacing w:line="360" w:lineRule="auto"/>
        <w:jc w:val="both"/>
      </w:pPr>
      <w:bookmarkStart w:id="6" w:name="_Toc214197528"/>
      <w:r>
        <w:t xml:space="preserve">3.1 </w:t>
      </w:r>
      <w:r w:rsidR="002D1F26" w:rsidRPr="002D1F26">
        <w:t>Introduction</w:t>
      </w:r>
      <w:bookmarkEnd w:id="6"/>
    </w:p>
    <w:p w14:paraId="52E30F24" w14:textId="77777777" w:rsidR="002D1F26" w:rsidRPr="002D1F26" w:rsidRDefault="002D1F26" w:rsidP="002D1F26">
      <w:pPr>
        <w:spacing w:before="100" w:beforeAutospacing="1" w:after="100" w:afterAutospacing="1" w:line="360" w:lineRule="auto"/>
        <w:jc w:val="both"/>
      </w:pPr>
      <w:r w:rsidRPr="002D1F26">
        <w:t>A Project Management Plan (PMP) is a formal document that outlines how a project will be executed, monitored, and controlled (PMI, 2021). It typically includes components such as scope, resources, scheduling, risks, and stakeholder engagement. The purpose of a PMP is to provide clarity, strategic direction, and governance across the project lifecycle.</w:t>
      </w:r>
    </w:p>
    <w:p w14:paraId="6BC8C5D9" w14:textId="77777777" w:rsidR="002D1F26" w:rsidRPr="002D1F26" w:rsidRDefault="002D1F26" w:rsidP="002D1F26">
      <w:pPr>
        <w:spacing w:before="100" w:beforeAutospacing="1" w:after="100" w:afterAutospacing="1" w:line="360" w:lineRule="auto"/>
        <w:jc w:val="both"/>
      </w:pPr>
      <w:r w:rsidRPr="002D1F26">
        <w:t xml:space="preserve">This essay presents a comprehensive PMP for the reconstruction </w:t>
      </w:r>
      <w:r w:rsidRPr="0072230A">
        <w:t>of</w:t>
      </w:r>
      <w:r w:rsidRPr="0072230A">
        <w:rPr>
          <w:b/>
          <w:bCs/>
        </w:rPr>
        <w:t xml:space="preserve"> </w:t>
      </w:r>
      <w:r w:rsidRPr="0072230A">
        <w:t>Highway 5,</w:t>
      </w:r>
      <w:r w:rsidRPr="002D1F26">
        <w:t xml:space="preserve"> a critical transportation corridor in British Columbia severely damaged by the 2022 atmospheric river floods. The plan integrates project management theory with practical applications drawn from the scenario, demonstrating methodological rigor, clarity of approach, and critical evaluation of risks and constraints.</w:t>
      </w:r>
    </w:p>
    <w:p w14:paraId="0C41C44E" w14:textId="41A77CB6" w:rsidR="002D1F26" w:rsidRPr="002D1F26" w:rsidRDefault="0072230A" w:rsidP="002D1F26">
      <w:pPr>
        <w:pStyle w:val="Heading2"/>
        <w:spacing w:line="360" w:lineRule="auto"/>
        <w:jc w:val="both"/>
      </w:pPr>
      <w:bookmarkStart w:id="7" w:name="_Toc214197529"/>
      <w:r>
        <w:t xml:space="preserve">3.2 </w:t>
      </w:r>
      <w:r w:rsidR="002D1F26" w:rsidRPr="002D1F26">
        <w:t>Project Description</w:t>
      </w:r>
      <w:bookmarkEnd w:id="7"/>
    </w:p>
    <w:p w14:paraId="5214A320" w14:textId="77777777" w:rsidR="002D1F26" w:rsidRPr="002D1F26" w:rsidRDefault="002D1F26" w:rsidP="002D1F26">
      <w:pPr>
        <w:spacing w:before="100" w:beforeAutospacing="1" w:after="100" w:afterAutospacing="1" w:line="360" w:lineRule="auto"/>
        <w:jc w:val="both"/>
      </w:pPr>
      <w:r w:rsidRPr="002D1F26">
        <w:t>A project is a temporary and goal-oriented endeavour designed to deliver a unique output (Kerzner, 2017). In this case, the project aims to rebuild Highway 5 and restore the vital flow of goods, people, and emergency services.</w:t>
      </w:r>
    </w:p>
    <w:p w14:paraId="7CC2E4B4" w14:textId="77777777" w:rsidR="002D1F26" w:rsidRPr="002D1F26" w:rsidRDefault="002D1F26" w:rsidP="002D1F26">
      <w:pPr>
        <w:spacing w:before="100" w:beforeAutospacing="1" w:after="100" w:afterAutospacing="1" w:line="360" w:lineRule="auto"/>
        <w:jc w:val="both"/>
      </w:pPr>
      <w:r w:rsidRPr="002D1F26">
        <w:t>The destruction of bridges, slopes, and road surfaces resulted in a near-total loss of connectivity between the Lower Mainland and the rest of Canada (Smith &amp; Clark, 2023). The project seeks not merely to repair the corridor but to rebuild it with climate-resilient features aligned with federal guidelines on disaster-resistant infrastructure (Transport Canada, 2023).</w:t>
      </w:r>
    </w:p>
    <w:p w14:paraId="5BCCC4AD" w14:textId="77777777" w:rsidR="002D1F26" w:rsidRPr="002D1F26" w:rsidRDefault="002D1F26" w:rsidP="002D1F26">
      <w:pPr>
        <w:spacing w:before="100" w:beforeAutospacing="1" w:after="100" w:afterAutospacing="1" w:line="360" w:lineRule="auto"/>
        <w:jc w:val="both"/>
      </w:pPr>
      <w:r w:rsidRPr="002D1F26">
        <w:t>Critical objectives include:</w:t>
      </w:r>
    </w:p>
    <w:p w14:paraId="59A20147" w14:textId="77777777" w:rsidR="002D1F26" w:rsidRPr="002D1F26" w:rsidRDefault="002D1F26" w:rsidP="002D1F26">
      <w:pPr>
        <w:numPr>
          <w:ilvl w:val="0"/>
          <w:numId w:val="1"/>
        </w:numPr>
        <w:spacing w:before="100" w:beforeAutospacing="1" w:after="100" w:afterAutospacing="1" w:line="360" w:lineRule="auto"/>
        <w:jc w:val="both"/>
      </w:pPr>
      <w:r w:rsidRPr="002D1F26">
        <w:t>Ensuring safe and efficient reopening.</w:t>
      </w:r>
    </w:p>
    <w:p w14:paraId="3717F83B" w14:textId="77777777" w:rsidR="002D1F26" w:rsidRPr="002D1F26" w:rsidRDefault="002D1F26" w:rsidP="002D1F26">
      <w:pPr>
        <w:numPr>
          <w:ilvl w:val="0"/>
          <w:numId w:val="1"/>
        </w:numPr>
        <w:spacing w:before="100" w:beforeAutospacing="1" w:after="100" w:afterAutospacing="1" w:line="360" w:lineRule="auto"/>
        <w:jc w:val="both"/>
      </w:pPr>
      <w:r w:rsidRPr="002D1F26">
        <w:t>Embedding resilience against future extreme weather.</w:t>
      </w:r>
    </w:p>
    <w:p w14:paraId="2D9AB771" w14:textId="77777777" w:rsidR="002D1F26" w:rsidRPr="002D1F26" w:rsidRDefault="002D1F26" w:rsidP="002D1F26">
      <w:pPr>
        <w:numPr>
          <w:ilvl w:val="0"/>
          <w:numId w:val="1"/>
        </w:numPr>
        <w:spacing w:before="100" w:beforeAutospacing="1" w:after="100" w:afterAutospacing="1" w:line="360" w:lineRule="auto"/>
        <w:jc w:val="both"/>
      </w:pPr>
      <w:r w:rsidRPr="002D1F26">
        <w:t>Minimising supply chain and community disruption.</w:t>
      </w:r>
    </w:p>
    <w:p w14:paraId="6EB8D0DB" w14:textId="015BA9CE" w:rsidR="002D1F26" w:rsidRPr="002D1F26" w:rsidRDefault="002D1F26" w:rsidP="002D1F26">
      <w:pPr>
        <w:spacing w:before="100" w:beforeAutospacing="1" w:after="100" w:afterAutospacing="1" w:line="360" w:lineRule="auto"/>
        <w:jc w:val="both"/>
      </w:pPr>
      <w:r w:rsidRPr="002D1F26">
        <w:t xml:space="preserve">The project operates across </w:t>
      </w:r>
      <w:r w:rsidRPr="0072230A">
        <w:t>a 20-month timeline</w:t>
      </w:r>
      <w:r w:rsidRPr="002D1F26">
        <w:t>, progressing through phases of initiation, design, procurement, construction, and testing.</w:t>
      </w:r>
    </w:p>
    <w:p w14:paraId="433149B6" w14:textId="73F30DFB" w:rsidR="002D1F26" w:rsidRPr="002D1F26" w:rsidRDefault="0072230A" w:rsidP="002D1F26">
      <w:pPr>
        <w:pStyle w:val="Heading2"/>
        <w:spacing w:line="360" w:lineRule="auto"/>
        <w:jc w:val="both"/>
      </w:pPr>
      <w:bookmarkStart w:id="8" w:name="_Toc214197530"/>
      <w:r>
        <w:lastRenderedPageBreak/>
        <w:t xml:space="preserve">3.3 </w:t>
      </w:r>
      <w:r w:rsidR="002D1F26" w:rsidRPr="002D1F26">
        <w:t>Scope</w:t>
      </w:r>
      <w:bookmarkEnd w:id="8"/>
    </w:p>
    <w:p w14:paraId="54E5912D" w14:textId="5F27A9F8" w:rsidR="002D1F26" w:rsidRPr="002D1F26" w:rsidRDefault="002D1F26" w:rsidP="002D1F26">
      <w:pPr>
        <w:spacing w:before="100" w:beforeAutospacing="1" w:after="100" w:afterAutospacing="1" w:line="360" w:lineRule="auto"/>
        <w:jc w:val="both"/>
      </w:pPr>
      <w:r w:rsidRPr="002D1F26">
        <w:t xml:space="preserve">Scope defines the boundaries of a </w:t>
      </w:r>
      <w:r w:rsidR="00293558">
        <w:t xml:space="preserve">project </w:t>
      </w:r>
      <w:r w:rsidRPr="002D1F26">
        <w:t>what is included and what is excluded (PMBOK, 2021). A well-defined scope mitigates risks associated with ambiguity, overruns, and stakeholder dissatisfaction.</w:t>
      </w:r>
    </w:p>
    <w:p w14:paraId="05FF3ED2" w14:textId="77777777" w:rsidR="002D1F26" w:rsidRPr="002D1F26" w:rsidRDefault="002D1F26" w:rsidP="002D1F26">
      <w:pPr>
        <w:spacing w:before="100" w:beforeAutospacing="1" w:after="100" w:afterAutospacing="1" w:line="360" w:lineRule="auto"/>
        <w:jc w:val="both"/>
      </w:pPr>
      <w:r w:rsidRPr="002D1F26">
        <w:rPr>
          <w:b/>
          <w:bCs/>
        </w:rPr>
        <w:t>Project Scope Includes:</w:t>
      </w:r>
    </w:p>
    <w:p w14:paraId="2C19BF1B" w14:textId="77777777" w:rsidR="002D1F26" w:rsidRPr="002D1F26" w:rsidRDefault="002D1F26" w:rsidP="002D1F26">
      <w:pPr>
        <w:numPr>
          <w:ilvl w:val="0"/>
          <w:numId w:val="2"/>
        </w:numPr>
        <w:spacing w:before="100" w:beforeAutospacing="1" w:after="100" w:afterAutospacing="1" w:line="360" w:lineRule="auto"/>
        <w:jc w:val="both"/>
      </w:pPr>
      <w:r w:rsidRPr="002D1F26">
        <w:t>Reconstruction of bridges, road surfaces, and slope stabilisation systems.</w:t>
      </w:r>
    </w:p>
    <w:p w14:paraId="72C526DA" w14:textId="77777777" w:rsidR="002D1F26" w:rsidRPr="002D1F26" w:rsidRDefault="002D1F26" w:rsidP="002D1F26">
      <w:pPr>
        <w:numPr>
          <w:ilvl w:val="0"/>
          <w:numId w:val="2"/>
        </w:numPr>
        <w:spacing w:before="100" w:beforeAutospacing="1" w:after="100" w:afterAutospacing="1" w:line="360" w:lineRule="auto"/>
        <w:jc w:val="both"/>
      </w:pPr>
      <w:r w:rsidRPr="002D1F26">
        <w:t>Installation of enhanced drainage and flood-resistant engineering features.</w:t>
      </w:r>
    </w:p>
    <w:p w14:paraId="1070744E" w14:textId="77777777" w:rsidR="002D1F26" w:rsidRPr="002D1F26" w:rsidRDefault="002D1F26" w:rsidP="002D1F26">
      <w:pPr>
        <w:numPr>
          <w:ilvl w:val="0"/>
          <w:numId w:val="2"/>
        </w:numPr>
        <w:spacing w:before="100" w:beforeAutospacing="1" w:after="100" w:afterAutospacing="1" w:line="360" w:lineRule="auto"/>
        <w:jc w:val="both"/>
      </w:pPr>
      <w:r w:rsidRPr="002D1F26">
        <w:t>Use of climate-monitoring and smart-sensor technologies.</w:t>
      </w:r>
    </w:p>
    <w:p w14:paraId="452A9898" w14:textId="77777777" w:rsidR="002D1F26" w:rsidRPr="002D1F26" w:rsidRDefault="002D1F26" w:rsidP="002D1F26">
      <w:pPr>
        <w:numPr>
          <w:ilvl w:val="0"/>
          <w:numId w:val="2"/>
        </w:numPr>
        <w:spacing w:before="100" w:beforeAutospacing="1" w:after="100" w:afterAutospacing="1" w:line="360" w:lineRule="auto"/>
        <w:jc w:val="both"/>
      </w:pPr>
      <w:r w:rsidRPr="002D1F26">
        <w:t>Post-construction testing, regulatory approvals, and formal handover.</w:t>
      </w:r>
    </w:p>
    <w:p w14:paraId="0E2CEB45" w14:textId="77777777" w:rsidR="002D1F26" w:rsidRPr="002D1F26" w:rsidRDefault="002D1F26" w:rsidP="002D1F26">
      <w:pPr>
        <w:spacing w:before="100" w:beforeAutospacing="1" w:after="100" w:afterAutospacing="1" w:line="360" w:lineRule="auto"/>
        <w:jc w:val="both"/>
      </w:pPr>
      <w:r w:rsidRPr="002D1F26">
        <w:rPr>
          <w:b/>
          <w:bCs/>
        </w:rPr>
        <w:t>Scope Exclusions:</w:t>
      </w:r>
    </w:p>
    <w:p w14:paraId="6C4A66B1" w14:textId="77777777" w:rsidR="002D1F26" w:rsidRPr="002D1F26" w:rsidRDefault="002D1F26" w:rsidP="002D1F26">
      <w:pPr>
        <w:numPr>
          <w:ilvl w:val="0"/>
          <w:numId w:val="3"/>
        </w:numPr>
        <w:spacing w:before="100" w:beforeAutospacing="1" w:after="100" w:afterAutospacing="1" w:line="360" w:lineRule="auto"/>
        <w:jc w:val="both"/>
      </w:pPr>
      <w:r w:rsidRPr="002D1F26">
        <w:t>Upgrades to unrelated nearby infrastructure.</w:t>
      </w:r>
    </w:p>
    <w:p w14:paraId="7D529014" w14:textId="77777777" w:rsidR="002D1F26" w:rsidRPr="002D1F26" w:rsidRDefault="002D1F26" w:rsidP="002D1F26">
      <w:pPr>
        <w:numPr>
          <w:ilvl w:val="0"/>
          <w:numId w:val="3"/>
        </w:numPr>
        <w:spacing w:before="100" w:beforeAutospacing="1" w:after="100" w:afterAutospacing="1" w:line="360" w:lineRule="auto"/>
        <w:jc w:val="both"/>
      </w:pPr>
      <w:r w:rsidRPr="002D1F26">
        <w:t>Long-term maintenance beyond the initial post-handover period.</w:t>
      </w:r>
    </w:p>
    <w:p w14:paraId="1A52FBB0" w14:textId="32803F4B" w:rsidR="002D1F26" w:rsidRPr="002D1F26" w:rsidRDefault="002D1F26" w:rsidP="00293558">
      <w:pPr>
        <w:spacing w:before="100" w:beforeAutospacing="1" w:after="100" w:afterAutospacing="1" w:line="360" w:lineRule="auto"/>
        <w:jc w:val="both"/>
      </w:pPr>
      <w:r w:rsidRPr="002D1F26">
        <w:t>Critically, the scope emphasises resilience</w:t>
      </w:r>
      <w:r w:rsidR="00293558">
        <w:t xml:space="preserve"> </w:t>
      </w:r>
      <w:r w:rsidRPr="002D1F26">
        <w:t xml:space="preserve">a response to lessons from previous infrastructure failures where absence of </w:t>
      </w:r>
      <w:r w:rsidR="00293558" w:rsidRPr="002D1F26">
        <w:t>futureproofing</w:t>
      </w:r>
      <w:r w:rsidRPr="002D1F26">
        <w:t xml:space="preserve"> contributed to repeated damage (Flyvbjerg, 2021). This ensures alignment with provincial and federal mandates for adaptive infrastructure.</w:t>
      </w:r>
    </w:p>
    <w:p w14:paraId="7C8E4E06" w14:textId="6F3B6FDB" w:rsidR="002D1F26" w:rsidRPr="002D1F26" w:rsidRDefault="0072230A" w:rsidP="002D1F26">
      <w:pPr>
        <w:pStyle w:val="Heading2"/>
        <w:spacing w:line="360" w:lineRule="auto"/>
        <w:jc w:val="both"/>
      </w:pPr>
      <w:bookmarkStart w:id="9" w:name="_Toc214197531"/>
      <w:r>
        <w:t xml:space="preserve">3.4 </w:t>
      </w:r>
      <w:r w:rsidR="002D1F26" w:rsidRPr="002D1F26">
        <w:t>Work Breakdown Structure</w:t>
      </w:r>
      <w:bookmarkEnd w:id="9"/>
      <w:r w:rsidR="002D1F26" w:rsidRPr="002D1F26">
        <w:t xml:space="preserve"> </w:t>
      </w:r>
    </w:p>
    <w:p w14:paraId="7A543A22" w14:textId="3BB3B28A" w:rsidR="002D1F26" w:rsidRDefault="002D1F26" w:rsidP="002D1F26">
      <w:pPr>
        <w:spacing w:before="100" w:beforeAutospacing="1" w:after="100" w:afterAutospacing="1" w:line="360" w:lineRule="auto"/>
        <w:jc w:val="both"/>
      </w:pPr>
      <w:r w:rsidRPr="002D1F26">
        <w:t>A Work Breakdown Structure is a hierarchical decomposition of project deliverables into manageable components (Turner, 2014). It enhances clarity, accountability, and phased progress monitoring.</w:t>
      </w:r>
    </w:p>
    <w:p w14:paraId="77D529BA" w14:textId="29DEAB42" w:rsidR="002D1F26" w:rsidRPr="002D1F26" w:rsidRDefault="002D1F26" w:rsidP="002D1F26">
      <w:pPr>
        <w:spacing w:before="100" w:beforeAutospacing="1" w:after="100" w:afterAutospacing="1" w:line="360" w:lineRule="auto"/>
        <w:jc w:val="both"/>
      </w:pPr>
      <w:r w:rsidRPr="002D1F26">
        <w:rPr>
          <w:noProof/>
        </w:rPr>
        <w:lastRenderedPageBreak/>
        <w:drawing>
          <wp:inline distT="0" distB="0" distL="0" distR="0" wp14:anchorId="5E5CD180" wp14:editId="38BDA39C">
            <wp:extent cx="5731510" cy="4598670"/>
            <wp:effectExtent l="0" t="0" r="21590" b="0"/>
            <wp:docPr id="1" name="Diagram 1">
              <a:extLst xmlns:a="http://schemas.openxmlformats.org/drawingml/2006/main">
                <a:ext uri="{FF2B5EF4-FFF2-40B4-BE49-F238E27FC236}">
                  <a16:creationId xmlns:a16="http://schemas.microsoft.com/office/drawing/2014/main" id="{ECF89C41-F1C4-9716-F513-33D2271AC2D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C47113B" w14:textId="77777777" w:rsidR="002D1F26" w:rsidRPr="002D1F26" w:rsidRDefault="002D1F26" w:rsidP="002D1F26">
      <w:pPr>
        <w:spacing w:before="100" w:beforeAutospacing="1" w:after="100" w:afterAutospacing="1" w:line="360" w:lineRule="auto"/>
        <w:jc w:val="both"/>
        <w:outlineLvl w:val="2"/>
        <w:rPr>
          <w:b/>
          <w:bCs/>
          <w:sz w:val="27"/>
          <w:szCs w:val="27"/>
        </w:rPr>
      </w:pPr>
      <w:bookmarkStart w:id="10" w:name="_Toc214197532"/>
      <w:r w:rsidRPr="002D1F26">
        <w:rPr>
          <w:b/>
          <w:bCs/>
          <w:sz w:val="27"/>
          <w:szCs w:val="27"/>
        </w:rPr>
        <w:t>Figure 1. Work Breakdown Structure</w:t>
      </w:r>
      <w:bookmarkEnd w:id="10"/>
    </w:p>
    <w:p w14:paraId="1D6CC70C" w14:textId="5A04EB78" w:rsidR="002D1F26" w:rsidRPr="002D1F26" w:rsidRDefault="002D1F26" w:rsidP="002D1F26">
      <w:pPr>
        <w:spacing w:before="100" w:beforeAutospacing="1" w:after="100" w:afterAutospacing="1" w:line="360" w:lineRule="auto"/>
        <w:jc w:val="both"/>
      </w:pPr>
      <w:r w:rsidRPr="002D1F26">
        <w:rPr>
          <w:b/>
          <w:bCs/>
        </w:rPr>
        <w:t>Description:</w:t>
      </w:r>
      <w:r>
        <w:t xml:space="preserve"> </w:t>
      </w:r>
      <w:r w:rsidRPr="002D1F26">
        <w:t>The WBS breaks the project into four major phases</w:t>
      </w:r>
      <w:r w:rsidR="00293558">
        <w:t xml:space="preserve"> </w:t>
      </w:r>
      <w:r w:rsidRPr="002D1F26">
        <w:t>Initiation, Design &amp; Procurement, Construction, and Testing &amp; Handover. Each phase contains logical sub-tasks that form the basis for scheduling, costing, and resource allocation. This decomposition supports “vertical accountability” whereby work package owners are responsible for specific deliverables.</w:t>
      </w:r>
    </w:p>
    <w:p w14:paraId="711CDD31" w14:textId="54B4244F" w:rsidR="002D1F26" w:rsidRDefault="002D1F26" w:rsidP="002D1F26">
      <w:pPr>
        <w:spacing w:line="360" w:lineRule="auto"/>
        <w:jc w:val="both"/>
      </w:pPr>
    </w:p>
    <w:p w14:paraId="1DE1C9B6" w14:textId="26718070" w:rsidR="0072230A" w:rsidRDefault="0072230A" w:rsidP="002D1F26">
      <w:pPr>
        <w:spacing w:line="360" w:lineRule="auto"/>
        <w:jc w:val="both"/>
      </w:pPr>
    </w:p>
    <w:p w14:paraId="6B591590" w14:textId="209A0D08" w:rsidR="0072230A" w:rsidRDefault="0072230A" w:rsidP="002D1F26">
      <w:pPr>
        <w:spacing w:line="360" w:lineRule="auto"/>
        <w:jc w:val="both"/>
      </w:pPr>
    </w:p>
    <w:p w14:paraId="50F2AEF7" w14:textId="1B3612B1" w:rsidR="0072230A" w:rsidRDefault="0072230A" w:rsidP="002D1F26">
      <w:pPr>
        <w:spacing w:line="360" w:lineRule="auto"/>
        <w:jc w:val="both"/>
      </w:pPr>
    </w:p>
    <w:p w14:paraId="0477D876" w14:textId="3CC2FE73" w:rsidR="0072230A" w:rsidRDefault="0072230A" w:rsidP="002D1F26">
      <w:pPr>
        <w:spacing w:line="360" w:lineRule="auto"/>
        <w:jc w:val="both"/>
      </w:pPr>
    </w:p>
    <w:p w14:paraId="1FA86702" w14:textId="5C941481" w:rsidR="0072230A" w:rsidRDefault="0072230A" w:rsidP="002D1F26">
      <w:pPr>
        <w:spacing w:line="360" w:lineRule="auto"/>
        <w:jc w:val="both"/>
      </w:pPr>
    </w:p>
    <w:p w14:paraId="37E38CC7" w14:textId="77777777" w:rsidR="0072230A" w:rsidRPr="002D1F26" w:rsidRDefault="0072230A" w:rsidP="002D1F26">
      <w:pPr>
        <w:spacing w:line="360" w:lineRule="auto"/>
        <w:jc w:val="both"/>
      </w:pPr>
    </w:p>
    <w:p w14:paraId="7B5E85BA" w14:textId="3F9A1263" w:rsidR="002D1F26" w:rsidRDefault="0072230A" w:rsidP="002D1F26">
      <w:pPr>
        <w:pStyle w:val="Heading2"/>
        <w:spacing w:line="360" w:lineRule="auto"/>
        <w:jc w:val="both"/>
      </w:pPr>
      <w:bookmarkStart w:id="11" w:name="_Toc214197533"/>
      <w:r>
        <w:lastRenderedPageBreak/>
        <w:t xml:space="preserve">3.5 </w:t>
      </w:r>
      <w:r w:rsidR="002D1F26" w:rsidRPr="002D1F26">
        <w:t>Quad Chart</w:t>
      </w:r>
      <w:bookmarkEnd w:id="11"/>
    </w:p>
    <w:p w14:paraId="14C03E14" w14:textId="2307D946" w:rsidR="0072230A" w:rsidRDefault="0072230A" w:rsidP="002D1F26">
      <w:pPr>
        <w:pStyle w:val="Heading2"/>
        <w:spacing w:line="360" w:lineRule="auto"/>
        <w:jc w:val="both"/>
      </w:pPr>
    </w:p>
    <w:p w14:paraId="49A042A7" w14:textId="77777777" w:rsidR="0072230A" w:rsidRDefault="0072230A" w:rsidP="0072230A">
      <w:pPr>
        <w:shd w:val="clear" w:color="auto" w:fill="DEEAF6" w:themeFill="accent5" w:themeFillTint="33"/>
        <w:spacing w:before="100" w:beforeAutospacing="1" w:after="100" w:afterAutospacing="1" w:line="360" w:lineRule="auto"/>
        <w:jc w:val="both"/>
      </w:pPr>
      <w:r w:rsidRPr="002D1F26">
        <w:t>A quad chart is a concise visual tool summarising a project across four key domains: purpose, stakeholders, benefits, and risks. It is commonly used during early communication and alignment meetings (Hall, 2019).</w:t>
      </w:r>
    </w:p>
    <w:p w14:paraId="7F271915" w14:textId="591B8CC8" w:rsidR="0072230A" w:rsidRDefault="0072230A" w:rsidP="002D1F26">
      <w:pPr>
        <w:pStyle w:val="Heading2"/>
        <w:spacing w:line="360" w:lineRule="auto"/>
        <w:jc w:val="both"/>
      </w:pPr>
    </w:p>
    <w:p w14:paraId="10F4AB5A" w14:textId="5EF8F22E" w:rsidR="0072230A" w:rsidRPr="002D1F26" w:rsidRDefault="0072230A" w:rsidP="002D1F26">
      <w:pPr>
        <w:pStyle w:val="Heading2"/>
        <w:spacing w:line="360" w:lineRule="auto"/>
        <w:jc w:val="both"/>
      </w:pPr>
      <w:r>
        <w:rPr>
          <w:noProof/>
        </w:rPr>
        <w:drawing>
          <wp:inline distT="0" distB="0" distL="0" distR="0" wp14:anchorId="0F6FB391" wp14:editId="67056302">
            <wp:extent cx="5486400" cy="3200400"/>
            <wp:effectExtent l="0" t="0" r="1905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8A20367" w14:textId="77777777" w:rsidR="002D1F26" w:rsidRPr="002D1F26" w:rsidRDefault="002D1F26" w:rsidP="002D1F26">
      <w:pPr>
        <w:spacing w:before="100" w:beforeAutospacing="1" w:after="100" w:afterAutospacing="1" w:line="360" w:lineRule="auto"/>
        <w:jc w:val="both"/>
        <w:outlineLvl w:val="2"/>
        <w:rPr>
          <w:b/>
          <w:bCs/>
          <w:sz w:val="27"/>
          <w:szCs w:val="27"/>
        </w:rPr>
      </w:pPr>
      <w:bookmarkStart w:id="12" w:name="_Toc214197534"/>
      <w:r w:rsidRPr="002D1F26">
        <w:rPr>
          <w:b/>
          <w:bCs/>
          <w:sz w:val="27"/>
          <w:szCs w:val="27"/>
        </w:rPr>
        <w:t>Figure 2. Quad Chart</w:t>
      </w:r>
      <w:bookmarkEnd w:id="12"/>
    </w:p>
    <w:p w14:paraId="2A6968A7" w14:textId="77777777" w:rsidR="002D1F26" w:rsidRPr="002D1F26" w:rsidRDefault="002D1F26" w:rsidP="002D1F26">
      <w:pPr>
        <w:spacing w:before="100" w:beforeAutospacing="1" w:after="100" w:afterAutospacing="1" w:line="360" w:lineRule="auto"/>
        <w:jc w:val="both"/>
      </w:pPr>
      <w:r w:rsidRPr="002D1F26">
        <w:rPr>
          <w:b/>
          <w:bCs/>
        </w:rPr>
        <w:t>Description:</w:t>
      </w:r>
      <w:r w:rsidRPr="002D1F26">
        <w:br/>
        <w:t>The quad chart effectively compresses the project's core narrative: why it is necessary, who is involved, what benefits it brings, and what threats it faces. This ensures that senior decision-makers and funding bodies can rapidly grasp the project’s strategic importance.</w:t>
      </w:r>
    </w:p>
    <w:p w14:paraId="28E0872A" w14:textId="15541FAE" w:rsidR="002D1F26" w:rsidRDefault="002D1F26" w:rsidP="002D1F26">
      <w:pPr>
        <w:spacing w:line="360" w:lineRule="auto"/>
        <w:jc w:val="both"/>
      </w:pPr>
    </w:p>
    <w:p w14:paraId="5750240F" w14:textId="574D3369" w:rsidR="0072230A" w:rsidRDefault="0072230A" w:rsidP="002D1F26">
      <w:pPr>
        <w:spacing w:line="360" w:lineRule="auto"/>
        <w:jc w:val="both"/>
      </w:pPr>
    </w:p>
    <w:p w14:paraId="47BA2946" w14:textId="740C0DC6" w:rsidR="0072230A" w:rsidRDefault="0072230A" w:rsidP="002D1F26">
      <w:pPr>
        <w:spacing w:line="360" w:lineRule="auto"/>
        <w:jc w:val="both"/>
      </w:pPr>
    </w:p>
    <w:p w14:paraId="0D7954F3" w14:textId="77777777" w:rsidR="0072230A" w:rsidRPr="002D1F26" w:rsidRDefault="0072230A" w:rsidP="002D1F26">
      <w:pPr>
        <w:spacing w:line="360" w:lineRule="auto"/>
        <w:jc w:val="both"/>
      </w:pPr>
    </w:p>
    <w:p w14:paraId="48AE2E73" w14:textId="64B70E8C" w:rsidR="002D1F26" w:rsidRPr="002D1F26" w:rsidRDefault="0072230A" w:rsidP="002D1F26">
      <w:pPr>
        <w:pStyle w:val="Heading2"/>
        <w:spacing w:line="360" w:lineRule="auto"/>
        <w:jc w:val="both"/>
      </w:pPr>
      <w:bookmarkStart w:id="13" w:name="_Toc214197535"/>
      <w:r>
        <w:lastRenderedPageBreak/>
        <w:t xml:space="preserve">3.6 </w:t>
      </w:r>
      <w:r w:rsidR="002D1F26" w:rsidRPr="002D1F26">
        <w:t>Gantt Chart</w:t>
      </w:r>
      <w:bookmarkEnd w:id="13"/>
    </w:p>
    <w:p w14:paraId="5D38C399" w14:textId="348DF0B8" w:rsidR="002D1F26" w:rsidRDefault="002D1F26" w:rsidP="002D1F26">
      <w:pPr>
        <w:spacing w:before="100" w:beforeAutospacing="1" w:after="100" w:afterAutospacing="1" w:line="360" w:lineRule="auto"/>
        <w:jc w:val="both"/>
      </w:pPr>
      <w:r w:rsidRPr="002D1F26">
        <w:t>A Gantt Chart is a scheduling tool that illustrates task durations, dependencies, and the overall project timeline (Lock, 2020). It enables progress tracking and supports corrective action.</w:t>
      </w:r>
    </w:p>
    <w:p w14:paraId="4458951E" w14:textId="3C973A81" w:rsidR="002D1F26" w:rsidRPr="002D1F26" w:rsidRDefault="002D1F26" w:rsidP="002D1F26">
      <w:pPr>
        <w:spacing w:before="100" w:beforeAutospacing="1" w:after="100" w:afterAutospacing="1" w:line="360" w:lineRule="auto"/>
        <w:jc w:val="both"/>
      </w:pPr>
      <w:r>
        <w:rPr>
          <w:noProof/>
        </w:rPr>
        <w:drawing>
          <wp:inline distT="0" distB="0" distL="0" distR="0" wp14:anchorId="10AC4CB2" wp14:editId="3A99DCAD">
            <wp:extent cx="5731510" cy="4093845"/>
            <wp:effectExtent l="0" t="0" r="0" b="0"/>
            <wp:docPr id="15" name="Picture 15"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aph of a graph&#10;&#10;Description automatically generated with medium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093845"/>
                    </a:xfrm>
                    <a:prstGeom prst="rect">
                      <a:avLst/>
                    </a:prstGeom>
                  </pic:spPr>
                </pic:pic>
              </a:graphicData>
            </a:graphic>
          </wp:inline>
        </w:drawing>
      </w:r>
    </w:p>
    <w:p w14:paraId="65B4ABE8" w14:textId="77777777" w:rsidR="002D1F26" w:rsidRPr="002D1F26" w:rsidRDefault="002D1F26" w:rsidP="002D1F26">
      <w:pPr>
        <w:spacing w:before="100" w:beforeAutospacing="1" w:after="100" w:afterAutospacing="1" w:line="360" w:lineRule="auto"/>
        <w:jc w:val="both"/>
        <w:outlineLvl w:val="2"/>
        <w:rPr>
          <w:b/>
          <w:bCs/>
          <w:sz w:val="27"/>
          <w:szCs w:val="27"/>
        </w:rPr>
      </w:pPr>
      <w:bookmarkStart w:id="14" w:name="_Toc214197536"/>
      <w:r w:rsidRPr="002D1F26">
        <w:rPr>
          <w:b/>
          <w:bCs/>
          <w:sz w:val="27"/>
          <w:szCs w:val="27"/>
        </w:rPr>
        <w:t>Figure 3. Gantt Chart</w:t>
      </w:r>
      <w:bookmarkEnd w:id="14"/>
    </w:p>
    <w:p w14:paraId="5F33CFA0" w14:textId="77777777" w:rsidR="002D1F26" w:rsidRPr="002D1F26" w:rsidRDefault="002D1F26" w:rsidP="002D1F26">
      <w:pPr>
        <w:spacing w:before="100" w:beforeAutospacing="1" w:after="100" w:afterAutospacing="1" w:line="360" w:lineRule="auto"/>
        <w:jc w:val="both"/>
      </w:pPr>
      <w:r w:rsidRPr="002D1F26">
        <w:rPr>
          <w:b/>
          <w:bCs/>
        </w:rPr>
        <w:t>Description:</w:t>
      </w:r>
      <w:r w:rsidRPr="002D1F26">
        <w:br/>
        <w:t xml:space="preserve">The timeline visualisation reflects a </w:t>
      </w:r>
      <w:r w:rsidRPr="0072230A">
        <w:t>20-month schedule</w:t>
      </w:r>
      <w:r w:rsidRPr="002D1F26">
        <w:t>, with construction being the longest and most resource-intensive phase. The Gantt chart supports critical path analysis, ensuring delays are quickly identified and mitigated.</w:t>
      </w:r>
    </w:p>
    <w:p w14:paraId="63251835" w14:textId="3A4BF14D" w:rsidR="002D1F26" w:rsidRPr="002D1F26" w:rsidRDefault="0072230A" w:rsidP="002D1F26">
      <w:pPr>
        <w:pStyle w:val="Heading2"/>
        <w:spacing w:line="360" w:lineRule="auto"/>
        <w:jc w:val="both"/>
      </w:pPr>
      <w:bookmarkStart w:id="15" w:name="_Toc214197537"/>
      <w:r>
        <w:t xml:space="preserve">3.7 </w:t>
      </w:r>
      <w:r w:rsidR="002D1F26" w:rsidRPr="002D1F26">
        <w:t>Stakeholders’ Involvement</w:t>
      </w:r>
      <w:bookmarkEnd w:id="15"/>
    </w:p>
    <w:p w14:paraId="59AE1B99" w14:textId="77777777" w:rsidR="002D1F26" w:rsidRPr="002D1F26" w:rsidRDefault="002D1F26" w:rsidP="002D1F26">
      <w:pPr>
        <w:spacing w:before="100" w:beforeAutospacing="1" w:after="100" w:afterAutospacing="1" w:line="360" w:lineRule="auto"/>
        <w:jc w:val="both"/>
      </w:pPr>
      <w:r w:rsidRPr="002D1F26">
        <w:t xml:space="preserve">Stakeholders are individuals, groups, or organisations that have an interest, influence, or potential impact on a project’s outcomes (Freeman, 2010). In project management, effective stakeholder involvement is essential because it enhances legitimacy, supports stronger decision-making, reduces the likelihood of conflict, and ensures that the project reflects the </w:t>
      </w:r>
      <w:r w:rsidRPr="002D1F26">
        <w:lastRenderedPageBreak/>
        <w:t xml:space="preserve">needs and expectations of those affected. Infrastructure projects </w:t>
      </w:r>
      <w:proofErr w:type="gramStart"/>
      <w:r w:rsidRPr="002D1F26">
        <w:t>in particular rely</w:t>
      </w:r>
      <w:proofErr w:type="gramEnd"/>
      <w:r w:rsidRPr="002D1F26">
        <w:t xml:space="preserve"> on complex stakeholder relationships, and failing to engage with these groups can lead to resistance, reputational damage, delays, or even project shutdowns.</w:t>
      </w:r>
    </w:p>
    <w:p w14:paraId="076599B9" w14:textId="77777777" w:rsidR="002D1F26" w:rsidRPr="002D1F26" w:rsidRDefault="002D1F26" w:rsidP="002D1F26">
      <w:pPr>
        <w:spacing w:before="100" w:beforeAutospacing="1" w:after="100" w:afterAutospacing="1" w:line="360" w:lineRule="auto"/>
      </w:pPr>
      <w:r w:rsidRPr="002D1F26">
        <w:t>Key stakeholders for the Highway 5 reconstruction include:</w:t>
      </w:r>
      <w:r w:rsidRPr="002D1F26">
        <w:br/>
        <w:t>• Government of British Columbia</w:t>
      </w:r>
      <w:r w:rsidRPr="002D1F26">
        <w:br/>
        <w:t>• Transport Canada</w:t>
      </w:r>
      <w:r w:rsidRPr="002D1F26">
        <w:br/>
        <w:t>• Local municipalities</w:t>
      </w:r>
      <w:r w:rsidRPr="002D1F26">
        <w:br/>
        <w:t>• Indigenous communities</w:t>
      </w:r>
      <w:r w:rsidRPr="002D1F26">
        <w:br/>
        <w:t>• Contractors and consultants</w:t>
      </w:r>
      <w:r w:rsidRPr="002D1F26">
        <w:br/>
        <w:t>• Local businesses, farmers, and residents</w:t>
      </w:r>
    </w:p>
    <w:p w14:paraId="5FC6F937" w14:textId="77777777" w:rsidR="002D1F26" w:rsidRPr="002D1F26" w:rsidRDefault="002D1F26" w:rsidP="002D1F26">
      <w:pPr>
        <w:spacing w:before="100" w:beforeAutospacing="1" w:after="100" w:afterAutospacing="1" w:line="360" w:lineRule="auto"/>
        <w:jc w:val="both"/>
      </w:pPr>
      <w:r w:rsidRPr="002D1F26">
        <w:t xml:space="preserve">Stakeholders are important for several reasons. First, they provide critical </w:t>
      </w:r>
      <w:r w:rsidRPr="0072230A">
        <w:t>knowledge</w:t>
      </w:r>
      <w:r w:rsidRPr="002D1F26">
        <w:rPr>
          <w:b/>
          <w:bCs/>
        </w:rPr>
        <w:t xml:space="preserve"> </w:t>
      </w:r>
      <w:r w:rsidRPr="0072230A">
        <w:t>inputs</w:t>
      </w:r>
      <w:r w:rsidRPr="002D1F26">
        <w:t xml:space="preserve"> that the project team cannot access alone. For example, local municipalities offer insight into community needs and emergency access routes, while environmental consultants and Indigenous communities contribute essential knowledge about ecological protection, cultural land rights, and regulatory constraints. Without these voices, the project risks overlooking key legal and ethical considerations.</w:t>
      </w:r>
    </w:p>
    <w:p w14:paraId="6F5396DB" w14:textId="77777777" w:rsidR="002D1F26" w:rsidRPr="002D1F26" w:rsidRDefault="002D1F26" w:rsidP="002D1F26">
      <w:pPr>
        <w:spacing w:before="100" w:beforeAutospacing="1" w:after="100" w:afterAutospacing="1" w:line="360" w:lineRule="auto"/>
        <w:jc w:val="both"/>
      </w:pPr>
      <w:r w:rsidRPr="002D1F26">
        <w:t xml:space="preserve">Second, stakeholder involvement supports </w:t>
      </w:r>
      <w:r w:rsidRPr="0072230A">
        <w:t>political and social legitimacy</w:t>
      </w:r>
      <w:r w:rsidRPr="002D1F26">
        <w:t>. Large-scale public infrastructure must be publicly acceptable in order to secure funding, pass regulatory processes, and gain community support. Early engagement builds trust and demonstrates accountability, which is particularly important for projects funded by public money. This aligns with best practice recommendations for major capital projects, where transparency reduces public resistance and increases confidence in government decision-making (Transport Canada, 2023).</w:t>
      </w:r>
    </w:p>
    <w:p w14:paraId="74CF54A1" w14:textId="77777777" w:rsidR="002D1F26" w:rsidRPr="002D1F26" w:rsidRDefault="002D1F26" w:rsidP="002D1F26">
      <w:pPr>
        <w:spacing w:before="100" w:beforeAutospacing="1" w:after="100" w:afterAutospacing="1" w:line="360" w:lineRule="auto"/>
        <w:jc w:val="both"/>
      </w:pPr>
      <w:r w:rsidRPr="002D1F26">
        <w:t xml:space="preserve">Third, stakeholders are central to </w:t>
      </w:r>
      <w:r w:rsidRPr="0072230A">
        <w:t>risk</w:t>
      </w:r>
      <w:r w:rsidRPr="002D1F26">
        <w:rPr>
          <w:b/>
          <w:bCs/>
        </w:rPr>
        <w:t xml:space="preserve"> </w:t>
      </w:r>
      <w:r w:rsidRPr="0072230A">
        <w:t>management</w:t>
      </w:r>
      <w:r w:rsidRPr="002D1F26">
        <w:t>. Engaging diverse groups helps identify risks that might otherwise remain hidden, such as environmental threats, cultural land conflicts, or supply-chain issues raised by contractors. Flyvbjerg (2021) notes that poor stakeholder communication is a major contributor to infrastructure delays and cost overruns globally, emphasising the need for continuous, structured engagement strategies such as progress briefings, consultation meetings, and formal reporting mechanisms.</w:t>
      </w:r>
    </w:p>
    <w:p w14:paraId="50EE951B" w14:textId="77777777" w:rsidR="002D1F26" w:rsidRPr="002D1F26" w:rsidRDefault="002D1F26" w:rsidP="002D1F26">
      <w:pPr>
        <w:spacing w:before="100" w:beforeAutospacing="1" w:after="100" w:afterAutospacing="1" w:line="360" w:lineRule="auto"/>
        <w:jc w:val="both"/>
      </w:pPr>
      <w:r w:rsidRPr="002D1F26">
        <w:t xml:space="preserve">In this scenario, stakeholder expectations are particularly complex due to political pressures, environmental sensitivities, and community-level impacts. Indigenous communities require </w:t>
      </w:r>
      <w:r w:rsidRPr="002D1F26">
        <w:lastRenderedPageBreak/>
        <w:t>respectful consultation and recognition of land rights, following collaborative consent protocols rather than tokenistic engagement. Contractors and consultants support technical delivery but also depend on clear communication of risks, timelines, and contractual obligations. Meanwhile, local businesses and farmers rely on the corridor for economic survival, making their needs central to defining project urgency and success measures.</w:t>
      </w:r>
    </w:p>
    <w:p w14:paraId="6BDB06F2" w14:textId="5B9716E0" w:rsidR="002D1F26" w:rsidRPr="002D1F26" w:rsidRDefault="002D1F26" w:rsidP="002D1F26">
      <w:pPr>
        <w:spacing w:before="100" w:beforeAutospacing="1" w:after="100" w:afterAutospacing="1" w:line="360" w:lineRule="auto"/>
        <w:jc w:val="both"/>
      </w:pPr>
      <w:r w:rsidRPr="002D1F26">
        <w:t>Using Mendelow’s Matrix, the Government of British Columbia and Transport Canada fall under</w:t>
      </w:r>
      <w:r w:rsidR="0072230A">
        <w:t xml:space="preserve"> </w:t>
      </w:r>
      <w:r w:rsidRPr="0072230A">
        <w:t>manage</w:t>
      </w:r>
      <w:r w:rsidRPr="002D1F26">
        <w:rPr>
          <w:b/>
          <w:bCs/>
        </w:rPr>
        <w:t xml:space="preserve"> </w:t>
      </w:r>
      <w:r w:rsidRPr="0072230A">
        <w:t>closel</w:t>
      </w:r>
      <w:r w:rsidR="0072230A">
        <w:t xml:space="preserve">y </w:t>
      </w:r>
      <w:r w:rsidRPr="002D1F26">
        <w:t xml:space="preserve">due to their high power and high interest. Their involvement is critical for funding, regulatory decisions, and strategic oversight. Local residents and road users, while highly affected, have lower formal power, meaning they fit within the </w:t>
      </w:r>
      <w:r w:rsidRPr="0072230A">
        <w:t>keep</w:t>
      </w:r>
      <w:r w:rsidRPr="002D1F26">
        <w:rPr>
          <w:b/>
          <w:bCs/>
        </w:rPr>
        <w:t xml:space="preserve"> </w:t>
      </w:r>
      <w:r w:rsidRPr="0072230A">
        <w:t>informed</w:t>
      </w:r>
      <w:r w:rsidRPr="002D1F26">
        <w:t xml:space="preserve"> category. However, their lived experience and public feedback remain vital for shaping a safe and acceptable project outcome.</w:t>
      </w:r>
    </w:p>
    <w:p w14:paraId="7D5EA039" w14:textId="09CA37BC" w:rsidR="002D1F26" w:rsidRPr="002D1F26" w:rsidRDefault="002D1F26" w:rsidP="00293558">
      <w:pPr>
        <w:spacing w:before="100" w:beforeAutospacing="1" w:after="100" w:afterAutospacing="1" w:line="360" w:lineRule="auto"/>
        <w:jc w:val="both"/>
      </w:pPr>
      <w:r w:rsidRPr="002D1F26">
        <w:t>Overall, stakeholder involvement is not just an administrative requirement but a foundation for successful, sustainable, and socially responsible project delivery. Effective engagement ensures alignment between technical decisions, community needs, and regulatory expectations, ultimately strengthening the quality and resilience of the reconstructed Highway 5 corridor.</w:t>
      </w:r>
    </w:p>
    <w:p w14:paraId="3235AEF5" w14:textId="3D6C80A4" w:rsidR="002D1F26" w:rsidRPr="002D1F26" w:rsidRDefault="0072230A" w:rsidP="002D1F26">
      <w:pPr>
        <w:pStyle w:val="Heading2"/>
        <w:spacing w:line="360" w:lineRule="auto"/>
        <w:jc w:val="both"/>
      </w:pPr>
      <w:bookmarkStart w:id="16" w:name="_Toc214197538"/>
      <w:r>
        <w:t xml:space="preserve">3.8 </w:t>
      </w:r>
      <w:r w:rsidR="002D1F26" w:rsidRPr="002D1F26">
        <w:t>Allocation of Resources</w:t>
      </w:r>
      <w:bookmarkEnd w:id="16"/>
    </w:p>
    <w:p w14:paraId="1F8D8FC2" w14:textId="77777777" w:rsidR="002D1F26" w:rsidRDefault="002D1F26" w:rsidP="002D1F26">
      <w:pPr>
        <w:pStyle w:val="NormalWeb"/>
        <w:spacing w:line="360" w:lineRule="auto"/>
        <w:jc w:val="both"/>
      </w:pPr>
      <w:r>
        <w:t>Resources refer to the human, financial, material, and technological inputs required to deliver a project effectively (Kerzner, 2017). In large-scale infrastructure reconstruction such as the Highway 5 project, effective resource allocation is essential because it determines the project’s feasibility, efficiency, safety, and long-term resilience. Poorly allocated resources are a major cause of delays, cost overruns, and quality failures, particularly in post-disaster environments where supply chains and labour availability are already under strain.</w:t>
      </w:r>
    </w:p>
    <w:p w14:paraId="295F3744" w14:textId="0C38DE38" w:rsidR="002D1F26" w:rsidRDefault="002D1F26" w:rsidP="002D1F26">
      <w:pPr>
        <w:spacing w:line="360" w:lineRule="auto"/>
        <w:jc w:val="both"/>
      </w:pPr>
      <w:r>
        <w:rPr>
          <w:rStyle w:val="Strong"/>
          <w:b w:val="0"/>
          <w:bCs w:val="0"/>
        </w:rPr>
        <w:t xml:space="preserve">Human Resources: </w:t>
      </w:r>
      <w:r>
        <w:t>The project relies heavily on a multidisciplinary workforce, including civil engineers, structural specialists, surveyors, environmental consultants, construction teams, logistics coordinators, and project managers. These professionals bring diverse expertise that supports the project throughout its lifecycle</w:t>
      </w:r>
      <w:r w:rsidR="00293558">
        <w:t xml:space="preserve"> </w:t>
      </w:r>
      <w:r>
        <w:t xml:space="preserve">from environmental approvals and resilience modelling to on-site safety supervision and quality assurance. Human resources are particularly important in this scenario because the reconstruction requires adherence to strict environmental regulations and climate-resilience standards. The presence of skilled specialists ensures </w:t>
      </w:r>
      <w:r>
        <w:lastRenderedPageBreak/>
        <w:t>compliance with provincial and federal legislation and supports the technical complexity of rebuilding collapsed bridges, stabilising slopes, and integrating flood-protection systems.</w:t>
      </w:r>
    </w:p>
    <w:p w14:paraId="493634F2" w14:textId="77777777" w:rsidR="0072230A" w:rsidRDefault="0072230A" w:rsidP="002D1F26">
      <w:pPr>
        <w:spacing w:line="360" w:lineRule="auto"/>
        <w:jc w:val="both"/>
      </w:pPr>
    </w:p>
    <w:p w14:paraId="2DA45F51" w14:textId="054EFF7C" w:rsidR="002D1F26" w:rsidRDefault="002D1F26" w:rsidP="002D1F26">
      <w:pPr>
        <w:spacing w:line="360" w:lineRule="auto"/>
        <w:jc w:val="both"/>
      </w:pPr>
      <w:r>
        <w:rPr>
          <w:rStyle w:val="Strong"/>
          <w:b w:val="0"/>
          <w:bCs w:val="0"/>
        </w:rPr>
        <w:t xml:space="preserve">Material Resources: </w:t>
      </w:r>
      <w:r>
        <w:t>Key materials include steel beams, concrete, asphalt, drainage systems, earth-moving equipment, and heavy vehicles such as excavators and cranes. However, material allocation must account for the unique challenges of post-flood reconstruction. Disrupted transport routes and increased demand for construction materials across the province increase the risk of shortages and delivery delays. For this reason, diversified supply chains and early procurement strategies are essential. Procuring materials early not only prevents delays but also reduces exposure to market price fluctuations, which are common after major natural disasters.</w:t>
      </w:r>
    </w:p>
    <w:p w14:paraId="3883328B" w14:textId="446B3DC1" w:rsidR="002D1F26" w:rsidRDefault="002D1F26" w:rsidP="002D1F26">
      <w:pPr>
        <w:spacing w:line="360" w:lineRule="auto"/>
        <w:jc w:val="both"/>
      </w:pPr>
      <w:r>
        <w:rPr>
          <w:rStyle w:val="Strong"/>
          <w:b w:val="0"/>
          <w:bCs w:val="0"/>
        </w:rPr>
        <w:t xml:space="preserve">Financial Resources: </w:t>
      </w:r>
      <w:r>
        <w:t xml:space="preserve">The project’s estimated budget of </w:t>
      </w:r>
      <w:r w:rsidR="0072230A">
        <w:rPr>
          <w:rStyle w:val="Strong"/>
        </w:rPr>
        <w:t>£</w:t>
      </w:r>
      <w:r w:rsidRPr="0072230A">
        <w:rPr>
          <w:rStyle w:val="Strong"/>
          <w:b w:val="0"/>
          <w:bCs w:val="0"/>
        </w:rPr>
        <w:t>500</w:t>
      </w:r>
      <w:r>
        <w:rPr>
          <w:rStyle w:val="Strong"/>
        </w:rPr>
        <w:t xml:space="preserve"> </w:t>
      </w:r>
      <w:r w:rsidRPr="0072230A">
        <w:rPr>
          <w:rStyle w:val="Strong"/>
          <w:b w:val="0"/>
          <w:bCs w:val="0"/>
        </w:rPr>
        <w:t>million</w:t>
      </w:r>
      <w:r w:rsidR="00293558">
        <w:t xml:space="preserve"> </w:t>
      </w:r>
      <w:r>
        <w:t>sourced from government allocations and emergency recovery funds</w:t>
      </w:r>
      <w:r w:rsidR="00293558">
        <w:t xml:space="preserve"> </w:t>
      </w:r>
      <w:r>
        <w:t>is justified by the scale and strategic importance of Highway 5 as a national economic lifeline. Financial resources must be allocated to design, procurement, environmental assessments, construction labour, material acquisition, and post-construction monitoring. However, the financial plan must include contingency allowances, typically ranging from 10–20% of total project cost, to account for uncertainty. This is critical because infrastructure megaprojects frequently suffer cost overruns due to optimism bias and underestimation of risk (Flyvbjerg, 2021). Regular financial tracking, transparent reporting, and milestone-based funding releases reduce the likelihood of financial mismanagement.</w:t>
      </w:r>
    </w:p>
    <w:p w14:paraId="0A885BA2" w14:textId="77777777" w:rsidR="0072230A" w:rsidRDefault="0072230A" w:rsidP="002D1F26">
      <w:pPr>
        <w:spacing w:line="360" w:lineRule="auto"/>
        <w:jc w:val="both"/>
      </w:pPr>
    </w:p>
    <w:p w14:paraId="44883917" w14:textId="55415275" w:rsidR="002D1F26" w:rsidRDefault="002D1F26" w:rsidP="002D1F26">
      <w:pPr>
        <w:spacing w:line="360" w:lineRule="auto"/>
        <w:jc w:val="both"/>
      </w:pPr>
      <w:r>
        <w:rPr>
          <w:rStyle w:val="Strong"/>
          <w:b w:val="0"/>
          <w:bCs w:val="0"/>
        </w:rPr>
        <w:t xml:space="preserve">Technological Resources: </w:t>
      </w:r>
      <w:r>
        <w:t>Modern technologies are integral to delivering resilient infrastructure. The project employs drones for site surveys, Building Information Modelling (BIM) for integrated design, and flood-monitoring sensors to support long-term climate resilience (Brown, 2022). These technologies improve accuracy in structural planning, enhance communication between teams, and reduce long-term maintenance costs by enabling predictive monitoring. Their strategic allocation ensures the corridor is rebuilt not only efficiently but also to a standard that mitigates future environmental damage.</w:t>
      </w:r>
    </w:p>
    <w:p w14:paraId="4C2F422A" w14:textId="612CDE04" w:rsidR="002D1F26" w:rsidRPr="002D1F26" w:rsidRDefault="002D1F26" w:rsidP="002D1F26">
      <w:pPr>
        <w:pStyle w:val="NormalWeb"/>
        <w:spacing w:line="360" w:lineRule="auto"/>
        <w:jc w:val="both"/>
      </w:pPr>
      <w:r w:rsidRPr="002D1F26">
        <w:t xml:space="preserve">Critically, resource allocation must be flexible, forward-looking, and supported by </w:t>
      </w:r>
      <w:r>
        <w:t>continuous monitoring. Early procurement, skilled labour, advanced technology, and financial contingencies all play a vital role in protecting the project from delays and budget pressure. By integrating strong resource management practices, the Highway 5 reconstruction is better positioned to meet performance, safety, and resilience standards under challenging post-disaster conditions.</w:t>
      </w:r>
    </w:p>
    <w:p w14:paraId="4C0A2936" w14:textId="7B79C53B" w:rsidR="002D1F26" w:rsidRPr="002D1F26" w:rsidRDefault="0072230A" w:rsidP="002D1F26">
      <w:pPr>
        <w:pStyle w:val="Heading2"/>
        <w:spacing w:line="360" w:lineRule="auto"/>
        <w:jc w:val="both"/>
      </w:pPr>
      <w:bookmarkStart w:id="17" w:name="_Toc214197539"/>
      <w:r>
        <w:lastRenderedPageBreak/>
        <w:t xml:space="preserve">3.9 </w:t>
      </w:r>
      <w:r w:rsidR="002D1F26" w:rsidRPr="002D1F26">
        <w:t>Risk Analysis</w:t>
      </w:r>
      <w:bookmarkEnd w:id="17"/>
    </w:p>
    <w:p w14:paraId="6F00D851" w14:textId="68A96E82" w:rsidR="002D1F26" w:rsidRDefault="002D1F26" w:rsidP="002D1F26">
      <w:pPr>
        <w:pStyle w:val="NormalWeb"/>
        <w:spacing w:line="360" w:lineRule="auto"/>
        <w:jc w:val="both"/>
      </w:pPr>
      <w:r>
        <w:t>Risk analysis refers to the systematic process of identifying, assessing, and mitigating events that could hinder the achievement of project objectives (Hillson, 2017). In large infrastructure projects</w:t>
      </w:r>
      <w:r w:rsidR="00293558">
        <w:t xml:space="preserve"> </w:t>
      </w:r>
      <w:r>
        <w:t>particularly those undertaken in post-disaster contexts</w:t>
      </w:r>
      <w:r w:rsidR="00293558">
        <w:t xml:space="preserve"> </w:t>
      </w:r>
      <w:r>
        <w:t>risk management becomes essential for ensuring safety, cost control, schedule reliability, and compliance with regulatory frameworks. The Highway 5 reconstruction project faces a range of environmental, financial, and logistical risks that must be actively managed throughout the project lifecycle.</w:t>
      </w:r>
    </w:p>
    <w:p w14:paraId="0E779437" w14:textId="77777777" w:rsidR="002D1F26" w:rsidRDefault="002D1F26" w:rsidP="002D1F26">
      <w:pPr>
        <w:pStyle w:val="Heading3"/>
        <w:spacing w:line="360" w:lineRule="auto"/>
        <w:jc w:val="both"/>
      </w:pPr>
      <w:bookmarkStart w:id="18" w:name="_Toc214197540"/>
      <w:r>
        <w:rPr>
          <w:rStyle w:val="Strong"/>
          <w:b/>
          <w:bCs/>
        </w:rPr>
        <w:t>1. Extreme Weather Conditions (High Risk)</w:t>
      </w:r>
      <w:bookmarkEnd w:id="18"/>
    </w:p>
    <w:p w14:paraId="1C7DADF7" w14:textId="77777777" w:rsidR="002D1F26" w:rsidRDefault="002D1F26" w:rsidP="002D1F26">
      <w:pPr>
        <w:pStyle w:val="NormalWeb"/>
        <w:spacing w:line="360" w:lineRule="auto"/>
        <w:jc w:val="both"/>
      </w:pPr>
      <w:r>
        <w:t>British Columbia’s climate is increasingly unpredictable, with atmospheric rivers, heavy rainfall, and flooding occurring more frequently due to climate change. These weather events pose a direct risk to construction continuity, site safety, and structural integrity. Extreme weather can halt operations, damage partially completed works, and reduce productivity. Seasonal scheduling, real-time weather monitoring, and emergency response plans are essential strategies to reduce exposure to this risk. Critically, resilient project planning ensures the project is not derailed by conditions similar to those that caused the original collapse of the corridor.</w:t>
      </w:r>
    </w:p>
    <w:p w14:paraId="1C87A81C" w14:textId="77777777" w:rsidR="002D1F26" w:rsidRDefault="002D1F26" w:rsidP="002D1F26">
      <w:pPr>
        <w:pStyle w:val="Heading3"/>
        <w:spacing w:line="360" w:lineRule="auto"/>
        <w:jc w:val="both"/>
      </w:pPr>
      <w:bookmarkStart w:id="19" w:name="_Toc214197541"/>
      <w:r>
        <w:rPr>
          <w:rStyle w:val="Strong"/>
          <w:b/>
          <w:bCs/>
        </w:rPr>
        <w:t>2. Material Shortages (Medium Risk)</w:t>
      </w:r>
      <w:bookmarkEnd w:id="19"/>
    </w:p>
    <w:p w14:paraId="1B4909AC" w14:textId="0977835D" w:rsidR="002D1F26" w:rsidRDefault="002D1F26" w:rsidP="002D1F26">
      <w:pPr>
        <w:pStyle w:val="NormalWeb"/>
        <w:spacing w:line="360" w:lineRule="auto"/>
        <w:jc w:val="both"/>
      </w:pPr>
      <w:r>
        <w:t>Post-disaster reconstruction places pressure on regional supply chains, increasing the risk of material shortages and delays. Essential materials such as steel, asphalt, and heavy machinery may become scarce or subject to price volatility, especially when multiple infrastructure projects are underway simultaneously across the province. To mitigate this, the project adopts diversified supplier networks, early bulk procurement, and strategic inventory management. These measures reduce reliance on single suppliers and minimise downtime caused by delayed deliveries.</w:t>
      </w:r>
    </w:p>
    <w:p w14:paraId="48F73CF5" w14:textId="0879FE36" w:rsidR="0072230A" w:rsidRDefault="0072230A" w:rsidP="002D1F26">
      <w:pPr>
        <w:pStyle w:val="NormalWeb"/>
        <w:spacing w:line="360" w:lineRule="auto"/>
        <w:jc w:val="both"/>
      </w:pPr>
    </w:p>
    <w:p w14:paraId="4B1A1DAE" w14:textId="47015A6D" w:rsidR="00293558" w:rsidRDefault="00293558">
      <w:r>
        <w:br w:type="page"/>
      </w:r>
    </w:p>
    <w:p w14:paraId="5C04DA9B" w14:textId="77777777" w:rsidR="002D1F26" w:rsidRDefault="002D1F26" w:rsidP="002D1F26">
      <w:pPr>
        <w:pStyle w:val="Heading3"/>
        <w:spacing w:line="360" w:lineRule="auto"/>
        <w:jc w:val="both"/>
      </w:pPr>
      <w:bookmarkStart w:id="20" w:name="_Toc214197542"/>
      <w:r>
        <w:rPr>
          <w:rStyle w:val="Strong"/>
          <w:b/>
          <w:bCs/>
        </w:rPr>
        <w:lastRenderedPageBreak/>
        <w:t>3. Budget Overruns (High Risk)</w:t>
      </w:r>
      <w:bookmarkEnd w:id="20"/>
    </w:p>
    <w:p w14:paraId="41436551" w14:textId="5D208390" w:rsidR="002D1F26" w:rsidRDefault="002D1F26" w:rsidP="002D1F26">
      <w:pPr>
        <w:pStyle w:val="NormalWeb"/>
        <w:spacing w:line="360" w:lineRule="auto"/>
        <w:jc w:val="both"/>
      </w:pPr>
      <w:r>
        <w:t>Large-scale infrastructure projects are particularly vulnerable to budget overruns, often due to optimism bias, underestimation of complexity, or unforeseen site conditions (Flyvbjerg, 2021). The Highway 5 rebuild, involving collapsed bridges, slope stabilisation, and climate-resilient redesign, carries a high probability of unexpected costs. Effective mitigation requires independent auditing, staged budget approvals, and transparent financial governance. Contingency funds</w:t>
      </w:r>
      <w:r w:rsidR="00293558">
        <w:t xml:space="preserve"> </w:t>
      </w:r>
      <w:r>
        <w:t>typically 10–20% of total project cost</w:t>
      </w:r>
      <w:r w:rsidR="00293558">
        <w:t xml:space="preserve"> </w:t>
      </w:r>
      <w:r>
        <w:t>are essential for absorbing unforeseen expenses without compromising the project's timeline or quality.</w:t>
      </w:r>
    </w:p>
    <w:p w14:paraId="5192BBAD" w14:textId="77777777" w:rsidR="002D1F26" w:rsidRDefault="002D1F26" w:rsidP="002D1F26">
      <w:pPr>
        <w:pStyle w:val="Heading3"/>
        <w:spacing w:line="360" w:lineRule="auto"/>
        <w:jc w:val="both"/>
      </w:pPr>
      <w:bookmarkStart w:id="21" w:name="_Toc214197543"/>
      <w:r>
        <w:rPr>
          <w:rStyle w:val="Strong"/>
          <w:b/>
          <w:bCs/>
        </w:rPr>
        <w:t>4. Environmental Approval Delays (Medium Risk)</w:t>
      </w:r>
      <w:bookmarkEnd w:id="21"/>
    </w:p>
    <w:p w14:paraId="0536C13B" w14:textId="77777777" w:rsidR="002D1F26" w:rsidRDefault="002D1F26" w:rsidP="002D1F26">
      <w:pPr>
        <w:pStyle w:val="NormalWeb"/>
        <w:spacing w:line="360" w:lineRule="auto"/>
        <w:jc w:val="both"/>
      </w:pPr>
      <w:r>
        <w:t>The reconstruction occurs in areas with sensitive ecological and cultural significance. Environmental reviews, conservation requirements, and Indigenous land protocols may extend approval timelines. Such delays can disrupt procurement, slow construction mobilisation, and increase labour and equipment costs. Early environmental assessments, collaborative engagement with Indigenous communities, and proactive communication with regulatory bodies help streamline the approval process and avoid last-minute obstacles.</w:t>
      </w:r>
    </w:p>
    <w:p w14:paraId="2697D73A" w14:textId="208D4A85" w:rsidR="002D1F26" w:rsidRDefault="002D1F26" w:rsidP="002D1F26">
      <w:pPr>
        <w:pStyle w:val="Heading3"/>
        <w:spacing w:line="360" w:lineRule="auto"/>
        <w:jc w:val="both"/>
      </w:pPr>
      <w:bookmarkStart w:id="22" w:name="_Toc214197544"/>
      <w:r>
        <w:rPr>
          <w:rStyle w:val="Strong"/>
          <w:b/>
          <w:bCs/>
        </w:rPr>
        <w:t>Critical Evaluation of Risk Governance</w:t>
      </w:r>
      <w:bookmarkEnd w:id="22"/>
    </w:p>
    <w:p w14:paraId="7A5399DA" w14:textId="0674F34B" w:rsidR="002D1F26" w:rsidRPr="002D1F26" w:rsidRDefault="002D1F26" w:rsidP="002D1F26">
      <w:pPr>
        <w:pStyle w:val="NormalWeb"/>
        <w:spacing w:line="360" w:lineRule="auto"/>
        <w:jc w:val="both"/>
      </w:pPr>
      <w:r>
        <w:t xml:space="preserve">The project’s risk governance framework assigns risk ownership at the </w:t>
      </w:r>
      <w:r w:rsidRPr="0072230A">
        <w:rPr>
          <w:rStyle w:val="Strong"/>
          <w:b w:val="0"/>
          <w:bCs w:val="0"/>
        </w:rPr>
        <w:t>work-package level</w:t>
      </w:r>
      <w:r>
        <w:t>, ensuring accountability, timely mitigation, and clearer communication between teams. This aligns with best practice in disaster-recovery infrastructure, where decentralised risk management allows teams to respond quickly to emerging issues. Regular risk reviews, updated registers, and multi-stakeholder reporting further strengthen the project’s resilience. By integrating strong risk controls, the Highway 5 project is better positioned to deliver safely, efficiently, and within scope despite the challenges of rebuilding in a high-risk environment.</w:t>
      </w:r>
    </w:p>
    <w:p w14:paraId="5277EAA5" w14:textId="77777777" w:rsidR="00293558" w:rsidRDefault="00293558">
      <w:pPr>
        <w:rPr>
          <w:b/>
          <w:bCs/>
          <w:sz w:val="28"/>
          <w:szCs w:val="36"/>
        </w:rPr>
      </w:pPr>
      <w:bookmarkStart w:id="23" w:name="_Toc214197545"/>
      <w:r>
        <w:br w:type="page"/>
      </w:r>
    </w:p>
    <w:p w14:paraId="7442300F" w14:textId="5A46354E" w:rsidR="002D1F26" w:rsidRPr="002D1F26" w:rsidRDefault="0072230A" w:rsidP="002D1F26">
      <w:pPr>
        <w:pStyle w:val="Heading2"/>
        <w:spacing w:line="360" w:lineRule="auto"/>
        <w:jc w:val="both"/>
      </w:pPr>
      <w:r>
        <w:lastRenderedPageBreak/>
        <w:t xml:space="preserve">3.10 </w:t>
      </w:r>
      <w:r w:rsidR="002D1F26" w:rsidRPr="002D1F26">
        <w:t>Conclusion</w:t>
      </w:r>
      <w:bookmarkEnd w:id="23"/>
    </w:p>
    <w:p w14:paraId="2A3AB6FF" w14:textId="281C21B7" w:rsidR="002D1F26" w:rsidRPr="002D1F26" w:rsidRDefault="002D1F26" w:rsidP="002D1F26">
      <w:pPr>
        <w:spacing w:before="100" w:beforeAutospacing="1" w:after="100" w:afterAutospacing="1" w:line="360" w:lineRule="auto"/>
        <w:jc w:val="both"/>
      </w:pPr>
      <w:r w:rsidRPr="002D1F26">
        <w:t>The reconstruction of Highway 5 represents a complex, high-stakes infrastructure project requiring clear planning, rigorous risk management, and collaborative stakeholder involvement. This Project Management Plan outlines how structured methodologies</w:t>
      </w:r>
      <w:r w:rsidR="00293558">
        <w:t xml:space="preserve"> </w:t>
      </w:r>
      <w:r w:rsidRPr="002D1F26">
        <w:t>such as scope definition, WBS, scheduling, resource allocation, and risk analysis</w:t>
      </w:r>
      <w:r w:rsidR="00293558">
        <w:t xml:space="preserve"> </w:t>
      </w:r>
      <w:r w:rsidRPr="002D1F26">
        <w:t>support strategic, timely, and resilient project delivery.</w:t>
      </w:r>
    </w:p>
    <w:p w14:paraId="298B1EBE" w14:textId="4FA643A3" w:rsidR="002D1F26" w:rsidRDefault="002D1F26" w:rsidP="002D1F26">
      <w:pPr>
        <w:spacing w:before="100" w:beforeAutospacing="1" w:after="100" w:afterAutospacing="1" w:line="360" w:lineRule="auto"/>
        <w:jc w:val="both"/>
      </w:pPr>
      <w:r w:rsidRPr="002D1F26">
        <w:t>By embedding climate resilience, multi-stakeholder engagement, and technological innovation, the project contributes not only to restoring mobility but also strengthening long-term regional disaster preparedness. The PMP therefore serves as both a guiding framework and assurance document, ensuring that the rebuild of Highway 5 is executed safely, efficiently, and sustainably.</w:t>
      </w:r>
    </w:p>
    <w:p w14:paraId="387D9151" w14:textId="443CA6BE" w:rsidR="002D1F26" w:rsidRDefault="002D1F26" w:rsidP="002D1F26">
      <w:pPr>
        <w:spacing w:before="100" w:beforeAutospacing="1" w:after="100" w:afterAutospacing="1" w:line="360" w:lineRule="auto"/>
        <w:jc w:val="both"/>
      </w:pPr>
    </w:p>
    <w:p w14:paraId="65D5AA74" w14:textId="50F8FF67" w:rsidR="002D1F26" w:rsidRDefault="002D1F26" w:rsidP="002D1F26">
      <w:pPr>
        <w:spacing w:before="100" w:beforeAutospacing="1" w:after="100" w:afterAutospacing="1" w:line="360" w:lineRule="auto"/>
        <w:jc w:val="both"/>
      </w:pPr>
    </w:p>
    <w:p w14:paraId="7B6AF565" w14:textId="515521DF" w:rsidR="002D1F26" w:rsidRDefault="002D1F26" w:rsidP="002D1F26">
      <w:pPr>
        <w:spacing w:before="100" w:beforeAutospacing="1" w:after="100" w:afterAutospacing="1" w:line="360" w:lineRule="auto"/>
        <w:jc w:val="both"/>
      </w:pPr>
    </w:p>
    <w:p w14:paraId="4A013D5B" w14:textId="2C9BA1A1" w:rsidR="002D1F26" w:rsidRDefault="002D1F26" w:rsidP="002D1F26">
      <w:pPr>
        <w:spacing w:before="100" w:beforeAutospacing="1" w:after="100" w:afterAutospacing="1" w:line="360" w:lineRule="auto"/>
        <w:jc w:val="both"/>
      </w:pPr>
    </w:p>
    <w:p w14:paraId="69946199" w14:textId="7C7108B0" w:rsidR="002D1F26" w:rsidRDefault="002D1F26" w:rsidP="002D1F26">
      <w:pPr>
        <w:spacing w:before="100" w:beforeAutospacing="1" w:after="100" w:afterAutospacing="1" w:line="360" w:lineRule="auto"/>
        <w:jc w:val="both"/>
      </w:pPr>
    </w:p>
    <w:p w14:paraId="17674D8A" w14:textId="71165583" w:rsidR="002D1F26" w:rsidRDefault="002D1F26" w:rsidP="002D1F26">
      <w:pPr>
        <w:spacing w:before="100" w:beforeAutospacing="1" w:after="100" w:afterAutospacing="1" w:line="360" w:lineRule="auto"/>
        <w:jc w:val="both"/>
      </w:pPr>
    </w:p>
    <w:p w14:paraId="00DB6D24" w14:textId="7CF6BCF1" w:rsidR="002D1F26" w:rsidRDefault="002D1F26" w:rsidP="002D1F26">
      <w:pPr>
        <w:spacing w:before="100" w:beforeAutospacing="1" w:after="100" w:afterAutospacing="1" w:line="360" w:lineRule="auto"/>
        <w:jc w:val="both"/>
      </w:pPr>
    </w:p>
    <w:p w14:paraId="20BB529B" w14:textId="4D5CB649" w:rsidR="002D1F26" w:rsidRDefault="002D1F26" w:rsidP="002D1F26">
      <w:pPr>
        <w:spacing w:before="100" w:beforeAutospacing="1" w:after="100" w:afterAutospacing="1" w:line="360" w:lineRule="auto"/>
        <w:jc w:val="both"/>
      </w:pPr>
    </w:p>
    <w:p w14:paraId="78C9EE46" w14:textId="75C6F8E0" w:rsidR="002D1F26" w:rsidRDefault="002D1F26" w:rsidP="002D1F26">
      <w:pPr>
        <w:spacing w:before="100" w:beforeAutospacing="1" w:after="100" w:afterAutospacing="1" w:line="360" w:lineRule="auto"/>
        <w:jc w:val="both"/>
      </w:pPr>
    </w:p>
    <w:p w14:paraId="6D46968B" w14:textId="480A455C" w:rsidR="002D1F26" w:rsidRDefault="002D1F26" w:rsidP="002D1F26">
      <w:pPr>
        <w:spacing w:before="100" w:beforeAutospacing="1" w:after="100" w:afterAutospacing="1" w:line="360" w:lineRule="auto"/>
        <w:jc w:val="both"/>
      </w:pPr>
    </w:p>
    <w:p w14:paraId="4D13C5CB" w14:textId="0A97E1C1" w:rsidR="002D1F26" w:rsidRDefault="002D1F26" w:rsidP="002D1F26">
      <w:pPr>
        <w:spacing w:before="100" w:beforeAutospacing="1" w:after="100" w:afterAutospacing="1" w:line="360" w:lineRule="auto"/>
        <w:jc w:val="both"/>
      </w:pPr>
    </w:p>
    <w:p w14:paraId="7FBC56E4" w14:textId="775E685A" w:rsidR="002D1F26" w:rsidRDefault="002D1F26" w:rsidP="002D1F26">
      <w:pPr>
        <w:spacing w:before="100" w:beforeAutospacing="1" w:after="100" w:afterAutospacing="1" w:line="360" w:lineRule="auto"/>
        <w:jc w:val="both"/>
      </w:pPr>
    </w:p>
    <w:p w14:paraId="4EAF3FA0" w14:textId="0489F0A5" w:rsidR="002D1F26" w:rsidRPr="002D1F26" w:rsidRDefault="002D1F26" w:rsidP="002D1F26">
      <w:pPr>
        <w:pStyle w:val="Heading1"/>
      </w:pPr>
      <w:bookmarkStart w:id="24" w:name="_Toc214197546"/>
      <w:r>
        <w:lastRenderedPageBreak/>
        <w:t xml:space="preserve">List of </w:t>
      </w:r>
      <w:r w:rsidRPr="002D1F26">
        <w:t>References</w:t>
      </w:r>
      <w:bookmarkEnd w:id="24"/>
      <w:r w:rsidRPr="002D1F26">
        <w:t xml:space="preserve"> </w:t>
      </w:r>
    </w:p>
    <w:p w14:paraId="7AE0935D" w14:textId="77777777" w:rsidR="002D1F26" w:rsidRPr="002D1F26" w:rsidRDefault="002D1F26" w:rsidP="002D1F26">
      <w:pPr>
        <w:spacing w:before="100" w:beforeAutospacing="1" w:after="100" w:afterAutospacing="1"/>
      </w:pPr>
      <w:r w:rsidRPr="002D1F26">
        <w:t xml:space="preserve">Aldrich, D.P. (2019) </w:t>
      </w:r>
      <w:r w:rsidRPr="002D1F26">
        <w:rPr>
          <w:i/>
          <w:iCs/>
        </w:rPr>
        <w:t>Building Resilience: Social Capital in Post-Disaster Recovery</w:t>
      </w:r>
      <w:r w:rsidRPr="002D1F26">
        <w:t xml:space="preserve">. 2nd </w:t>
      </w:r>
      <w:proofErr w:type="spellStart"/>
      <w:r w:rsidRPr="002D1F26">
        <w:t>edn</w:t>
      </w:r>
      <w:proofErr w:type="spellEnd"/>
      <w:r w:rsidRPr="002D1F26">
        <w:t>. Chicago: University of Chicago Press.</w:t>
      </w:r>
    </w:p>
    <w:p w14:paraId="14825D6F" w14:textId="77777777" w:rsidR="002D1F26" w:rsidRPr="002D1F26" w:rsidRDefault="002D1F26" w:rsidP="002D1F26">
      <w:pPr>
        <w:spacing w:before="100" w:beforeAutospacing="1" w:after="100" w:afterAutospacing="1"/>
      </w:pPr>
      <w:r w:rsidRPr="002D1F26">
        <w:t xml:space="preserve">Bassett, G. and Behlendorf, B. (2020) ‘Infrastructure resilience and the challenge of extreme weather’, </w:t>
      </w:r>
      <w:r w:rsidRPr="002D1F26">
        <w:rPr>
          <w:i/>
          <w:iCs/>
        </w:rPr>
        <w:t>Journal of Critical Infrastructure Policy</w:t>
      </w:r>
      <w:r w:rsidRPr="002D1F26">
        <w:t>, 8(1), pp. 15–29.</w:t>
      </w:r>
    </w:p>
    <w:p w14:paraId="68472E88" w14:textId="77777777" w:rsidR="002D1F26" w:rsidRPr="002D1F26" w:rsidRDefault="002D1F26" w:rsidP="002D1F26">
      <w:pPr>
        <w:spacing w:before="100" w:beforeAutospacing="1" w:after="100" w:afterAutospacing="1"/>
      </w:pPr>
      <w:r w:rsidRPr="002D1F26">
        <w:t xml:space="preserve">Bosher, L. and Dainty, A. (2011) ‘Disaster risk reduction in the built environment’, </w:t>
      </w:r>
      <w:r w:rsidRPr="002D1F26">
        <w:rPr>
          <w:i/>
          <w:iCs/>
        </w:rPr>
        <w:t>Built Environment Journal</w:t>
      </w:r>
      <w:r w:rsidRPr="002D1F26">
        <w:t>, 37(2), pp. 234–252.</w:t>
      </w:r>
    </w:p>
    <w:p w14:paraId="0DD114FD" w14:textId="77777777" w:rsidR="002D1F26" w:rsidRPr="002D1F26" w:rsidRDefault="002D1F26" w:rsidP="002D1F26">
      <w:pPr>
        <w:spacing w:before="100" w:beforeAutospacing="1" w:after="100" w:afterAutospacing="1"/>
      </w:pPr>
      <w:r w:rsidRPr="002D1F26">
        <w:t xml:space="preserve">Brown, L. (2022) </w:t>
      </w:r>
      <w:r w:rsidRPr="002D1F26">
        <w:rPr>
          <w:i/>
          <w:iCs/>
        </w:rPr>
        <w:t>Flooding and Transport Corridors: Lessons from BC</w:t>
      </w:r>
      <w:r w:rsidRPr="002D1F26">
        <w:t>. Vancouver: UBC Press.</w:t>
      </w:r>
    </w:p>
    <w:p w14:paraId="291EF1DF" w14:textId="77777777" w:rsidR="002D1F26" w:rsidRPr="002D1F26" w:rsidRDefault="002D1F26" w:rsidP="002D1F26">
      <w:pPr>
        <w:spacing w:before="100" w:beforeAutospacing="1" w:after="100" w:afterAutospacing="1"/>
      </w:pPr>
      <w:r w:rsidRPr="002D1F26">
        <w:t xml:space="preserve">Creswell, J.W. (2021) </w:t>
      </w:r>
      <w:r w:rsidRPr="002D1F26">
        <w:rPr>
          <w:i/>
          <w:iCs/>
        </w:rPr>
        <w:t>Research Design: Qualitative, Quantitative and Mixed Methods Approaches</w:t>
      </w:r>
      <w:r w:rsidRPr="002D1F26">
        <w:t xml:space="preserve">. 5th </w:t>
      </w:r>
      <w:proofErr w:type="spellStart"/>
      <w:r w:rsidRPr="002D1F26">
        <w:t>edn</w:t>
      </w:r>
      <w:proofErr w:type="spellEnd"/>
      <w:r w:rsidRPr="002D1F26">
        <w:t>. Thousand Oaks: Sage.</w:t>
      </w:r>
    </w:p>
    <w:p w14:paraId="2331C830" w14:textId="77777777" w:rsidR="002D1F26" w:rsidRPr="002D1F26" w:rsidRDefault="002D1F26" w:rsidP="002D1F26">
      <w:pPr>
        <w:spacing w:before="100" w:beforeAutospacing="1" w:after="100" w:afterAutospacing="1"/>
      </w:pPr>
      <w:r w:rsidRPr="002D1F26">
        <w:t xml:space="preserve">Flyvbjerg, B. (2021) </w:t>
      </w:r>
      <w:r w:rsidRPr="002D1F26">
        <w:rPr>
          <w:i/>
          <w:iCs/>
        </w:rPr>
        <w:t>How Big Things Get Done</w:t>
      </w:r>
      <w:r w:rsidRPr="002D1F26">
        <w:t>. Oxford: Oxford University Press.</w:t>
      </w:r>
    </w:p>
    <w:p w14:paraId="47D99A8D" w14:textId="77777777" w:rsidR="002D1F26" w:rsidRPr="002D1F26" w:rsidRDefault="002D1F26" w:rsidP="002D1F26">
      <w:pPr>
        <w:spacing w:before="100" w:beforeAutospacing="1" w:after="100" w:afterAutospacing="1"/>
      </w:pPr>
      <w:r w:rsidRPr="002D1F26">
        <w:t xml:space="preserve">Freeman, R.E. (2010) </w:t>
      </w:r>
      <w:r w:rsidRPr="002D1F26">
        <w:rPr>
          <w:i/>
          <w:iCs/>
        </w:rPr>
        <w:t>Strategic Management: A Stakeholder Approach</w:t>
      </w:r>
      <w:r w:rsidRPr="002D1F26">
        <w:t>. Cambridge: Cambridge University Press.</w:t>
      </w:r>
    </w:p>
    <w:p w14:paraId="020AE725" w14:textId="77777777" w:rsidR="002D1F26" w:rsidRPr="002D1F26" w:rsidRDefault="002D1F26" w:rsidP="002D1F26">
      <w:pPr>
        <w:spacing w:before="100" w:beforeAutospacing="1" w:after="100" w:afterAutospacing="1"/>
      </w:pPr>
      <w:r w:rsidRPr="002D1F26">
        <w:t xml:space="preserve">Government of British Columbia (2023) </w:t>
      </w:r>
      <w:r w:rsidRPr="002D1F26">
        <w:rPr>
          <w:i/>
          <w:iCs/>
        </w:rPr>
        <w:t>Flood Recovery and Infrastructure Report</w:t>
      </w:r>
      <w:r w:rsidRPr="002D1F26">
        <w:t>. British Columbia Government.</w:t>
      </w:r>
    </w:p>
    <w:p w14:paraId="77523AB3" w14:textId="77777777" w:rsidR="002D1F26" w:rsidRPr="002D1F26" w:rsidRDefault="002D1F26" w:rsidP="002D1F26">
      <w:pPr>
        <w:spacing w:before="100" w:beforeAutospacing="1" w:after="100" w:afterAutospacing="1"/>
      </w:pPr>
      <w:r w:rsidRPr="002D1F26">
        <w:t xml:space="preserve">Haimes, Y.Y. (2018) </w:t>
      </w:r>
      <w:r w:rsidRPr="002D1F26">
        <w:rPr>
          <w:i/>
          <w:iCs/>
        </w:rPr>
        <w:t>Risk Modelling, Assessment, and Management</w:t>
      </w:r>
      <w:r w:rsidRPr="002D1F26">
        <w:t xml:space="preserve">. 4th </w:t>
      </w:r>
      <w:proofErr w:type="spellStart"/>
      <w:r w:rsidRPr="002D1F26">
        <w:t>edn</w:t>
      </w:r>
      <w:proofErr w:type="spellEnd"/>
      <w:r w:rsidRPr="002D1F26">
        <w:t>. Hoboken, NJ: Wiley.</w:t>
      </w:r>
    </w:p>
    <w:p w14:paraId="28A2D114" w14:textId="77777777" w:rsidR="002D1F26" w:rsidRPr="002D1F26" w:rsidRDefault="002D1F26" w:rsidP="002D1F26">
      <w:pPr>
        <w:spacing w:before="100" w:beforeAutospacing="1" w:after="100" w:afterAutospacing="1"/>
      </w:pPr>
      <w:r w:rsidRPr="002D1F26">
        <w:t xml:space="preserve">Hall, D. (2019) ‘Visual Tools for Engineering Management’, </w:t>
      </w:r>
      <w:r w:rsidRPr="002D1F26">
        <w:rPr>
          <w:i/>
          <w:iCs/>
        </w:rPr>
        <w:t>Project Design Journal</w:t>
      </w:r>
      <w:r w:rsidRPr="002D1F26">
        <w:t>, 6(2), pp. 22–30.</w:t>
      </w:r>
    </w:p>
    <w:p w14:paraId="093BB3FA" w14:textId="77777777" w:rsidR="002D1F26" w:rsidRPr="002D1F26" w:rsidRDefault="002D1F26" w:rsidP="002D1F26">
      <w:pPr>
        <w:spacing w:before="100" w:beforeAutospacing="1" w:after="100" w:afterAutospacing="1"/>
      </w:pPr>
      <w:r w:rsidRPr="002D1F26">
        <w:t xml:space="preserve">Hillson, D. (2017) </w:t>
      </w:r>
      <w:r w:rsidRPr="002D1F26">
        <w:rPr>
          <w:i/>
          <w:iCs/>
        </w:rPr>
        <w:t>Practical Project Risk Management: The ATOM Methodology</w:t>
      </w:r>
      <w:r w:rsidRPr="002D1F26">
        <w:t xml:space="preserve">. 3rd </w:t>
      </w:r>
      <w:proofErr w:type="spellStart"/>
      <w:r w:rsidRPr="002D1F26">
        <w:t>edn</w:t>
      </w:r>
      <w:proofErr w:type="spellEnd"/>
      <w:r w:rsidRPr="002D1F26">
        <w:t>. Vienna, VA: Management Concepts.</w:t>
      </w:r>
    </w:p>
    <w:p w14:paraId="52742AC7" w14:textId="77777777" w:rsidR="002D1F26" w:rsidRPr="002D1F26" w:rsidRDefault="002D1F26" w:rsidP="002D1F26">
      <w:pPr>
        <w:spacing w:before="100" w:beforeAutospacing="1" w:after="100" w:afterAutospacing="1"/>
      </w:pPr>
      <w:r w:rsidRPr="002D1F26">
        <w:t xml:space="preserve">Khan, S. and Rahman, M. (2020) ‘Climate-resilient infrastructure: Approaches, frameworks and policy mechanisms’, </w:t>
      </w:r>
      <w:r w:rsidRPr="002D1F26">
        <w:rPr>
          <w:i/>
          <w:iCs/>
        </w:rPr>
        <w:t>International Journal of Climate Adaptation</w:t>
      </w:r>
      <w:r w:rsidRPr="002D1F26">
        <w:t>, 5(3), pp. 112–129.</w:t>
      </w:r>
    </w:p>
    <w:p w14:paraId="4D99ED88" w14:textId="77777777" w:rsidR="002D1F26" w:rsidRPr="002D1F26" w:rsidRDefault="002D1F26" w:rsidP="002D1F26">
      <w:pPr>
        <w:spacing w:before="100" w:beforeAutospacing="1" w:after="100" w:afterAutospacing="1"/>
      </w:pPr>
      <w:r w:rsidRPr="002D1F26">
        <w:t xml:space="preserve">Kerzner, H. (2017) </w:t>
      </w:r>
      <w:r w:rsidRPr="002D1F26">
        <w:rPr>
          <w:i/>
          <w:iCs/>
        </w:rPr>
        <w:t>Project Management: A Systems Approach to Planning, Scheduling, and Controlling</w:t>
      </w:r>
      <w:r w:rsidRPr="002D1F26">
        <w:t xml:space="preserve">. 12th </w:t>
      </w:r>
      <w:proofErr w:type="spellStart"/>
      <w:r w:rsidRPr="002D1F26">
        <w:t>edn</w:t>
      </w:r>
      <w:proofErr w:type="spellEnd"/>
      <w:r w:rsidRPr="002D1F26">
        <w:t>. Hoboken, NJ: Wiley.</w:t>
      </w:r>
    </w:p>
    <w:p w14:paraId="253A610F" w14:textId="77777777" w:rsidR="002D1F26" w:rsidRPr="002D1F26" w:rsidRDefault="002D1F26" w:rsidP="002D1F26">
      <w:pPr>
        <w:spacing w:before="100" w:beforeAutospacing="1" w:after="100" w:afterAutospacing="1"/>
      </w:pPr>
      <w:r w:rsidRPr="002D1F26">
        <w:t xml:space="preserve">Lock, D. (2020) </w:t>
      </w:r>
      <w:r w:rsidRPr="002D1F26">
        <w:rPr>
          <w:i/>
          <w:iCs/>
        </w:rPr>
        <w:t>Project Management</w:t>
      </w:r>
      <w:r w:rsidRPr="002D1F26">
        <w:t xml:space="preserve">. 12th </w:t>
      </w:r>
      <w:proofErr w:type="spellStart"/>
      <w:r w:rsidRPr="002D1F26">
        <w:t>edn</w:t>
      </w:r>
      <w:proofErr w:type="spellEnd"/>
      <w:r w:rsidRPr="002D1F26">
        <w:t>. London: Routledge.</w:t>
      </w:r>
    </w:p>
    <w:p w14:paraId="4BAA5072" w14:textId="77777777" w:rsidR="002D1F26" w:rsidRPr="002D1F26" w:rsidRDefault="002D1F26" w:rsidP="002D1F26">
      <w:pPr>
        <w:spacing w:before="100" w:beforeAutospacing="1" w:after="100" w:afterAutospacing="1"/>
      </w:pPr>
      <w:r w:rsidRPr="002D1F26">
        <w:t xml:space="preserve">Olander, S. and Landin, A. (2008) ‘A comparative study of factors affecting the external stakeholder management process’, </w:t>
      </w:r>
      <w:r w:rsidRPr="002D1F26">
        <w:rPr>
          <w:i/>
          <w:iCs/>
        </w:rPr>
        <w:t>Construction Management and Economics</w:t>
      </w:r>
      <w:r w:rsidRPr="002D1F26">
        <w:t>, 26(6), pp. 553–561.</w:t>
      </w:r>
    </w:p>
    <w:p w14:paraId="5FDCF0A4" w14:textId="77777777" w:rsidR="002D1F26" w:rsidRPr="002D1F26" w:rsidRDefault="002D1F26" w:rsidP="002D1F26">
      <w:pPr>
        <w:spacing w:before="100" w:beforeAutospacing="1" w:after="100" w:afterAutospacing="1"/>
      </w:pPr>
      <w:r w:rsidRPr="002D1F26">
        <w:t xml:space="preserve">PMI (Project Management Institute) (2021) </w:t>
      </w:r>
      <w:r w:rsidRPr="002D1F26">
        <w:rPr>
          <w:i/>
          <w:iCs/>
        </w:rPr>
        <w:t>A Guide to the Project Management Body of Knowledge (PMBOK® Guide)</w:t>
      </w:r>
      <w:r w:rsidRPr="002D1F26">
        <w:t xml:space="preserve">. 7th </w:t>
      </w:r>
      <w:proofErr w:type="spellStart"/>
      <w:r w:rsidRPr="002D1F26">
        <w:t>edn</w:t>
      </w:r>
      <w:proofErr w:type="spellEnd"/>
      <w:r w:rsidRPr="002D1F26">
        <w:t>. Newtown Square, PA: Project Management Institute.</w:t>
      </w:r>
    </w:p>
    <w:p w14:paraId="3A08AB81" w14:textId="77777777" w:rsidR="002D1F26" w:rsidRPr="002D1F26" w:rsidRDefault="002D1F26" w:rsidP="002D1F26">
      <w:pPr>
        <w:spacing w:before="100" w:beforeAutospacing="1" w:after="100" w:afterAutospacing="1"/>
      </w:pPr>
      <w:r w:rsidRPr="002D1F26">
        <w:lastRenderedPageBreak/>
        <w:t xml:space="preserve">Public Safety Canada (2022) </w:t>
      </w:r>
      <w:r w:rsidRPr="002D1F26">
        <w:rPr>
          <w:i/>
          <w:iCs/>
        </w:rPr>
        <w:t>Atmospheric River Impact Assessment</w:t>
      </w:r>
      <w:r w:rsidRPr="002D1F26">
        <w:t>. Government of Canada.</w:t>
      </w:r>
    </w:p>
    <w:p w14:paraId="79A84B3A" w14:textId="77777777" w:rsidR="002D1F26" w:rsidRPr="002D1F26" w:rsidRDefault="002D1F26" w:rsidP="002D1F26">
      <w:pPr>
        <w:spacing w:before="100" w:beforeAutospacing="1" w:after="100" w:afterAutospacing="1"/>
      </w:pPr>
      <w:r w:rsidRPr="002D1F26">
        <w:t xml:space="preserve">Sánchez, A. and Robert, O. (2019) ‘The evolution of BIM in large-scale civil engineering projects’, </w:t>
      </w:r>
      <w:r w:rsidRPr="002D1F26">
        <w:rPr>
          <w:i/>
          <w:iCs/>
        </w:rPr>
        <w:t>Journal of Construction Innovation</w:t>
      </w:r>
      <w:r w:rsidRPr="002D1F26">
        <w:t>, 19(4), pp. 502–518.</w:t>
      </w:r>
    </w:p>
    <w:p w14:paraId="485AE854" w14:textId="77777777" w:rsidR="002D1F26" w:rsidRPr="002D1F26" w:rsidRDefault="002D1F26" w:rsidP="002D1F26">
      <w:pPr>
        <w:spacing w:before="100" w:beforeAutospacing="1" w:after="100" w:afterAutospacing="1"/>
      </w:pPr>
      <w:r w:rsidRPr="002D1F26">
        <w:t xml:space="preserve">Smith, J. and Clark, R. (2023) ‘Rebuilding Climate-Resilient Infrastructure’, </w:t>
      </w:r>
      <w:r w:rsidRPr="002D1F26">
        <w:rPr>
          <w:i/>
          <w:iCs/>
        </w:rPr>
        <w:t>Canadian Infrastructure Journal</w:t>
      </w:r>
      <w:r w:rsidRPr="002D1F26">
        <w:t>, 14(3), pp. 45–58.</w:t>
      </w:r>
    </w:p>
    <w:p w14:paraId="628FCCE2" w14:textId="77777777" w:rsidR="002D1F26" w:rsidRPr="002D1F26" w:rsidRDefault="002D1F26" w:rsidP="002D1F26">
      <w:pPr>
        <w:spacing w:before="100" w:beforeAutospacing="1" w:after="100" w:afterAutospacing="1"/>
      </w:pPr>
      <w:r w:rsidRPr="002D1F26">
        <w:t xml:space="preserve">Transport Canada (2023) </w:t>
      </w:r>
      <w:r w:rsidRPr="002D1F26">
        <w:rPr>
          <w:i/>
          <w:iCs/>
        </w:rPr>
        <w:t>Highway Infrastructure Resilience Plan</w:t>
      </w:r>
      <w:r w:rsidRPr="002D1F26">
        <w:t>. Government of Canada.</w:t>
      </w:r>
    </w:p>
    <w:p w14:paraId="41B3E94C" w14:textId="77777777" w:rsidR="002D1F26" w:rsidRPr="002D1F26" w:rsidRDefault="002D1F26" w:rsidP="002D1F26">
      <w:pPr>
        <w:spacing w:before="100" w:beforeAutospacing="1" w:after="100" w:afterAutospacing="1"/>
      </w:pPr>
      <w:r w:rsidRPr="002D1F26">
        <w:t xml:space="preserve">UNDRR (United Nations Office for Disaster Risk Reduction) (2021) </w:t>
      </w:r>
      <w:r w:rsidRPr="002D1F26">
        <w:rPr>
          <w:i/>
          <w:iCs/>
        </w:rPr>
        <w:t>Global Assessment Report on Disaster Risk Reduction</w:t>
      </w:r>
      <w:r w:rsidRPr="002D1F26">
        <w:t>. Geneva: United Nations.</w:t>
      </w:r>
    </w:p>
    <w:p w14:paraId="2E09D15E" w14:textId="77777777" w:rsidR="002D1F26" w:rsidRPr="002D1F26" w:rsidRDefault="002D1F26" w:rsidP="002D1F26">
      <w:pPr>
        <w:spacing w:before="100" w:beforeAutospacing="1" w:after="100" w:afterAutospacing="1"/>
      </w:pPr>
      <w:r w:rsidRPr="002D1F26">
        <w:t xml:space="preserve">Ward, S. and Chapman, C. (2003) ‘Transforming project risk management into project uncertainty management’, </w:t>
      </w:r>
      <w:r w:rsidRPr="002D1F26">
        <w:rPr>
          <w:i/>
          <w:iCs/>
        </w:rPr>
        <w:t>International Journal of Project Management</w:t>
      </w:r>
      <w:r w:rsidRPr="002D1F26">
        <w:t>, 21(2), pp. 97–105.</w:t>
      </w:r>
    </w:p>
    <w:p w14:paraId="16F7AAD0" w14:textId="49B1C4EF" w:rsidR="002D1F26" w:rsidRDefault="002D1F26" w:rsidP="002D1F26">
      <w:pPr>
        <w:spacing w:before="100" w:beforeAutospacing="1" w:after="100" w:afterAutospacing="1"/>
      </w:pPr>
      <w:r w:rsidRPr="002D1F26">
        <w:t>.</w:t>
      </w:r>
    </w:p>
    <w:sectPr w:rsidR="002D1F26">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66E9B" w14:textId="77777777" w:rsidR="00012EC8" w:rsidRDefault="00012EC8" w:rsidP="002D1F26">
      <w:r>
        <w:separator/>
      </w:r>
    </w:p>
  </w:endnote>
  <w:endnote w:type="continuationSeparator" w:id="0">
    <w:p w14:paraId="503C5F87" w14:textId="77777777" w:rsidR="00012EC8" w:rsidRDefault="00012EC8" w:rsidP="002D1F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2176446"/>
      <w:docPartObj>
        <w:docPartGallery w:val="Page Numbers (Bottom of Page)"/>
        <w:docPartUnique/>
      </w:docPartObj>
    </w:sdtPr>
    <w:sdtContent>
      <w:p w14:paraId="569FBB4B" w14:textId="7C34A5D7" w:rsidR="002D1F26" w:rsidRDefault="002D1F26" w:rsidP="00C631C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61D7C7" w14:textId="77777777" w:rsidR="002D1F26" w:rsidRDefault="002D1F26" w:rsidP="002D1F26">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9110813"/>
      <w:docPartObj>
        <w:docPartGallery w:val="Page Numbers (Bottom of Page)"/>
        <w:docPartUnique/>
      </w:docPartObj>
    </w:sdtPr>
    <w:sdtContent>
      <w:p w14:paraId="796AE7BF" w14:textId="0946210C" w:rsidR="002D1F26" w:rsidRDefault="002D1F26" w:rsidP="00C631C1">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A155F1" w14:textId="77777777" w:rsidR="002D1F26" w:rsidRDefault="002D1F26" w:rsidP="002D1F26">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AD8289" w14:textId="77777777" w:rsidR="00012EC8" w:rsidRDefault="00012EC8" w:rsidP="002D1F26">
      <w:r>
        <w:separator/>
      </w:r>
    </w:p>
  </w:footnote>
  <w:footnote w:type="continuationSeparator" w:id="0">
    <w:p w14:paraId="34242739" w14:textId="77777777" w:rsidR="00012EC8" w:rsidRDefault="00012EC8" w:rsidP="002D1F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96D38"/>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EB3DE7"/>
    <w:multiLevelType w:val="hybridMultilevel"/>
    <w:tmpl w:val="113803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5324C"/>
    <w:multiLevelType w:val="hybridMultilevel"/>
    <w:tmpl w:val="896C8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1C3DAE"/>
    <w:multiLevelType w:val="multilevel"/>
    <w:tmpl w:val="653417E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345EED"/>
    <w:multiLevelType w:val="hybridMultilevel"/>
    <w:tmpl w:val="EB442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3D5C92"/>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C23979"/>
    <w:multiLevelType w:val="hybridMultilevel"/>
    <w:tmpl w:val="0944EB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F172E0"/>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4197261">
    <w:abstractNumId w:val="7"/>
  </w:num>
  <w:num w:numId="2" w16cid:durableId="601642616">
    <w:abstractNumId w:val="3"/>
  </w:num>
  <w:num w:numId="3" w16cid:durableId="121660108">
    <w:abstractNumId w:val="0"/>
  </w:num>
  <w:num w:numId="4" w16cid:durableId="948779196">
    <w:abstractNumId w:val="5"/>
  </w:num>
  <w:num w:numId="5" w16cid:durableId="1997951693">
    <w:abstractNumId w:val="2"/>
  </w:num>
  <w:num w:numId="6" w16cid:durableId="1053238608">
    <w:abstractNumId w:val="6"/>
  </w:num>
  <w:num w:numId="7" w16cid:durableId="2037345627">
    <w:abstractNumId w:val="4"/>
  </w:num>
  <w:num w:numId="8" w16cid:durableId="11652461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F26"/>
    <w:rsid w:val="00012EC8"/>
    <w:rsid w:val="00293558"/>
    <w:rsid w:val="002D1F26"/>
    <w:rsid w:val="0046784E"/>
    <w:rsid w:val="00604EE4"/>
    <w:rsid w:val="0072230A"/>
    <w:rsid w:val="00A37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A6CA7"/>
  <w15:chartTrackingRefBased/>
  <w15:docId w15:val="{AF86E200-C44B-8D41-9395-AB11AF356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F26"/>
    <w:rPr>
      <w:rFonts w:ascii="Times New Roman" w:eastAsia="Times New Roman" w:hAnsi="Times New Roman" w:cs="Times New Roman"/>
      <w:lang w:eastAsia="en-GB"/>
    </w:rPr>
  </w:style>
  <w:style w:type="paragraph" w:styleId="Heading1">
    <w:name w:val="heading 1"/>
    <w:basedOn w:val="Normal"/>
    <w:link w:val="Heading1Char"/>
    <w:uiPriority w:val="9"/>
    <w:qFormat/>
    <w:rsid w:val="002D1F26"/>
    <w:pPr>
      <w:spacing w:before="100" w:beforeAutospacing="1" w:after="100" w:afterAutospacing="1"/>
      <w:outlineLvl w:val="0"/>
    </w:pPr>
    <w:rPr>
      <w:b/>
      <w:bCs/>
      <w:kern w:val="36"/>
      <w:sz w:val="32"/>
      <w:szCs w:val="48"/>
    </w:rPr>
  </w:style>
  <w:style w:type="paragraph" w:styleId="Heading2">
    <w:name w:val="heading 2"/>
    <w:basedOn w:val="Normal"/>
    <w:link w:val="Heading2Char"/>
    <w:uiPriority w:val="9"/>
    <w:qFormat/>
    <w:rsid w:val="002D1F26"/>
    <w:pPr>
      <w:spacing w:before="100" w:beforeAutospacing="1" w:after="100" w:afterAutospacing="1"/>
      <w:outlineLvl w:val="1"/>
    </w:pPr>
    <w:rPr>
      <w:b/>
      <w:bCs/>
      <w:sz w:val="28"/>
      <w:szCs w:val="36"/>
    </w:rPr>
  </w:style>
  <w:style w:type="paragraph" w:styleId="Heading3">
    <w:name w:val="heading 3"/>
    <w:basedOn w:val="Normal"/>
    <w:link w:val="Heading3Char"/>
    <w:uiPriority w:val="9"/>
    <w:qFormat/>
    <w:rsid w:val="002D1F26"/>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F26"/>
    <w:rPr>
      <w:rFonts w:ascii="Times New Roman" w:eastAsia="Times New Roman" w:hAnsi="Times New Roman" w:cs="Times New Roman"/>
      <w:b/>
      <w:bCs/>
      <w:kern w:val="36"/>
      <w:sz w:val="32"/>
      <w:szCs w:val="48"/>
      <w:lang w:eastAsia="en-GB"/>
    </w:rPr>
  </w:style>
  <w:style w:type="character" w:customStyle="1" w:styleId="Heading2Char">
    <w:name w:val="Heading 2 Char"/>
    <w:basedOn w:val="DefaultParagraphFont"/>
    <w:link w:val="Heading2"/>
    <w:uiPriority w:val="9"/>
    <w:rsid w:val="002D1F26"/>
    <w:rPr>
      <w:rFonts w:ascii="Times New Roman" w:eastAsia="Times New Roman" w:hAnsi="Times New Roman" w:cs="Times New Roman"/>
      <w:b/>
      <w:bCs/>
      <w:sz w:val="28"/>
      <w:szCs w:val="36"/>
      <w:lang w:eastAsia="en-GB"/>
    </w:rPr>
  </w:style>
  <w:style w:type="character" w:customStyle="1" w:styleId="Heading3Char">
    <w:name w:val="Heading 3 Char"/>
    <w:basedOn w:val="DefaultParagraphFont"/>
    <w:link w:val="Heading3"/>
    <w:uiPriority w:val="9"/>
    <w:rsid w:val="002D1F26"/>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2D1F26"/>
    <w:rPr>
      <w:b/>
      <w:bCs/>
    </w:rPr>
  </w:style>
  <w:style w:type="paragraph" w:styleId="NormalWeb">
    <w:name w:val="Normal (Web)"/>
    <w:basedOn w:val="Normal"/>
    <w:uiPriority w:val="99"/>
    <w:unhideWhenUsed/>
    <w:rsid w:val="002D1F26"/>
    <w:pPr>
      <w:spacing w:before="100" w:beforeAutospacing="1" w:after="100" w:afterAutospacing="1"/>
    </w:pPr>
  </w:style>
  <w:style w:type="character" w:styleId="Emphasis">
    <w:name w:val="Emphasis"/>
    <w:basedOn w:val="DefaultParagraphFont"/>
    <w:uiPriority w:val="20"/>
    <w:qFormat/>
    <w:rsid w:val="002D1F26"/>
    <w:rPr>
      <w:i/>
      <w:iCs/>
    </w:rPr>
  </w:style>
  <w:style w:type="table" w:styleId="TableGrid">
    <w:name w:val="Table Grid"/>
    <w:basedOn w:val="TableNormal"/>
    <w:uiPriority w:val="39"/>
    <w:rsid w:val="002D1F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D1F26"/>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2D1F2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D1F2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2D1F26"/>
    <w:pPr>
      <w:ind w:left="480"/>
    </w:pPr>
    <w:rPr>
      <w:rFonts w:asciiTheme="minorHAnsi" w:hAnsiTheme="minorHAnsi" w:cstheme="minorHAnsi"/>
      <w:sz w:val="20"/>
      <w:szCs w:val="20"/>
    </w:rPr>
  </w:style>
  <w:style w:type="character" w:styleId="Hyperlink">
    <w:name w:val="Hyperlink"/>
    <w:basedOn w:val="DefaultParagraphFont"/>
    <w:uiPriority w:val="99"/>
    <w:unhideWhenUsed/>
    <w:rsid w:val="002D1F26"/>
    <w:rPr>
      <w:color w:val="0563C1" w:themeColor="hyperlink"/>
      <w:u w:val="single"/>
    </w:rPr>
  </w:style>
  <w:style w:type="paragraph" w:styleId="TOC4">
    <w:name w:val="toc 4"/>
    <w:basedOn w:val="Normal"/>
    <w:next w:val="Normal"/>
    <w:autoRedefine/>
    <w:uiPriority w:val="39"/>
    <w:semiHidden/>
    <w:unhideWhenUsed/>
    <w:rsid w:val="002D1F2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D1F2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D1F2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D1F2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D1F2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D1F26"/>
    <w:pPr>
      <w:ind w:left="1920"/>
    </w:pPr>
    <w:rPr>
      <w:rFonts w:asciiTheme="minorHAnsi" w:hAnsiTheme="minorHAnsi" w:cstheme="minorHAnsi"/>
      <w:sz w:val="20"/>
      <w:szCs w:val="20"/>
    </w:rPr>
  </w:style>
  <w:style w:type="paragraph" w:customStyle="1" w:styleId="Body">
    <w:name w:val="Body"/>
    <w:rsid w:val="002D1F26"/>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rPr>
  </w:style>
  <w:style w:type="paragraph" w:styleId="Footer">
    <w:name w:val="footer"/>
    <w:basedOn w:val="Normal"/>
    <w:link w:val="FooterChar"/>
    <w:uiPriority w:val="99"/>
    <w:unhideWhenUsed/>
    <w:rsid w:val="002D1F26"/>
    <w:pPr>
      <w:tabs>
        <w:tab w:val="center" w:pos="4513"/>
        <w:tab w:val="right" w:pos="9026"/>
      </w:tabs>
    </w:pPr>
  </w:style>
  <w:style w:type="character" w:customStyle="1" w:styleId="FooterChar">
    <w:name w:val="Footer Char"/>
    <w:basedOn w:val="DefaultParagraphFont"/>
    <w:link w:val="Footer"/>
    <w:uiPriority w:val="99"/>
    <w:rsid w:val="002D1F2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D1F26"/>
  </w:style>
  <w:style w:type="paragraph" w:styleId="ListParagraph">
    <w:name w:val="List Paragraph"/>
    <w:basedOn w:val="Normal"/>
    <w:uiPriority w:val="34"/>
    <w:qFormat/>
    <w:rsid w:val="007223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8269907">
      <w:bodyDiv w:val="1"/>
      <w:marLeft w:val="0"/>
      <w:marRight w:val="0"/>
      <w:marTop w:val="0"/>
      <w:marBottom w:val="0"/>
      <w:divBdr>
        <w:top w:val="none" w:sz="0" w:space="0" w:color="auto"/>
        <w:left w:val="none" w:sz="0" w:space="0" w:color="auto"/>
        <w:bottom w:val="none" w:sz="0" w:space="0" w:color="auto"/>
        <w:right w:val="none" w:sz="0" w:space="0" w:color="auto"/>
      </w:divBdr>
    </w:div>
    <w:div w:id="332219196">
      <w:bodyDiv w:val="1"/>
      <w:marLeft w:val="0"/>
      <w:marRight w:val="0"/>
      <w:marTop w:val="0"/>
      <w:marBottom w:val="0"/>
      <w:divBdr>
        <w:top w:val="none" w:sz="0" w:space="0" w:color="auto"/>
        <w:left w:val="none" w:sz="0" w:space="0" w:color="auto"/>
        <w:bottom w:val="none" w:sz="0" w:space="0" w:color="auto"/>
        <w:right w:val="none" w:sz="0" w:space="0" w:color="auto"/>
      </w:divBdr>
    </w:div>
    <w:div w:id="443113242">
      <w:bodyDiv w:val="1"/>
      <w:marLeft w:val="0"/>
      <w:marRight w:val="0"/>
      <w:marTop w:val="0"/>
      <w:marBottom w:val="0"/>
      <w:divBdr>
        <w:top w:val="none" w:sz="0" w:space="0" w:color="auto"/>
        <w:left w:val="none" w:sz="0" w:space="0" w:color="auto"/>
        <w:bottom w:val="none" w:sz="0" w:space="0" w:color="auto"/>
        <w:right w:val="none" w:sz="0" w:space="0" w:color="auto"/>
      </w:divBdr>
    </w:div>
    <w:div w:id="965545082">
      <w:bodyDiv w:val="1"/>
      <w:marLeft w:val="0"/>
      <w:marRight w:val="0"/>
      <w:marTop w:val="0"/>
      <w:marBottom w:val="0"/>
      <w:divBdr>
        <w:top w:val="none" w:sz="0" w:space="0" w:color="auto"/>
        <w:left w:val="none" w:sz="0" w:space="0" w:color="auto"/>
        <w:bottom w:val="none" w:sz="0" w:space="0" w:color="auto"/>
        <w:right w:val="none" w:sz="0" w:space="0" w:color="auto"/>
      </w:divBdr>
    </w:div>
    <w:div w:id="1107576337">
      <w:bodyDiv w:val="1"/>
      <w:marLeft w:val="0"/>
      <w:marRight w:val="0"/>
      <w:marTop w:val="0"/>
      <w:marBottom w:val="0"/>
      <w:divBdr>
        <w:top w:val="none" w:sz="0" w:space="0" w:color="auto"/>
        <w:left w:val="none" w:sz="0" w:space="0" w:color="auto"/>
        <w:bottom w:val="none" w:sz="0" w:space="0" w:color="auto"/>
        <w:right w:val="none" w:sz="0" w:space="0" w:color="auto"/>
      </w:divBdr>
    </w:div>
    <w:div w:id="1118917375">
      <w:bodyDiv w:val="1"/>
      <w:marLeft w:val="0"/>
      <w:marRight w:val="0"/>
      <w:marTop w:val="0"/>
      <w:marBottom w:val="0"/>
      <w:divBdr>
        <w:top w:val="none" w:sz="0" w:space="0" w:color="auto"/>
        <w:left w:val="none" w:sz="0" w:space="0" w:color="auto"/>
        <w:bottom w:val="none" w:sz="0" w:space="0" w:color="auto"/>
        <w:right w:val="none" w:sz="0" w:space="0" w:color="auto"/>
      </w:divBdr>
    </w:div>
    <w:div w:id="1230994466">
      <w:bodyDiv w:val="1"/>
      <w:marLeft w:val="0"/>
      <w:marRight w:val="0"/>
      <w:marTop w:val="0"/>
      <w:marBottom w:val="0"/>
      <w:divBdr>
        <w:top w:val="none" w:sz="0" w:space="0" w:color="auto"/>
        <w:left w:val="none" w:sz="0" w:space="0" w:color="auto"/>
        <w:bottom w:val="none" w:sz="0" w:space="0" w:color="auto"/>
        <w:right w:val="none" w:sz="0" w:space="0" w:color="auto"/>
      </w:divBdr>
    </w:div>
    <w:div w:id="2107967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EF2C0A-5934-47F1-A168-7ABBF4F31000}" type="doc">
      <dgm:prSet loTypeId="urn:microsoft.com/office/officeart/2005/8/layout/list1" loCatId="list" qsTypeId="urn:microsoft.com/office/officeart/2005/8/quickstyle/simple1" qsCatId="simple" csTypeId="urn:microsoft.com/office/officeart/2005/8/colors/colorful5" csCatId="colorful" phldr="1"/>
      <dgm:spPr/>
      <dgm:t>
        <a:bodyPr/>
        <a:lstStyle/>
        <a:p>
          <a:endParaRPr lang="en-US"/>
        </a:p>
      </dgm:t>
    </dgm:pt>
    <dgm:pt modelId="{A0DDEAF7-79C6-47EF-B4FB-854FF8AA5182}">
      <dgm:prSet/>
      <dgm:spPr/>
      <dgm:t>
        <a:bodyPr/>
        <a:lstStyle/>
        <a:p>
          <a:pPr>
            <a:defRPr b="1"/>
          </a:pPr>
          <a:r>
            <a:rPr lang="en-GB" b="1"/>
            <a:t>Initiation &amp; Feasibility (Months 0–2):</a:t>
          </a:r>
          <a:endParaRPr lang="en-US"/>
        </a:p>
      </dgm:t>
    </dgm:pt>
    <dgm:pt modelId="{BAF448D1-AE71-434B-A6BE-46FA2E47ECBD}" type="parTrans" cxnId="{27C6CB8C-358E-43CE-B2D7-6FD7919A6BAD}">
      <dgm:prSet/>
      <dgm:spPr/>
      <dgm:t>
        <a:bodyPr/>
        <a:lstStyle/>
        <a:p>
          <a:endParaRPr lang="en-US"/>
        </a:p>
      </dgm:t>
    </dgm:pt>
    <dgm:pt modelId="{C4313AF6-1284-43B5-B75D-22AF2BB3D13C}" type="sibTrans" cxnId="{27C6CB8C-358E-43CE-B2D7-6FD7919A6BAD}">
      <dgm:prSet/>
      <dgm:spPr/>
      <dgm:t>
        <a:bodyPr/>
        <a:lstStyle/>
        <a:p>
          <a:endParaRPr lang="en-US"/>
        </a:p>
      </dgm:t>
    </dgm:pt>
    <dgm:pt modelId="{280721C9-F4E4-4130-9FD7-05F7A4113FC8}">
      <dgm:prSet/>
      <dgm:spPr/>
      <dgm:t>
        <a:bodyPr/>
        <a:lstStyle/>
        <a:p>
          <a:r>
            <a:rPr lang="en-GB" b="1"/>
            <a:t>1.1 Feasibility study</a:t>
          </a:r>
          <a:r>
            <a:rPr lang="en-GB"/>
            <a:t> – Analysis of damage, reconstruction options, and alignment with provincial recovery strategies.</a:t>
          </a:r>
          <a:endParaRPr lang="en-US"/>
        </a:p>
      </dgm:t>
    </dgm:pt>
    <dgm:pt modelId="{839FBA06-667E-4667-A65F-982EB0A06B67}" type="parTrans" cxnId="{F007E97F-018E-4AA3-B479-6B0160E1D21B}">
      <dgm:prSet/>
      <dgm:spPr/>
      <dgm:t>
        <a:bodyPr/>
        <a:lstStyle/>
        <a:p>
          <a:endParaRPr lang="en-US"/>
        </a:p>
      </dgm:t>
    </dgm:pt>
    <dgm:pt modelId="{9EABD761-2187-4051-87BE-9A9B52F0F36D}" type="sibTrans" cxnId="{F007E97F-018E-4AA3-B479-6B0160E1D21B}">
      <dgm:prSet/>
      <dgm:spPr/>
      <dgm:t>
        <a:bodyPr/>
        <a:lstStyle/>
        <a:p>
          <a:endParaRPr lang="en-US"/>
        </a:p>
      </dgm:t>
    </dgm:pt>
    <dgm:pt modelId="{34830CF2-FAF7-4EB1-B2D2-923E7C67A108}">
      <dgm:prSet/>
      <dgm:spPr/>
      <dgm:t>
        <a:bodyPr/>
        <a:lstStyle/>
        <a:p>
          <a:r>
            <a:rPr lang="en-GB" b="1"/>
            <a:t>1.2 Environmental impact assessment</a:t>
          </a:r>
          <a:r>
            <a:rPr lang="en-GB"/>
            <a:t> – Evaluation of ecological risks, climate resilience needs, and regulatory compliance.</a:t>
          </a:r>
          <a:endParaRPr lang="en-US"/>
        </a:p>
      </dgm:t>
    </dgm:pt>
    <dgm:pt modelId="{13A461B3-93E4-49A6-834F-3311E6F68EF0}" type="parTrans" cxnId="{0E5D0D80-3670-48FD-B4FA-5E8AA809825C}">
      <dgm:prSet/>
      <dgm:spPr/>
      <dgm:t>
        <a:bodyPr/>
        <a:lstStyle/>
        <a:p>
          <a:endParaRPr lang="en-US"/>
        </a:p>
      </dgm:t>
    </dgm:pt>
    <dgm:pt modelId="{67FD013E-DF8D-4ABA-9FC0-B8B7C22D4D43}" type="sibTrans" cxnId="{0E5D0D80-3670-48FD-B4FA-5E8AA809825C}">
      <dgm:prSet/>
      <dgm:spPr/>
      <dgm:t>
        <a:bodyPr/>
        <a:lstStyle/>
        <a:p>
          <a:endParaRPr lang="en-US"/>
        </a:p>
      </dgm:t>
    </dgm:pt>
    <dgm:pt modelId="{96F2B942-F43F-4FF5-8F93-A5B0B5FE9D5A}">
      <dgm:prSet/>
      <dgm:spPr/>
      <dgm:t>
        <a:bodyPr/>
        <a:lstStyle/>
        <a:p>
          <a:r>
            <a:rPr lang="en-GB" b="1"/>
            <a:t>1.3 Funding and stakeholder approval</a:t>
          </a:r>
          <a:r>
            <a:rPr lang="en-GB"/>
            <a:t> – Securing federal/provincial funding, consultations with municipalities, Indigenous communities, and emergency agencies.</a:t>
          </a:r>
          <a:endParaRPr lang="en-US"/>
        </a:p>
      </dgm:t>
    </dgm:pt>
    <dgm:pt modelId="{322C3B51-954C-4AFA-9E1E-6851AC4F58A8}" type="parTrans" cxnId="{F8BBECFE-B79E-41C9-B7BB-D477DD925D9D}">
      <dgm:prSet/>
      <dgm:spPr/>
      <dgm:t>
        <a:bodyPr/>
        <a:lstStyle/>
        <a:p>
          <a:endParaRPr lang="en-US"/>
        </a:p>
      </dgm:t>
    </dgm:pt>
    <dgm:pt modelId="{DEF3933C-2C91-4E92-8D48-CAA4102A6E4A}" type="sibTrans" cxnId="{F8BBECFE-B79E-41C9-B7BB-D477DD925D9D}">
      <dgm:prSet/>
      <dgm:spPr/>
      <dgm:t>
        <a:bodyPr/>
        <a:lstStyle/>
        <a:p>
          <a:endParaRPr lang="en-US"/>
        </a:p>
      </dgm:t>
    </dgm:pt>
    <dgm:pt modelId="{CC10B34E-03F2-4AC3-9D21-2A2FF2A57D83}">
      <dgm:prSet/>
      <dgm:spPr/>
      <dgm:t>
        <a:bodyPr/>
        <a:lstStyle/>
        <a:p>
          <a:pPr>
            <a:defRPr b="1"/>
          </a:pPr>
          <a:r>
            <a:rPr lang="en-GB" b="1"/>
            <a:t>Design &amp; Engineering (Months 2–6):</a:t>
          </a:r>
          <a:endParaRPr lang="en-US"/>
        </a:p>
      </dgm:t>
    </dgm:pt>
    <dgm:pt modelId="{AAD85F9F-7204-4B51-B5A4-0E704D4FFDDF}" type="parTrans" cxnId="{0298177C-ECBD-472D-9E96-F0AC59392997}">
      <dgm:prSet/>
      <dgm:spPr/>
      <dgm:t>
        <a:bodyPr/>
        <a:lstStyle/>
        <a:p>
          <a:endParaRPr lang="en-US"/>
        </a:p>
      </dgm:t>
    </dgm:pt>
    <dgm:pt modelId="{3481975C-C564-43C5-8096-5CE48B5AA12F}" type="sibTrans" cxnId="{0298177C-ECBD-472D-9E96-F0AC59392997}">
      <dgm:prSet/>
      <dgm:spPr/>
      <dgm:t>
        <a:bodyPr/>
        <a:lstStyle/>
        <a:p>
          <a:endParaRPr lang="en-US"/>
        </a:p>
      </dgm:t>
    </dgm:pt>
    <dgm:pt modelId="{4C780F40-1DF0-4624-ABC0-A7A78F7A6A9C}">
      <dgm:prSet/>
      <dgm:spPr/>
      <dgm:t>
        <a:bodyPr/>
        <a:lstStyle/>
        <a:p>
          <a:r>
            <a:rPr lang="en-GB" b="1"/>
            <a:t>2.1 Bridge and road engineering design</a:t>
          </a:r>
          <a:r>
            <a:rPr lang="en-GB"/>
            <a:t> – Structural modelling, load assessments, and design of resilient bridge systems.</a:t>
          </a:r>
          <a:endParaRPr lang="en-US"/>
        </a:p>
      </dgm:t>
    </dgm:pt>
    <dgm:pt modelId="{3D3A7E5E-E2A5-41D1-9803-75D9E3B70363}" type="parTrans" cxnId="{171F2042-0D47-487F-893B-B4403231DB5B}">
      <dgm:prSet/>
      <dgm:spPr/>
      <dgm:t>
        <a:bodyPr/>
        <a:lstStyle/>
        <a:p>
          <a:endParaRPr lang="en-US"/>
        </a:p>
      </dgm:t>
    </dgm:pt>
    <dgm:pt modelId="{9166B560-7907-41C3-A437-D9F4577A8DE9}" type="sibTrans" cxnId="{171F2042-0D47-487F-893B-B4403231DB5B}">
      <dgm:prSet/>
      <dgm:spPr/>
      <dgm:t>
        <a:bodyPr/>
        <a:lstStyle/>
        <a:p>
          <a:endParaRPr lang="en-US"/>
        </a:p>
      </dgm:t>
    </dgm:pt>
    <dgm:pt modelId="{15A3D0F6-18AE-4ADF-A7DD-5C75FAEA2B06}">
      <dgm:prSet/>
      <dgm:spPr/>
      <dgm:t>
        <a:bodyPr/>
        <a:lstStyle/>
        <a:p>
          <a:r>
            <a:rPr lang="en-GB" b="1"/>
            <a:t>2.2 Climate resilience analysis</a:t>
          </a:r>
          <a:r>
            <a:rPr lang="en-GB"/>
            <a:t> – Integration of flood-resistant features, slope-stabilisation design, and drainage improvements.</a:t>
          </a:r>
          <a:endParaRPr lang="en-US"/>
        </a:p>
      </dgm:t>
    </dgm:pt>
    <dgm:pt modelId="{8BF5CC38-679D-4579-AF97-7191A993924D}" type="parTrans" cxnId="{DCED9991-59BB-4FC8-994C-92562C4FE452}">
      <dgm:prSet/>
      <dgm:spPr/>
      <dgm:t>
        <a:bodyPr/>
        <a:lstStyle/>
        <a:p>
          <a:endParaRPr lang="en-US"/>
        </a:p>
      </dgm:t>
    </dgm:pt>
    <dgm:pt modelId="{2069BC90-2098-492F-9F11-9B8AC71D0A8D}" type="sibTrans" cxnId="{DCED9991-59BB-4FC8-994C-92562C4FE452}">
      <dgm:prSet/>
      <dgm:spPr/>
      <dgm:t>
        <a:bodyPr/>
        <a:lstStyle/>
        <a:p>
          <a:endParaRPr lang="en-US"/>
        </a:p>
      </dgm:t>
    </dgm:pt>
    <dgm:pt modelId="{58E151E2-4087-4B36-99B5-993BE17D14EB}">
      <dgm:prSet/>
      <dgm:spPr/>
      <dgm:t>
        <a:bodyPr/>
        <a:lstStyle/>
        <a:p>
          <a:r>
            <a:rPr lang="en-GB" b="1"/>
            <a:t>2.3 Technical drawings and modelling (BIM)</a:t>
          </a:r>
          <a:r>
            <a:rPr lang="en-GB"/>
            <a:t> – Digital modelling, cross-sectional designs, construction phasing diagrams.</a:t>
          </a:r>
          <a:endParaRPr lang="en-US"/>
        </a:p>
      </dgm:t>
    </dgm:pt>
    <dgm:pt modelId="{EAAA8410-9334-4037-A8AE-B9D2E98FECE2}" type="parTrans" cxnId="{8275F4F9-D205-405C-BFAB-5CF822B16150}">
      <dgm:prSet/>
      <dgm:spPr/>
      <dgm:t>
        <a:bodyPr/>
        <a:lstStyle/>
        <a:p>
          <a:endParaRPr lang="en-US"/>
        </a:p>
      </dgm:t>
    </dgm:pt>
    <dgm:pt modelId="{9A46B600-8A51-4981-B0A4-88515DB6AB20}" type="sibTrans" cxnId="{8275F4F9-D205-405C-BFAB-5CF822B16150}">
      <dgm:prSet/>
      <dgm:spPr/>
      <dgm:t>
        <a:bodyPr/>
        <a:lstStyle/>
        <a:p>
          <a:endParaRPr lang="en-US"/>
        </a:p>
      </dgm:t>
    </dgm:pt>
    <dgm:pt modelId="{C4740A1B-4976-4882-9EC5-8B8F326CEDF3}">
      <dgm:prSet/>
      <dgm:spPr/>
      <dgm:t>
        <a:bodyPr/>
        <a:lstStyle/>
        <a:p>
          <a:pPr>
            <a:defRPr b="1"/>
          </a:pPr>
          <a:r>
            <a:rPr lang="en-GB" b="1"/>
            <a:t>Procurement &amp; Resource Mobilisation (Months 4–8):</a:t>
          </a:r>
          <a:endParaRPr lang="en-US"/>
        </a:p>
      </dgm:t>
    </dgm:pt>
    <dgm:pt modelId="{3EB0CA9D-8A8F-4A08-A377-71E1C980A6EC}" type="parTrans" cxnId="{8A282807-50E5-4730-B7FA-E1D8522DBA3F}">
      <dgm:prSet/>
      <dgm:spPr/>
      <dgm:t>
        <a:bodyPr/>
        <a:lstStyle/>
        <a:p>
          <a:endParaRPr lang="en-US"/>
        </a:p>
      </dgm:t>
    </dgm:pt>
    <dgm:pt modelId="{24638C70-70BC-420D-88A3-AAA848445116}" type="sibTrans" cxnId="{8A282807-50E5-4730-B7FA-E1D8522DBA3F}">
      <dgm:prSet/>
      <dgm:spPr/>
      <dgm:t>
        <a:bodyPr/>
        <a:lstStyle/>
        <a:p>
          <a:endParaRPr lang="en-US"/>
        </a:p>
      </dgm:t>
    </dgm:pt>
    <dgm:pt modelId="{35B76157-7672-40B5-A842-E45E6EFF0207}">
      <dgm:prSet/>
      <dgm:spPr/>
      <dgm:t>
        <a:bodyPr/>
        <a:lstStyle/>
        <a:p>
          <a:r>
            <a:rPr lang="en-GB" b="1"/>
            <a:t>3.1 Contractor tendering and selection</a:t>
          </a:r>
          <a:r>
            <a:rPr lang="en-GB"/>
            <a:t> – Competitive procurement, contract awarding, and mobilisation planning.</a:t>
          </a:r>
          <a:endParaRPr lang="en-US"/>
        </a:p>
      </dgm:t>
    </dgm:pt>
    <dgm:pt modelId="{8190C229-7564-4223-814D-F38393E72FCE}" type="parTrans" cxnId="{F07D848B-1C91-48C9-BF72-0C4215FD424F}">
      <dgm:prSet/>
      <dgm:spPr/>
      <dgm:t>
        <a:bodyPr/>
        <a:lstStyle/>
        <a:p>
          <a:endParaRPr lang="en-US"/>
        </a:p>
      </dgm:t>
    </dgm:pt>
    <dgm:pt modelId="{0F32CA23-6786-43C0-8D65-FB51F6600A0C}" type="sibTrans" cxnId="{F07D848B-1C91-48C9-BF72-0C4215FD424F}">
      <dgm:prSet/>
      <dgm:spPr/>
      <dgm:t>
        <a:bodyPr/>
        <a:lstStyle/>
        <a:p>
          <a:endParaRPr lang="en-US"/>
        </a:p>
      </dgm:t>
    </dgm:pt>
    <dgm:pt modelId="{9E6D52CB-837E-4F21-B49B-A7E10147F52B}">
      <dgm:prSet/>
      <dgm:spPr/>
      <dgm:t>
        <a:bodyPr/>
        <a:lstStyle/>
        <a:p>
          <a:r>
            <a:rPr lang="en-GB" b="1"/>
            <a:t>3.2 Procurement of materials and equipment</a:t>
          </a:r>
          <a:r>
            <a:rPr lang="en-GB"/>
            <a:t> – Acquisition of steel, asphalt, drainage infrastructure, heavy machinery.</a:t>
          </a:r>
          <a:endParaRPr lang="en-US"/>
        </a:p>
      </dgm:t>
    </dgm:pt>
    <dgm:pt modelId="{2CE80FE2-40A8-4742-9FBC-37A030A3874D}" type="parTrans" cxnId="{C834A32D-B95F-427A-A3A3-D61229315E55}">
      <dgm:prSet/>
      <dgm:spPr/>
      <dgm:t>
        <a:bodyPr/>
        <a:lstStyle/>
        <a:p>
          <a:endParaRPr lang="en-US"/>
        </a:p>
      </dgm:t>
    </dgm:pt>
    <dgm:pt modelId="{2A390385-7867-4D4A-B572-144D712BF147}" type="sibTrans" cxnId="{C834A32D-B95F-427A-A3A3-D61229315E55}">
      <dgm:prSet/>
      <dgm:spPr/>
      <dgm:t>
        <a:bodyPr/>
        <a:lstStyle/>
        <a:p>
          <a:endParaRPr lang="en-US"/>
        </a:p>
      </dgm:t>
    </dgm:pt>
    <dgm:pt modelId="{A9B39E7C-B52C-4E9A-A3BC-F4A83596607A}">
      <dgm:prSet/>
      <dgm:spPr/>
      <dgm:t>
        <a:bodyPr/>
        <a:lstStyle/>
        <a:p>
          <a:r>
            <a:rPr lang="en-GB" b="1"/>
            <a:t>3.3 Logistics and supply-chain coordination</a:t>
          </a:r>
          <a:r>
            <a:rPr lang="en-GB"/>
            <a:t> – Transportation planning, alternative route arrangements, inventory scheduling.</a:t>
          </a:r>
          <a:endParaRPr lang="en-US"/>
        </a:p>
      </dgm:t>
    </dgm:pt>
    <dgm:pt modelId="{E51F856F-E81E-4C0B-8A0B-9108E19D8C2B}" type="parTrans" cxnId="{212CA167-E4E6-4D11-A80C-99AE9E35B532}">
      <dgm:prSet/>
      <dgm:spPr/>
      <dgm:t>
        <a:bodyPr/>
        <a:lstStyle/>
        <a:p>
          <a:endParaRPr lang="en-US"/>
        </a:p>
      </dgm:t>
    </dgm:pt>
    <dgm:pt modelId="{F5251F94-B22E-40CD-880D-B00BCD0E588C}" type="sibTrans" cxnId="{212CA167-E4E6-4D11-A80C-99AE9E35B532}">
      <dgm:prSet/>
      <dgm:spPr/>
      <dgm:t>
        <a:bodyPr/>
        <a:lstStyle/>
        <a:p>
          <a:endParaRPr lang="en-US"/>
        </a:p>
      </dgm:t>
    </dgm:pt>
    <dgm:pt modelId="{5CF1F3B9-E7A6-4DE3-B5C9-6B6ACC673425}">
      <dgm:prSet/>
      <dgm:spPr/>
      <dgm:t>
        <a:bodyPr/>
        <a:lstStyle/>
        <a:p>
          <a:pPr>
            <a:defRPr b="1"/>
          </a:pPr>
          <a:r>
            <a:rPr lang="en-GB" b="1"/>
            <a:t>Construction Phase (Months 8–20):</a:t>
          </a:r>
          <a:endParaRPr lang="en-US"/>
        </a:p>
      </dgm:t>
    </dgm:pt>
    <dgm:pt modelId="{FEBC10A0-3B2C-4827-A995-6047DFF8CC5D}" type="parTrans" cxnId="{01912F16-B63E-47DA-B22E-F7D68E957B04}">
      <dgm:prSet/>
      <dgm:spPr/>
      <dgm:t>
        <a:bodyPr/>
        <a:lstStyle/>
        <a:p>
          <a:endParaRPr lang="en-US"/>
        </a:p>
      </dgm:t>
    </dgm:pt>
    <dgm:pt modelId="{F39FEF09-1E2F-4A23-ACF6-F4C7B7F200AB}" type="sibTrans" cxnId="{01912F16-B63E-47DA-B22E-F7D68E957B04}">
      <dgm:prSet/>
      <dgm:spPr/>
      <dgm:t>
        <a:bodyPr/>
        <a:lstStyle/>
        <a:p>
          <a:endParaRPr lang="en-US"/>
        </a:p>
      </dgm:t>
    </dgm:pt>
    <dgm:pt modelId="{9BCFDABC-A8C2-4F76-87AD-8BD4F249310C}">
      <dgm:prSet/>
      <dgm:spPr/>
      <dgm:t>
        <a:bodyPr/>
        <a:lstStyle/>
        <a:p>
          <a:r>
            <a:rPr lang="en-GB" b="1"/>
            <a:t>4.1 Site preparation and debris clearance</a:t>
          </a:r>
          <a:r>
            <a:rPr lang="en-GB"/>
            <a:t> – Removal of collapsed structures, stabilisation of terrain, establishment of temporary access roads.</a:t>
          </a:r>
          <a:endParaRPr lang="en-US"/>
        </a:p>
      </dgm:t>
    </dgm:pt>
    <dgm:pt modelId="{D7E7A52C-9ACC-45A3-9CCD-4E4FCDE03634}" type="parTrans" cxnId="{A8E2F2F1-B1DC-46E8-8B9C-5C53876DC379}">
      <dgm:prSet/>
      <dgm:spPr/>
      <dgm:t>
        <a:bodyPr/>
        <a:lstStyle/>
        <a:p>
          <a:endParaRPr lang="en-US"/>
        </a:p>
      </dgm:t>
    </dgm:pt>
    <dgm:pt modelId="{6881F99A-EB2C-4FCF-B55D-8A961B19C31E}" type="sibTrans" cxnId="{A8E2F2F1-B1DC-46E8-8B9C-5C53876DC379}">
      <dgm:prSet/>
      <dgm:spPr/>
      <dgm:t>
        <a:bodyPr/>
        <a:lstStyle/>
        <a:p>
          <a:endParaRPr lang="en-US"/>
        </a:p>
      </dgm:t>
    </dgm:pt>
    <dgm:pt modelId="{72B99D3A-D104-4FAD-9B35-4E09E922DC74}">
      <dgm:prSet/>
      <dgm:spPr/>
      <dgm:t>
        <a:bodyPr/>
        <a:lstStyle/>
        <a:p>
          <a:r>
            <a:rPr lang="en-GB" b="1"/>
            <a:t>4.2 Bridge reconstruction</a:t>
          </a:r>
          <a:r>
            <a:rPr lang="en-GB"/>
            <a:t> – Foundation works, steel installation, deck construction, structural reinforcement.</a:t>
          </a:r>
          <a:endParaRPr lang="en-US"/>
        </a:p>
      </dgm:t>
    </dgm:pt>
    <dgm:pt modelId="{90D68023-CF31-4D43-9BB6-C76636B1B7B2}" type="parTrans" cxnId="{3077B0A1-37F3-4E1B-81C4-75017167753D}">
      <dgm:prSet/>
      <dgm:spPr/>
      <dgm:t>
        <a:bodyPr/>
        <a:lstStyle/>
        <a:p>
          <a:endParaRPr lang="en-US"/>
        </a:p>
      </dgm:t>
    </dgm:pt>
    <dgm:pt modelId="{70267637-EDE0-4091-B0D3-5CD44351789C}" type="sibTrans" cxnId="{3077B0A1-37F3-4E1B-81C4-75017167753D}">
      <dgm:prSet/>
      <dgm:spPr/>
      <dgm:t>
        <a:bodyPr/>
        <a:lstStyle/>
        <a:p>
          <a:endParaRPr lang="en-US"/>
        </a:p>
      </dgm:t>
    </dgm:pt>
    <dgm:pt modelId="{73E44F64-C7C7-4C4A-8654-CCC6D5B67A6B}">
      <dgm:prSet/>
      <dgm:spPr/>
      <dgm:t>
        <a:bodyPr/>
        <a:lstStyle/>
        <a:p>
          <a:r>
            <a:rPr lang="en-GB" b="1"/>
            <a:t>4.3 Road rebuilding and paving</a:t>
          </a:r>
          <a:r>
            <a:rPr lang="en-GB"/>
            <a:t> – Asphalt laying, lane alignment, signage, guardrails, and safety barriers.</a:t>
          </a:r>
          <a:endParaRPr lang="en-US"/>
        </a:p>
      </dgm:t>
    </dgm:pt>
    <dgm:pt modelId="{D33181F4-BDF2-4DFB-AE60-D58CC74CC8E4}" type="parTrans" cxnId="{D5174B33-5C61-440B-8D27-886F4055269C}">
      <dgm:prSet/>
      <dgm:spPr/>
      <dgm:t>
        <a:bodyPr/>
        <a:lstStyle/>
        <a:p>
          <a:endParaRPr lang="en-US"/>
        </a:p>
      </dgm:t>
    </dgm:pt>
    <dgm:pt modelId="{508FF013-9DC6-4840-8F65-A12F7B7EC417}" type="sibTrans" cxnId="{D5174B33-5C61-440B-8D27-886F4055269C}">
      <dgm:prSet/>
      <dgm:spPr/>
      <dgm:t>
        <a:bodyPr/>
        <a:lstStyle/>
        <a:p>
          <a:endParaRPr lang="en-US"/>
        </a:p>
      </dgm:t>
    </dgm:pt>
    <dgm:pt modelId="{9440ACDE-7E5F-4FBC-83F6-BBB85C18126F}">
      <dgm:prSet/>
      <dgm:spPr/>
      <dgm:t>
        <a:bodyPr/>
        <a:lstStyle/>
        <a:p>
          <a:r>
            <a:rPr lang="en-GB" b="1"/>
            <a:t>4.4 Drainage and flood-protection systems</a:t>
          </a:r>
          <a:r>
            <a:rPr lang="en-GB"/>
            <a:t> – Installation of culverts, stormwater channels, and erosion control systems.</a:t>
          </a:r>
          <a:endParaRPr lang="en-US"/>
        </a:p>
      </dgm:t>
    </dgm:pt>
    <dgm:pt modelId="{BA80368F-C589-4C6B-A862-46C5CC45238C}" type="parTrans" cxnId="{EF2EA18C-979A-4B33-9B73-9261A5EE432B}">
      <dgm:prSet/>
      <dgm:spPr/>
      <dgm:t>
        <a:bodyPr/>
        <a:lstStyle/>
        <a:p>
          <a:endParaRPr lang="en-US"/>
        </a:p>
      </dgm:t>
    </dgm:pt>
    <dgm:pt modelId="{C4AACD4B-E93F-40DA-917D-D2FE4682E474}" type="sibTrans" cxnId="{EF2EA18C-979A-4B33-9B73-9261A5EE432B}">
      <dgm:prSet/>
      <dgm:spPr/>
      <dgm:t>
        <a:bodyPr/>
        <a:lstStyle/>
        <a:p>
          <a:endParaRPr lang="en-US"/>
        </a:p>
      </dgm:t>
    </dgm:pt>
    <dgm:pt modelId="{5C00FA35-6489-41FA-8649-6112FE01EF35}">
      <dgm:prSet/>
      <dgm:spPr/>
      <dgm:t>
        <a:bodyPr/>
        <a:lstStyle/>
        <a:p>
          <a:r>
            <a:rPr lang="en-GB" b="1"/>
            <a:t>4.5 Smart monitoring installation</a:t>
          </a:r>
          <a:r>
            <a:rPr lang="en-GB"/>
            <a:t> – Placement of sensors, flood-monitoring equipment, and data connectivity systems.</a:t>
          </a:r>
          <a:endParaRPr lang="en-US"/>
        </a:p>
      </dgm:t>
    </dgm:pt>
    <dgm:pt modelId="{E7B7ED7D-6AAB-45D5-9CE9-FA9B7619135A}" type="parTrans" cxnId="{155AB1C1-5BA7-4632-A8B7-57B45B0C8773}">
      <dgm:prSet/>
      <dgm:spPr/>
      <dgm:t>
        <a:bodyPr/>
        <a:lstStyle/>
        <a:p>
          <a:endParaRPr lang="en-US"/>
        </a:p>
      </dgm:t>
    </dgm:pt>
    <dgm:pt modelId="{0D7606E4-8E3C-4760-81A7-33F50B3C612E}" type="sibTrans" cxnId="{155AB1C1-5BA7-4632-A8B7-57B45B0C8773}">
      <dgm:prSet/>
      <dgm:spPr/>
      <dgm:t>
        <a:bodyPr/>
        <a:lstStyle/>
        <a:p>
          <a:endParaRPr lang="en-US"/>
        </a:p>
      </dgm:t>
    </dgm:pt>
    <dgm:pt modelId="{E462B380-A61A-4586-8D25-104D9566E4F1}">
      <dgm:prSet/>
      <dgm:spPr/>
      <dgm:t>
        <a:bodyPr/>
        <a:lstStyle/>
        <a:p>
          <a:pPr>
            <a:defRPr b="1"/>
          </a:pPr>
          <a:r>
            <a:rPr lang="en-GB" b="1"/>
            <a:t>Testing, Commissioning &amp; Handover (Months 20–22):</a:t>
          </a:r>
          <a:endParaRPr lang="en-US"/>
        </a:p>
      </dgm:t>
    </dgm:pt>
    <dgm:pt modelId="{70BD8625-1E56-421A-A1DD-17208B104E4C}" type="parTrans" cxnId="{573D2F52-D26A-43AA-991E-B8567C3035D8}">
      <dgm:prSet/>
      <dgm:spPr/>
      <dgm:t>
        <a:bodyPr/>
        <a:lstStyle/>
        <a:p>
          <a:endParaRPr lang="en-US"/>
        </a:p>
      </dgm:t>
    </dgm:pt>
    <dgm:pt modelId="{2179533A-36D7-4147-9972-49F79F697D3F}" type="sibTrans" cxnId="{573D2F52-D26A-43AA-991E-B8567C3035D8}">
      <dgm:prSet/>
      <dgm:spPr/>
      <dgm:t>
        <a:bodyPr/>
        <a:lstStyle/>
        <a:p>
          <a:endParaRPr lang="en-US"/>
        </a:p>
      </dgm:t>
    </dgm:pt>
    <dgm:pt modelId="{76490A66-F2A4-476F-A7C8-16BD54D1E633}">
      <dgm:prSet/>
      <dgm:spPr/>
      <dgm:t>
        <a:bodyPr/>
        <a:lstStyle/>
        <a:p>
          <a:r>
            <a:rPr lang="en-GB" b="1"/>
            <a:t>5.1 Safety inspections and structural load testing</a:t>
          </a:r>
          <a:r>
            <a:rPr lang="en-GB"/>
            <a:t> – Quality assurance checks, stress tests, and safety compliance certification.</a:t>
          </a:r>
          <a:endParaRPr lang="en-US"/>
        </a:p>
      </dgm:t>
    </dgm:pt>
    <dgm:pt modelId="{77067FDA-94A4-4110-9EE0-326E42ADBD07}" type="parTrans" cxnId="{4F2E7E57-1040-48F3-889E-8EE3EF38EEB1}">
      <dgm:prSet/>
      <dgm:spPr/>
      <dgm:t>
        <a:bodyPr/>
        <a:lstStyle/>
        <a:p>
          <a:endParaRPr lang="en-US"/>
        </a:p>
      </dgm:t>
    </dgm:pt>
    <dgm:pt modelId="{C4D3B3E4-5790-4653-B017-DAD6C8C57F76}" type="sibTrans" cxnId="{4F2E7E57-1040-48F3-889E-8EE3EF38EEB1}">
      <dgm:prSet/>
      <dgm:spPr/>
      <dgm:t>
        <a:bodyPr/>
        <a:lstStyle/>
        <a:p>
          <a:endParaRPr lang="en-US"/>
        </a:p>
      </dgm:t>
    </dgm:pt>
    <dgm:pt modelId="{9674AECC-964F-4472-8C06-B59E2A602776}">
      <dgm:prSet/>
      <dgm:spPr/>
      <dgm:t>
        <a:bodyPr/>
        <a:lstStyle/>
        <a:p>
          <a:r>
            <a:rPr lang="en-GB" b="1"/>
            <a:t>5.2 Training for maintenance teams</a:t>
          </a:r>
          <a:r>
            <a:rPr lang="en-GB"/>
            <a:t> – Operational training on monitoring systems, maintenance routines, and emergency protocols.</a:t>
          </a:r>
          <a:endParaRPr lang="en-US"/>
        </a:p>
      </dgm:t>
    </dgm:pt>
    <dgm:pt modelId="{2CEEF505-2B5A-45C1-8425-8C78EAD485D5}" type="parTrans" cxnId="{517AA599-8038-4438-8979-74A7A038A2E1}">
      <dgm:prSet/>
      <dgm:spPr/>
      <dgm:t>
        <a:bodyPr/>
        <a:lstStyle/>
        <a:p>
          <a:endParaRPr lang="en-US"/>
        </a:p>
      </dgm:t>
    </dgm:pt>
    <dgm:pt modelId="{4193BD0C-DC69-47BA-8503-91A36987FEE1}" type="sibTrans" cxnId="{517AA599-8038-4438-8979-74A7A038A2E1}">
      <dgm:prSet/>
      <dgm:spPr/>
      <dgm:t>
        <a:bodyPr/>
        <a:lstStyle/>
        <a:p>
          <a:endParaRPr lang="en-US"/>
        </a:p>
      </dgm:t>
    </dgm:pt>
    <dgm:pt modelId="{DC278E7B-0898-474D-9787-10AC3F45B611}">
      <dgm:prSet/>
      <dgm:spPr/>
      <dgm:t>
        <a:bodyPr/>
        <a:lstStyle/>
        <a:p>
          <a:r>
            <a:rPr lang="en-GB" b="1"/>
            <a:t>5.3 Final environmental remediation</a:t>
          </a:r>
          <a:r>
            <a:rPr lang="en-GB"/>
            <a:t> – Replanting, slope regrading, erosion control, and ecological restoration.</a:t>
          </a:r>
          <a:endParaRPr lang="en-US"/>
        </a:p>
      </dgm:t>
    </dgm:pt>
    <dgm:pt modelId="{B28C10FD-2ABD-4605-9BEC-E72D5BF617BB}" type="parTrans" cxnId="{485029A4-B517-48A7-B6EE-AFDA0D875FA0}">
      <dgm:prSet/>
      <dgm:spPr/>
      <dgm:t>
        <a:bodyPr/>
        <a:lstStyle/>
        <a:p>
          <a:endParaRPr lang="en-US"/>
        </a:p>
      </dgm:t>
    </dgm:pt>
    <dgm:pt modelId="{3E824315-F2EE-4A6D-B8CA-67DB95F3B922}" type="sibTrans" cxnId="{485029A4-B517-48A7-B6EE-AFDA0D875FA0}">
      <dgm:prSet/>
      <dgm:spPr/>
      <dgm:t>
        <a:bodyPr/>
        <a:lstStyle/>
        <a:p>
          <a:endParaRPr lang="en-US"/>
        </a:p>
      </dgm:t>
    </dgm:pt>
    <dgm:pt modelId="{523B04BB-1799-44E5-9A50-6E74A97BFA37}">
      <dgm:prSet/>
      <dgm:spPr/>
      <dgm:t>
        <a:bodyPr/>
        <a:lstStyle/>
        <a:p>
          <a:r>
            <a:rPr lang="en-GB" b="1"/>
            <a:t>5.4 Official handover and corridor reopening</a:t>
          </a:r>
          <a:r>
            <a:rPr lang="en-GB"/>
            <a:t> – Final documentation, compliance sign-off, stakeholder communication, and public announcement.</a:t>
          </a:r>
          <a:endParaRPr lang="en-US"/>
        </a:p>
      </dgm:t>
    </dgm:pt>
    <dgm:pt modelId="{1D4754C9-7AD5-493F-909A-62EAFDFFB3BB}" type="parTrans" cxnId="{5AB07F8C-D66D-4735-9E5A-3ACAA5DECA97}">
      <dgm:prSet/>
      <dgm:spPr/>
      <dgm:t>
        <a:bodyPr/>
        <a:lstStyle/>
        <a:p>
          <a:endParaRPr lang="en-US"/>
        </a:p>
      </dgm:t>
    </dgm:pt>
    <dgm:pt modelId="{67085B53-A675-4B9F-8EFD-74C9AE4EA6D0}" type="sibTrans" cxnId="{5AB07F8C-D66D-4735-9E5A-3ACAA5DECA97}">
      <dgm:prSet/>
      <dgm:spPr/>
      <dgm:t>
        <a:bodyPr/>
        <a:lstStyle/>
        <a:p>
          <a:endParaRPr lang="en-US"/>
        </a:p>
      </dgm:t>
    </dgm:pt>
    <dgm:pt modelId="{508ABA84-4DD2-8442-BE27-B82A4EA1E336}" type="pres">
      <dgm:prSet presAssocID="{ABEF2C0A-5934-47F1-A168-7ABBF4F31000}" presName="linear" presStyleCnt="0">
        <dgm:presLayoutVars>
          <dgm:dir/>
          <dgm:animLvl val="lvl"/>
          <dgm:resizeHandles val="exact"/>
        </dgm:presLayoutVars>
      </dgm:prSet>
      <dgm:spPr/>
    </dgm:pt>
    <dgm:pt modelId="{BD95F8CD-4441-EB45-ADC3-4E8B5428F30E}" type="pres">
      <dgm:prSet presAssocID="{A0DDEAF7-79C6-47EF-B4FB-854FF8AA5182}" presName="parentLin" presStyleCnt="0"/>
      <dgm:spPr/>
    </dgm:pt>
    <dgm:pt modelId="{C9AE07D5-96BC-D445-B3DA-8882EBB82BBE}" type="pres">
      <dgm:prSet presAssocID="{A0DDEAF7-79C6-47EF-B4FB-854FF8AA5182}" presName="parentLeftMargin" presStyleLbl="node1" presStyleIdx="0" presStyleCnt="5"/>
      <dgm:spPr/>
    </dgm:pt>
    <dgm:pt modelId="{A58697CB-BE0D-AF46-A2E7-A8F83742A333}" type="pres">
      <dgm:prSet presAssocID="{A0DDEAF7-79C6-47EF-B4FB-854FF8AA5182}" presName="parentText" presStyleLbl="node1" presStyleIdx="0" presStyleCnt="5">
        <dgm:presLayoutVars>
          <dgm:chMax val="0"/>
          <dgm:bulletEnabled val="1"/>
        </dgm:presLayoutVars>
      </dgm:prSet>
      <dgm:spPr/>
    </dgm:pt>
    <dgm:pt modelId="{CF5E37D3-0A7D-BB4C-9216-1174FC3A525B}" type="pres">
      <dgm:prSet presAssocID="{A0DDEAF7-79C6-47EF-B4FB-854FF8AA5182}" presName="negativeSpace" presStyleCnt="0"/>
      <dgm:spPr/>
    </dgm:pt>
    <dgm:pt modelId="{CB69013A-56CF-3545-8AE4-DA944E06805A}" type="pres">
      <dgm:prSet presAssocID="{A0DDEAF7-79C6-47EF-B4FB-854FF8AA5182}" presName="childText" presStyleLbl="conFgAcc1" presStyleIdx="0" presStyleCnt="5">
        <dgm:presLayoutVars>
          <dgm:bulletEnabled val="1"/>
        </dgm:presLayoutVars>
      </dgm:prSet>
      <dgm:spPr/>
    </dgm:pt>
    <dgm:pt modelId="{90BA8F2B-73D4-8546-882A-606EEEB0A0D9}" type="pres">
      <dgm:prSet presAssocID="{C4313AF6-1284-43B5-B75D-22AF2BB3D13C}" presName="spaceBetweenRectangles" presStyleCnt="0"/>
      <dgm:spPr/>
    </dgm:pt>
    <dgm:pt modelId="{5CAFD634-1E03-C844-B512-8FE0B8040905}" type="pres">
      <dgm:prSet presAssocID="{CC10B34E-03F2-4AC3-9D21-2A2FF2A57D83}" presName="parentLin" presStyleCnt="0"/>
      <dgm:spPr/>
    </dgm:pt>
    <dgm:pt modelId="{29DF4ED4-84C6-A944-BE0A-ABEFCA71BE46}" type="pres">
      <dgm:prSet presAssocID="{CC10B34E-03F2-4AC3-9D21-2A2FF2A57D83}" presName="parentLeftMargin" presStyleLbl="node1" presStyleIdx="0" presStyleCnt="5"/>
      <dgm:spPr/>
    </dgm:pt>
    <dgm:pt modelId="{49F89AD8-D307-D745-9B49-57EFE6890B75}" type="pres">
      <dgm:prSet presAssocID="{CC10B34E-03F2-4AC3-9D21-2A2FF2A57D83}" presName="parentText" presStyleLbl="node1" presStyleIdx="1" presStyleCnt="5">
        <dgm:presLayoutVars>
          <dgm:chMax val="0"/>
          <dgm:bulletEnabled val="1"/>
        </dgm:presLayoutVars>
      </dgm:prSet>
      <dgm:spPr/>
    </dgm:pt>
    <dgm:pt modelId="{BB1F3359-DFA9-3949-B8A6-D3BB971B7EAF}" type="pres">
      <dgm:prSet presAssocID="{CC10B34E-03F2-4AC3-9D21-2A2FF2A57D83}" presName="negativeSpace" presStyleCnt="0"/>
      <dgm:spPr/>
    </dgm:pt>
    <dgm:pt modelId="{002A3B67-786A-3044-B607-A997EFC1DC0B}" type="pres">
      <dgm:prSet presAssocID="{CC10B34E-03F2-4AC3-9D21-2A2FF2A57D83}" presName="childText" presStyleLbl="conFgAcc1" presStyleIdx="1" presStyleCnt="5">
        <dgm:presLayoutVars>
          <dgm:bulletEnabled val="1"/>
        </dgm:presLayoutVars>
      </dgm:prSet>
      <dgm:spPr/>
    </dgm:pt>
    <dgm:pt modelId="{8E79F053-AED9-6C41-83BD-94D1A981F957}" type="pres">
      <dgm:prSet presAssocID="{3481975C-C564-43C5-8096-5CE48B5AA12F}" presName="spaceBetweenRectangles" presStyleCnt="0"/>
      <dgm:spPr/>
    </dgm:pt>
    <dgm:pt modelId="{0B27AD13-4D59-1240-AADC-F21B01D976CB}" type="pres">
      <dgm:prSet presAssocID="{C4740A1B-4976-4882-9EC5-8B8F326CEDF3}" presName="parentLin" presStyleCnt="0"/>
      <dgm:spPr/>
    </dgm:pt>
    <dgm:pt modelId="{AD5ACC67-93AF-3B42-847F-A243A515D9ED}" type="pres">
      <dgm:prSet presAssocID="{C4740A1B-4976-4882-9EC5-8B8F326CEDF3}" presName="parentLeftMargin" presStyleLbl="node1" presStyleIdx="1" presStyleCnt="5"/>
      <dgm:spPr/>
    </dgm:pt>
    <dgm:pt modelId="{7001F7ED-D45C-C948-B84E-6D94755DE4F6}" type="pres">
      <dgm:prSet presAssocID="{C4740A1B-4976-4882-9EC5-8B8F326CEDF3}" presName="parentText" presStyleLbl="node1" presStyleIdx="2" presStyleCnt="5">
        <dgm:presLayoutVars>
          <dgm:chMax val="0"/>
          <dgm:bulletEnabled val="1"/>
        </dgm:presLayoutVars>
      </dgm:prSet>
      <dgm:spPr/>
    </dgm:pt>
    <dgm:pt modelId="{0D67A372-2185-F649-8051-F7F449EC42FC}" type="pres">
      <dgm:prSet presAssocID="{C4740A1B-4976-4882-9EC5-8B8F326CEDF3}" presName="negativeSpace" presStyleCnt="0"/>
      <dgm:spPr/>
    </dgm:pt>
    <dgm:pt modelId="{03C58AF7-5D15-084F-91DE-92A29C520767}" type="pres">
      <dgm:prSet presAssocID="{C4740A1B-4976-4882-9EC5-8B8F326CEDF3}" presName="childText" presStyleLbl="conFgAcc1" presStyleIdx="2" presStyleCnt="5">
        <dgm:presLayoutVars>
          <dgm:bulletEnabled val="1"/>
        </dgm:presLayoutVars>
      </dgm:prSet>
      <dgm:spPr/>
    </dgm:pt>
    <dgm:pt modelId="{510951E3-E17D-8047-9D10-103B0EC34B6A}" type="pres">
      <dgm:prSet presAssocID="{24638C70-70BC-420D-88A3-AAA848445116}" presName="spaceBetweenRectangles" presStyleCnt="0"/>
      <dgm:spPr/>
    </dgm:pt>
    <dgm:pt modelId="{7C7116B2-FAB9-384A-B878-742A538BF1D7}" type="pres">
      <dgm:prSet presAssocID="{5CF1F3B9-E7A6-4DE3-B5C9-6B6ACC673425}" presName="parentLin" presStyleCnt="0"/>
      <dgm:spPr/>
    </dgm:pt>
    <dgm:pt modelId="{F1929994-D601-CF42-96F7-0C0C82AF86AB}" type="pres">
      <dgm:prSet presAssocID="{5CF1F3B9-E7A6-4DE3-B5C9-6B6ACC673425}" presName="parentLeftMargin" presStyleLbl="node1" presStyleIdx="2" presStyleCnt="5"/>
      <dgm:spPr/>
    </dgm:pt>
    <dgm:pt modelId="{ED613BE2-A3D0-9547-9C5F-1EAEDABDF575}" type="pres">
      <dgm:prSet presAssocID="{5CF1F3B9-E7A6-4DE3-B5C9-6B6ACC673425}" presName="parentText" presStyleLbl="node1" presStyleIdx="3" presStyleCnt="5">
        <dgm:presLayoutVars>
          <dgm:chMax val="0"/>
          <dgm:bulletEnabled val="1"/>
        </dgm:presLayoutVars>
      </dgm:prSet>
      <dgm:spPr/>
    </dgm:pt>
    <dgm:pt modelId="{78EDE108-7833-BD4C-B54B-C60757E6E0D2}" type="pres">
      <dgm:prSet presAssocID="{5CF1F3B9-E7A6-4DE3-B5C9-6B6ACC673425}" presName="negativeSpace" presStyleCnt="0"/>
      <dgm:spPr/>
    </dgm:pt>
    <dgm:pt modelId="{05EA1D38-EF6A-3B4F-BCCC-DFB558DAAC64}" type="pres">
      <dgm:prSet presAssocID="{5CF1F3B9-E7A6-4DE3-B5C9-6B6ACC673425}" presName="childText" presStyleLbl="conFgAcc1" presStyleIdx="3" presStyleCnt="5">
        <dgm:presLayoutVars>
          <dgm:bulletEnabled val="1"/>
        </dgm:presLayoutVars>
      </dgm:prSet>
      <dgm:spPr/>
    </dgm:pt>
    <dgm:pt modelId="{30E8C119-CDEF-1843-B247-8C16282B8EFA}" type="pres">
      <dgm:prSet presAssocID="{F39FEF09-1E2F-4A23-ACF6-F4C7B7F200AB}" presName="spaceBetweenRectangles" presStyleCnt="0"/>
      <dgm:spPr/>
    </dgm:pt>
    <dgm:pt modelId="{1B6B299A-7A12-B740-8092-8D059085ECCA}" type="pres">
      <dgm:prSet presAssocID="{E462B380-A61A-4586-8D25-104D9566E4F1}" presName="parentLin" presStyleCnt="0"/>
      <dgm:spPr/>
    </dgm:pt>
    <dgm:pt modelId="{618EF8BF-188F-844F-BEF6-1A8AD23255F9}" type="pres">
      <dgm:prSet presAssocID="{E462B380-A61A-4586-8D25-104D9566E4F1}" presName="parentLeftMargin" presStyleLbl="node1" presStyleIdx="3" presStyleCnt="5"/>
      <dgm:spPr/>
    </dgm:pt>
    <dgm:pt modelId="{06DE2903-4BED-504B-AEE1-29A60C49ABE1}" type="pres">
      <dgm:prSet presAssocID="{E462B380-A61A-4586-8D25-104D9566E4F1}" presName="parentText" presStyleLbl="node1" presStyleIdx="4" presStyleCnt="5">
        <dgm:presLayoutVars>
          <dgm:chMax val="0"/>
          <dgm:bulletEnabled val="1"/>
        </dgm:presLayoutVars>
      </dgm:prSet>
      <dgm:spPr/>
    </dgm:pt>
    <dgm:pt modelId="{3872B11F-969E-CC4C-90F0-13BEB0A6D57A}" type="pres">
      <dgm:prSet presAssocID="{E462B380-A61A-4586-8D25-104D9566E4F1}" presName="negativeSpace" presStyleCnt="0"/>
      <dgm:spPr/>
    </dgm:pt>
    <dgm:pt modelId="{7DE4438D-6AE6-2C45-BD7F-518F03BD7032}" type="pres">
      <dgm:prSet presAssocID="{E462B380-A61A-4586-8D25-104D9566E4F1}" presName="childText" presStyleLbl="conFgAcc1" presStyleIdx="4" presStyleCnt="5">
        <dgm:presLayoutVars>
          <dgm:bulletEnabled val="1"/>
        </dgm:presLayoutVars>
      </dgm:prSet>
      <dgm:spPr/>
    </dgm:pt>
  </dgm:ptLst>
  <dgm:cxnLst>
    <dgm:cxn modelId="{D70E6200-748C-2C49-A24C-DC7B95D66B09}" type="presOf" srcId="{523B04BB-1799-44E5-9A50-6E74A97BFA37}" destId="{7DE4438D-6AE6-2C45-BD7F-518F03BD7032}" srcOrd="0" destOrd="3" presId="urn:microsoft.com/office/officeart/2005/8/layout/list1"/>
    <dgm:cxn modelId="{8A282807-50E5-4730-B7FA-E1D8522DBA3F}" srcId="{ABEF2C0A-5934-47F1-A168-7ABBF4F31000}" destId="{C4740A1B-4976-4882-9EC5-8B8F326CEDF3}" srcOrd="2" destOrd="0" parTransId="{3EB0CA9D-8A8F-4A08-A377-71E1C980A6EC}" sibTransId="{24638C70-70BC-420D-88A3-AAA848445116}"/>
    <dgm:cxn modelId="{21E0A707-CDD4-784C-8B37-AEAF96F0842B}" type="presOf" srcId="{ABEF2C0A-5934-47F1-A168-7ABBF4F31000}" destId="{508ABA84-4DD2-8442-BE27-B82A4EA1E336}" srcOrd="0" destOrd="0" presId="urn:microsoft.com/office/officeart/2005/8/layout/list1"/>
    <dgm:cxn modelId="{029F910C-43DB-664D-8801-F8F9CAFD274A}" type="presOf" srcId="{34830CF2-FAF7-4EB1-B2D2-923E7C67A108}" destId="{CB69013A-56CF-3545-8AE4-DA944E06805A}" srcOrd="0" destOrd="1" presId="urn:microsoft.com/office/officeart/2005/8/layout/list1"/>
    <dgm:cxn modelId="{9AFE7D15-12F6-C043-8853-B01BF8BAAF5A}" type="presOf" srcId="{9BCFDABC-A8C2-4F76-87AD-8BD4F249310C}" destId="{05EA1D38-EF6A-3B4F-BCCC-DFB558DAAC64}" srcOrd="0" destOrd="0" presId="urn:microsoft.com/office/officeart/2005/8/layout/list1"/>
    <dgm:cxn modelId="{01912F16-B63E-47DA-B22E-F7D68E957B04}" srcId="{ABEF2C0A-5934-47F1-A168-7ABBF4F31000}" destId="{5CF1F3B9-E7A6-4DE3-B5C9-6B6ACC673425}" srcOrd="3" destOrd="0" parTransId="{FEBC10A0-3B2C-4827-A995-6047DFF8CC5D}" sibTransId="{F39FEF09-1E2F-4A23-ACF6-F4C7B7F200AB}"/>
    <dgm:cxn modelId="{04E58622-5DD7-7147-BB62-AAA12FFF7ECD}" type="presOf" srcId="{96F2B942-F43F-4FF5-8F93-A5B0B5FE9D5A}" destId="{CB69013A-56CF-3545-8AE4-DA944E06805A}" srcOrd="0" destOrd="2" presId="urn:microsoft.com/office/officeart/2005/8/layout/list1"/>
    <dgm:cxn modelId="{986C6F23-6BA1-FC48-9013-BDDAE0957A7D}" type="presOf" srcId="{9674AECC-964F-4472-8C06-B59E2A602776}" destId="{7DE4438D-6AE6-2C45-BD7F-518F03BD7032}" srcOrd="0" destOrd="1" presId="urn:microsoft.com/office/officeart/2005/8/layout/list1"/>
    <dgm:cxn modelId="{31AA7E28-1834-9F47-BC89-48182C303C3A}" type="presOf" srcId="{35B76157-7672-40B5-A842-E45E6EFF0207}" destId="{03C58AF7-5D15-084F-91DE-92A29C520767}" srcOrd="0" destOrd="0" presId="urn:microsoft.com/office/officeart/2005/8/layout/list1"/>
    <dgm:cxn modelId="{C834A32D-B95F-427A-A3A3-D61229315E55}" srcId="{C4740A1B-4976-4882-9EC5-8B8F326CEDF3}" destId="{9E6D52CB-837E-4F21-B49B-A7E10147F52B}" srcOrd="1" destOrd="0" parTransId="{2CE80FE2-40A8-4742-9FBC-37A030A3874D}" sibTransId="{2A390385-7867-4D4A-B572-144D712BF147}"/>
    <dgm:cxn modelId="{B5F11832-349C-C348-A2EF-277BAD47B2DB}" type="presOf" srcId="{9E6D52CB-837E-4F21-B49B-A7E10147F52B}" destId="{03C58AF7-5D15-084F-91DE-92A29C520767}" srcOrd="0" destOrd="1" presId="urn:microsoft.com/office/officeart/2005/8/layout/list1"/>
    <dgm:cxn modelId="{D5174B33-5C61-440B-8D27-886F4055269C}" srcId="{5CF1F3B9-E7A6-4DE3-B5C9-6B6ACC673425}" destId="{73E44F64-C7C7-4C4A-8654-CCC6D5B67A6B}" srcOrd="2" destOrd="0" parTransId="{D33181F4-BDF2-4DFB-AE60-D58CC74CC8E4}" sibTransId="{508FF013-9DC6-4840-8F65-A12F7B7EC417}"/>
    <dgm:cxn modelId="{0DF24B3E-B4C5-C343-BC99-9F94D282B7FC}" type="presOf" srcId="{76490A66-F2A4-476F-A7C8-16BD54D1E633}" destId="{7DE4438D-6AE6-2C45-BD7F-518F03BD7032}" srcOrd="0" destOrd="0" presId="urn:microsoft.com/office/officeart/2005/8/layout/list1"/>
    <dgm:cxn modelId="{BACAB340-9E83-6144-BF84-BF0267713C83}" type="presOf" srcId="{DC278E7B-0898-474D-9787-10AC3F45B611}" destId="{7DE4438D-6AE6-2C45-BD7F-518F03BD7032}" srcOrd="0" destOrd="2" presId="urn:microsoft.com/office/officeart/2005/8/layout/list1"/>
    <dgm:cxn modelId="{171F2042-0D47-487F-893B-B4403231DB5B}" srcId="{CC10B34E-03F2-4AC3-9D21-2A2FF2A57D83}" destId="{4C780F40-1DF0-4624-ABC0-A7A78F7A6A9C}" srcOrd="0" destOrd="0" parTransId="{3D3A7E5E-E2A5-41D1-9803-75D9E3B70363}" sibTransId="{9166B560-7907-41C3-A437-D9F4577A8DE9}"/>
    <dgm:cxn modelId="{E9812662-232A-8741-8621-0A362CB36755}" type="presOf" srcId="{280721C9-F4E4-4130-9FD7-05F7A4113FC8}" destId="{CB69013A-56CF-3545-8AE4-DA944E06805A}" srcOrd="0" destOrd="0" presId="urn:microsoft.com/office/officeart/2005/8/layout/list1"/>
    <dgm:cxn modelId="{ACDBB543-E470-3F45-8785-98C2A5201514}" type="presOf" srcId="{5C00FA35-6489-41FA-8649-6112FE01EF35}" destId="{05EA1D38-EF6A-3B4F-BCCC-DFB558DAAC64}" srcOrd="0" destOrd="4" presId="urn:microsoft.com/office/officeart/2005/8/layout/list1"/>
    <dgm:cxn modelId="{212CA167-E4E6-4D11-A80C-99AE9E35B532}" srcId="{C4740A1B-4976-4882-9EC5-8B8F326CEDF3}" destId="{A9B39E7C-B52C-4E9A-A3BC-F4A83596607A}" srcOrd="2" destOrd="0" parTransId="{E51F856F-E81E-4C0B-8A0B-9108E19D8C2B}" sibTransId="{F5251F94-B22E-40CD-880D-B00BCD0E588C}"/>
    <dgm:cxn modelId="{DBBDE16F-FC9D-0A46-84A1-D2E75E090062}" type="presOf" srcId="{C4740A1B-4976-4882-9EC5-8B8F326CEDF3}" destId="{7001F7ED-D45C-C948-B84E-6D94755DE4F6}" srcOrd="1" destOrd="0" presId="urn:microsoft.com/office/officeart/2005/8/layout/list1"/>
    <dgm:cxn modelId="{573D2F52-D26A-43AA-991E-B8567C3035D8}" srcId="{ABEF2C0A-5934-47F1-A168-7ABBF4F31000}" destId="{E462B380-A61A-4586-8D25-104D9566E4F1}" srcOrd="4" destOrd="0" parTransId="{70BD8625-1E56-421A-A1DD-17208B104E4C}" sibTransId="{2179533A-36D7-4147-9972-49F79F697D3F}"/>
    <dgm:cxn modelId="{5618E356-8646-6747-805F-3DA10EAA3D27}" type="presOf" srcId="{A9B39E7C-B52C-4E9A-A3BC-F4A83596607A}" destId="{03C58AF7-5D15-084F-91DE-92A29C520767}" srcOrd="0" destOrd="2" presId="urn:microsoft.com/office/officeart/2005/8/layout/list1"/>
    <dgm:cxn modelId="{6AADF376-C632-ED43-80BE-F77EB8FA2394}" type="presOf" srcId="{5CF1F3B9-E7A6-4DE3-B5C9-6B6ACC673425}" destId="{ED613BE2-A3D0-9547-9C5F-1EAEDABDF575}" srcOrd="1" destOrd="0" presId="urn:microsoft.com/office/officeart/2005/8/layout/list1"/>
    <dgm:cxn modelId="{4F2E7E57-1040-48F3-889E-8EE3EF38EEB1}" srcId="{E462B380-A61A-4586-8D25-104D9566E4F1}" destId="{76490A66-F2A4-476F-A7C8-16BD54D1E633}" srcOrd="0" destOrd="0" parTransId="{77067FDA-94A4-4110-9EE0-326E42ADBD07}" sibTransId="{C4D3B3E4-5790-4653-B017-DAD6C8C57F76}"/>
    <dgm:cxn modelId="{0298177C-ECBD-472D-9E96-F0AC59392997}" srcId="{ABEF2C0A-5934-47F1-A168-7ABBF4F31000}" destId="{CC10B34E-03F2-4AC3-9D21-2A2FF2A57D83}" srcOrd="1" destOrd="0" parTransId="{AAD85F9F-7204-4B51-B5A4-0E704D4FFDDF}" sibTransId="{3481975C-C564-43C5-8096-5CE48B5AA12F}"/>
    <dgm:cxn modelId="{F007E97F-018E-4AA3-B479-6B0160E1D21B}" srcId="{A0DDEAF7-79C6-47EF-B4FB-854FF8AA5182}" destId="{280721C9-F4E4-4130-9FD7-05F7A4113FC8}" srcOrd="0" destOrd="0" parTransId="{839FBA06-667E-4667-A65F-982EB0A06B67}" sibTransId="{9EABD761-2187-4051-87BE-9A9B52F0F36D}"/>
    <dgm:cxn modelId="{0E5D0D80-3670-48FD-B4FA-5E8AA809825C}" srcId="{A0DDEAF7-79C6-47EF-B4FB-854FF8AA5182}" destId="{34830CF2-FAF7-4EB1-B2D2-923E7C67A108}" srcOrd="1" destOrd="0" parTransId="{13A461B3-93E4-49A6-834F-3311E6F68EF0}" sibTransId="{67FD013E-DF8D-4ABA-9FC0-B8B7C22D4D43}"/>
    <dgm:cxn modelId="{DE817581-F69E-C940-9B58-D3CA53299583}" type="presOf" srcId="{15A3D0F6-18AE-4ADF-A7DD-5C75FAEA2B06}" destId="{002A3B67-786A-3044-B607-A997EFC1DC0B}" srcOrd="0" destOrd="1" presId="urn:microsoft.com/office/officeart/2005/8/layout/list1"/>
    <dgm:cxn modelId="{F07D848B-1C91-48C9-BF72-0C4215FD424F}" srcId="{C4740A1B-4976-4882-9EC5-8B8F326CEDF3}" destId="{35B76157-7672-40B5-A842-E45E6EFF0207}" srcOrd="0" destOrd="0" parTransId="{8190C229-7564-4223-814D-F38393E72FCE}" sibTransId="{0F32CA23-6786-43C0-8D65-FB51F6600A0C}"/>
    <dgm:cxn modelId="{5AB07F8C-D66D-4735-9E5A-3ACAA5DECA97}" srcId="{E462B380-A61A-4586-8D25-104D9566E4F1}" destId="{523B04BB-1799-44E5-9A50-6E74A97BFA37}" srcOrd="3" destOrd="0" parTransId="{1D4754C9-7AD5-493F-909A-62EAFDFFB3BB}" sibTransId="{67085B53-A675-4B9F-8EFD-74C9AE4EA6D0}"/>
    <dgm:cxn modelId="{EF2EA18C-979A-4B33-9B73-9261A5EE432B}" srcId="{5CF1F3B9-E7A6-4DE3-B5C9-6B6ACC673425}" destId="{9440ACDE-7E5F-4FBC-83F6-BBB85C18126F}" srcOrd="3" destOrd="0" parTransId="{BA80368F-C589-4C6B-A862-46C5CC45238C}" sibTransId="{C4AACD4B-E93F-40DA-917D-D2FE4682E474}"/>
    <dgm:cxn modelId="{27C6CB8C-358E-43CE-B2D7-6FD7919A6BAD}" srcId="{ABEF2C0A-5934-47F1-A168-7ABBF4F31000}" destId="{A0DDEAF7-79C6-47EF-B4FB-854FF8AA5182}" srcOrd="0" destOrd="0" parTransId="{BAF448D1-AE71-434B-A6BE-46FA2E47ECBD}" sibTransId="{C4313AF6-1284-43B5-B75D-22AF2BB3D13C}"/>
    <dgm:cxn modelId="{3F470691-DDB4-2645-8B2A-DCBC9284846B}" type="presOf" srcId="{5CF1F3B9-E7A6-4DE3-B5C9-6B6ACC673425}" destId="{F1929994-D601-CF42-96F7-0C0C82AF86AB}" srcOrd="0" destOrd="0" presId="urn:microsoft.com/office/officeart/2005/8/layout/list1"/>
    <dgm:cxn modelId="{DCED9991-59BB-4FC8-994C-92562C4FE452}" srcId="{CC10B34E-03F2-4AC3-9D21-2A2FF2A57D83}" destId="{15A3D0F6-18AE-4ADF-A7DD-5C75FAEA2B06}" srcOrd="1" destOrd="0" parTransId="{8BF5CC38-679D-4579-AF97-7191A993924D}" sibTransId="{2069BC90-2098-492F-9F11-9B8AC71D0A8D}"/>
    <dgm:cxn modelId="{C8D8DA93-9CD1-0E43-8FCB-2107F7E31F75}" type="presOf" srcId="{58E151E2-4087-4B36-99B5-993BE17D14EB}" destId="{002A3B67-786A-3044-B607-A997EFC1DC0B}" srcOrd="0" destOrd="2" presId="urn:microsoft.com/office/officeart/2005/8/layout/list1"/>
    <dgm:cxn modelId="{308C4795-7BCA-6C4A-8183-D704422D23C8}" type="presOf" srcId="{CC10B34E-03F2-4AC3-9D21-2A2FF2A57D83}" destId="{29DF4ED4-84C6-A944-BE0A-ABEFCA71BE46}" srcOrd="0" destOrd="0" presId="urn:microsoft.com/office/officeart/2005/8/layout/list1"/>
    <dgm:cxn modelId="{517AA599-8038-4438-8979-74A7A038A2E1}" srcId="{E462B380-A61A-4586-8D25-104D9566E4F1}" destId="{9674AECC-964F-4472-8C06-B59E2A602776}" srcOrd="1" destOrd="0" parTransId="{2CEEF505-2B5A-45C1-8425-8C78EAD485D5}" sibTransId="{4193BD0C-DC69-47BA-8503-91A36987FEE1}"/>
    <dgm:cxn modelId="{9BC0F39F-573B-4F4C-A4A2-1B24824337BC}" type="presOf" srcId="{A0DDEAF7-79C6-47EF-B4FB-854FF8AA5182}" destId="{A58697CB-BE0D-AF46-A2E7-A8F83742A333}" srcOrd="1" destOrd="0" presId="urn:microsoft.com/office/officeart/2005/8/layout/list1"/>
    <dgm:cxn modelId="{988C4CA0-A10A-5348-AD9E-CE5BF4230BA8}" type="presOf" srcId="{CC10B34E-03F2-4AC3-9D21-2A2FF2A57D83}" destId="{49F89AD8-D307-D745-9B49-57EFE6890B75}" srcOrd="1" destOrd="0" presId="urn:microsoft.com/office/officeart/2005/8/layout/list1"/>
    <dgm:cxn modelId="{3077B0A1-37F3-4E1B-81C4-75017167753D}" srcId="{5CF1F3B9-E7A6-4DE3-B5C9-6B6ACC673425}" destId="{72B99D3A-D104-4FAD-9B35-4E09E922DC74}" srcOrd="1" destOrd="0" parTransId="{90D68023-CF31-4D43-9BB6-C76636B1B7B2}" sibTransId="{70267637-EDE0-4091-B0D3-5CD44351789C}"/>
    <dgm:cxn modelId="{5E2835A3-67C0-5247-A370-047BB59D39C4}" type="presOf" srcId="{E462B380-A61A-4586-8D25-104D9566E4F1}" destId="{06DE2903-4BED-504B-AEE1-29A60C49ABE1}" srcOrd="1" destOrd="0" presId="urn:microsoft.com/office/officeart/2005/8/layout/list1"/>
    <dgm:cxn modelId="{485029A4-B517-48A7-B6EE-AFDA0D875FA0}" srcId="{E462B380-A61A-4586-8D25-104D9566E4F1}" destId="{DC278E7B-0898-474D-9787-10AC3F45B611}" srcOrd="2" destOrd="0" parTransId="{B28C10FD-2ABD-4605-9BEC-E72D5BF617BB}" sibTransId="{3E824315-F2EE-4A6D-B8CA-67DB95F3B922}"/>
    <dgm:cxn modelId="{8777B0A9-B240-D842-AF5B-66D89BF730C3}" type="presOf" srcId="{A0DDEAF7-79C6-47EF-B4FB-854FF8AA5182}" destId="{C9AE07D5-96BC-D445-B3DA-8882EBB82BBE}" srcOrd="0" destOrd="0" presId="urn:microsoft.com/office/officeart/2005/8/layout/list1"/>
    <dgm:cxn modelId="{9AD0FBA9-3C09-E549-AF3E-8577CAC4BBFD}" type="presOf" srcId="{9440ACDE-7E5F-4FBC-83F6-BBB85C18126F}" destId="{05EA1D38-EF6A-3B4F-BCCC-DFB558DAAC64}" srcOrd="0" destOrd="3" presId="urn:microsoft.com/office/officeart/2005/8/layout/list1"/>
    <dgm:cxn modelId="{5A331DAD-E031-0640-95A3-CDF938123292}" type="presOf" srcId="{73E44F64-C7C7-4C4A-8654-CCC6D5B67A6B}" destId="{05EA1D38-EF6A-3B4F-BCCC-DFB558DAAC64}" srcOrd="0" destOrd="2" presId="urn:microsoft.com/office/officeart/2005/8/layout/list1"/>
    <dgm:cxn modelId="{80E734BE-9809-E448-B204-26AFA56B944B}" type="presOf" srcId="{72B99D3A-D104-4FAD-9B35-4E09E922DC74}" destId="{05EA1D38-EF6A-3B4F-BCCC-DFB558DAAC64}" srcOrd="0" destOrd="1" presId="urn:microsoft.com/office/officeart/2005/8/layout/list1"/>
    <dgm:cxn modelId="{265A0AC1-2B10-B44D-A9AD-FDC582C3315A}" type="presOf" srcId="{C4740A1B-4976-4882-9EC5-8B8F326CEDF3}" destId="{AD5ACC67-93AF-3B42-847F-A243A515D9ED}" srcOrd="0" destOrd="0" presId="urn:microsoft.com/office/officeart/2005/8/layout/list1"/>
    <dgm:cxn modelId="{155AB1C1-5BA7-4632-A8B7-57B45B0C8773}" srcId="{5CF1F3B9-E7A6-4DE3-B5C9-6B6ACC673425}" destId="{5C00FA35-6489-41FA-8649-6112FE01EF35}" srcOrd="4" destOrd="0" parTransId="{E7B7ED7D-6AAB-45D5-9CE9-FA9B7619135A}" sibTransId="{0D7606E4-8E3C-4760-81A7-33F50B3C612E}"/>
    <dgm:cxn modelId="{DBC500C8-7D07-4A4E-837F-C0887AFA7540}" type="presOf" srcId="{E462B380-A61A-4586-8D25-104D9566E4F1}" destId="{618EF8BF-188F-844F-BEF6-1A8AD23255F9}" srcOrd="0" destOrd="0" presId="urn:microsoft.com/office/officeart/2005/8/layout/list1"/>
    <dgm:cxn modelId="{4BAFD3CF-01BE-7743-9609-3F662F89D83F}" type="presOf" srcId="{4C780F40-1DF0-4624-ABC0-A7A78F7A6A9C}" destId="{002A3B67-786A-3044-B607-A997EFC1DC0B}" srcOrd="0" destOrd="0" presId="urn:microsoft.com/office/officeart/2005/8/layout/list1"/>
    <dgm:cxn modelId="{A8E2F2F1-B1DC-46E8-8B9C-5C53876DC379}" srcId="{5CF1F3B9-E7A6-4DE3-B5C9-6B6ACC673425}" destId="{9BCFDABC-A8C2-4F76-87AD-8BD4F249310C}" srcOrd="0" destOrd="0" parTransId="{D7E7A52C-9ACC-45A3-9CCD-4E4FCDE03634}" sibTransId="{6881F99A-EB2C-4FCF-B55D-8A961B19C31E}"/>
    <dgm:cxn modelId="{8275F4F9-D205-405C-BFAB-5CF822B16150}" srcId="{CC10B34E-03F2-4AC3-9D21-2A2FF2A57D83}" destId="{58E151E2-4087-4B36-99B5-993BE17D14EB}" srcOrd="2" destOrd="0" parTransId="{EAAA8410-9334-4037-A8AE-B9D2E98FECE2}" sibTransId="{9A46B600-8A51-4981-B0A4-88515DB6AB20}"/>
    <dgm:cxn modelId="{F8BBECFE-B79E-41C9-B7BB-D477DD925D9D}" srcId="{A0DDEAF7-79C6-47EF-B4FB-854FF8AA5182}" destId="{96F2B942-F43F-4FF5-8F93-A5B0B5FE9D5A}" srcOrd="2" destOrd="0" parTransId="{322C3B51-954C-4AFA-9E1E-6851AC4F58A8}" sibTransId="{DEF3933C-2C91-4E92-8D48-CAA4102A6E4A}"/>
    <dgm:cxn modelId="{5A65FDF7-EE76-054C-8927-3A4CEE08A4D8}" type="presParOf" srcId="{508ABA84-4DD2-8442-BE27-B82A4EA1E336}" destId="{BD95F8CD-4441-EB45-ADC3-4E8B5428F30E}" srcOrd="0" destOrd="0" presId="urn:microsoft.com/office/officeart/2005/8/layout/list1"/>
    <dgm:cxn modelId="{4CE6FDBC-71DF-204D-B6B4-0435FAC0DAA6}" type="presParOf" srcId="{BD95F8CD-4441-EB45-ADC3-4E8B5428F30E}" destId="{C9AE07D5-96BC-D445-B3DA-8882EBB82BBE}" srcOrd="0" destOrd="0" presId="urn:microsoft.com/office/officeart/2005/8/layout/list1"/>
    <dgm:cxn modelId="{488B8DDA-B794-8148-AEC6-22D057F72982}" type="presParOf" srcId="{BD95F8CD-4441-EB45-ADC3-4E8B5428F30E}" destId="{A58697CB-BE0D-AF46-A2E7-A8F83742A333}" srcOrd="1" destOrd="0" presId="urn:microsoft.com/office/officeart/2005/8/layout/list1"/>
    <dgm:cxn modelId="{AED0342E-594F-8B4F-92A8-3159BC16ACB1}" type="presParOf" srcId="{508ABA84-4DD2-8442-BE27-B82A4EA1E336}" destId="{CF5E37D3-0A7D-BB4C-9216-1174FC3A525B}" srcOrd="1" destOrd="0" presId="urn:microsoft.com/office/officeart/2005/8/layout/list1"/>
    <dgm:cxn modelId="{8A780310-E751-EC42-ACEA-FCBE342084B3}" type="presParOf" srcId="{508ABA84-4DD2-8442-BE27-B82A4EA1E336}" destId="{CB69013A-56CF-3545-8AE4-DA944E06805A}" srcOrd="2" destOrd="0" presId="urn:microsoft.com/office/officeart/2005/8/layout/list1"/>
    <dgm:cxn modelId="{79159B0C-36C1-E44C-A0C7-58CF917A7DFA}" type="presParOf" srcId="{508ABA84-4DD2-8442-BE27-B82A4EA1E336}" destId="{90BA8F2B-73D4-8546-882A-606EEEB0A0D9}" srcOrd="3" destOrd="0" presId="urn:microsoft.com/office/officeart/2005/8/layout/list1"/>
    <dgm:cxn modelId="{D81B5DB0-3637-2542-AA2B-B0B85972AB10}" type="presParOf" srcId="{508ABA84-4DD2-8442-BE27-B82A4EA1E336}" destId="{5CAFD634-1E03-C844-B512-8FE0B8040905}" srcOrd="4" destOrd="0" presId="urn:microsoft.com/office/officeart/2005/8/layout/list1"/>
    <dgm:cxn modelId="{2BBEF430-5E31-5F43-9288-9B287BE1916F}" type="presParOf" srcId="{5CAFD634-1E03-C844-B512-8FE0B8040905}" destId="{29DF4ED4-84C6-A944-BE0A-ABEFCA71BE46}" srcOrd="0" destOrd="0" presId="urn:microsoft.com/office/officeart/2005/8/layout/list1"/>
    <dgm:cxn modelId="{134B4CC5-F8F3-1A49-9CA5-683EDED9AD91}" type="presParOf" srcId="{5CAFD634-1E03-C844-B512-8FE0B8040905}" destId="{49F89AD8-D307-D745-9B49-57EFE6890B75}" srcOrd="1" destOrd="0" presId="urn:microsoft.com/office/officeart/2005/8/layout/list1"/>
    <dgm:cxn modelId="{A591118A-F98B-0042-A7C1-8EDEC3491807}" type="presParOf" srcId="{508ABA84-4DD2-8442-BE27-B82A4EA1E336}" destId="{BB1F3359-DFA9-3949-B8A6-D3BB971B7EAF}" srcOrd="5" destOrd="0" presId="urn:microsoft.com/office/officeart/2005/8/layout/list1"/>
    <dgm:cxn modelId="{296919E4-0139-2E4E-9F5F-CC35A174FBD9}" type="presParOf" srcId="{508ABA84-4DD2-8442-BE27-B82A4EA1E336}" destId="{002A3B67-786A-3044-B607-A997EFC1DC0B}" srcOrd="6" destOrd="0" presId="urn:microsoft.com/office/officeart/2005/8/layout/list1"/>
    <dgm:cxn modelId="{AE419445-8270-EB40-8569-832AED032575}" type="presParOf" srcId="{508ABA84-4DD2-8442-BE27-B82A4EA1E336}" destId="{8E79F053-AED9-6C41-83BD-94D1A981F957}" srcOrd="7" destOrd="0" presId="urn:microsoft.com/office/officeart/2005/8/layout/list1"/>
    <dgm:cxn modelId="{6ABBE3E6-E9A7-8D48-8CA0-D65DA70BF15F}" type="presParOf" srcId="{508ABA84-4DD2-8442-BE27-B82A4EA1E336}" destId="{0B27AD13-4D59-1240-AADC-F21B01D976CB}" srcOrd="8" destOrd="0" presId="urn:microsoft.com/office/officeart/2005/8/layout/list1"/>
    <dgm:cxn modelId="{B15185A5-C90A-8B46-A787-0D292C7896F4}" type="presParOf" srcId="{0B27AD13-4D59-1240-AADC-F21B01D976CB}" destId="{AD5ACC67-93AF-3B42-847F-A243A515D9ED}" srcOrd="0" destOrd="0" presId="urn:microsoft.com/office/officeart/2005/8/layout/list1"/>
    <dgm:cxn modelId="{E605F7E7-6987-8A4D-9421-DBEA56C9F576}" type="presParOf" srcId="{0B27AD13-4D59-1240-AADC-F21B01D976CB}" destId="{7001F7ED-D45C-C948-B84E-6D94755DE4F6}" srcOrd="1" destOrd="0" presId="urn:microsoft.com/office/officeart/2005/8/layout/list1"/>
    <dgm:cxn modelId="{7ADAA1BE-4876-974E-89E9-A70FDD5DBB9D}" type="presParOf" srcId="{508ABA84-4DD2-8442-BE27-B82A4EA1E336}" destId="{0D67A372-2185-F649-8051-F7F449EC42FC}" srcOrd="9" destOrd="0" presId="urn:microsoft.com/office/officeart/2005/8/layout/list1"/>
    <dgm:cxn modelId="{F4398295-2B43-1C45-9104-B47F073C24F7}" type="presParOf" srcId="{508ABA84-4DD2-8442-BE27-B82A4EA1E336}" destId="{03C58AF7-5D15-084F-91DE-92A29C520767}" srcOrd="10" destOrd="0" presId="urn:microsoft.com/office/officeart/2005/8/layout/list1"/>
    <dgm:cxn modelId="{FAA78F5B-B773-7A41-B870-B292B18381D2}" type="presParOf" srcId="{508ABA84-4DD2-8442-BE27-B82A4EA1E336}" destId="{510951E3-E17D-8047-9D10-103B0EC34B6A}" srcOrd="11" destOrd="0" presId="urn:microsoft.com/office/officeart/2005/8/layout/list1"/>
    <dgm:cxn modelId="{E8E5670C-FDAC-1045-9934-AA34FCB894E7}" type="presParOf" srcId="{508ABA84-4DD2-8442-BE27-B82A4EA1E336}" destId="{7C7116B2-FAB9-384A-B878-742A538BF1D7}" srcOrd="12" destOrd="0" presId="urn:microsoft.com/office/officeart/2005/8/layout/list1"/>
    <dgm:cxn modelId="{C277205E-8D7D-D14D-B24F-D42632CF409D}" type="presParOf" srcId="{7C7116B2-FAB9-384A-B878-742A538BF1D7}" destId="{F1929994-D601-CF42-96F7-0C0C82AF86AB}" srcOrd="0" destOrd="0" presId="urn:microsoft.com/office/officeart/2005/8/layout/list1"/>
    <dgm:cxn modelId="{1B7A2164-E9DF-CC4D-AEFB-D25CD04457CC}" type="presParOf" srcId="{7C7116B2-FAB9-384A-B878-742A538BF1D7}" destId="{ED613BE2-A3D0-9547-9C5F-1EAEDABDF575}" srcOrd="1" destOrd="0" presId="urn:microsoft.com/office/officeart/2005/8/layout/list1"/>
    <dgm:cxn modelId="{96D9A330-6F04-AB43-8D70-C6EEFF1ECC9E}" type="presParOf" srcId="{508ABA84-4DD2-8442-BE27-B82A4EA1E336}" destId="{78EDE108-7833-BD4C-B54B-C60757E6E0D2}" srcOrd="13" destOrd="0" presId="urn:microsoft.com/office/officeart/2005/8/layout/list1"/>
    <dgm:cxn modelId="{593DA234-0F05-0548-A8C1-0616F3AE375A}" type="presParOf" srcId="{508ABA84-4DD2-8442-BE27-B82A4EA1E336}" destId="{05EA1D38-EF6A-3B4F-BCCC-DFB558DAAC64}" srcOrd="14" destOrd="0" presId="urn:microsoft.com/office/officeart/2005/8/layout/list1"/>
    <dgm:cxn modelId="{87FC2FF4-2CFA-5B4F-8F00-12AD3364015C}" type="presParOf" srcId="{508ABA84-4DD2-8442-BE27-B82A4EA1E336}" destId="{30E8C119-CDEF-1843-B247-8C16282B8EFA}" srcOrd="15" destOrd="0" presId="urn:microsoft.com/office/officeart/2005/8/layout/list1"/>
    <dgm:cxn modelId="{47D5B112-C896-9240-A55F-47A12D8FFFDA}" type="presParOf" srcId="{508ABA84-4DD2-8442-BE27-B82A4EA1E336}" destId="{1B6B299A-7A12-B740-8092-8D059085ECCA}" srcOrd="16" destOrd="0" presId="urn:microsoft.com/office/officeart/2005/8/layout/list1"/>
    <dgm:cxn modelId="{E03C720E-6BF5-3844-B336-403B8255E811}" type="presParOf" srcId="{1B6B299A-7A12-B740-8092-8D059085ECCA}" destId="{618EF8BF-188F-844F-BEF6-1A8AD23255F9}" srcOrd="0" destOrd="0" presId="urn:microsoft.com/office/officeart/2005/8/layout/list1"/>
    <dgm:cxn modelId="{FB390BF4-E920-2F42-97EB-1D917B3790A9}" type="presParOf" srcId="{1B6B299A-7A12-B740-8092-8D059085ECCA}" destId="{06DE2903-4BED-504B-AEE1-29A60C49ABE1}" srcOrd="1" destOrd="0" presId="urn:microsoft.com/office/officeart/2005/8/layout/list1"/>
    <dgm:cxn modelId="{4CC54499-AC09-6F48-B56C-9F6023CB38A9}" type="presParOf" srcId="{508ABA84-4DD2-8442-BE27-B82A4EA1E336}" destId="{3872B11F-969E-CC4C-90F0-13BEB0A6D57A}" srcOrd="17" destOrd="0" presId="urn:microsoft.com/office/officeart/2005/8/layout/list1"/>
    <dgm:cxn modelId="{09D1C097-F44A-CF46-A98F-03153EA5844F}" type="presParOf" srcId="{508ABA84-4DD2-8442-BE27-B82A4EA1E336}" destId="{7DE4438D-6AE6-2C45-BD7F-518F03BD7032}" srcOrd="18"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C3F011E-DEBB-C843-9185-F240E04DE47F}" type="doc">
      <dgm:prSet loTypeId="urn:microsoft.com/office/officeart/2005/8/layout/matrix1" loCatId="" qsTypeId="urn:microsoft.com/office/officeart/2005/8/quickstyle/simple1" qsCatId="simple" csTypeId="urn:microsoft.com/office/officeart/2005/8/colors/colorful1" csCatId="colorful" phldr="1"/>
      <dgm:spPr/>
      <dgm:t>
        <a:bodyPr/>
        <a:lstStyle/>
        <a:p>
          <a:endParaRPr lang="en-GB"/>
        </a:p>
      </dgm:t>
    </dgm:pt>
    <dgm:pt modelId="{72DA55B1-0195-9542-BCE0-8F48FB68A793}">
      <dgm:prSet phldrT="[Text]"/>
      <dgm:spPr/>
      <dgm:t>
        <a:bodyPr/>
        <a:lstStyle/>
        <a:p>
          <a:r>
            <a:rPr lang="en-GB" b="1" u="sng"/>
            <a:t>QUAD CHART</a:t>
          </a:r>
        </a:p>
      </dgm:t>
    </dgm:pt>
    <dgm:pt modelId="{3FD57777-6FA9-414F-A43E-D02A4445E5F3}" type="parTrans" cxnId="{861E989F-66F2-B945-9F2A-6645FA5961D5}">
      <dgm:prSet/>
      <dgm:spPr/>
      <dgm:t>
        <a:bodyPr/>
        <a:lstStyle/>
        <a:p>
          <a:endParaRPr lang="en-GB"/>
        </a:p>
      </dgm:t>
    </dgm:pt>
    <dgm:pt modelId="{2D66BE33-02FC-BE41-A10B-CE07917466A6}" type="sibTrans" cxnId="{861E989F-66F2-B945-9F2A-6645FA5961D5}">
      <dgm:prSet/>
      <dgm:spPr/>
      <dgm:t>
        <a:bodyPr/>
        <a:lstStyle/>
        <a:p>
          <a:endParaRPr lang="en-GB"/>
        </a:p>
      </dgm:t>
    </dgm:pt>
    <dgm:pt modelId="{BBA8C6FB-F5ED-0645-93BF-2315A15F4999}">
      <dgm:prSet phldrT="[Text]"/>
      <dgm:spPr/>
      <dgm:t>
        <a:bodyPr/>
        <a:lstStyle/>
        <a:p>
          <a:r>
            <a:rPr lang="en-GB" b="1" u="sng"/>
            <a:t>PURPOSE </a:t>
          </a:r>
        </a:p>
        <a:p>
          <a:r>
            <a:rPr lang="en-GB"/>
            <a:t>Restore Highway 5 following catastrophic flood damage. </a:t>
          </a:r>
        </a:p>
        <a:p>
          <a:r>
            <a:rPr lang="en-GB"/>
            <a:t>Re-establish safe and efficient movement of goods, emergency services, and citizens.</a:t>
          </a:r>
        </a:p>
        <a:p>
          <a:r>
            <a:rPr lang="en-GB"/>
            <a:t> Implement climate-resilient infrastructure capable of withstanding future extreme weather events. </a:t>
          </a:r>
        </a:p>
        <a:p>
          <a:r>
            <a:rPr lang="en-GB"/>
            <a:t>Minimise supply chain disruption and support regional economic recovery.</a:t>
          </a:r>
        </a:p>
      </dgm:t>
    </dgm:pt>
    <dgm:pt modelId="{07F5CAC4-717E-1F4E-8E49-6381FDAD7AB0}" type="parTrans" cxnId="{F5F5FA33-0AD7-1546-A43A-5D8391E560F4}">
      <dgm:prSet/>
      <dgm:spPr/>
      <dgm:t>
        <a:bodyPr/>
        <a:lstStyle/>
        <a:p>
          <a:endParaRPr lang="en-GB"/>
        </a:p>
      </dgm:t>
    </dgm:pt>
    <dgm:pt modelId="{D5A459F3-19B6-4C4B-862F-30EBEFD288BD}" type="sibTrans" cxnId="{F5F5FA33-0AD7-1546-A43A-5D8391E560F4}">
      <dgm:prSet/>
      <dgm:spPr/>
      <dgm:t>
        <a:bodyPr/>
        <a:lstStyle/>
        <a:p>
          <a:endParaRPr lang="en-GB"/>
        </a:p>
      </dgm:t>
    </dgm:pt>
    <dgm:pt modelId="{35A17698-0B78-0F47-A38C-2662132288CD}">
      <dgm:prSet phldrT="[Text]" phldr="1"/>
      <dgm:spPr/>
      <dgm:t>
        <a:bodyPr/>
        <a:lstStyle/>
        <a:p>
          <a:endParaRPr lang="en-GB"/>
        </a:p>
      </dgm:t>
    </dgm:pt>
    <dgm:pt modelId="{C127CEE5-7355-F54F-A775-6E15FEB06555}" type="parTrans" cxnId="{1DC3BDD2-14BC-D346-908F-FD83035E19A3}">
      <dgm:prSet/>
      <dgm:spPr/>
      <dgm:t>
        <a:bodyPr/>
        <a:lstStyle/>
        <a:p>
          <a:endParaRPr lang="en-GB"/>
        </a:p>
      </dgm:t>
    </dgm:pt>
    <dgm:pt modelId="{9021890E-7ACC-3349-89B8-C9DE6F86AA33}" type="sibTrans" cxnId="{1DC3BDD2-14BC-D346-908F-FD83035E19A3}">
      <dgm:prSet/>
      <dgm:spPr/>
      <dgm:t>
        <a:bodyPr/>
        <a:lstStyle/>
        <a:p>
          <a:endParaRPr lang="en-GB"/>
        </a:p>
      </dgm:t>
    </dgm:pt>
    <dgm:pt modelId="{A1110990-44CF-3F4B-AA08-B7452C7D6C6A}">
      <dgm:prSet phldrT="[Text]" phldr="1"/>
      <dgm:spPr/>
      <dgm:t>
        <a:bodyPr/>
        <a:lstStyle/>
        <a:p>
          <a:endParaRPr lang="en-GB"/>
        </a:p>
      </dgm:t>
    </dgm:pt>
    <dgm:pt modelId="{7A5AEECA-A274-E24B-897B-05789F30717D}" type="parTrans" cxnId="{DA8576E6-D9DD-9E41-B182-9125D3DD2E89}">
      <dgm:prSet/>
      <dgm:spPr/>
      <dgm:t>
        <a:bodyPr/>
        <a:lstStyle/>
        <a:p>
          <a:endParaRPr lang="en-GB"/>
        </a:p>
      </dgm:t>
    </dgm:pt>
    <dgm:pt modelId="{A9332D76-FA07-CA42-B2FA-242DAAC06442}" type="sibTrans" cxnId="{DA8576E6-D9DD-9E41-B182-9125D3DD2E89}">
      <dgm:prSet/>
      <dgm:spPr/>
      <dgm:t>
        <a:bodyPr/>
        <a:lstStyle/>
        <a:p>
          <a:endParaRPr lang="en-GB"/>
        </a:p>
      </dgm:t>
    </dgm:pt>
    <dgm:pt modelId="{2BE0F647-9DBC-7B4A-AB16-B7203AD1B91A}">
      <dgm:prSet phldrT="[Text]" phldr="1"/>
      <dgm:spPr/>
      <dgm:t>
        <a:bodyPr/>
        <a:lstStyle/>
        <a:p>
          <a:endParaRPr lang="en-GB"/>
        </a:p>
      </dgm:t>
    </dgm:pt>
    <dgm:pt modelId="{F8011B54-C41D-FE4E-A140-A5F9C78DA0D2}" type="parTrans" cxnId="{0D58C3DD-6FA9-D54B-B262-A4EDCE0AE5BB}">
      <dgm:prSet/>
      <dgm:spPr/>
      <dgm:t>
        <a:bodyPr/>
        <a:lstStyle/>
        <a:p>
          <a:endParaRPr lang="en-GB"/>
        </a:p>
      </dgm:t>
    </dgm:pt>
    <dgm:pt modelId="{25456639-339C-3641-85AB-6B0D6C7FABFD}" type="sibTrans" cxnId="{0D58C3DD-6FA9-D54B-B262-A4EDCE0AE5BB}">
      <dgm:prSet/>
      <dgm:spPr/>
      <dgm:t>
        <a:bodyPr/>
        <a:lstStyle/>
        <a:p>
          <a:endParaRPr lang="en-GB"/>
        </a:p>
      </dgm:t>
    </dgm:pt>
    <dgm:pt modelId="{1D03B6AF-76F3-C74B-8955-83C33E6E6227}">
      <dgm:prSet phldrT="[Text]"/>
      <dgm:spPr/>
      <dgm:t>
        <a:bodyPr/>
        <a:lstStyle/>
        <a:p>
          <a:r>
            <a:rPr lang="en-GB" b="1" u="sng"/>
            <a:t>STAKEHOLDERS</a:t>
          </a:r>
          <a:r>
            <a:rPr lang="en-GB"/>
            <a:t> </a:t>
          </a:r>
        </a:p>
        <a:p>
          <a:r>
            <a:rPr lang="en-GB"/>
            <a:t>Government of British Columbia </a:t>
          </a:r>
        </a:p>
        <a:p>
          <a:r>
            <a:rPr lang="en-GB"/>
            <a:t>Transport Canada Local municipalities</a:t>
          </a:r>
        </a:p>
        <a:p>
          <a:r>
            <a:rPr lang="en-GB"/>
            <a:t>Indigenous communities Contractors, </a:t>
          </a:r>
        </a:p>
        <a:p>
          <a:r>
            <a:rPr lang="en-GB"/>
            <a:t>Engineers, consultants Local residents, farmers, businesses</a:t>
          </a:r>
        </a:p>
      </dgm:t>
    </dgm:pt>
    <dgm:pt modelId="{276A55DE-E1C8-8849-AE86-7E6248B8AF51}" type="parTrans" cxnId="{0092FD14-977D-E849-9461-892AFFBF36E2}">
      <dgm:prSet/>
      <dgm:spPr/>
      <dgm:t>
        <a:bodyPr/>
        <a:lstStyle/>
        <a:p>
          <a:endParaRPr lang="en-GB"/>
        </a:p>
      </dgm:t>
    </dgm:pt>
    <dgm:pt modelId="{B11BCF44-6D18-0248-8723-D72F96262932}" type="sibTrans" cxnId="{0092FD14-977D-E849-9461-892AFFBF36E2}">
      <dgm:prSet/>
      <dgm:spPr/>
      <dgm:t>
        <a:bodyPr/>
        <a:lstStyle/>
        <a:p>
          <a:endParaRPr lang="en-GB"/>
        </a:p>
      </dgm:t>
    </dgm:pt>
    <dgm:pt modelId="{A4AB0F66-C5FC-D84A-A8D4-93DB92C767C8}">
      <dgm:prSet phldrT="[Text]"/>
      <dgm:spPr/>
      <dgm:t>
        <a:bodyPr/>
        <a:lstStyle/>
        <a:p>
          <a:r>
            <a:rPr lang="en-GB" b="1" u="sng"/>
            <a:t>BENEFITS</a:t>
          </a:r>
        </a:p>
        <a:p>
          <a:r>
            <a:rPr lang="en-GB"/>
            <a:t> Restored transportation access and supply chain continuity.  </a:t>
          </a:r>
        </a:p>
        <a:p>
          <a:r>
            <a:rPr lang="en-GB"/>
            <a:t>Improved public safety and emergency response access.</a:t>
          </a:r>
        </a:p>
        <a:p>
          <a:r>
            <a:rPr lang="en-GB"/>
            <a:t>Increased resilience to floods and climate hazards. </a:t>
          </a:r>
        </a:p>
        <a:p>
          <a:r>
            <a:rPr lang="en-GB"/>
            <a:t>Economic revitalisation of affected regions. </a:t>
          </a:r>
        </a:p>
        <a:p>
          <a:r>
            <a:rPr lang="en-GB"/>
            <a:t>Stronger long-term disaster preparedness across the province.</a:t>
          </a:r>
        </a:p>
      </dgm:t>
    </dgm:pt>
    <dgm:pt modelId="{7D62422D-B4B5-4044-9FD3-2B6B3D446C85}" type="parTrans" cxnId="{2A4289D7-53D3-F94B-98C6-3A7D0D384B40}">
      <dgm:prSet/>
      <dgm:spPr/>
    </dgm:pt>
    <dgm:pt modelId="{FEF76C02-AD9D-804C-94BD-46216F5C7E8B}" type="sibTrans" cxnId="{2A4289D7-53D3-F94B-98C6-3A7D0D384B40}">
      <dgm:prSet/>
      <dgm:spPr/>
    </dgm:pt>
    <dgm:pt modelId="{9EF4C38E-8949-E24B-ABCF-F7F854E2BBEA}">
      <dgm:prSet phldrT="[Text]"/>
      <dgm:spPr/>
      <dgm:t>
        <a:bodyPr/>
        <a:lstStyle/>
        <a:p>
          <a:r>
            <a:rPr lang="en-GB" b="1" u="sng"/>
            <a:t>RISK / CHALLENGE </a:t>
          </a:r>
        </a:p>
        <a:p>
          <a:r>
            <a:rPr lang="en-GB"/>
            <a:t>Extreme weather delaying construction phases. </a:t>
          </a:r>
        </a:p>
        <a:p>
          <a:r>
            <a:rPr lang="en-GB"/>
            <a:t>Material shortages and logistical disruptions. </a:t>
          </a:r>
        </a:p>
        <a:p>
          <a:r>
            <a:rPr lang="en-GB"/>
            <a:t>Budget overruns due to inflation or unforeseen damage. </a:t>
          </a:r>
        </a:p>
        <a:p>
          <a:r>
            <a:rPr lang="en-GB"/>
            <a:t>Environmental and regulatory approval delays.  </a:t>
          </a:r>
        </a:p>
        <a:p>
          <a:r>
            <a:rPr lang="en-GB"/>
            <a:t>Potential stakeholder conflict or communication breakdowns.</a:t>
          </a:r>
        </a:p>
      </dgm:t>
    </dgm:pt>
    <dgm:pt modelId="{895B91BC-A287-B44C-949C-2A8C18CD517F}" type="parTrans" cxnId="{E6AF3908-D24E-5B47-B500-911F01119253}">
      <dgm:prSet/>
      <dgm:spPr/>
    </dgm:pt>
    <dgm:pt modelId="{37E4992F-A70C-2241-B052-9AB0505A0D3C}" type="sibTrans" cxnId="{E6AF3908-D24E-5B47-B500-911F01119253}">
      <dgm:prSet/>
      <dgm:spPr/>
    </dgm:pt>
    <dgm:pt modelId="{681F7325-F810-214E-AF3C-F10E0E765AD3}" type="pres">
      <dgm:prSet presAssocID="{0C3F011E-DEBB-C843-9185-F240E04DE47F}" presName="diagram" presStyleCnt="0">
        <dgm:presLayoutVars>
          <dgm:chMax val="1"/>
          <dgm:dir/>
          <dgm:animLvl val="ctr"/>
          <dgm:resizeHandles val="exact"/>
        </dgm:presLayoutVars>
      </dgm:prSet>
      <dgm:spPr/>
    </dgm:pt>
    <dgm:pt modelId="{2D3AC133-4081-4B44-84C9-FCA74E7683AD}" type="pres">
      <dgm:prSet presAssocID="{0C3F011E-DEBB-C843-9185-F240E04DE47F}" presName="matrix" presStyleCnt="0"/>
      <dgm:spPr/>
    </dgm:pt>
    <dgm:pt modelId="{84E6F25B-BA34-1A4C-92A5-2A49F459D194}" type="pres">
      <dgm:prSet presAssocID="{0C3F011E-DEBB-C843-9185-F240E04DE47F}" presName="tile1" presStyleLbl="node1" presStyleIdx="0" presStyleCnt="4"/>
      <dgm:spPr/>
    </dgm:pt>
    <dgm:pt modelId="{FE2C131E-1FAE-EF4D-864E-8F7C7D386D52}" type="pres">
      <dgm:prSet presAssocID="{0C3F011E-DEBB-C843-9185-F240E04DE47F}" presName="tile1text" presStyleLbl="node1" presStyleIdx="0" presStyleCnt="4">
        <dgm:presLayoutVars>
          <dgm:chMax val="0"/>
          <dgm:chPref val="0"/>
          <dgm:bulletEnabled val="1"/>
        </dgm:presLayoutVars>
      </dgm:prSet>
      <dgm:spPr/>
    </dgm:pt>
    <dgm:pt modelId="{4204D358-C197-ED45-9D6A-504042B5A8E9}" type="pres">
      <dgm:prSet presAssocID="{0C3F011E-DEBB-C843-9185-F240E04DE47F}" presName="tile2" presStyleLbl="node1" presStyleIdx="1" presStyleCnt="4"/>
      <dgm:spPr/>
    </dgm:pt>
    <dgm:pt modelId="{8DC03C88-5306-F842-A9FF-580B8600AF6E}" type="pres">
      <dgm:prSet presAssocID="{0C3F011E-DEBB-C843-9185-F240E04DE47F}" presName="tile2text" presStyleLbl="node1" presStyleIdx="1" presStyleCnt="4">
        <dgm:presLayoutVars>
          <dgm:chMax val="0"/>
          <dgm:chPref val="0"/>
          <dgm:bulletEnabled val="1"/>
        </dgm:presLayoutVars>
      </dgm:prSet>
      <dgm:spPr/>
    </dgm:pt>
    <dgm:pt modelId="{6060E342-C8BE-824A-8343-0F588D867C5C}" type="pres">
      <dgm:prSet presAssocID="{0C3F011E-DEBB-C843-9185-F240E04DE47F}" presName="tile3" presStyleLbl="node1" presStyleIdx="2" presStyleCnt="4"/>
      <dgm:spPr/>
    </dgm:pt>
    <dgm:pt modelId="{BEAB4A2C-2013-2143-8C98-2A72C6868233}" type="pres">
      <dgm:prSet presAssocID="{0C3F011E-DEBB-C843-9185-F240E04DE47F}" presName="tile3text" presStyleLbl="node1" presStyleIdx="2" presStyleCnt="4">
        <dgm:presLayoutVars>
          <dgm:chMax val="0"/>
          <dgm:chPref val="0"/>
          <dgm:bulletEnabled val="1"/>
        </dgm:presLayoutVars>
      </dgm:prSet>
      <dgm:spPr/>
    </dgm:pt>
    <dgm:pt modelId="{17488FE8-9BD0-0348-990D-18B77EFF14F3}" type="pres">
      <dgm:prSet presAssocID="{0C3F011E-DEBB-C843-9185-F240E04DE47F}" presName="tile4" presStyleLbl="node1" presStyleIdx="3" presStyleCnt="4"/>
      <dgm:spPr/>
    </dgm:pt>
    <dgm:pt modelId="{96678907-B97F-3842-B3F5-B39C0C1AA6D6}" type="pres">
      <dgm:prSet presAssocID="{0C3F011E-DEBB-C843-9185-F240E04DE47F}" presName="tile4text" presStyleLbl="node1" presStyleIdx="3" presStyleCnt="4">
        <dgm:presLayoutVars>
          <dgm:chMax val="0"/>
          <dgm:chPref val="0"/>
          <dgm:bulletEnabled val="1"/>
        </dgm:presLayoutVars>
      </dgm:prSet>
      <dgm:spPr/>
    </dgm:pt>
    <dgm:pt modelId="{B793650F-9522-1541-AB90-6FF63B3AF7C4}" type="pres">
      <dgm:prSet presAssocID="{0C3F011E-DEBB-C843-9185-F240E04DE47F}" presName="centerTile" presStyleLbl="fgShp" presStyleIdx="0" presStyleCnt="1" custScaleX="73552" custScaleY="79678">
        <dgm:presLayoutVars>
          <dgm:chMax val="0"/>
          <dgm:chPref val="0"/>
        </dgm:presLayoutVars>
      </dgm:prSet>
      <dgm:spPr/>
    </dgm:pt>
  </dgm:ptLst>
  <dgm:cxnLst>
    <dgm:cxn modelId="{7FFC0C01-F4C1-2842-ABB8-F1B6A8E83DB5}" type="presOf" srcId="{72DA55B1-0195-9542-BCE0-8F48FB68A793}" destId="{B793650F-9522-1541-AB90-6FF63B3AF7C4}" srcOrd="0" destOrd="0" presId="urn:microsoft.com/office/officeart/2005/8/layout/matrix1"/>
    <dgm:cxn modelId="{E6AF3908-D24E-5B47-B500-911F01119253}" srcId="{72DA55B1-0195-9542-BCE0-8F48FB68A793}" destId="{9EF4C38E-8949-E24B-ABCF-F7F854E2BBEA}" srcOrd="3" destOrd="0" parTransId="{895B91BC-A287-B44C-949C-2A8C18CD517F}" sibTransId="{37E4992F-A70C-2241-B052-9AB0505A0D3C}"/>
    <dgm:cxn modelId="{0092FD14-977D-E849-9461-892AFFBF36E2}" srcId="{72DA55B1-0195-9542-BCE0-8F48FB68A793}" destId="{1D03B6AF-76F3-C74B-8955-83C33E6E6227}" srcOrd="1" destOrd="0" parTransId="{276A55DE-E1C8-8849-AE86-7E6248B8AF51}" sibTransId="{B11BCF44-6D18-0248-8723-D72F96262932}"/>
    <dgm:cxn modelId="{5715B92D-BC4E-8B4B-AE9A-6F3FCC951F25}" type="presOf" srcId="{BBA8C6FB-F5ED-0645-93BF-2315A15F4999}" destId="{84E6F25B-BA34-1A4C-92A5-2A49F459D194}" srcOrd="0" destOrd="0" presId="urn:microsoft.com/office/officeart/2005/8/layout/matrix1"/>
    <dgm:cxn modelId="{F5F5FA33-0AD7-1546-A43A-5D8391E560F4}" srcId="{72DA55B1-0195-9542-BCE0-8F48FB68A793}" destId="{BBA8C6FB-F5ED-0645-93BF-2315A15F4999}" srcOrd="0" destOrd="0" parTransId="{07F5CAC4-717E-1F4E-8E49-6381FDAD7AB0}" sibTransId="{D5A459F3-19B6-4C4B-862F-30EBEFD288BD}"/>
    <dgm:cxn modelId="{5C9E155F-50C8-3C48-874D-329733E4511D}" type="presOf" srcId="{9EF4C38E-8949-E24B-ABCF-F7F854E2BBEA}" destId="{96678907-B97F-3842-B3F5-B39C0C1AA6D6}" srcOrd="1" destOrd="0" presId="urn:microsoft.com/office/officeart/2005/8/layout/matrix1"/>
    <dgm:cxn modelId="{B6EE1744-7AE8-714F-9ABF-96D0F4550AB6}" type="presOf" srcId="{A4AB0F66-C5FC-D84A-A8D4-93DB92C767C8}" destId="{6060E342-C8BE-824A-8343-0F588D867C5C}" srcOrd="0" destOrd="0" presId="urn:microsoft.com/office/officeart/2005/8/layout/matrix1"/>
    <dgm:cxn modelId="{20FFE56F-D251-B849-A110-247D27678EDB}" type="presOf" srcId="{0C3F011E-DEBB-C843-9185-F240E04DE47F}" destId="{681F7325-F810-214E-AF3C-F10E0E765AD3}" srcOrd="0" destOrd="0" presId="urn:microsoft.com/office/officeart/2005/8/layout/matrix1"/>
    <dgm:cxn modelId="{66F8E87D-8170-AA46-A392-AE274C63AE7F}" type="presOf" srcId="{1D03B6AF-76F3-C74B-8955-83C33E6E6227}" destId="{4204D358-C197-ED45-9D6A-504042B5A8E9}" srcOrd="0" destOrd="0" presId="urn:microsoft.com/office/officeart/2005/8/layout/matrix1"/>
    <dgm:cxn modelId="{861E989F-66F2-B945-9F2A-6645FA5961D5}" srcId="{0C3F011E-DEBB-C843-9185-F240E04DE47F}" destId="{72DA55B1-0195-9542-BCE0-8F48FB68A793}" srcOrd="0" destOrd="0" parTransId="{3FD57777-6FA9-414F-A43E-D02A4445E5F3}" sibTransId="{2D66BE33-02FC-BE41-A10B-CE07917466A6}"/>
    <dgm:cxn modelId="{7C486AB4-43F2-7B4F-8569-494EA8C4EB4F}" type="presOf" srcId="{1D03B6AF-76F3-C74B-8955-83C33E6E6227}" destId="{8DC03C88-5306-F842-A9FF-580B8600AF6E}" srcOrd="1" destOrd="0" presId="urn:microsoft.com/office/officeart/2005/8/layout/matrix1"/>
    <dgm:cxn modelId="{495BD5BB-E7F8-0C49-91A4-F007CD30E649}" type="presOf" srcId="{BBA8C6FB-F5ED-0645-93BF-2315A15F4999}" destId="{FE2C131E-1FAE-EF4D-864E-8F7C7D386D52}" srcOrd="1" destOrd="0" presId="urn:microsoft.com/office/officeart/2005/8/layout/matrix1"/>
    <dgm:cxn modelId="{5D6296CE-7CE7-2246-B5B9-2176EB2AB6A0}" type="presOf" srcId="{9EF4C38E-8949-E24B-ABCF-F7F854E2BBEA}" destId="{17488FE8-9BD0-0348-990D-18B77EFF14F3}" srcOrd="0" destOrd="0" presId="urn:microsoft.com/office/officeart/2005/8/layout/matrix1"/>
    <dgm:cxn modelId="{1DC3BDD2-14BC-D346-908F-FD83035E19A3}" srcId="{0C3F011E-DEBB-C843-9185-F240E04DE47F}" destId="{35A17698-0B78-0F47-A38C-2662132288CD}" srcOrd="1" destOrd="0" parTransId="{C127CEE5-7355-F54F-A775-6E15FEB06555}" sibTransId="{9021890E-7ACC-3349-89B8-C9DE6F86AA33}"/>
    <dgm:cxn modelId="{2A4289D7-53D3-F94B-98C6-3A7D0D384B40}" srcId="{72DA55B1-0195-9542-BCE0-8F48FB68A793}" destId="{A4AB0F66-C5FC-D84A-A8D4-93DB92C767C8}" srcOrd="2" destOrd="0" parTransId="{7D62422D-B4B5-4044-9FD3-2B6B3D446C85}" sibTransId="{FEF76C02-AD9D-804C-94BD-46216F5C7E8B}"/>
    <dgm:cxn modelId="{0D58C3DD-6FA9-D54B-B262-A4EDCE0AE5BB}" srcId="{35A17698-0B78-0F47-A38C-2662132288CD}" destId="{2BE0F647-9DBC-7B4A-AB16-B7203AD1B91A}" srcOrd="1" destOrd="0" parTransId="{F8011B54-C41D-FE4E-A140-A5F9C78DA0D2}" sibTransId="{25456639-339C-3641-85AB-6B0D6C7FABFD}"/>
    <dgm:cxn modelId="{16D21BE0-E028-5142-94DD-5F0C57650739}" type="presOf" srcId="{A4AB0F66-C5FC-D84A-A8D4-93DB92C767C8}" destId="{BEAB4A2C-2013-2143-8C98-2A72C6868233}" srcOrd="1" destOrd="0" presId="urn:microsoft.com/office/officeart/2005/8/layout/matrix1"/>
    <dgm:cxn modelId="{DA8576E6-D9DD-9E41-B182-9125D3DD2E89}" srcId="{35A17698-0B78-0F47-A38C-2662132288CD}" destId="{A1110990-44CF-3F4B-AA08-B7452C7D6C6A}" srcOrd="0" destOrd="0" parTransId="{7A5AEECA-A274-E24B-897B-05789F30717D}" sibTransId="{A9332D76-FA07-CA42-B2FA-242DAAC06442}"/>
    <dgm:cxn modelId="{2A6588DF-7849-FD41-A570-43842CFEA0C7}" type="presParOf" srcId="{681F7325-F810-214E-AF3C-F10E0E765AD3}" destId="{2D3AC133-4081-4B44-84C9-FCA74E7683AD}" srcOrd="0" destOrd="0" presId="urn:microsoft.com/office/officeart/2005/8/layout/matrix1"/>
    <dgm:cxn modelId="{AB946651-B1F1-F041-B28B-CE71067F1853}" type="presParOf" srcId="{2D3AC133-4081-4B44-84C9-FCA74E7683AD}" destId="{84E6F25B-BA34-1A4C-92A5-2A49F459D194}" srcOrd="0" destOrd="0" presId="urn:microsoft.com/office/officeart/2005/8/layout/matrix1"/>
    <dgm:cxn modelId="{583DB7A4-BE16-334F-B1DC-99AA5C605C7B}" type="presParOf" srcId="{2D3AC133-4081-4B44-84C9-FCA74E7683AD}" destId="{FE2C131E-1FAE-EF4D-864E-8F7C7D386D52}" srcOrd="1" destOrd="0" presId="urn:microsoft.com/office/officeart/2005/8/layout/matrix1"/>
    <dgm:cxn modelId="{7967D59B-05EF-C843-B500-98DA5187F0A3}" type="presParOf" srcId="{2D3AC133-4081-4B44-84C9-FCA74E7683AD}" destId="{4204D358-C197-ED45-9D6A-504042B5A8E9}" srcOrd="2" destOrd="0" presId="urn:microsoft.com/office/officeart/2005/8/layout/matrix1"/>
    <dgm:cxn modelId="{D35F3E39-ED74-B045-9D43-98452FA1F9FD}" type="presParOf" srcId="{2D3AC133-4081-4B44-84C9-FCA74E7683AD}" destId="{8DC03C88-5306-F842-A9FF-580B8600AF6E}" srcOrd="3" destOrd="0" presId="urn:microsoft.com/office/officeart/2005/8/layout/matrix1"/>
    <dgm:cxn modelId="{19067A24-22C2-6B45-B45C-A43BC7D89A0F}" type="presParOf" srcId="{2D3AC133-4081-4B44-84C9-FCA74E7683AD}" destId="{6060E342-C8BE-824A-8343-0F588D867C5C}" srcOrd="4" destOrd="0" presId="urn:microsoft.com/office/officeart/2005/8/layout/matrix1"/>
    <dgm:cxn modelId="{3D6BC96A-B17C-C542-AA0E-AB2B653D445A}" type="presParOf" srcId="{2D3AC133-4081-4B44-84C9-FCA74E7683AD}" destId="{BEAB4A2C-2013-2143-8C98-2A72C6868233}" srcOrd="5" destOrd="0" presId="urn:microsoft.com/office/officeart/2005/8/layout/matrix1"/>
    <dgm:cxn modelId="{816C76E8-E39E-DC45-B816-08E1E83B4B26}" type="presParOf" srcId="{2D3AC133-4081-4B44-84C9-FCA74E7683AD}" destId="{17488FE8-9BD0-0348-990D-18B77EFF14F3}" srcOrd="6" destOrd="0" presId="urn:microsoft.com/office/officeart/2005/8/layout/matrix1"/>
    <dgm:cxn modelId="{22954BAE-5614-814E-BED5-ABC626419BD9}" type="presParOf" srcId="{2D3AC133-4081-4B44-84C9-FCA74E7683AD}" destId="{96678907-B97F-3842-B3F5-B39C0C1AA6D6}" srcOrd="7" destOrd="0" presId="urn:microsoft.com/office/officeart/2005/8/layout/matrix1"/>
    <dgm:cxn modelId="{8C45869C-999A-524B-AEB6-73590844797D}" type="presParOf" srcId="{681F7325-F810-214E-AF3C-F10E0E765AD3}" destId="{B793650F-9522-1541-AB90-6FF63B3AF7C4}" srcOrd="1" destOrd="0" presId="urn:microsoft.com/office/officeart/2005/8/layout/matrix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69013A-56CF-3545-8AE4-DA944E06805A}">
      <dsp:nvSpPr>
        <dsp:cNvPr id="0" name=""/>
        <dsp:cNvSpPr/>
      </dsp:nvSpPr>
      <dsp:spPr>
        <a:xfrm>
          <a:off x="0" y="376417"/>
          <a:ext cx="5731510" cy="628425"/>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829" tIns="145796" rIns="444829" bIns="49784" numCol="1" spcCol="1270" anchor="t" anchorCtr="0">
          <a:noAutofit/>
        </a:bodyPr>
        <a:lstStyle/>
        <a:p>
          <a:pPr marL="57150" lvl="1" indent="-57150" algn="l" defTabSz="311150">
            <a:lnSpc>
              <a:spcPct val="90000"/>
            </a:lnSpc>
            <a:spcBef>
              <a:spcPct val="0"/>
            </a:spcBef>
            <a:spcAft>
              <a:spcPct val="15000"/>
            </a:spcAft>
            <a:buChar char="•"/>
          </a:pPr>
          <a:r>
            <a:rPr lang="en-GB" sz="700" b="1" kern="1200"/>
            <a:t>1.1 Feasibility study</a:t>
          </a:r>
          <a:r>
            <a:rPr lang="en-GB" sz="700" kern="1200"/>
            <a:t> – Analysis of damage, reconstruction options, and alignment with provincial recovery strategies.</a:t>
          </a:r>
          <a:endParaRPr lang="en-US" sz="700" kern="1200"/>
        </a:p>
        <a:p>
          <a:pPr marL="57150" lvl="1" indent="-57150" algn="l" defTabSz="311150">
            <a:lnSpc>
              <a:spcPct val="90000"/>
            </a:lnSpc>
            <a:spcBef>
              <a:spcPct val="0"/>
            </a:spcBef>
            <a:spcAft>
              <a:spcPct val="15000"/>
            </a:spcAft>
            <a:buChar char="•"/>
          </a:pPr>
          <a:r>
            <a:rPr lang="en-GB" sz="700" b="1" kern="1200"/>
            <a:t>1.2 Environmental impact assessment</a:t>
          </a:r>
          <a:r>
            <a:rPr lang="en-GB" sz="700" kern="1200"/>
            <a:t> – Evaluation of ecological risks, climate resilience needs, and regulatory compliance.</a:t>
          </a:r>
          <a:endParaRPr lang="en-US" sz="700" kern="1200"/>
        </a:p>
        <a:p>
          <a:pPr marL="57150" lvl="1" indent="-57150" algn="l" defTabSz="311150">
            <a:lnSpc>
              <a:spcPct val="90000"/>
            </a:lnSpc>
            <a:spcBef>
              <a:spcPct val="0"/>
            </a:spcBef>
            <a:spcAft>
              <a:spcPct val="15000"/>
            </a:spcAft>
            <a:buChar char="•"/>
          </a:pPr>
          <a:r>
            <a:rPr lang="en-GB" sz="700" b="1" kern="1200"/>
            <a:t>1.3 Funding and stakeholder approval</a:t>
          </a:r>
          <a:r>
            <a:rPr lang="en-GB" sz="700" kern="1200"/>
            <a:t> – Securing federal/provincial funding, consultations with municipalities, Indigenous communities, and emergency agencies.</a:t>
          </a:r>
          <a:endParaRPr lang="en-US" sz="700" kern="1200"/>
        </a:p>
      </dsp:txBody>
      <dsp:txXfrm>
        <a:off x="0" y="376417"/>
        <a:ext cx="5731510" cy="628425"/>
      </dsp:txXfrm>
    </dsp:sp>
    <dsp:sp modelId="{A58697CB-BE0D-AF46-A2E7-A8F83742A333}">
      <dsp:nvSpPr>
        <dsp:cNvPr id="0" name=""/>
        <dsp:cNvSpPr/>
      </dsp:nvSpPr>
      <dsp:spPr>
        <a:xfrm>
          <a:off x="286575" y="273097"/>
          <a:ext cx="4012057" cy="20664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311150">
            <a:lnSpc>
              <a:spcPct val="90000"/>
            </a:lnSpc>
            <a:spcBef>
              <a:spcPct val="0"/>
            </a:spcBef>
            <a:spcAft>
              <a:spcPct val="35000"/>
            </a:spcAft>
            <a:buNone/>
            <a:defRPr b="1"/>
          </a:pPr>
          <a:r>
            <a:rPr lang="en-GB" sz="700" b="1" kern="1200"/>
            <a:t>Initiation &amp; Feasibility (Months 0–2):</a:t>
          </a:r>
          <a:endParaRPr lang="en-US" sz="700" kern="1200"/>
        </a:p>
      </dsp:txBody>
      <dsp:txXfrm>
        <a:off x="296662" y="283184"/>
        <a:ext cx="3991883" cy="186466"/>
      </dsp:txXfrm>
    </dsp:sp>
    <dsp:sp modelId="{002A3B67-786A-3044-B607-A997EFC1DC0B}">
      <dsp:nvSpPr>
        <dsp:cNvPr id="0" name=""/>
        <dsp:cNvSpPr/>
      </dsp:nvSpPr>
      <dsp:spPr>
        <a:xfrm>
          <a:off x="0" y="1145962"/>
          <a:ext cx="5731510" cy="529200"/>
        </a:xfrm>
        <a:prstGeom prst="rect">
          <a:avLst/>
        </a:prstGeom>
        <a:solidFill>
          <a:schemeClr val="lt1">
            <a:alpha val="90000"/>
            <a:hueOff val="0"/>
            <a:satOff val="0"/>
            <a:lumOff val="0"/>
            <a:alphaOff val="0"/>
          </a:schemeClr>
        </a:solidFill>
        <a:ln w="12700" cap="flat" cmpd="sng" algn="ctr">
          <a:solidFill>
            <a:schemeClr val="accent5">
              <a:hueOff val="-1689636"/>
              <a:satOff val="-4355"/>
              <a:lumOff val="-294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829" tIns="145796" rIns="444829" bIns="49784" numCol="1" spcCol="1270" anchor="t" anchorCtr="0">
          <a:noAutofit/>
        </a:bodyPr>
        <a:lstStyle/>
        <a:p>
          <a:pPr marL="57150" lvl="1" indent="-57150" algn="l" defTabSz="311150">
            <a:lnSpc>
              <a:spcPct val="90000"/>
            </a:lnSpc>
            <a:spcBef>
              <a:spcPct val="0"/>
            </a:spcBef>
            <a:spcAft>
              <a:spcPct val="15000"/>
            </a:spcAft>
            <a:buChar char="•"/>
          </a:pPr>
          <a:r>
            <a:rPr lang="en-GB" sz="700" b="1" kern="1200"/>
            <a:t>2.1 Bridge and road engineering design</a:t>
          </a:r>
          <a:r>
            <a:rPr lang="en-GB" sz="700" kern="1200"/>
            <a:t> – Structural modelling, load assessments, and design of resilient bridge systems.</a:t>
          </a:r>
          <a:endParaRPr lang="en-US" sz="700" kern="1200"/>
        </a:p>
        <a:p>
          <a:pPr marL="57150" lvl="1" indent="-57150" algn="l" defTabSz="311150">
            <a:lnSpc>
              <a:spcPct val="90000"/>
            </a:lnSpc>
            <a:spcBef>
              <a:spcPct val="0"/>
            </a:spcBef>
            <a:spcAft>
              <a:spcPct val="15000"/>
            </a:spcAft>
            <a:buChar char="•"/>
          </a:pPr>
          <a:r>
            <a:rPr lang="en-GB" sz="700" b="1" kern="1200"/>
            <a:t>2.2 Climate resilience analysis</a:t>
          </a:r>
          <a:r>
            <a:rPr lang="en-GB" sz="700" kern="1200"/>
            <a:t> – Integration of flood-resistant features, slope-stabilisation design, and drainage improvements.</a:t>
          </a:r>
          <a:endParaRPr lang="en-US" sz="700" kern="1200"/>
        </a:p>
        <a:p>
          <a:pPr marL="57150" lvl="1" indent="-57150" algn="l" defTabSz="311150">
            <a:lnSpc>
              <a:spcPct val="90000"/>
            </a:lnSpc>
            <a:spcBef>
              <a:spcPct val="0"/>
            </a:spcBef>
            <a:spcAft>
              <a:spcPct val="15000"/>
            </a:spcAft>
            <a:buChar char="•"/>
          </a:pPr>
          <a:r>
            <a:rPr lang="en-GB" sz="700" b="1" kern="1200"/>
            <a:t>2.3 Technical drawings and modelling (BIM)</a:t>
          </a:r>
          <a:r>
            <a:rPr lang="en-GB" sz="700" kern="1200"/>
            <a:t> – Digital modelling, cross-sectional designs, construction phasing diagrams.</a:t>
          </a:r>
          <a:endParaRPr lang="en-US" sz="700" kern="1200"/>
        </a:p>
      </dsp:txBody>
      <dsp:txXfrm>
        <a:off x="0" y="1145962"/>
        <a:ext cx="5731510" cy="529200"/>
      </dsp:txXfrm>
    </dsp:sp>
    <dsp:sp modelId="{49F89AD8-D307-D745-9B49-57EFE6890B75}">
      <dsp:nvSpPr>
        <dsp:cNvPr id="0" name=""/>
        <dsp:cNvSpPr/>
      </dsp:nvSpPr>
      <dsp:spPr>
        <a:xfrm>
          <a:off x="286575" y="1042642"/>
          <a:ext cx="4012057" cy="206640"/>
        </a:xfrm>
        <a:prstGeom prst="roundRect">
          <a:avLst/>
        </a:prstGeom>
        <a:solidFill>
          <a:schemeClr val="accent5">
            <a:hueOff val="-1689636"/>
            <a:satOff val="-4355"/>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311150">
            <a:lnSpc>
              <a:spcPct val="90000"/>
            </a:lnSpc>
            <a:spcBef>
              <a:spcPct val="0"/>
            </a:spcBef>
            <a:spcAft>
              <a:spcPct val="35000"/>
            </a:spcAft>
            <a:buNone/>
            <a:defRPr b="1"/>
          </a:pPr>
          <a:r>
            <a:rPr lang="en-GB" sz="700" b="1" kern="1200"/>
            <a:t>Design &amp; Engineering (Months 2–6):</a:t>
          </a:r>
          <a:endParaRPr lang="en-US" sz="700" kern="1200"/>
        </a:p>
      </dsp:txBody>
      <dsp:txXfrm>
        <a:off x="296662" y="1052729"/>
        <a:ext cx="3991883" cy="186466"/>
      </dsp:txXfrm>
    </dsp:sp>
    <dsp:sp modelId="{03C58AF7-5D15-084F-91DE-92A29C520767}">
      <dsp:nvSpPr>
        <dsp:cNvPr id="0" name=""/>
        <dsp:cNvSpPr/>
      </dsp:nvSpPr>
      <dsp:spPr>
        <a:xfrm>
          <a:off x="0" y="1816282"/>
          <a:ext cx="5731510" cy="529200"/>
        </a:xfrm>
        <a:prstGeom prst="rect">
          <a:avLst/>
        </a:prstGeom>
        <a:solidFill>
          <a:schemeClr val="lt1">
            <a:alpha val="90000"/>
            <a:hueOff val="0"/>
            <a:satOff val="0"/>
            <a:lumOff val="0"/>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829" tIns="145796" rIns="444829" bIns="49784" numCol="1" spcCol="1270" anchor="t" anchorCtr="0">
          <a:noAutofit/>
        </a:bodyPr>
        <a:lstStyle/>
        <a:p>
          <a:pPr marL="57150" lvl="1" indent="-57150" algn="l" defTabSz="311150">
            <a:lnSpc>
              <a:spcPct val="90000"/>
            </a:lnSpc>
            <a:spcBef>
              <a:spcPct val="0"/>
            </a:spcBef>
            <a:spcAft>
              <a:spcPct val="15000"/>
            </a:spcAft>
            <a:buChar char="•"/>
          </a:pPr>
          <a:r>
            <a:rPr lang="en-GB" sz="700" b="1" kern="1200"/>
            <a:t>3.1 Contractor tendering and selection</a:t>
          </a:r>
          <a:r>
            <a:rPr lang="en-GB" sz="700" kern="1200"/>
            <a:t> – Competitive procurement, contract awarding, and mobilisation planning.</a:t>
          </a:r>
          <a:endParaRPr lang="en-US" sz="700" kern="1200"/>
        </a:p>
        <a:p>
          <a:pPr marL="57150" lvl="1" indent="-57150" algn="l" defTabSz="311150">
            <a:lnSpc>
              <a:spcPct val="90000"/>
            </a:lnSpc>
            <a:spcBef>
              <a:spcPct val="0"/>
            </a:spcBef>
            <a:spcAft>
              <a:spcPct val="15000"/>
            </a:spcAft>
            <a:buChar char="•"/>
          </a:pPr>
          <a:r>
            <a:rPr lang="en-GB" sz="700" b="1" kern="1200"/>
            <a:t>3.2 Procurement of materials and equipment</a:t>
          </a:r>
          <a:r>
            <a:rPr lang="en-GB" sz="700" kern="1200"/>
            <a:t> – Acquisition of steel, asphalt, drainage infrastructure, heavy machinery.</a:t>
          </a:r>
          <a:endParaRPr lang="en-US" sz="700" kern="1200"/>
        </a:p>
        <a:p>
          <a:pPr marL="57150" lvl="1" indent="-57150" algn="l" defTabSz="311150">
            <a:lnSpc>
              <a:spcPct val="90000"/>
            </a:lnSpc>
            <a:spcBef>
              <a:spcPct val="0"/>
            </a:spcBef>
            <a:spcAft>
              <a:spcPct val="15000"/>
            </a:spcAft>
            <a:buChar char="•"/>
          </a:pPr>
          <a:r>
            <a:rPr lang="en-GB" sz="700" b="1" kern="1200"/>
            <a:t>3.3 Logistics and supply-chain coordination</a:t>
          </a:r>
          <a:r>
            <a:rPr lang="en-GB" sz="700" kern="1200"/>
            <a:t> – Transportation planning, alternative route arrangements, inventory scheduling.</a:t>
          </a:r>
          <a:endParaRPr lang="en-US" sz="700" kern="1200"/>
        </a:p>
      </dsp:txBody>
      <dsp:txXfrm>
        <a:off x="0" y="1816282"/>
        <a:ext cx="5731510" cy="529200"/>
      </dsp:txXfrm>
    </dsp:sp>
    <dsp:sp modelId="{7001F7ED-D45C-C948-B84E-6D94755DE4F6}">
      <dsp:nvSpPr>
        <dsp:cNvPr id="0" name=""/>
        <dsp:cNvSpPr/>
      </dsp:nvSpPr>
      <dsp:spPr>
        <a:xfrm>
          <a:off x="286575" y="1712962"/>
          <a:ext cx="4012057" cy="206640"/>
        </a:xfrm>
        <a:prstGeom prst="roundRect">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311150">
            <a:lnSpc>
              <a:spcPct val="90000"/>
            </a:lnSpc>
            <a:spcBef>
              <a:spcPct val="0"/>
            </a:spcBef>
            <a:spcAft>
              <a:spcPct val="35000"/>
            </a:spcAft>
            <a:buNone/>
            <a:defRPr b="1"/>
          </a:pPr>
          <a:r>
            <a:rPr lang="en-GB" sz="700" b="1" kern="1200"/>
            <a:t>Procurement &amp; Resource Mobilisation (Months 4–8):</a:t>
          </a:r>
          <a:endParaRPr lang="en-US" sz="700" kern="1200"/>
        </a:p>
      </dsp:txBody>
      <dsp:txXfrm>
        <a:off x="296662" y="1723049"/>
        <a:ext cx="3991883" cy="186466"/>
      </dsp:txXfrm>
    </dsp:sp>
    <dsp:sp modelId="{05EA1D38-EF6A-3B4F-BCCC-DFB558DAAC64}">
      <dsp:nvSpPr>
        <dsp:cNvPr id="0" name=""/>
        <dsp:cNvSpPr/>
      </dsp:nvSpPr>
      <dsp:spPr>
        <a:xfrm>
          <a:off x="0" y="2486602"/>
          <a:ext cx="5731510" cy="859950"/>
        </a:xfrm>
        <a:prstGeom prst="rect">
          <a:avLst/>
        </a:prstGeom>
        <a:solidFill>
          <a:schemeClr val="lt1">
            <a:alpha val="90000"/>
            <a:hueOff val="0"/>
            <a:satOff val="0"/>
            <a:lumOff val="0"/>
            <a:alphaOff val="0"/>
          </a:schemeClr>
        </a:solidFill>
        <a:ln w="12700" cap="flat" cmpd="sng" algn="ctr">
          <a:solidFill>
            <a:schemeClr val="accent5">
              <a:hueOff val="-5068907"/>
              <a:satOff val="-13064"/>
              <a:lumOff val="-882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829" tIns="145796" rIns="444829" bIns="49784" numCol="1" spcCol="1270" anchor="t" anchorCtr="0">
          <a:noAutofit/>
        </a:bodyPr>
        <a:lstStyle/>
        <a:p>
          <a:pPr marL="57150" lvl="1" indent="-57150" algn="l" defTabSz="311150">
            <a:lnSpc>
              <a:spcPct val="90000"/>
            </a:lnSpc>
            <a:spcBef>
              <a:spcPct val="0"/>
            </a:spcBef>
            <a:spcAft>
              <a:spcPct val="15000"/>
            </a:spcAft>
            <a:buChar char="•"/>
          </a:pPr>
          <a:r>
            <a:rPr lang="en-GB" sz="700" b="1" kern="1200"/>
            <a:t>4.1 Site preparation and debris clearance</a:t>
          </a:r>
          <a:r>
            <a:rPr lang="en-GB" sz="700" kern="1200"/>
            <a:t> – Removal of collapsed structures, stabilisation of terrain, establishment of temporary access roads.</a:t>
          </a:r>
          <a:endParaRPr lang="en-US" sz="700" kern="1200"/>
        </a:p>
        <a:p>
          <a:pPr marL="57150" lvl="1" indent="-57150" algn="l" defTabSz="311150">
            <a:lnSpc>
              <a:spcPct val="90000"/>
            </a:lnSpc>
            <a:spcBef>
              <a:spcPct val="0"/>
            </a:spcBef>
            <a:spcAft>
              <a:spcPct val="15000"/>
            </a:spcAft>
            <a:buChar char="•"/>
          </a:pPr>
          <a:r>
            <a:rPr lang="en-GB" sz="700" b="1" kern="1200"/>
            <a:t>4.2 Bridge reconstruction</a:t>
          </a:r>
          <a:r>
            <a:rPr lang="en-GB" sz="700" kern="1200"/>
            <a:t> – Foundation works, steel installation, deck construction, structural reinforcement.</a:t>
          </a:r>
          <a:endParaRPr lang="en-US" sz="700" kern="1200"/>
        </a:p>
        <a:p>
          <a:pPr marL="57150" lvl="1" indent="-57150" algn="l" defTabSz="311150">
            <a:lnSpc>
              <a:spcPct val="90000"/>
            </a:lnSpc>
            <a:spcBef>
              <a:spcPct val="0"/>
            </a:spcBef>
            <a:spcAft>
              <a:spcPct val="15000"/>
            </a:spcAft>
            <a:buChar char="•"/>
          </a:pPr>
          <a:r>
            <a:rPr lang="en-GB" sz="700" b="1" kern="1200"/>
            <a:t>4.3 Road rebuilding and paving</a:t>
          </a:r>
          <a:r>
            <a:rPr lang="en-GB" sz="700" kern="1200"/>
            <a:t> – Asphalt laying, lane alignment, signage, guardrails, and safety barriers.</a:t>
          </a:r>
          <a:endParaRPr lang="en-US" sz="700" kern="1200"/>
        </a:p>
        <a:p>
          <a:pPr marL="57150" lvl="1" indent="-57150" algn="l" defTabSz="311150">
            <a:lnSpc>
              <a:spcPct val="90000"/>
            </a:lnSpc>
            <a:spcBef>
              <a:spcPct val="0"/>
            </a:spcBef>
            <a:spcAft>
              <a:spcPct val="15000"/>
            </a:spcAft>
            <a:buChar char="•"/>
          </a:pPr>
          <a:r>
            <a:rPr lang="en-GB" sz="700" b="1" kern="1200"/>
            <a:t>4.4 Drainage and flood-protection systems</a:t>
          </a:r>
          <a:r>
            <a:rPr lang="en-GB" sz="700" kern="1200"/>
            <a:t> – Installation of culverts, stormwater channels, and erosion control systems.</a:t>
          </a:r>
          <a:endParaRPr lang="en-US" sz="700" kern="1200"/>
        </a:p>
        <a:p>
          <a:pPr marL="57150" lvl="1" indent="-57150" algn="l" defTabSz="311150">
            <a:lnSpc>
              <a:spcPct val="90000"/>
            </a:lnSpc>
            <a:spcBef>
              <a:spcPct val="0"/>
            </a:spcBef>
            <a:spcAft>
              <a:spcPct val="15000"/>
            </a:spcAft>
            <a:buChar char="•"/>
          </a:pPr>
          <a:r>
            <a:rPr lang="en-GB" sz="700" b="1" kern="1200"/>
            <a:t>4.5 Smart monitoring installation</a:t>
          </a:r>
          <a:r>
            <a:rPr lang="en-GB" sz="700" kern="1200"/>
            <a:t> – Placement of sensors, flood-monitoring equipment, and data connectivity systems.</a:t>
          </a:r>
          <a:endParaRPr lang="en-US" sz="700" kern="1200"/>
        </a:p>
      </dsp:txBody>
      <dsp:txXfrm>
        <a:off x="0" y="2486602"/>
        <a:ext cx="5731510" cy="859950"/>
      </dsp:txXfrm>
    </dsp:sp>
    <dsp:sp modelId="{ED613BE2-A3D0-9547-9C5F-1EAEDABDF575}">
      <dsp:nvSpPr>
        <dsp:cNvPr id="0" name=""/>
        <dsp:cNvSpPr/>
      </dsp:nvSpPr>
      <dsp:spPr>
        <a:xfrm>
          <a:off x="286575" y="2383282"/>
          <a:ext cx="4012057" cy="206640"/>
        </a:xfrm>
        <a:prstGeom prst="roundRect">
          <a:avLst/>
        </a:prstGeom>
        <a:solidFill>
          <a:schemeClr val="accent5">
            <a:hueOff val="-5068907"/>
            <a:satOff val="-13064"/>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311150">
            <a:lnSpc>
              <a:spcPct val="90000"/>
            </a:lnSpc>
            <a:spcBef>
              <a:spcPct val="0"/>
            </a:spcBef>
            <a:spcAft>
              <a:spcPct val="35000"/>
            </a:spcAft>
            <a:buNone/>
            <a:defRPr b="1"/>
          </a:pPr>
          <a:r>
            <a:rPr lang="en-GB" sz="700" b="1" kern="1200"/>
            <a:t>Construction Phase (Months 8–20):</a:t>
          </a:r>
          <a:endParaRPr lang="en-US" sz="700" kern="1200"/>
        </a:p>
      </dsp:txBody>
      <dsp:txXfrm>
        <a:off x="296662" y="2393369"/>
        <a:ext cx="3991883" cy="186466"/>
      </dsp:txXfrm>
    </dsp:sp>
    <dsp:sp modelId="{7DE4438D-6AE6-2C45-BD7F-518F03BD7032}">
      <dsp:nvSpPr>
        <dsp:cNvPr id="0" name=""/>
        <dsp:cNvSpPr/>
      </dsp:nvSpPr>
      <dsp:spPr>
        <a:xfrm>
          <a:off x="0" y="3487672"/>
          <a:ext cx="5731510" cy="837900"/>
        </a:xfrm>
        <a:prstGeom prst="rect">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829" tIns="145796" rIns="444829" bIns="49784" numCol="1" spcCol="1270" anchor="t" anchorCtr="0">
          <a:noAutofit/>
        </a:bodyPr>
        <a:lstStyle/>
        <a:p>
          <a:pPr marL="57150" lvl="1" indent="-57150" algn="l" defTabSz="311150">
            <a:lnSpc>
              <a:spcPct val="90000"/>
            </a:lnSpc>
            <a:spcBef>
              <a:spcPct val="0"/>
            </a:spcBef>
            <a:spcAft>
              <a:spcPct val="15000"/>
            </a:spcAft>
            <a:buChar char="•"/>
          </a:pPr>
          <a:r>
            <a:rPr lang="en-GB" sz="700" b="1" kern="1200"/>
            <a:t>5.1 Safety inspections and structural load testing</a:t>
          </a:r>
          <a:r>
            <a:rPr lang="en-GB" sz="700" kern="1200"/>
            <a:t> – Quality assurance checks, stress tests, and safety compliance certification.</a:t>
          </a:r>
          <a:endParaRPr lang="en-US" sz="700" kern="1200"/>
        </a:p>
        <a:p>
          <a:pPr marL="57150" lvl="1" indent="-57150" algn="l" defTabSz="311150">
            <a:lnSpc>
              <a:spcPct val="90000"/>
            </a:lnSpc>
            <a:spcBef>
              <a:spcPct val="0"/>
            </a:spcBef>
            <a:spcAft>
              <a:spcPct val="15000"/>
            </a:spcAft>
            <a:buChar char="•"/>
          </a:pPr>
          <a:r>
            <a:rPr lang="en-GB" sz="700" b="1" kern="1200"/>
            <a:t>5.2 Training for maintenance teams</a:t>
          </a:r>
          <a:r>
            <a:rPr lang="en-GB" sz="700" kern="1200"/>
            <a:t> – Operational training on monitoring systems, maintenance routines, and emergency protocols.</a:t>
          </a:r>
          <a:endParaRPr lang="en-US" sz="700" kern="1200"/>
        </a:p>
        <a:p>
          <a:pPr marL="57150" lvl="1" indent="-57150" algn="l" defTabSz="311150">
            <a:lnSpc>
              <a:spcPct val="90000"/>
            </a:lnSpc>
            <a:spcBef>
              <a:spcPct val="0"/>
            </a:spcBef>
            <a:spcAft>
              <a:spcPct val="15000"/>
            </a:spcAft>
            <a:buChar char="•"/>
          </a:pPr>
          <a:r>
            <a:rPr lang="en-GB" sz="700" b="1" kern="1200"/>
            <a:t>5.3 Final environmental remediation</a:t>
          </a:r>
          <a:r>
            <a:rPr lang="en-GB" sz="700" kern="1200"/>
            <a:t> – Replanting, slope regrading, erosion control, and ecological restoration.</a:t>
          </a:r>
          <a:endParaRPr lang="en-US" sz="700" kern="1200"/>
        </a:p>
        <a:p>
          <a:pPr marL="57150" lvl="1" indent="-57150" algn="l" defTabSz="311150">
            <a:lnSpc>
              <a:spcPct val="90000"/>
            </a:lnSpc>
            <a:spcBef>
              <a:spcPct val="0"/>
            </a:spcBef>
            <a:spcAft>
              <a:spcPct val="15000"/>
            </a:spcAft>
            <a:buChar char="•"/>
          </a:pPr>
          <a:r>
            <a:rPr lang="en-GB" sz="700" b="1" kern="1200"/>
            <a:t>5.4 Official handover and corridor reopening</a:t>
          </a:r>
          <a:r>
            <a:rPr lang="en-GB" sz="700" kern="1200"/>
            <a:t> – Final documentation, compliance sign-off, stakeholder communication, and public announcement.</a:t>
          </a:r>
          <a:endParaRPr lang="en-US" sz="700" kern="1200"/>
        </a:p>
      </dsp:txBody>
      <dsp:txXfrm>
        <a:off x="0" y="3487672"/>
        <a:ext cx="5731510" cy="837900"/>
      </dsp:txXfrm>
    </dsp:sp>
    <dsp:sp modelId="{06DE2903-4BED-504B-AEE1-29A60C49ABE1}">
      <dsp:nvSpPr>
        <dsp:cNvPr id="0" name=""/>
        <dsp:cNvSpPr/>
      </dsp:nvSpPr>
      <dsp:spPr>
        <a:xfrm>
          <a:off x="286575" y="3384352"/>
          <a:ext cx="4012057" cy="206640"/>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1646" tIns="0" rIns="151646" bIns="0" numCol="1" spcCol="1270" anchor="ctr" anchorCtr="0">
          <a:noAutofit/>
        </a:bodyPr>
        <a:lstStyle/>
        <a:p>
          <a:pPr marL="0" lvl="0" indent="0" algn="l" defTabSz="311150">
            <a:lnSpc>
              <a:spcPct val="90000"/>
            </a:lnSpc>
            <a:spcBef>
              <a:spcPct val="0"/>
            </a:spcBef>
            <a:spcAft>
              <a:spcPct val="35000"/>
            </a:spcAft>
            <a:buNone/>
            <a:defRPr b="1"/>
          </a:pPr>
          <a:r>
            <a:rPr lang="en-GB" sz="700" b="1" kern="1200"/>
            <a:t>Testing, Commissioning &amp; Handover (Months 20–22):</a:t>
          </a:r>
          <a:endParaRPr lang="en-US" sz="700" kern="1200"/>
        </a:p>
      </dsp:txBody>
      <dsp:txXfrm>
        <a:off x="296662" y="3394439"/>
        <a:ext cx="3991883" cy="18646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E6F25B-BA34-1A4C-92A5-2A49F459D194}">
      <dsp:nvSpPr>
        <dsp:cNvPr id="0" name=""/>
        <dsp:cNvSpPr/>
      </dsp:nvSpPr>
      <dsp:spPr>
        <a:xfrm rot="16200000">
          <a:off x="571500" y="-571500"/>
          <a:ext cx="1600200" cy="2743200"/>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u="sng" kern="1200"/>
            <a:t>PURPOSE </a:t>
          </a:r>
        </a:p>
        <a:p>
          <a:pPr marL="0" lvl="0" indent="0" algn="ctr" defTabSz="355600">
            <a:lnSpc>
              <a:spcPct val="90000"/>
            </a:lnSpc>
            <a:spcBef>
              <a:spcPct val="0"/>
            </a:spcBef>
            <a:spcAft>
              <a:spcPct val="35000"/>
            </a:spcAft>
            <a:buNone/>
          </a:pPr>
          <a:r>
            <a:rPr lang="en-GB" sz="800" kern="1200"/>
            <a:t>Restore Highway 5 following catastrophic flood damage. </a:t>
          </a:r>
        </a:p>
        <a:p>
          <a:pPr marL="0" lvl="0" indent="0" algn="ctr" defTabSz="355600">
            <a:lnSpc>
              <a:spcPct val="90000"/>
            </a:lnSpc>
            <a:spcBef>
              <a:spcPct val="0"/>
            </a:spcBef>
            <a:spcAft>
              <a:spcPct val="35000"/>
            </a:spcAft>
            <a:buNone/>
          </a:pPr>
          <a:r>
            <a:rPr lang="en-GB" sz="800" kern="1200"/>
            <a:t>Re-establish safe and efficient movement of goods, emergency services, and citizens.</a:t>
          </a:r>
        </a:p>
        <a:p>
          <a:pPr marL="0" lvl="0" indent="0" algn="ctr" defTabSz="355600">
            <a:lnSpc>
              <a:spcPct val="90000"/>
            </a:lnSpc>
            <a:spcBef>
              <a:spcPct val="0"/>
            </a:spcBef>
            <a:spcAft>
              <a:spcPct val="35000"/>
            </a:spcAft>
            <a:buNone/>
          </a:pPr>
          <a:r>
            <a:rPr lang="en-GB" sz="800" kern="1200"/>
            <a:t> Implement climate-resilient infrastructure capable of withstanding future extreme weather events. </a:t>
          </a:r>
        </a:p>
        <a:p>
          <a:pPr marL="0" lvl="0" indent="0" algn="ctr" defTabSz="355600">
            <a:lnSpc>
              <a:spcPct val="90000"/>
            </a:lnSpc>
            <a:spcBef>
              <a:spcPct val="0"/>
            </a:spcBef>
            <a:spcAft>
              <a:spcPct val="35000"/>
            </a:spcAft>
            <a:buNone/>
          </a:pPr>
          <a:r>
            <a:rPr lang="en-GB" sz="800" kern="1200"/>
            <a:t>Minimise supply chain disruption and support regional economic recovery.</a:t>
          </a:r>
        </a:p>
      </dsp:txBody>
      <dsp:txXfrm rot="5400000">
        <a:off x="-1" y="1"/>
        <a:ext cx="2743200" cy="1200150"/>
      </dsp:txXfrm>
    </dsp:sp>
    <dsp:sp modelId="{4204D358-C197-ED45-9D6A-504042B5A8E9}">
      <dsp:nvSpPr>
        <dsp:cNvPr id="0" name=""/>
        <dsp:cNvSpPr/>
      </dsp:nvSpPr>
      <dsp:spPr>
        <a:xfrm>
          <a:off x="2743200" y="0"/>
          <a:ext cx="2743200" cy="1600200"/>
        </a:xfrm>
        <a:prstGeom prst="round1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u="sng" kern="1200"/>
            <a:t>STAKEHOLDERS</a:t>
          </a:r>
          <a:r>
            <a:rPr lang="en-GB" sz="800" kern="1200"/>
            <a:t> </a:t>
          </a:r>
        </a:p>
        <a:p>
          <a:pPr marL="0" lvl="0" indent="0" algn="ctr" defTabSz="355600">
            <a:lnSpc>
              <a:spcPct val="90000"/>
            </a:lnSpc>
            <a:spcBef>
              <a:spcPct val="0"/>
            </a:spcBef>
            <a:spcAft>
              <a:spcPct val="35000"/>
            </a:spcAft>
            <a:buNone/>
          </a:pPr>
          <a:r>
            <a:rPr lang="en-GB" sz="800" kern="1200"/>
            <a:t>Government of British Columbia </a:t>
          </a:r>
        </a:p>
        <a:p>
          <a:pPr marL="0" lvl="0" indent="0" algn="ctr" defTabSz="355600">
            <a:lnSpc>
              <a:spcPct val="90000"/>
            </a:lnSpc>
            <a:spcBef>
              <a:spcPct val="0"/>
            </a:spcBef>
            <a:spcAft>
              <a:spcPct val="35000"/>
            </a:spcAft>
            <a:buNone/>
          </a:pPr>
          <a:r>
            <a:rPr lang="en-GB" sz="800" kern="1200"/>
            <a:t>Transport Canada Local municipalities</a:t>
          </a:r>
        </a:p>
        <a:p>
          <a:pPr marL="0" lvl="0" indent="0" algn="ctr" defTabSz="355600">
            <a:lnSpc>
              <a:spcPct val="90000"/>
            </a:lnSpc>
            <a:spcBef>
              <a:spcPct val="0"/>
            </a:spcBef>
            <a:spcAft>
              <a:spcPct val="35000"/>
            </a:spcAft>
            <a:buNone/>
          </a:pPr>
          <a:r>
            <a:rPr lang="en-GB" sz="800" kern="1200"/>
            <a:t>Indigenous communities Contractors, </a:t>
          </a:r>
        </a:p>
        <a:p>
          <a:pPr marL="0" lvl="0" indent="0" algn="ctr" defTabSz="355600">
            <a:lnSpc>
              <a:spcPct val="90000"/>
            </a:lnSpc>
            <a:spcBef>
              <a:spcPct val="0"/>
            </a:spcBef>
            <a:spcAft>
              <a:spcPct val="35000"/>
            </a:spcAft>
            <a:buNone/>
          </a:pPr>
          <a:r>
            <a:rPr lang="en-GB" sz="800" kern="1200"/>
            <a:t>Engineers, consultants Local residents, farmers, businesses</a:t>
          </a:r>
        </a:p>
      </dsp:txBody>
      <dsp:txXfrm>
        <a:off x="2743200" y="0"/>
        <a:ext cx="2743200" cy="1200150"/>
      </dsp:txXfrm>
    </dsp:sp>
    <dsp:sp modelId="{6060E342-C8BE-824A-8343-0F588D867C5C}">
      <dsp:nvSpPr>
        <dsp:cNvPr id="0" name=""/>
        <dsp:cNvSpPr/>
      </dsp:nvSpPr>
      <dsp:spPr>
        <a:xfrm rot="10800000">
          <a:off x="0" y="1600200"/>
          <a:ext cx="2743200" cy="1600200"/>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u="sng" kern="1200"/>
            <a:t>BENEFITS</a:t>
          </a:r>
        </a:p>
        <a:p>
          <a:pPr marL="0" lvl="0" indent="0" algn="ctr" defTabSz="355600">
            <a:lnSpc>
              <a:spcPct val="90000"/>
            </a:lnSpc>
            <a:spcBef>
              <a:spcPct val="0"/>
            </a:spcBef>
            <a:spcAft>
              <a:spcPct val="35000"/>
            </a:spcAft>
            <a:buNone/>
          </a:pPr>
          <a:r>
            <a:rPr lang="en-GB" sz="800" kern="1200"/>
            <a:t> Restored transportation access and supply chain continuity.  </a:t>
          </a:r>
        </a:p>
        <a:p>
          <a:pPr marL="0" lvl="0" indent="0" algn="ctr" defTabSz="355600">
            <a:lnSpc>
              <a:spcPct val="90000"/>
            </a:lnSpc>
            <a:spcBef>
              <a:spcPct val="0"/>
            </a:spcBef>
            <a:spcAft>
              <a:spcPct val="35000"/>
            </a:spcAft>
            <a:buNone/>
          </a:pPr>
          <a:r>
            <a:rPr lang="en-GB" sz="800" kern="1200"/>
            <a:t>Improved public safety and emergency response access.</a:t>
          </a:r>
        </a:p>
        <a:p>
          <a:pPr marL="0" lvl="0" indent="0" algn="ctr" defTabSz="355600">
            <a:lnSpc>
              <a:spcPct val="90000"/>
            </a:lnSpc>
            <a:spcBef>
              <a:spcPct val="0"/>
            </a:spcBef>
            <a:spcAft>
              <a:spcPct val="35000"/>
            </a:spcAft>
            <a:buNone/>
          </a:pPr>
          <a:r>
            <a:rPr lang="en-GB" sz="800" kern="1200"/>
            <a:t>Increased resilience to floods and climate hazards. </a:t>
          </a:r>
        </a:p>
        <a:p>
          <a:pPr marL="0" lvl="0" indent="0" algn="ctr" defTabSz="355600">
            <a:lnSpc>
              <a:spcPct val="90000"/>
            </a:lnSpc>
            <a:spcBef>
              <a:spcPct val="0"/>
            </a:spcBef>
            <a:spcAft>
              <a:spcPct val="35000"/>
            </a:spcAft>
            <a:buNone/>
          </a:pPr>
          <a:r>
            <a:rPr lang="en-GB" sz="800" kern="1200"/>
            <a:t>Economic revitalisation of affected regions. </a:t>
          </a:r>
        </a:p>
        <a:p>
          <a:pPr marL="0" lvl="0" indent="0" algn="ctr" defTabSz="355600">
            <a:lnSpc>
              <a:spcPct val="90000"/>
            </a:lnSpc>
            <a:spcBef>
              <a:spcPct val="0"/>
            </a:spcBef>
            <a:spcAft>
              <a:spcPct val="35000"/>
            </a:spcAft>
            <a:buNone/>
          </a:pPr>
          <a:r>
            <a:rPr lang="en-GB" sz="800" kern="1200"/>
            <a:t>Stronger long-term disaster preparedness across the province.</a:t>
          </a:r>
        </a:p>
      </dsp:txBody>
      <dsp:txXfrm rot="10800000">
        <a:off x="0" y="2000250"/>
        <a:ext cx="2743200" cy="1200150"/>
      </dsp:txXfrm>
    </dsp:sp>
    <dsp:sp modelId="{17488FE8-9BD0-0348-990D-18B77EFF14F3}">
      <dsp:nvSpPr>
        <dsp:cNvPr id="0" name=""/>
        <dsp:cNvSpPr/>
      </dsp:nvSpPr>
      <dsp:spPr>
        <a:xfrm rot="5400000">
          <a:off x="3314700" y="1028700"/>
          <a:ext cx="1600200" cy="2743200"/>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u="sng" kern="1200"/>
            <a:t>RISK / CHALLENGE </a:t>
          </a:r>
        </a:p>
        <a:p>
          <a:pPr marL="0" lvl="0" indent="0" algn="ctr" defTabSz="355600">
            <a:lnSpc>
              <a:spcPct val="90000"/>
            </a:lnSpc>
            <a:spcBef>
              <a:spcPct val="0"/>
            </a:spcBef>
            <a:spcAft>
              <a:spcPct val="35000"/>
            </a:spcAft>
            <a:buNone/>
          </a:pPr>
          <a:r>
            <a:rPr lang="en-GB" sz="800" kern="1200"/>
            <a:t>Extreme weather delaying construction phases. </a:t>
          </a:r>
        </a:p>
        <a:p>
          <a:pPr marL="0" lvl="0" indent="0" algn="ctr" defTabSz="355600">
            <a:lnSpc>
              <a:spcPct val="90000"/>
            </a:lnSpc>
            <a:spcBef>
              <a:spcPct val="0"/>
            </a:spcBef>
            <a:spcAft>
              <a:spcPct val="35000"/>
            </a:spcAft>
            <a:buNone/>
          </a:pPr>
          <a:r>
            <a:rPr lang="en-GB" sz="800" kern="1200"/>
            <a:t>Material shortages and logistical disruptions. </a:t>
          </a:r>
        </a:p>
        <a:p>
          <a:pPr marL="0" lvl="0" indent="0" algn="ctr" defTabSz="355600">
            <a:lnSpc>
              <a:spcPct val="90000"/>
            </a:lnSpc>
            <a:spcBef>
              <a:spcPct val="0"/>
            </a:spcBef>
            <a:spcAft>
              <a:spcPct val="35000"/>
            </a:spcAft>
            <a:buNone/>
          </a:pPr>
          <a:r>
            <a:rPr lang="en-GB" sz="800" kern="1200"/>
            <a:t>Budget overruns due to inflation or unforeseen damage. </a:t>
          </a:r>
        </a:p>
        <a:p>
          <a:pPr marL="0" lvl="0" indent="0" algn="ctr" defTabSz="355600">
            <a:lnSpc>
              <a:spcPct val="90000"/>
            </a:lnSpc>
            <a:spcBef>
              <a:spcPct val="0"/>
            </a:spcBef>
            <a:spcAft>
              <a:spcPct val="35000"/>
            </a:spcAft>
            <a:buNone/>
          </a:pPr>
          <a:r>
            <a:rPr lang="en-GB" sz="800" kern="1200"/>
            <a:t>Environmental and regulatory approval delays.  </a:t>
          </a:r>
        </a:p>
        <a:p>
          <a:pPr marL="0" lvl="0" indent="0" algn="ctr" defTabSz="355600">
            <a:lnSpc>
              <a:spcPct val="90000"/>
            </a:lnSpc>
            <a:spcBef>
              <a:spcPct val="0"/>
            </a:spcBef>
            <a:spcAft>
              <a:spcPct val="35000"/>
            </a:spcAft>
            <a:buNone/>
          </a:pPr>
          <a:r>
            <a:rPr lang="en-GB" sz="800" kern="1200"/>
            <a:t>Potential stakeholder conflict or communication breakdowns.</a:t>
          </a:r>
        </a:p>
      </dsp:txBody>
      <dsp:txXfrm rot="-5400000">
        <a:off x="2743200" y="2000250"/>
        <a:ext cx="2743200" cy="1200150"/>
      </dsp:txXfrm>
    </dsp:sp>
    <dsp:sp modelId="{B793650F-9522-1541-AB90-6FF63B3AF7C4}">
      <dsp:nvSpPr>
        <dsp:cNvPr id="0" name=""/>
        <dsp:cNvSpPr/>
      </dsp:nvSpPr>
      <dsp:spPr>
        <a:xfrm>
          <a:off x="2137896" y="1281448"/>
          <a:ext cx="1210607" cy="637503"/>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b="1" u="sng" kern="1200"/>
            <a:t>QUAD CHART</a:t>
          </a:r>
        </a:p>
      </dsp:txBody>
      <dsp:txXfrm>
        <a:off x="2169016" y="1312568"/>
        <a:ext cx="1148367" cy="575263"/>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79AAF0-B939-EF4E-BBCE-7707B4878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18</Pages>
  <Words>3837</Words>
  <Characters>21873</Characters>
  <Application>Microsoft Office Word</Application>
  <DocSecurity>0</DocSecurity>
  <Lines>182</Lines>
  <Paragraphs>51</Paragraphs>
  <ScaleCrop>false</ScaleCrop>
  <Company/>
  <LinksUpToDate>false</LinksUpToDate>
  <CharactersWithSpaces>25659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Alexandru Popa (2332748)</cp:lastModifiedBy>
  <cp:revision>3</cp:revision>
  <dcterms:created xsi:type="dcterms:W3CDTF">2025-11-14T18:28:00Z</dcterms:created>
  <dcterms:modified xsi:type="dcterms:W3CDTF">2025-11-19T20:53:00Z</dcterms:modified>
</cp:coreProperties>
</file>