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057CBE" w14:textId="3CF4B4B5" w:rsidR="009257EB" w:rsidRPr="000465CF" w:rsidRDefault="000465CF">
      <w:pPr>
        <w:rPr>
          <w:b/>
          <w:bCs/>
          <w:sz w:val="28"/>
          <w:szCs w:val="28"/>
          <w:u w:val="single"/>
          <w:lang w:val="en-US"/>
        </w:rPr>
      </w:pPr>
      <w:r w:rsidRPr="000465CF">
        <w:rPr>
          <w:b/>
          <w:bCs/>
          <w:sz w:val="28"/>
          <w:szCs w:val="28"/>
          <w:u w:val="single"/>
          <w:lang w:val="en-US"/>
        </w:rPr>
        <w:t>Easement problem question</w:t>
      </w:r>
    </w:p>
    <w:p w14:paraId="12C548C4" w14:textId="1266F11A" w:rsidR="000465CF" w:rsidRPr="000465CF" w:rsidRDefault="000465CF">
      <w:pPr>
        <w:rPr>
          <w:sz w:val="28"/>
          <w:szCs w:val="28"/>
          <w:lang w:val="en-US"/>
        </w:rPr>
      </w:pPr>
      <w:r w:rsidRPr="000465CF">
        <w:rPr>
          <w:sz w:val="28"/>
          <w:szCs w:val="28"/>
          <w:lang w:val="en-US"/>
        </w:rPr>
        <w:t>Varma is the freehold owner of land, which includes Kempston Manor House and Tulip Cottage.  Tulip Cottage has its own small garden.  Varma resides in the Manor House, but he has never made use of Tulip Cottage, although he occasionally uses the garden as a short cut to the local train station.  The front door of Tulip Cottage is directly accessible from the main road.</w:t>
      </w:r>
    </w:p>
    <w:p w14:paraId="123C3150" w14:textId="11868600" w:rsidR="000465CF" w:rsidRPr="000465CF" w:rsidRDefault="000465CF">
      <w:pPr>
        <w:rPr>
          <w:sz w:val="28"/>
          <w:szCs w:val="28"/>
          <w:lang w:val="en-US"/>
        </w:rPr>
      </w:pPr>
      <w:r w:rsidRPr="000465CF">
        <w:rPr>
          <w:sz w:val="28"/>
          <w:szCs w:val="28"/>
          <w:lang w:val="en-US"/>
        </w:rPr>
        <w:t>In 2012, Miranda moved into Tulip Cottage under a 5 year residential lease granted by Varma.  The lease did not contain any easements.</w:t>
      </w:r>
    </w:p>
    <w:p w14:paraId="70CF61C6" w14:textId="79F6F125" w:rsidR="000465CF" w:rsidRPr="000465CF" w:rsidRDefault="000465CF">
      <w:pPr>
        <w:rPr>
          <w:sz w:val="28"/>
          <w:szCs w:val="28"/>
        </w:rPr>
      </w:pPr>
      <w:r w:rsidRPr="000465CF">
        <w:rPr>
          <w:sz w:val="28"/>
          <w:szCs w:val="28"/>
        </w:rPr>
        <w:t>In 2013, Varma gave permission to Miranda to park her car on the driveway of Kempston Manor, as it was easier than parking on the busy main road.</w:t>
      </w:r>
    </w:p>
    <w:p w14:paraId="118E119B" w14:textId="2E48EB06" w:rsidR="000465CF" w:rsidRPr="000465CF" w:rsidRDefault="000465CF">
      <w:pPr>
        <w:rPr>
          <w:sz w:val="28"/>
          <w:szCs w:val="28"/>
        </w:rPr>
      </w:pPr>
      <w:r w:rsidRPr="000465CF">
        <w:rPr>
          <w:sz w:val="28"/>
          <w:szCs w:val="28"/>
        </w:rPr>
        <w:t>In 2017, Miranda renewed the lease for a further 5 years. Again there was no mention of any easements in the lease.</w:t>
      </w:r>
    </w:p>
    <w:p w14:paraId="3E6D2158" w14:textId="4E5332B5" w:rsidR="000465CF" w:rsidRPr="000465CF" w:rsidRDefault="000465CF">
      <w:pPr>
        <w:rPr>
          <w:sz w:val="28"/>
          <w:szCs w:val="28"/>
        </w:rPr>
      </w:pPr>
      <w:r w:rsidRPr="000465CF">
        <w:rPr>
          <w:sz w:val="28"/>
          <w:szCs w:val="28"/>
        </w:rPr>
        <w:t>Last week, after a disagreement, Varma told Miranda that she has to stop parking her car on Kempton Manor House driveway.  Miranda has replied by informing Varma that he must no longer use her garden as a shortcut.</w:t>
      </w:r>
    </w:p>
    <w:p w14:paraId="68CD2371" w14:textId="0200DA6A" w:rsidR="000465CF" w:rsidRPr="000465CF" w:rsidRDefault="000465CF">
      <w:pPr>
        <w:rPr>
          <w:sz w:val="28"/>
          <w:szCs w:val="28"/>
        </w:rPr>
      </w:pPr>
      <w:r w:rsidRPr="000465CF">
        <w:rPr>
          <w:sz w:val="28"/>
          <w:szCs w:val="28"/>
        </w:rPr>
        <w:t>Advise Miranda:</w:t>
      </w:r>
    </w:p>
    <w:p w14:paraId="75C7C116" w14:textId="1BE013CB" w:rsidR="000465CF" w:rsidRPr="000465CF" w:rsidRDefault="000465CF" w:rsidP="000465CF">
      <w:pPr>
        <w:pStyle w:val="ListParagraph"/>
        <w:numPr>
          <w:ilvl w:val="0"/>
          <w:numId w:val="1"/>
        </w:numPr>
        <w:rPr>
          <w:sz w:val="28"/>
          <w:szCs w:val="28"/>
        </w:rPr>
      </w:pPr>
      <w:r w:rsidRPr="000465CF">
        <w:rPr>
          <w:sz w:val="28"/>
          <w:szCs w:val="28"/>
        </w:rPr>
        <w:t>Whether either of these two rights are capable of being easements</w:t>
      </w:r>
    </w:p>
    <w:p w14:paraId="7E6418E0" w14:textId="5CE86EB0" w:rsidR="000465CF" w:rsidRPr="000465CF" w:rsidRDefault="000465CF" w:rsidP="000465CF">
      <w:pPr>
        <w:pStyle w:val="ListParagraph"/>
        <w:rPr>
          <w:b/>
          <w:bCs/>
          <w:sz w:val="28"/>
          <w:szCs w:val="28"/>
        </w:rPr>
      </w:pPr>
      <w:r w:rsidRPr="000465CF">
        <w:rPr>
          <w:b/>
          <w:bCs/>
          <w:sz w:val="28"/>
          <w:szCs w:val="28"/>
        </w:rPr>
        <w:t>(14 marks)</w:t>
      </w:r>
    </w:p>
    <w:p w14:paraId="5BEB2B0E" w14:textId="5F977466" w:rsidR="000465CF" w:rsidRPr="000465CF" w:rsidRDefault="000465CF" w:rsidP="000465CF">
      <w:pPr>
        <w:pStyle w:val="ListParagraph"/>
        <w:numPr>
          <w:ilvl w:val="0"/>
          <w:numId w:val="1"/>
        </w:numPr>
        <w:rPr>
          <w:sz w:val="28"/>
          <w:szCs w:val="28"/>
        </w:rPr>
      </w:pPr>
      <w:r w:rsidRPr="000465CF">
        <w:rPr>
          <w:sz w:val="28"/>
          <w:szCs w:val="28"/>
        </w:rPr>
        <w:t>How, if at all, they have been created.</w:t>
      </w:r>
    </w:p>
    <w:p w14:paraId="5059605E" w14:textId="6AB6F3D9" w:rsidR="000465CF" w:rsidRPr="000465CF" w:rsidRDefault="000465CF" w:rsidP="000465CF">
      <w:pPr>
        <w:pStyle w:val="ListParagraph"/>
        <w:rPr>
          <w:b/>
          <w:bCs/>
          <w:sz w:val="28"/>
          <w:szCs w:val="28"/>
        </w:rPr>
      </w:pPr>
      <w:r w:rsidRPr="000465CF">
        <w:rPr>
          <w:b/>
          <w:bCs/>
          <w:sz w:val="28"/>
          <w:szCs w:val="28"/>
        </w:rPr>
        <w:t>(11 marks)</w:t>
      </w:r>
    </w:p>
    <w:sectPr w:rsidR="000465CF" w:rsidRPr="00046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9E5A63"/>
    <w:multiLevelType w:val="hybridMultilevel"/>
    <w:tmpl w:val="A5005A74"/>
    <w:lvl w:ilvl="0" w:tplc="4CB6607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5CF"/>
    <w:rsid w:val="000465CF"/>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73711"/>
  <w15:chartTrackingRefBased/>
  <w15:docId w15:val="{E135E664-B69F-4C31-8F18-D11642F45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65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172</Words>
  <Characters>982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2021-03-17T14:35:00Z</dcterms:created>
  <dcterms:modified xsi:type="dcterms:W3CDTF">2021-03-17T14:55:00Z</dcterms:modified>
</cp:coreProperties>
</file>