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Task 2 - Video and Bibliography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Video Link - 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uowtsd-my.sharepoint.com/:v:/r/personal/2316490_student_uwtsd_ac_uk/Documents/Documents/Assignment%205%20-%20DCWW%20Recruitment%20Video.mp4?csf=1&amp;web=1&amp;e=gOvUjd&amp;nav=eyJyZWZlcnJhbEluZm8iOnsicmVmZXJyYWxBcHAiOiJTdHJlYW1XZWJBcHAiLCJyZWZlcnJhbFZpZXciOiJTaGFyZURpYWxvZy1MaW5rIiwicmVmZXJyYWxBcHBQbGF0Zm9ybSI6IldlYiIsInJlZmVycmFsTW9kZSI6InZpZXcifX0%3D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Assignment 5 - DCWW Recruitment Video.mp4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  <w:r>
        <w:rPr>
          <w:rFonts w:ascii="Arial" w:hAnsi="Arial"/>
          <w:sz w:val="24"/>
          <w:szCs w:val="24"/>
          <w:rtl w:val="0"/>
          <w:lang w:val="en-US"/>
        </w:rPr>
        <w:t xml:space="preserve"> (Access granted for Rhiannon Akers)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  <w:u w:val="single"/>
        </w:rPr>
      </w:pPr>
    </w:p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  <w:u w:val="single"/>
        </w:rPr>
      </w:pPr>
      <w:r>
        <w:rPr>
          <w:rFonts w:ascii="Arial" w:hAnsi="Arial"/>
          <w:b w:val="1"/>
          <w:bCs w:val="1"/>
          <w:sz w:val="24"/>
          <w:szCs w:val="24"/>
          <w:u w:val="single"/>
          <w:rtl w:val="0"/>
          <w:lang w:val="en-US"/>
        </w:rPr>
        <w:t>Bibliography -</w:t>
      </w:r>
    </w:p>
    <w:p>
      <w:pPr>
        <w:pStyle w:val="Body"/>
        <w:bidi w:val="0"/>
      </w:pP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i w:val="1"/>
          <w:iCs w:val="1"/>
          <w:kern w:val="0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CIPD. (2024a) </w:t>
      </w:r>
      <w:r>
        <w:rPr>
          <w:rFonts w:ascii="Arial" w:hAnsi="Arial"/>
          <w:i w:val="1"/>
          <w:iCs w:val="1"/>
          <w:kern w:val="0"/>
          <w:sz w:val="24"/>
          <w:szCs w:val="24"/>
          <w:u w:color="000000"/>
          <w:rtl w:val="0"/>
          <w:lang w:val="en-US"/>
        </w:rPr>
        <w:t xml:space="preserve">Employer Brand </w:t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>Available at</w:t>
      </w:r>
      <w:r>
        <w:rPr>
          <w:rFonts w:ascii="Arial" w:hAnsi="Arial"/>
          <w:i w:val="1"/>
          <w:iCs w:val="1"/>
          <w:kern w:val="0"/>
          <w:sz w:val="24"/>
          <w:szCs w:val="24"/>
          <w:u w:color="000000"/>
          <w:rtl w:val="0"/>
          <w:lang w:val="en-US"/>
        </w:rPr>
        <w:t xml:space="preserve">: </w:t>
      </w:r>
      <w:r>
        <w:rPr>
          <w:rStyle w:val="Hyperlink.1"/>
          <w:rFonts w:ascii="Arial" w:cs="Arial" w:hAnsi="Arial" w:eastAsia="Arial"/>
          <w:kern w:val="2"/>
          <w:sz w:val="24"/>
          <w:szCs w:val="24"/>
          <w:u w:val="none" w:color="000000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kern w:val="2"/>
          <w:sz w:val="24"/>
          <w:szCs w:val="24"/>
          <w:u w:val="none" w:color="000000"/>
          <w:rtl w:val="0"/>
        </w:rPr>
        <w:instrText xml:space="preserve"> HYPERLINK "https://www.cipd.org/uk/knowledge/factsheets/recruitment-brand-factsheet/"</w:instrText>
      </w:r>
      <w:r>
        <w:rPr>
          <w:rStyle w:val="Hyperlink.1"/>
          <w:rFonts w:ascii="Arial" w:cs="Arial" w:hAnsi="Arial" w:eastAsia="Arial"/>
          <w:kern w:val="2"/>
          <w:sz w:val="24"/>
          <w:szCs w:val="24"/>
          <w:u w:val="none" w:color="000000"/>
          <w:rtl w:val="0"/>
        </w:rPr>
        <w:fldChar w:fldCharType="separate" w:fldLock="0"/>
      </w:r>
      <w:r>
        <w:rPr>
          <w:rStyle w:val="Hyperlink.1"/>
          <w:rFonts w:ascii="Arial" w:hAnsi="Arial"/>
          <w:kern w:val="2"/>
          <w:sz w:val="24"/>
          <w:szCs w:val="24"/>
          <w:u w:val="none" w:color="000000"/>
          <w:rtl w:val="0"/>
          <w:lang w:val="en-US"/>
        </w:rPr>
        <w:t>https://www.cipd.org/uk/knowledge/factsheets/recruitment-brand-factsheet/</w:t>
      </w:r>
      <w:r>
        <w:rPr>
          <w:rFonts w:ascii="Calibri" w:cs="Calibri" w:hAnsi="Calibri" w:eastAsia="Calibri"/>
          <w:kern w:val="2"/>
          <w:sz w:val="24"/>
          <w:szCs w:val="24"/>
          <w:u w:color="000000"/>
          <w:rtl w:val="0"/>
        </w:rPr>
        <w:fldChar w:fldCharType="end" w:fldLock="0"/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 (Accessed 25th November 2024).</w:t>
      </w: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CIPD. (2024b) </w:t>
      </w:r>
      <w:r>
        <w:rPr>
          <w:rFonts w:ascii="Arial" w:hAnsi="Arial"/>
          <w:i w:val="1"/>
          <w:iCs w:val="1"/>
          <w:kern w:val="0"/>
          <w:sz w:val="24"/>
          <w:szCs w:val="24"/>
          <w:u w:color="000000"/>
          <w:rtl w:val="0"/>
          <w:lang w:val="en-US"/>
        </w:rPr>
        <w:t>CIPD Good Work Index</w:t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 Available at: </w:t>
      </w:r>
      <w:r>
        <w:rPr>
          <w:rStyle w:val="Hyperlink.2"/>
          <w:rFonts w:ascii="Arial" w:cs="Arial" w:hAnsi="Arial" w:eastAsia="Arial"/>
          <w:kern w:val="2"/>
          <w:sz w:val="24"/>
          <w:szCs w:val="24"/>
          <w:u w:color="000000"/>
          <w:rtl w:val="0"/>
        </w:rPr>
        <w:fldChar w:fldCharType="begin" w:fldLock="0"/>
      </w:r>
      <w:r>
        <w:rPr>
          <w:rStyle w:val="Hyperlink.2"/>
          <w:rFonts w:ascii="Arial" w:cs="Arial" w:hAnsi="Arial" w:eastAsia="Arial"/>
          <w:kern w:val="2"/>
          <w:sz w:val="24"/>
          <w:szCs w:val="24"/>
          <w:u w:color="000000"/>
          <w:rtl w:val="0"/>
        </w:rPr>
        <w:instrText xml:space="preserve"> HYPERLINK "https://www.cipd.org/uk/knowledge/reports/goodwork/#:~:text=CIPD%20view%20on%20good%20work&amp;text=gives%20people%20the%20means%20to,allows%20for%20work%E2%80%93life%20balance"</w:instrText>
      </w:r>
      <w:r>
        <w:rPr>
          <w:rStyle w:val="Hyperlink.2"/>
          <w:rFonts w:ascii="Arial" w:cs="Arial" w:hAnsi="Arial" w:eastAsia="Arial"/>
          <w:kern w:val="2"/>
          <w:sz w:val="24"/>
          <w:szCs w:val="24"/>
          <w:u w:color="000000"/>
          <w:rtl w:val="0"/>
        </w:rPr>
        <w:fldChar w:fldCharType="separate" w:fldLock="0"/>
      </w:r>
      <w:r>
        <w:rPr>
          <w:rStyle w:val="Hyperlink.2"/>
          <w:rFonts w:ascii="Arial" w:hAnsi="Arial"/>
          <w:kern w:val="2"/>
          <w:sz w:val="24"/>
          <w:szCs w:val="24"/>
          <w:u w:color="000000"/>
          <w:rtl w:val="0"/>
          <w:lang w:val="en-US"/>
        </w:rPr>
        <w:t>https://www.cipd.org/uk/knowledge/reports/goodwork/#:~:text=CIPD%20view%20on%20good%20work&amp;text=gives%20people%20the%20means%20to,allows%20for%20work%E2%80%93life%20balance</w:t>
      </w:r>
      <w:r>
        <w:rPr>
          <w:rFonts w:ascii="Calibri" w:cs="Calibri" w:hAnsi="Calibri" w:eastAsia="Calibri"/>
          <w:kern w:val="2"/>
          <w:sz w:val="24"/>
          <w:szCs w:val="24"/>
          <w:u w:color="000000"/>
          <w:rtl w:val="0"/>
        </w:rPr>
        <w:fldChar w:fldCharType="end" w:fldLock="0"/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(Accessed 22nd November 2024). </w:t>
      </w: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Dwr Cymru Welsh Water. (2023) </w:t>
      </w:r>
      <w:r>
        <w:rPr>
          <w:rFonts w:ascii="Arial" w:hAnsi="Arial"/>
          <w:i w:val="1"/>
          <w:iCs w:val="1"/>
          <w:kern w:val="0"/>
          <w:sz w:val="24"/>
          <w:szCs w:val="24"/>
          <w:u w:color="000000"/>
          <w:rtl w:val="0"/>
          <w:lang w:val="en-US"/>
        </w:rPr>
        <w:t>Fair &amp; Just Behaviour Tree</w:t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>. Dwr Cymru Welsh Water. Unpublished.</w:t>
      </w: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Dwr Cymru Welsh Water. (2024) </w:t>
      </w:r>
      <w:r>
        <w:rPr>
          <w:rFonts w:ascii="Arial" w:hAnsi="Arial"/>
          <w:i w:val="1"/>
          <w:iCs w:val="1"/>
          <w:kern w:val="0"/>
          <w:sz w:val="24"/>
          <w:szCs w:val="24"/>
          <w:u w:color="000000"/>
          <w:rtl w:val="0"/>
          <w:lang w:val="en-US"/>
        </w:rPr>
        <w:t>Code of Conduct</w:t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>. Dwr Cymru Welsh Water. Unpublished.</w:t>
      </w: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b w:val="1"/>
          <w:bCs w:val="1"/>
          <w:kern w:val="0"/>
          <w:sz w:val="24"/>
          <w:szCs w:val="24"/>
          <w:u w:color="000000"/>
          <w:rtl w:val="0"/>
        </w:rPr>
      </w:pPr>
      <w:r>
        <w:rPr>
          <w:rFonts w:ascii="Arial" w:hAnsi="Arial"/>
          <w:b w:val="0"/>
          <w:bCs w:val="0"/>
          <w:kern w:val="0"/>
          <w:sz w:val="24"/>
          <w:szCs w:val="24"/>
          <w:u w:color="000000"/>
          <w:rtl w:val="0"/>
          <w:lang w:val="en-US"/>
        </w:rPr>
        <w:t xml:space="preserve">Dwr Cymru Welsh Water (no date). </w:t>
      </w:r>
      <w:r>
        <w:rPr>
          <w:rFonts w:ascii="Arial" w:hAnsi="Arial"/>
          <w:b w:val="0"/>
          <w:bCs w:val="0"/>
          <w:i w:val="1"/>
          <w:iCs w:val="1"/>
          <w:kern w:val="0"/>
          <w:sz w:val="24"/>
          <w:szCs w:val="24"/>
          <w:u w:color="000000"/>
          <w:rtl w:val="0"/>
          <w:lang w:val="en-US"/>
        </w:rPr>
        <w:t>Internal Marketing Images</w:t>
      </w:r>
      <w:r>
        <w:rPr>
          <w:rFonts w:ascii="Arial" w:hAnsi="Arial"/>
          <w:b w:val="0"/>
          <w:bCs w:val="0"/>
          <w:kern w:val="0"/>
          <w:sz w:val="24"/>
          <w:szCs w:val="24"/>
          <w:u w:color="000000"/>
          <w:rtl w:val="0"/>
          <w:lang w:val="en-US"/>
        </w:rPr>
        <w:t>. Dwr Cymru Welsh Water.</w:t>
      </w:r>
      <w:r>
        <w:rPr>
          <w:rFonts w:ascii="Arial" w:hAnsi="Arial"/>
          <w:b w:val="1"/>
          <w:bCs w:val="1"/>
          <w:kern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" w:hAnsi="Arial"/>
          <w:b w:val="0"/>
          <w:bCs w:val="0"/>
          <w:kern w:val="0"/>
          <w:sz w:val="24"/>
          <w:szCs w:val="24"/>
          <w:u w:color="000000"/>
          <w:rtl w:val="0"/>
          <w:lang w:val="en-US"/>
        </w:rPr>
        <w:t>Unpublished.</w:t>
      </w: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</w:p>
    <w:p>
      <w:pPr>
        <w:pStyle w:val="Body"/>
        <w:bidi w:val="0"/>
        <w:ind w:left="0" w:right="0" w:firstLine="0"/>
        <w:jc w:val="both"/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pP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Jacobs, K. (2021) </w:t>
      </w:r>
      <w:r>
        <w:rPr>
          <w:rFonts w:ascii="Arial" w:hAnsi="Arial"/>
          <w:i w:val="1"/>
          <w:iCs w:val="1"/>
          <w:kern w:val="0"/>
          <w:sz w:val="24"/>
          <w:szCs w:val="24"/>
          <w:u w:color="000000"/>
          <w:rtl w:val="0"/>
          <w:lang w:val="en-US"/>
        </w:rPr>
        <w:t>How to be an employer of choice</w:t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 Available at: </w:t>
      </w:r>
      <w:r>
        <w:rPr>
          <w:rStyle w:val="Hyperlink.1"/>
          <w:rFonts w:ascii="Arial" w:cs="Arial" w:hAnsi="Arial" w:eastAsia="Arial"/>
          <w:kern w:val="2"/>
          <w:sz w:val="24"/>
          <w:szCs w:val="24"/>
          <w:u w:val="none" w:color="000000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kern w:val="2"/>
          <w:sz w:val="24"/>
          <w:szCs w:val="24"/>
          <w:u w:val="none" w:color="000000"/>
          <w:rtl w:val="0"/>
        </w:rPr>
        <w:instrText xml:space="preserve"> HYPERLINK "https://www.peoplemanagement.co.uk/article/1742249/how-be-employer-choice-talent-attraction-retention"</w:instrText>
      </w:r>
      <w:r>
        <w:rPr>
          <w:rStyle w:val="Hyperlink.1"/>
          <w:rFonts w:ascii="Arial" w:cs="Arial" w:hAnsi="Arial" w:eastAsia="Arial"/>
          <w:kern w:val="2"/>
          <w:sz w:val="24"/>
          <w:szCs w:val="24"/>
          <w:u w:val="none" w:color="000000"/>
          <w:rtl w:val="0"/>
        </w:rPr>
        <w:fldChar w:fldCharType="separate" w:fldLock="0"/>
      </w:r>
      <w:r>
        <w:rPr>
          <w:rStyle w:val="Hyperlink.1"/>
          <w:rFonts w:ascii="Arial" w:hAnsi="Arial"/>
          <w:kern w:val="2"/>
          <w:sz w:val="24"/>
          <w:szCs w:val="24"/>
          <w:u w:val="none" w:color="000000"/>
          <w:rtl w:val="0"/>
          <w:lang w:val="en-US"/>
        </w:rPr>
        <w:t>https://www.peoplemanagement.co.uk/article/1742249/how-be-employer-choice-talent-attraction-retention</w:t>
      </w:r>
      <w:r>
        <w:rPr>
          <w:rFonts w:ascii="Calibri" w:cs="Calibri" w:hAnsi="Calibri" w:eastAsia="Calibri"/>
          <w:kern w:val="2"/>
          <w:sz w:val="24"/>
          <w:szCs w:val="24"/>
          <w:u w:color="000000"/>
          <w:rtl w:val="0"/>
        </w:rPr>
        <w:fldChar w:fldCharType="end" w:fldLock="0"/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Arial" w:hAnsi="Arial"/>
          <w:kern w:val="0"/>
          <w:sz w:val="24"/>
          <w:szCs w:val="24"/>
          <w:u w:color="000000"/>
          <w:rtl w:val="0"/>
          <w:lang w:val="en-US"/>
        </w:rPr>
        <w:t>(Accessed 21st November 2024).</w:t>
      </w:r>
    </w:p>
    <w:p>
      <w:pPr>
        <w:pStyle w:val="Body"/>
        <w:bidi w:val="0"/>
        <w:ind w:left="0" w:right="0" w:firstLine="0"/>
        <w:jc w:val="both"/>
        <w:rPr>
          <w:rtl w:val="0"/>
        </w:rPr>
      </w:pPr>
      <w:r>
        <w:rPr>
          <w:rFonts w:ascii="Arial" w:cs="Arial" w:hAnsi="Arial" w:eastAsia="Arial"/>
          <w:kern w:val="0"/>
          <w:sz w:val="24"/>
          <w:szCs w:val="24"/>
          <w:u w:color="000000"/>
          <w:rtl w:val="0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  <w:style w:type="character" w:styleId="Hyperlink.1">
    <w:name w:val="Hyperlink.1"/>
    <w:basedOn w:val="Hyperlink.0"/>
    <w:next w:val="Hyperlink.1"/>
    <w:rPr>
      <w:rFonts w:ascii="Arial" w:cs="Arial" w:hAnsi="Arial" w:eastAsia="Arial"/>
      <w:u w:val="none"/>
    </w:rPr>
  </w:style>
  <w:style w:type="character" w:styleId="Hyperlink.2">
    <w:name w:val="Hyperlink.2"/>
    <w:basedOn w:val="Hyperlink.0"/>
    <w:next w:val="Hyperlink.2"/>
    <w:rPr>
      <w:rFonts w:ascii="Arial" w:cs="Arial" w:hAnsi="Arial" w:eastAsia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