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A5733" w14:textId="77777777" w:rsidR="00E7014E" w:rsidRDefault="00E7014E" w:rsidP="002E79F2">
      <w:pPr>
        <w:rPr>
          <w:rFonts w:ascii="Arial" w:hAnsi="Arial" w:cs="Arial"/>
          <w:b/>
          <w:bCs/>
          <w:sz w:val="22"/>
          <w:szCs w:val="22"/>
        </w:rPr>
      </w:pPr>
    </w:p>
    <w:p w14:paraId="5B37122A" w14:textId="77777777" w:rsidR="00E7014E" w:rsidRDefault="00E7014E">
      <w:pPr>
        <w:rPr>
          <w:rFonts w:ascii="Arial" w:hAnsi="Arial" w:cs="Arial"/>
          <w:sz w:val="22"/>
          <w:szCs w:val="22"/>
        </w:rPr>
      </w:pPr>
      <w:r w:rsidRPr="00E7014E">
        <w:rPr>
          <w:rFonts w:ascii="Arial" w:hAnsi="Arial" w:cs="Arial"/>
          <w:sz w:val="22"/>
          <w:szCs w:val="22"/>
        </w:rPr>
        <w:t xml:space="preserve">Nylah shahid </w:t>
      </w:r>
    </w:p>
    <w:p w14:paraId="2D297BE6" w14:textId="77777777" w:rsidR="00E7014E" w:rsidRDefault="00E7014E">
      <w:pPr>
        <w:rPr>
          <w:rFonts w:ascii="Arial" w:hAnsi="Arial" w:cs="Arial"/>
          <w:sz w:val="22"/>
          <w:szCs w:val="22"/>
        </w:rPr>
      </w:pPr>
      <w:r>
        <w:rPr>
          <w:rFonts w:ascii="Arial" w:hAnsi="Arial" w:cs="Arial"/>
          <w:sz w:val="22"/>
          <w:szCs w:val="22"/>
        </w:rPr>
        <w:t xml:space="preserve">2330714 </w:t>
      </w:r>
    </w:p>
    <w:p w14:paraId="41BE9BA2" w14:textId="77777777" w:rsidR="009C3DA4" w:rsidRDefault="009C3DA4">
      <w:pPr>
        <w:rPr>
          <w:rFonts w:ascii="Arial" w:hAnsi="Arial" w:cs="Arial"/>
          <w:sz w:val="22"/>
          <w:szCs w:val="22"/>
        </w:rPr>
      </w:pPr>
      <w:r>
        <w:rPr>
          <w:rFonts w:ascii="Arial" w:hAnsi="Arial" w:cs="Arial"/>
          <w:sz w:val="22"/>
          <w:szCs w:val="22"/>
        </w:rPr>
        <w:t>Digital Transformation in the Health and Care Professions</w:t>
      </w:r>
    </w:p>
    <w:p w14:paraId="3B3F22B2" w14:textId="77777777" w:rsidR="0050476B" w:rsidRDefault="009C3DA4">
      <w:pPr>
        <w:rPr>
          <w:rFonts w:ascii="Arial" w:hAnsi="Arial" w:cs="Arial"/>
          <w:sz w:val="22"/>
          <w:szCs w:val="22"/>
        </w:rPr>
      </w:pPr>
      <w:r>
        <w:rPr>
          <w:rFonts w:ascii="Arial" w:hAnsi="Arial" w:cs="Arial"/>
          <w:sz w:val="22"/>
          <w:szCs w:val="22"/>
        </w:rPr>
        <w:t>BM</w:t>
      </w:r>
      <w:r w:rsidR="0050476B">
        <w:rPr>
          <w:rFonts w:ascii="Arial" w:hAnsi="Arial" w:cs="Arial"/>
          <w:sz w:val="22"/>
          <w:szCs w:val="22"/>
        </w:rPr>
        <w:t>HP6026</w:t>
      </w:r>
    </w:p>
    <w:p w14:paraId="7CBCBEAA" w14:textId="77777777" w:rsidR="0050476B" w:rsidRDefault="0050476B">
      <w:pPr>
        <w:rPr>
          <w:rFonts w:ascii="Arial" w:hAnsi="Arial" w:cs="Arial"/>
          <w:sz w:val="22"/>
          <w:szCs w:val="22"/>
        </w:rPr>
      </w:pPr>
      <w:r>
        <w:rPr>
          <w:rFonts w:ascii="Arial" w:hAnsi="Arial" w:cs="Arial"/>
          <w:sz w:val="22"/>
          <w:szCs w:val="22"/>
        </w:rPr>
        <w:t xml:space="preserve">Component 1: written report </w:t>
      </w:r>
    </w:p>
    <w:p w14:paraId="168ADAA0" w14:textId="3BFFB0B4" w:rsidR="00E7014E" w:rsidRPr="00E7014E" w:rsidRDefault="0050476B">
      <w:pPr>
        <w:rPr>
          <w:rFonts w:ascii="Arial" w:hAnsi="Arial" w:cs="Arial"/>
          <w:sz w:val="22"/>
          <w:szCs w:val="22"/>
        </w:rPr>
      </w:pPr>
      <w:proofErr w:type="spellStart"/>
      <w:r>
        <w:rPr>
          <w:rFonts w:ascii="Arial" w:hAnsi="Arial" w:cs="Arial"/>
          <w:sz w:val="22"/>
          <w:szCs w:val="22"/>
        </w:rPr>
        <w:t>Matrin</w:t>
      </w:r>
      <w:proofErr w:type="spellEnd"/>
      <w:r>
        <w:rPr>
          <w:rFonts w:ascii="Arial" w:hAnsi="Arial" w:cs="Arial"/>
          <w:sz w:val="22"/>
          <w:szCs w:val="22"/>
        </w:rPr>
        <w:t xml:space="preserve"> </w:t>
      </w:r>
      <w:r w:rsidR="00AD7E52">
        <w:rPr>
          <w:rFonts w:ascii="Arial" w:hAnsi="Arial" w:cs="Arial"/>
          <w:sz w:val="22"/>
          <w:szCs w:val="22"/>
        </w:rPr>
        <w:t xml:space="preserve">Svejda </w:t>
      </w:r>
      <w:r w:rsidR="009C3DA4">
        <w:rPr>
          <w:rFonts w:ascii="Arial" w:hAnsi="Arial" w:cs="Arial"/>
          <w:sz w:val="22"/>
          <w:szCs w:val="22"/>
        </w:rPr>
        <w:t xml:space="preserve"> </w:t>
      </w:r>
      <w:r w:rsidR="00E7014E" w:rsidRPr="00E7014E">
        <w:rPr>
          <w:rFonts w:ascii="Arial" w:hAnsi="Arial" w:cs="Arial"/>
          <w:sz w:val="22"/>
          <w:szCs w:val="22"/>
        </w:rPr>
        <w:br w:type="page"/>
      </w:r>
    </w:p>
    <w:p w14:paraId="197F551C" w14:textId="5D801AA3" w:rsidR="002E79F2" w:rsidRPr="00B32B18" w:rsidRDefault="002E79F2" w:rsidP="002E79F2">
      <w:pPr>
        <w:rPr>
          <w:rFonts w:ascii="Arial" w:hAnsi="Arial" w:cs="Arial"/>
          <w:b/>
          <w:bCs/>
          <w:sz w:val="22"/>
          <w:szCs w:val="22"/>
        </w:rPr>
      </w:pPr>
      <w:r w:rsidRPr="00B32B18">
        <w:rPr>
          <w:rFonts w:ascii="Arial" w:hAnsi="Arial" w:cs="Arial"/>
          <w:b/>
          <w:bCs/>
          <w:sz w:val="22"/>
          <w:szCs w:val="22"/>
        </w:rPr>
        <w:lastRenderedPageBreak/>
        <w:t>KardiaMobile as a Digital Innovation in UK Health Care: A Critical Evaluation</w:t>
      </w:r>
    </w:p>
    <w:p w14:paraId="44F0CFF0" w14:textId="75F00177" w:rsidR="002E79F2" w:rsidRPr="00B32B18" w:rsidRDefault="002E79F2" w:rsidP="002E79F2">
      <w:pPr>
        <w:rPr>
          <w:rFonts w:ascii="Arial" w:hAnsi="Arial" w:cs="Arial"/>
          <w:sz w:val="22"/>
          <w:szCs w:val="22"/>
        </w:rPr>
      </w:pPr>
      <w:r w:rsidRPr="00B32B18">
        <w:rPr>
          <w:rFonts w:ascii="Arial" w:hAnsi="Arial" w:cs="Arial"/>
          <w:sz w:val="22"/>
          <w:szCs w:val="22"/>
        </w:rPr>
        <w:t xml:space="preserve">Digital transformation has become a defining feature of UK health and social care, driven by national priorities to improve efficiency, reduce inequalities, and enhance patient outcomes (Department of Health and Social Care, 2022). </w:t>
      </w:r>
      <w:r w:rsidR="00C56509">
        <w:rPr>
          <w:rFonts w:ascii="Arial" w:hAnsi="Arial" w:cs="Arial"/>
          <w:sz w:val="22"/>
          <w:szCs w:val="22"/>
        </w:rPr>
        <w:t xml:space="preserve">An </w:t>
      </w:r>
      <w:r w:rsidRPr="00B32B18">
        <w:rPr>
          <w:rFonts w:ascii="Arial" w:hAnsi="Arial" w:cs="Arial"/>
          <w:sz w:val="22"/>
          <w:szCs w:val="22"/>
        </w:rPr>
        <w:t>innovation</w:t>
      </w:r>
      <w:r w:rsidR="007B51FF">
        <w:rPr>
          <w:rFonts w:ascii="Arial" w:hAnsi="Arial" w:cs="Arial"/>
          <w:sz w:val="22"/>
          <w:szCs w:val="22"/>
        </w:rPr>
        <w:t xml:space="preserve"> introduced was </w:t>
      </w:r>
      <w:r w:rsidRPr="00B32B18">
        <w:rPr>
          <w:rFonts w:ascii="Arial" w:hAnsi="Arial" w:cs="Arial"/>
          <w:sz w:val="22"/>
          <w:szCs w:val="22"/>
        </w:rPr>
        <w:t>KardiaMobile, a handheld single</w:t>
      </w:r>
      <w:r w:rsidRPr="00B32B18">
        <w:rPr>
          <w:rFonts w:ascii="Arial" w:hAnsi="Arial" w:cs="Arial"/>
          <w:sz w:val="22"/>
          <w:szCs w:val="22"/>
        </w:rPr>
        <w:noBreakHyphen/>
        <w:t>lead ECG device developed by AliveCor. Introduced into UK primary care pathways around 2018, KardiaMobile enables rapid detection of atrial fibrillation (AF) through a smartphone</w:t>
      </w:r>
      <w:r w:rsidRPr="00B32B18">
        <w:rPr>
          <w:rFonts w:ascii="Arial" w:hAnsi="Arial" w:cs="Arial"/>
          <w:sz w:val="22"/>
          <w:szCs w:val="22"/>
        </w:rPr>
        <w:noBreakHyphen/>
        <w:t>connected application, supporting earlier diagnosis and stroke prevention (NICE, 2020).</w:t>
      </w:r>
      <w:r w:rsidR="00D54A11" w:rsidRPr="00B32B18">
        <w:rPr>
          <w:rFonts w:ascii="Arial" w:hAnsi="Arial" w:cs="Arial"/>
          <w:sz w:val="22"/>
          <w:szCs w:val="22"/>
        </w:rPr>
        <w:t xml:space="preserve"> Key stakeholders include GPs, nurses, cardiology teams, patients, and digital health providers.</w:t>
      </w:r>
      <w:r w:rsidRPr="00B32B18">
        <w:rPr>
          <w:rFonts w:ascii="Arial" w:hAnsi="Arial" w:cs="Arial"/>
          <w:sz w:val="22"/>
          <w:szCs w:val="22"/>
        </w:rPr>
        <w:t xml:space="preserve"> This report critically evaluates the impact of KardiaMobile on the workforce, service delivery, and patient experience, drawing on contemporary research and UK policy. A balanced analysis is presented, comparing benefits and limitations, and integrating information governance considerations under the UK GDPR and Data Protection Act 2018. The report argues that while KardiaMobile offers substantial advantages in diagnostic efficiency and patient empowerment, its effectiveness depends on workforce readiness, digital infrastructure, and robust data governance. </w:t>
      </w:r>
    </w:p>
    <w:p w14:paraId="65660FF0"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Impact on the Workforce</w:t>
      </w:r>
    </w:p>
    <w:p w14:paraId="177E5DA8" w14:textId="340ADFC1" w:rsidR="002E79F2" w:rsidRDefault="002E79F2" w:rsidP="002E79F2">
      <w:pPr>
        <w:rPr>
          <w:rFonts w:ascii="Arial" w:hAnsi="Arial" w:cs="Arial"/>
          <w:sz w:val="22"/>
          <w:szCs w:val="22"/>
        </w:rPr>
      </w:pPr>
      <w:r w:rsidRPr="00B32B18">
        <w:rPr>
          <w:rFonts w:ascii="Arial" w:hAnsi="Arial" w:cs="Arial"/>
          <w:sz w:val="22"/>
          <w:szCs w:val="22"/>
        </w:rPr>
        <w:t>KardiaMobile has reshaped workforce roles by enabling clinicians to conduct rapid AF screening during routine consultations, home visits, and community clinics. Evidence shows that the device enhances diagnostic confidence among GPs and nurses by providing immediate ECG readings, reducing reliance on specialist referrals (Chan, 2020). Compared with traditional 12</w:t>
      </w:r>
      <w:r w:rsidRPr="00B32B18">
        <w:rPr>
          <w:rFonts w:ascii="Arial" w:hAnsi="Arial" w:cs="Arial"/>
          <w:sz w:val="22"/>
          <w:szCs w:val="22"/>
        </w:rPr>
        <w:noBreakHyphen/>
        <w:t>lead ECGs, which require specialist equipment and trained staff, KardiaMobile increases workforce flexibility and supports multidisciplinary teams, particularly in community cardiology pathways (Tieleman, 2019).</w:t>
      </w:r>
    </w:p>
    <w:p w14:paraId="0B7BFF4C" w14:textId="77777777" w:rsidR="003708D1" w:rsidRDefault="003708D1" w:rsidP="002E79F2">
      <w:pPr>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86653D" w:rsidRPr="0086653D" w14:paraId="5FC5A6E8" w14:textId="77777777">
        <w:trPr>
          <w:tblCellSpacing w:w="15" w:type="dxa"/>
        </w:trPr>
        <w:tc>
          <w:tcPr>
            <w:tcW w:w="0" w:type="auto"/>
            <w:vAlign w:val="center"/>
            <w:hideMark/>
          </w:tcPr>
          <w:tbl>
            <w:tblPr>
              <w:tblW w:w="0" w:type="auto"/>
              <w:tblCellSpacing w:w="15"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CellMar>
                <w:top w:w="15" w:type="dxa"/>
                <w:left w:w="15" w:type="dxa"/>
                <w:bottom w:w="15" w:type="dxa"/>
                <w:right w:w="15" w:type="dxa"/>
              </w:tblCellMar>
              <w:tblLook w:val="04A0" w:firstRow="1" w:lastRow="0" w:firstColumn="1" w:lastColumn="0" w:noHBand="0" w:noVBand="1"/>
            </w:tblPr>
            <w:tblGrid>
              <w:gridCol w:w="2719"/>
              <w:gridCol w:w="3334"/>
              <w:gridCol w:w="2873"/>
            </w:tblGrid>
            <w:tr w:rsidR="0086653D" w:rsidRPr="00676A3A" w14:paraId="377FEA57" w14:textId="77777777" w:rsidTr="00676A3A">
              <w:trPr>
                <w:tblHeader/>
                <w:tblCellSpacing w:w="15" w:type="dxa"/>
              </w:trPr>
              <w:tc>
                <w:tcPr>
                  <w:tcW w:w="0" w:type="auto"/>
                  <w:vAlign w:val="center"/>
                  <w:hideMark/>
                </w:tcPr>
                <w:p w14:paraId="582786C8" w14:textId="427E8BD9" w:rsidR="0086653D" w:rsidRPr="00676A3A" w:rsidRDefault="00676A3A" w:rsidP="0086653D">
                  <w:pPr>
                    <w:rPr>
                      <w:rFonts w:ascii="Arial" w:hAnsi="Arial" w:cs="Arial"/>
                      <w:b/>
                      <w:bCs/>
                      <w:color w:val="000000" w:themeColor="text1"/>
                      <w:sz w:val="22"/>
                      <w:szCs w:val="22"/>
                    </w:rPr>
                  </w:pPr>
                  <w:r>
                    <w:rPr>
                      <w:rFonts w:ascii="Arial" w:hAnsi="Arial" w:cs="Arial"/>
                      <w:b/>
                      <w:bCs/>
                      <w:color w:val="000000" w:themeColor="text1"/>
                      <w:sz w:val="22"/>
                      <w:szCs w:val="22"/>
                    </w:rPr>
                    <w:t>F</w:t>
                  </w:r>
                  <w:r w:rsidR="0086653D" w:rsidRPr="00676A3A">
                    <w:rPr>
                      <w:rFonts w:ascii="Arial" w:hAnsi="Arial" w:cs="Arial"/>
                      <w:b/>
                      <w:bCs/>
                      <w:color w:val="000000" w:themeColor="text1"/>
                      <w:sz w:val="22"/>
                      <w:szCs w:val="22"/>
                    </w:rPr>
                    <w:t>eature</w:t>
                  </w:r>
                  <w:r>
                    <w:rPr>
                      <w:rFonts w:ascii="Arial" w:hAnsi="Arial" w:cs="Arial"/>
                      <w:b/>
                      <w:bCs/>
                      <w:color w:val="000000" w:themeColor="text1"/>
                      <w:sz w:val="22"/>
                      <w:szCs w:val="22"/>
                    </w:rPr>
                    <w:t>s</w:t>
                  </w:r>
                </w:p>
              </w:tc>
              <w:tc>
                <w:tcPr>
                  <w:tcW w:w="0" w:type="auto"/>
                  <w:vAlign w:val="center"/>
                  <w:hideMark/>
                </w:tcPr>
                <w:p w14:paraId="7F6A8583"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KardiaMobile (Single</w:t>
                  </w:r>
                  <w:r w:rsidRPr="00676A3A">
                    <w:rPr>
                      <w:rFonts w:ascii="Arial" w:hAnsi="Arial" w:cs="Arial"/>
                      <w:b/>
                      <w:bCs/>
                      <w:color w:val="000000" w:themeColor="text1"/>
                      <w:sz w:val="22"/>
                      <w:szCs w:val="22"/>
                    </w:rPr>
                    <w:noBreakHyphen/>
                    <w:t>Lead ECG)</w:t>
                  </w:r>
                </w:p>
              </w:tc>
              <w:tc>
                <w:tcPr>
                  <w:tcW w:w="0" w:type="auto"/>
                  <w:vAlign w:val="center"/>
                  <w:hideMark/>
                </w:tcPr>
                <w:p w14:paraId="3490F125"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Traditional 12</w:t>
                  </w:r>
                  <w:r w:rsidRPr="00676A3A">
                    <w:rPr>
                      <w:rFonts w:ascii="Arial" w:hAnsi="Arial" w:cs="Arial"/>
                      <w:b/>
                      <w:bCs/>
                      <w:color w:val="000000" w:themeColor="text1"/>
                      <w:sz w:val="22"/>
                      <w:szCs w:val="22"/>
                    </w:rPr>
                    <w:noBreakHyphen/>
                    <w:t>Lead ECG</w:t>
                  </w:r>
                </w:p>
              </w:tc>
            </w:tr>
            <w:tr w:rsidR="0086653D" w:rsidRPr="00676A3A" w14:paraId="58AAE65D" w14:textId="77777777" w:rsidTr="00676A3A">
              <w:trPr>
                <w:tblCellSpacing w:w="15" w:type="dxa"/>
              </w:trPr>
              <w:tc>
                <w:tcPr>
                  <w:tcW w:w="0" w:type="auto"/>
                  <w:vAlign w:val="center"/>
                  <w:hideMark/>
                </w:tcPr>
                <w:p w14:paraId="414DD389"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Number of Leads</w:t>
                  </w:r>
                </w:p>
              </w:tc>
              <w:tc>
                <w:tcPr>
                  <w:tcW w:w="0" w:type="auto"/>
                  <w:vAlign w:val="center"/>
                  <w:hideMark/>
                </w:tcPr>
                <w:p w14:paraId="61B916FE"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1 lead</w:t>
                  </w:r>
                </w:p>
              </w:tc>
              <w:tc>
                <w:tcPr>
                  <w:tcW w:w="0" w:type="auto"/>
                  <w:vAlign w:val="center"/>
                  <w:hideMark/>
                </w:tcPr>
                <w:p w14:paraId="14B40184"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12 leads</w:t>
                  </w:r>
                </w:p>
              </w:tc>
            </w:tr>
            <w:tr w:rsidR="0086653D" w:rsidRPr="00676A3A" w14:paraId="267FBD23" w14:textId="77777777" w:rsidTr="00676A3A">
              <w:trPr>
                <w:tblCellSpacing w:w="15" w:type="dxa"/>
              </w:trPr>
              <w:tc>
                <w:tcPr>
                  <w:tcW w:w="0" w:type="auto"/>
                  <w:vAlign w:val="center"/>
                  <w:hideMark/>
                </w:tcPr>
                <w:p w14:paraId="2F546D94"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Diagnostic Accuracy (AF)</w:t>
                  </w:r>
                </w:p>
              </w:tc>
              <w:tc>
                <w:tcPr>
                  <w:tcW w:w="0" w:type="auto"/>
                  <w:vAlign w:val="center"/>
                  <w:hideMark/>
                </w:tcPr>
                <w:p w14:paraId="54FCA0E7" w14:textId="51E8F49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 xml:space="preserve">92–98% sensitivity </w:t>
                  </w:r>
                  <w:r w:rsidR="008B038C">
                    <w:rPr>
                      <w:rFonts w:ascii="Arial" w:hAnsi="Arial" w:cs="Arial"/>
                      <w:color w:val="000000" w:themeColor="text1"/>
                      <w:sz w:val="22"/>
                      <w:szCs w:val="22"/>
                    </w:rPr>
                    <w:t>(</w:t>
                  </w:r>
                  <w:proofErr w:type="spellStart"/>
                  <w:r w:rsidRPr="00676A3A">
                    <w:rPr>
                      <w:rFonts w:ascii="Arial" w:hAnsi="Arial" w:cs="Arial"/>
                      <w:color w:val="000000" w:themeColor="text1"/>
                      <w:sz w:val="22"/>
                      <w:szCs w:val="22"/>
                    </w:rPr>
                    <w:t>Lowres</w:t>
                  </w:r>
                  <w:proofErr w:type="spellEnd"/>
                  <w:r w:rsidRPr="00676A3A">
                    <w:rPr>
                      <w:rFonts w:ascii="Arial" w:hAnsi="Arial" w:cs="Arial"/>
                      <w:color w:val="000000" w:themeColor="text1"/>
                      <w:sz w:val="22"/>
                      <w:szCs w:val="22"/>
                    </w:rPr>
                    <w:t xml:space="preserve"> 2022)</w:t>
                  </w:r>
                </w:p>
              </w:tc>
              <w:tc>
                <w:tcPr>
                  <w:tcW w:w="0" w:type="auto"/>
                  <w:vAlign w:val="center"/>
                  <w:hideMark/>
                </w:tcPr>
                <w:p w14:paraId="7AB5AB76"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99%+ sensitivity</w:t>
                  </w:r>
                </w:p>
              </w:tc>
            </w:tr>
            <w:tr w:rsidR="0086653D" w:rsidRPr="00676A3A" w14:paraId="1F22F835" w14:textId="77777777" w:rsidTr="00676A3A">
              <w:trPr>
                <w:tblCellSpacing w:w="15" w:type="dxa"/>
              </w:trPr>
              <w:tc>
                <w:tcPr>
                  <w:tcW w:w="0" w:type="auto"/>
                  <w:vAlign w:val="center"/>
                  <w:hideMark/>
                </w:tcPr>
                <w:p w14:paraId="0D87B784"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Diagnostic Accuracy (Other arrhythmias)</w:t>
                  </w:r>
                </w:p>
              </w:tc>
              <w:tc>
                <w:tcPr>
                  <w:tcW w:w="0" w:type="auto"/>
                  <w:vAlign w:val="center"/>
                  <w:hideMark/>
                </w:tcPr>
                <w:p w14:paraId="2A980797"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Lower accuracy; may miss intermittent arrhythmias</w:t>
                  </w:r>
                </w:p>
              </w:tc>
              <w:tc>
                <w:tcPr>
                  <w:tcW w:w="0" w:type="auto"/>
                  <w:vAlign w:val="center"/>
                  <w:hideMark/>
                </w:tcPr>
                <w:p w14:paraId="2567EE05"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High accuracy across all arrhythmias</w:t>
                  </w:r>
                </w:p>
              </w:tc>
            </w:tr>
            <w:tr w:rsidR="0086653D" w:rsidRPr="00676A3A" w14:paraId="15995C5D" w14:textId="77777777" w:rsidTr="00676A3A">
              <w:trPr>
                <w:tblCellSpacing w:w="15" w:type="dxa"/>
              </w:trPr>
              <w:tc>
                <w:tcPr>
                  <w:tcW w:w="0" w:type="auto"/>
                  <w:vAlign w:val="center"/>
                  <w:hideMark/>
                </w:tcPr>
                <w:p w14:paraId="1B98BA2F"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Risk of Artefacts</w:t>
                  </w:r>
                </w:p>
              </w:tc>
              <w:tc>
                <w:tcPr>
                  <w:tcW w:w="0" w:type="auto"/>
                  <w:vAlign w:val="center"/>
                  <w:hideMark/>
                </w:tcPr>
                <w:p w14:paraId="4D2B6801"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Higher (movement, poor contact)</w:t>
                  </w:r>
                </w:p>
              </w:tc>
              <w:tc>
                <w:tcPr>
                  <w:tcW w:w="0" w:type="auto"/>
                  <w:vAlign w:val="center"/>
                  <w:hideMark/>
                </w:tcPr>
                <w:p w14:paraId="1541BA6B"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Lower due to multiple leads and stable placement</w:t>
                  </w:r>
                </w:p>
              </w:tc>
            </w:tr>
            <w:tr w:rsidR="0086653D" w:rsidRPr="00676A3A" w14:paraId="1820665D" w14:textId="77777777" w:rsidTr="00676A3A">
              <w:trPr>
                <w:tblCellSpacing w:w="15" w:type="dxa"/>
              </w:trPr>
              <w:tc>
                <w:tcPr>
                  <w:tcW w:w="0" w:type="auto"/>
                  <w:vAlign w:val="center"/>
                  <w:hideMark/>
                </w:tcPr>
                <w:p w14:paraId="377905D2"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Time to Record</w:t>
                  </w:r>
                </w:p>
              </w:tc>
              <w:tc>
                <w:tcPr>
                  <w:tcW w:w="0" w:type="auto"/>
                  <w:vAlign w:val="center"/>
                  <w:hideMark/>
                </w:tcPr>
                <w:p w14:paraId="38E11F4F"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~30 seconds (NICE 2020)</w:t>
                  </w:r>
                </w:p>
              </w:tc>
              <w:tc>
                <w:tcPr>
                  <w:tcW w:w="0" w:type="auto"/>
                  <w:vAlign w:val="center"/>
                  <w:hideMark/>
                </w:tcPr>
                <w:p w14:paraId="2F7AE14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5–10 minutes including setup</w:t>
                  </w:r>
                </w:p>
              </w:tc>
            </w:tr>
            <w:tr w:rsidR="0086653D" w:rsidRPr="00676A3A" w14:paraId="2D5CFE98" w14:textId="77777777" w:rsidTr="00676A3A">
              <w:trPr>
                <w:tblCellSpacing w:w="15" w:type="dxa"/>
              </w:trPr>
              <w:tc>
                <w:tcPr>
                  <w:tcW w:w="0" w:type="auto"/>
                  <w:vAlign w:val="center"/>
                  <w:hideMark/>
                </w:tcPr>
                <w:p w14:paraId="2E03B8E8"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Interpretation</w:t>
                  </w:r>
                </w:p>
              </w:tc>
              <w:tc>
                <w:tcPr>
                  <w:tcW w:w="0" w:type="auto"/>
                  <w:vAlign w:val="center"/>
                  <w:hideMark/>
                </w:tcPr>
                <w:p w14:paraId="5FD95BD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Automated algorithm + clinician review</w:t>
                  </w:r>
                </w:p>
              </w:tc>
              <w:tc>
                <w:tcPr>
                  <w:tcW w:w="0" w:type="auto"/>
                  <w:vAlign w:val="center"/>
                  <w:hideMark/>
                </w:tcPr>
                <w:p w14:paraId="30A46254"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Clinician interpretation only</w:t>
                  </w:r>
                </w:p>
              </w:tc>
            </w:tr>
            <w:tr w:rsidR="0086653D" w:rsidRPr="00676A3A" w14:paraId="08B04B10" w14:textId="77777777" w:rsidTr="00676A3A">
              <w:trPr>
                <w:tblCellSpacing w:w="15" w:type="dxa"/>
              </w:trPr>
              <w:tc>
                <w:tcPr>
                  <w:tcW w:w="0" w:type="auto"/>
                  <w:vAlign w:val="center"/>
                  <w:hideMark/>
                </w:tcPr>
                <w:p w14:paraId="639FCB08"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lastRenderedPageBreak/>
                    <w:t>Use Setting</w:t>
                  </w:r>
                </w:p>
              </w:tc>
              <w:tc>
                <w:tcPr>
                  <w:tcW w:w="0" w:type="auto"/>
                  <w:vAlign w:val="center"/>
                  <w:hideMark/>
                </w:tcPr>
                <w:p w14:paraId="043CEC7E"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GP, community, care homes, home</w:t>
                  </w:r>
                </w:p>
              </w:tc>
              <w:tc>
                <w:tcPr>
                  <w:tcW w:w="0" w:type="auto"/>
                  <w:vAlign w:val="center"/>
                  <w:hideMark/>
                </w:tcPr>
                <w:p w14:paraId="3049578B"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Hospitals, GP surgeries, ambulances</w:t>
                  </w:r>
                </w:p>
              </w:tc>
            </w:tr>
            <w:tr w:rsidR="0086653D" w:rsidRPr="00676A3A" w14:paraId="23F52166" w14:textId="77777777" w:rsidTr="00676A3A">
              <w:trPr>
                <w:tblCellSpacing w:w="15" w:type="dxa"/>
              </w:trPr>
              <w:tc>
                <w:tcPr>
                  <w:tcW w:w="0" w:type="auto"/>
                  <w:vAlign w:val="center"/>
                  <w:hideMark/>
                </w:tcPr>
                <w:p w14:paraId="6E3C56F0"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Portability</w:t>
                  </w:r>
                </w:p>
              </w:tc>
              <w:tc>
                <w:tcPr>
                  <w:tcW w:w="0" w:type="auto"/>
                  <w:vAlign w:val="center"/>
                  <w:hideMark/>
                </w:tcPr>
                <w:p w14:paraId="1BE022E3"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Very high (pocket</w:t>
                  </w:r>
                  <w:r w:rsidRPr="00676A3A">
                    <w:rPr>
                      <w:rFonts w:ascii="Arial" w:hAnsi="Arial" w:cs="Arial"/>
                      <w:color w:val="000000" w:themeColor="text1"/>
                      <w:sz w:val="22"/>
                      <w:szCs w:val="22"/>
                    </w:rPr>
                    <w:noBreakHyphen/>
                    <w:t>sized)</w:t>
                  </w:r>
                </w:p>
              </w:tc>
              <w:tc>
                <w:tcPr>
                  <w:tcW w:w="0" w:type="auto"/>
                  <w:vAlign w:val="center"/>
                  <w:hideMark/>
                </w:tcPr>
                <w:p w14:paraId="00A70EF3"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 (large machine)</w:t>
                  </w:r>
                </w:p>
              </w:tc>
            </w:tr>
            <w:tr w:rsidR="0086653D" w:rsidRPr="00676A3A" w14:paraId="5B409730" w14:textId="77777777" w:rsidTr="00676A3A">
              <w:trPr>
                <w:tblCellSpacing w:w="15" w:type="dxa"/>
              </w:trPr>
              <w:tc>
                <w:tcPr>
                  <w:tcW w:w="0" w:type="auto"/>
                  <w:vAlign w:val="center"/>
                  <w:hideMark/>
                </w:tcPr>
                <w:p w14:paraId="0E0F0479"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Cost</w:t>
                  </w:r>
                </w:p>
              </w:tc>
              <w:tc>
                <w:tcPr>
                  <w:tcW w:w="0" w:type="auto"/>
                  <w:vAlign w:val="center"/>
                  <w:hideMark/>
                </w:tcPr>
                <w:p w14:paraId="712B60B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Low (£99–£149)</w:t>
                  </w:r>
                </w:p>
              </w:tc>
              <w:tc>
                <w:tcPr>
                  <w:tcW w:w="0" w:type="auto"/>
                  <w:vAlign w:val="center"/>
                  <w:hideMark/>
                </w:tcPr>
                <w:p w14:paraId="282980D8"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High (£1,000–£3,000+)</w:t>
                  </w:r>
                </w:p>
              </w:tc>
            </w:tr>
            <w:tr w:rsidR="0086653D" w:rsidRPr="00676A3A" w14:paraId="51FEB73F" w14:textId="77777777" w:rsidTr="00676A3A">
              <w:trPr>
                <w:tblCellSpacing w:w="15" w:type="dxa"/>
              </w:trPr>
              <w:tc>
                <w:tcPr>
                  <w:tcW w:w="0" w:type="auto"/>
                  <w:vAlign w:val="center"/>
                  <w:hideMark/>
                </w:tcPr>
                <w:p w14:paraId="57F4F988"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Training Required</w:t>
                  </w:r>
                </w:p>
              </w:tc>
              <w:tc>
                <w:tcPr>
                  <w:tcW w:w="0" w:type="auto"/>
                  <w:vAlign w:val="center"/>
                  <w:hideMark/>
                </w:tcPr>
                <w:p w14:paraId="6C15C23A"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Minimal</w:t>
                  </w:r>
                </w:p>
              </w:tc>
              <w:tc>
                <w:tcPr>
                  <w:tcW w:w="0" w:type="auto"/>
                  <w:vAlign w:val="center"/>
                  <w:hideMark/>
                </w:tcPr>
                <w:p w14:paraId="19C91386"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Moderate (correct lead placement)</w:t>
                  </w:r>
                </w:p>
              </w:tc>
            </w:tr>
            <w:tr w:rsidR="0086653D" w:rsidRPr="00676A3A" w14:paraId="0E954235" w14:textId="77777777" w:rsidTr="00676A3A">
              <w:trPr>
                <w:tblCellSpacing w:w="15" w:type="dxa"/>
              </w:trPr>
              <w:tc>
                <w:tcPr>
                  <w:tcW w:w="0" w:type="auto"/>
                  <w:vAlign w:val="center"/>
                  <w:hideMark/>
                </w:tcPr>
                <w:p w14:paraId="33C8D53D"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Best Use Case</w:t>
                  </w:r>
                </w:p>
              </w:tc>
              <w:tc>
                <w:tcPr>
                  <w:tcW w:w="0" w:type="auto"/>
                  <w:vAlign w:val="center"/>
                  <w:hideMark/>
                </w:tcPr>
                <w:p w14:paraId="3AA94779"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Rapid AF screening, point</w:t>
                  </w:r>
                  <w:r w:rsidRPr="00676A3A">
                    <w:rPr>
                      <w:rFonts w:ascii="Arial" w:hAnsi="Arial" w:cs="Arial"/>
                      <w:color w:val="000000" w:themeColor="text1"/>
                      <w:sz w:val="22"/>
                      <w:szCs w:val="22"/>
                    </w:rPr>
                    <w:noBreakHyphen/>
                    <w:t>of</w:t>
                  </w:r>
                  <w:r w:rsidRPr="00676A3A">
                    <w:rPr>
                      <w:rFonts w:ascii="Arial" w:hAnsi="Arial" w:cs="Arial"/>
                      <w:color w:val="000000" w:themeColor="text1"/>
                      <w:sz w:val="22"/>
                      <w:szCs w:val="22"/>
                    </w:rPr>
                    <w:noBreakHyphen/>
                    <w:t>care checks</w:t>
                  </w:r>
                </w:p>
              </w:tc>
              <w:tc>
                <w:tcPr>
                  <w:tcW w:w="0" w:type="auto"/>
                  <w:vAlign w:val="center"/>
                  <w:hideMark/>
                </w:tcPr>
                <w:p w14:paraId="0B27BD49"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Full cardiac assessment, complex arrhythmias</w:t>
                  </w:r>
                </w:p>
              </w:tc>
            </w:tr>
            <w:tr w:rsidR="0086653D" w:rsidRPr="00676A3A" w14:paraId="67199EBE" w14:textId="77777777" w:rsidTr="00676A3A">
              <w:trPr>
                <w:tblCellSpacing w:w="15" w:type="dxa"/>
              </w:trPr>
              <w:tc>
                <w:tcPr>
                  <w:tcW w:w="0" w:type="auto"/>
                  <w:vAlign w:val="center"/>
                  <w:hideMark/>
                </w:tcPr>
                <w:p w14:paraId="0F19B6EF" w14:textId="77777777" w:rsidR="0086653D" w:rsidRPr="00676A3A" w:rsidRDefault="0086653D" w:rsidP="0086653D">
                  <w:pPr>
                    <w:rPr>
                      <w:rFonts w:ascii="Arial" w:hAnsi="Arial" w:cs="Arial"/>
                      <w:b/>
                      <w:bCs/>
                      <w:color w:val="000000" w:themeColor="text1"/>
                      <w:sz w:val="22"/>
                      <w:szCs w:val="22"/>
                    </w:rPr>
                  </w:pPr>
                  <w:r w:rsidRPr="00676A3A">
                    <w:rPr>
                      <w:rFonts w:ascii="Arial" w:hAnsi="Arial" w:cs="Arial"/>
                      <w:b/>
                      <w:bCs/>
                      <w:color w:val="000000" w:themeColor="text1"/>
                      <w:sz w:val="22"/>
                      <w:szCs w:val="22"/>
                    </w:rPr>
                    <w:t>Limitations</w:t>
                  </w:r>
                </w:p>
              </w:tc>
              <w:tc>
                <w:tcPr>
                  <w:tcW w:w="0" w:type="auto"/>
                  <w:vAlign w:val="center"/>
                  <w:hideMark/>
                </w:tcPr>
                <w:p w14:paraId="688BB3D5"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Single</w:t>
                  </w:r>
                  <w:r w:rsidRPr="00676A3A">
                    <w:rPr>
                      <w:rFonts w:ascii="Arial" w:hAnsi="Arial" w:cs="Arial"/>
                      <w:color w:val="000000" w:themeColor="text1"/>
                      <w:sz w:val="22"/>
                      <w:szCs w:val="22"/>
                    </w:rPr>
                    <w:noBreakHyphen/>
                    <w:t>lead → limited detail; false positives/negatives</w:t>
                  </w:r>
                </w:p>
              </w:tc>
              <w:tc>
                <w:tcPr>
                  <w:tcW w:w="0" w:type="auto"/>
                  <w:vAlign w:val="center"/>
                  <w:hideMark/>
                </w:tcPr>
                <w:p w14:paraId="527ED762" w14:textId="77777777" w:rsidR="0086653D" w:rsidRPr="00676A3A" w:rsidRDefault="0086653D" w:rsidP="0086653D">
                  <w:pPr>
                    <w:rPr>
                      <w:rFonts w:ascii="Arial" w:hAnsi="Arial" w:cs="Arial"/>
                      <w:color w:val="000000" w:themeColor="text1"/>
                      <w:sz w:val="22"/>
                      <w:szCs w:val="22"/>
                    </w:rPr>
                  </w:pPr>
                  <w:r w:rsidRPr="00676A3A">
                    <w:rPr>
                      <w:rFonts w:ascii="Arial" w:hAnsi="Arial" w:cs="Arial"/>
                      <w:color w:val="000000" w:themeColor="text1"/>
                      <w:sz w:val="22"/>
                      <w:szCs w:val="22"/>
                    </w:rPr>
                    <w:t>Few limitations; gold standard</w:t>
                  </w:r>
                </w:p>
              </w:tc>
            </w:tr>
          </w:tbl>
          <w:p w14:paraId="5CEBDE8D" w14:textId="77777777" w:rsidR="0086653D" w:rsidRPr="0086653D" w:rsidRDefault="0086653D" w:rsidP="0086653D">
            <w:pPr>
              <w:rPr>
                <w:rFonts w:ascii="Arial" w:hAnsi="Arial" w:cs="Arial"/>
                <w:sz w:val="22"/>
                <w:szCs w:val="22"/>
              </w:rPr>
            </w:pPr>
          </w:p>
        </w:tc>
      </w:tr>
    </w:tbl>
    <w:p w14:paraId="65DBA5FC" w14:textId="19BFB50C" w:rsidR="002E79F2" w:rsidRPr="00B32B18" w:rsidRDefault="00FD64CA" w:rsidP="002E79F2">
      <w:pPr>
        <w:rPr>
          <w:rFonts w:ascii="Arial" w:hAnsi="Arial" w:cs="Arial"/>
          <w:sz w:val="22"/>
          <w:szCs w:val="22"/>
        </w:rPr>
      </w:pPr>
      <w:r w:rsidRPr="00FD64CA">
        <w:rPr>
          <w:rFonts w:ascii="Arial" w:hAnsi="Arial" w:cs="Arial"/>
          <w:noProof/>
          <w:sz w:val="22"/>
          <w:szCs w:val="22"/>
        </w:rPr>
        <w:lastRenderedPageBreak/>
        <mc:AlternateContent>
          <mc:Choice Requires="wps">
            <w:drawing>
              <wp:anchor distT="45720" distB="45720" distL="114300" distR="114300" simplePos="0" relativeHeight="251659264" behindDoc="0" locked="0" layoutInCell="1" allowOverlap="1" wp14:anchorId="4FB2C42C" wp14:editId="63ED6337">
                <wp:simplePos x="0" y="0"/>
                <wp:positionH relativeFrom="margin">
                  <wp:align>right</wp:align>
                </wp:positionH>
                <wp:positionV relativeFrom="paragraph">
                  <wp:posOffset>184150</wp:posOffset>
                </wp:positionV>
                <wp:extent cx="5722620" cy="9067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906780"/>
                        </a:xfrm>
                        <a:prstGeom prst="rect">
                          <a:avLst/>
                        </a:prstGeom>
                        <a:solidFill>
                          <a:srgbClr val="FFFFFF"/>
                        </a:solidFill>
                        <a:ln w="9525">
                          <a:noFill/>
                          <a:miter lim="800000"/>
                          <a:headEnd/>
                          <a:tailEnd/>
                        </a:ln>
                      </wps:spPr>
                      <wps:txbx>
                        <w:txbxContent>
                          <w:p w14:paraId="73358EE2" w14:textId="77777777" w:rsidR="00C37366" w:rsidRPr="00C37366" w:rsidRDefault="00FD64CA">
                            <w:pPr>
                              <w:rPr>
                                <w:rFonts w:ascii="Arial" w:hAnsi="Arial" w:cs="Arial"/>
                                <w:sz w:val="22"/>
                                <w:szCs w:val="22"/>
                              </w:rPr>
                            </w:pPr>
                            <w:r w:rsidRPr="00C37366">
                              <w:rPr>
                                <w:rFonts w:ascii="Arial" w:hAnsi="Arial" w:cs="Arial"/>
                                <w:sz w:val="22"/>
                                <w:szCs w:val="22"/>
                              </w:rPr>
                              <w:t>Table 1. Comparison of KardiaMobile single</w:t>
                            </w:r>
                            <w:r w:rsidRPr="00C37366">
                              <w:rPr>
                                <w:rFonts w:ascii="Arial" w:hAnsi="Arial" w:cs="Arial"/>
                                <w:sz w:val="22"/>
                                <w:szCs w:val="22"/>
                              </w:rPr>
                              <w:noBreakHyphen/>
                              <w:t>lead ECG and traditional 12</w:t>
                            </w:r>
                            <w:r w:rsidRPr="00C37366">
                              <w:rPr>
                                <w:rFonts w:ascii="Arial" w:hAnsi="Arial" w:cs="Arial"/>
                                <w:sz w:val="22"/>
                                <w:szCs w:val="22"/>
                              </w:rPr>
                              <w:noBreakHyphen/>
                              <w:t>lead</w:t>
                            </w:r>
                            <w:r w:rsidR="00A43926" w:rsidRPr="00C37366">
                              <w:rPr>
                                <w:rFonts w:ascii="Arial" w:hAnsi="Arial" w:cs="Arial"/>
                                <w:sz w:val="22"/>
                                <w:szCs w:val="22"/>
                              </w:rPr>
                              <w:t xml:space="preserve">. </w:t>
                            </w:r>
                          </w:p>
                          <w:p w14:paraId="0A563DD3" w14:textId="571246DE" w:rsidR="00FD64CA" w:rsidRPr="00C37366" w:rsidRDefault="00A43926">
                            <w:pPr>
                              <w:rPr>
                                <w:rFonts w:ascii="Arial" w:hAnsi="Arial" w:cs="Arial"/>
                                <w:sz w:val="22"/>
                                <w:szCs w:val="22"/>
                              </w:rPr>
                            </w:pPr>
                            <w:r w:rsidRPr="00C37366">
                              <w:rPr>
                                <w:rFonts w:ascii="Arial" w:hAnsi="Arial" w:cs="Arial"/>
                                <w:sz w:val="22"/>
                                <w:szCs w:val="22"/>
                              </w:rPr>
                              <w:t xml:space="preserve">This comparison is based on diagnostic accuracy data reported by NICE (2020) and </w:t>
                            </w:r>
                            <w:proofErr w:type="spellStart"/>
                            <w:r w:rsidRPr="00C37366">
                              <w:rPr>
                                <w:rFonts w:ascii="Arial" w:hAnsi="Arial" w:cs="Arial"/>
                                <w:sz w:val="22"/>
                                <w:szCs w:val="22"/>
                              </w:rPr>
                              <w:t>Desteghe</w:t>
                            </w:r>
                            <w:proofErr w:type="spellEnd"/>
                            <w:r w:rsidRPr="00C37366">
                              <w:rPr>
                                <w:rFonts w:ascii="Arial" w:hAnsi="Arial" w:cs="Arial"/>
                                <w:sz w:val="22"/>
                                <w:szCs w:val="22"/>
                              </w:rPr>
                              <w:t xml:space="preserve"> (2021).</w:t>
                            </w:r>
                            <w:r w:rsidR="00FD64CA" w:rsidRPr="00C37366">
                              <w:rPr>
                                <w:rFonts w:ascii="Arial" w:hAnsi="Arial" w:cs="Arial"/>
                                <w:sz w:val="22"/>
                                <w:szCs w:val="22"/>
                              </w:rPr>
                              <w:t xml:space="preserve"> ECG using contemporary diagnostic accuracy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B2C42C" id="_x0000_t202" coordsize="21600,21600" o:spt="202" path="m,l,21600r21600,l21600,xe">
                <v:stroke joinstyle="miter"/>
                <v:path gradientshapeok="t" o:connecttype="rect"/>
              </v:shapetype>
              <v:shape id="Text Box 2" o:spid="_x0000_s1026" type="#_x0000_t202" style="position:absolute;margin-left:399.4pt;margin-top:14.5pt;width:450.6pt;height:71.4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" stroked="f">
                <v:textbox>
                  <w:txbxContent>
                    <w:p w14:paraId="73358EE2" w14:textId="77777777" w:rsidR="00C37366" w:rsidRPr="00C37366" w:rsidRDefault="00FD64CA">
                      <w:pPr>
                        <w:rPr>
                          <w:rFonts w:ascii="Arial" w:hAnsi="Arial" w:cs="Arial"/>
                          <w:sz w:val="22"/>
                          <w:szCs w:val="22"/>
                        </w:rPr>
                      </w:pPr>
                      <w:r w:rsidRPr="00C37366">
                        <w:rPr>
                          <w:rFonts w:ascii="Arial" w:hAnsi="Arial" w:cs="Arial"/>
                          <w:sz w:val="22"/>
                          <w:szCs w:val="22"/>
                        </w:rPr>
                        <w:t>Table 1. Comparison of KardiaMobile single</w:t>
                      </w:r>
                      <w:r w:rsidRPr="00C37366">
                        <w:rPr>
                          <w:rFonts w:ascii="Arial" w:hAnsi="Arial" w:cs="Arial"/>
                          <w:sz w:val="22"/>
                          <w:szCs w:val="22"/>
                        </w:rPr>
                        <w:noBreakHyphen/>
                        <w:t>lead ECG and traditional 12</w:t>
                      </w:r>
                      <w:r w:rsidRPr="00C37366">
                        <w:rPr>
                          <w:rFonts w:ascii="Arial" w:hAnsi="Arial" w:cs="Arial"/>
                          <w:sz w:val="22"/>
                          <w:szCs w:val="22"/>
                        </w:rPr>
                        <w:noBreakHyphen/>
                        <w:t>lead</w:t>
                      </w:r>
                      <w:r w:rsidR="00A43926" w:rsidRPr="00C37366">
                        <w:rPr>
                          <w:rFonts w:ascii="Arial" w:hAnsi="Arial" w:cs="Arial"/>
                          <w:sz w:val="22"/>
                          <w:szCs w:val="22"/>
                        </w:rPr>
                        <w:t xml:space="preserve">. </w:t>
                      </w:r>
                    </w:p>
                    <w:p w14:paraId="0A563DD3" w14:textId="571246DE" w:rsidR="00FD64CA" w:rsidRPr="00C37366" w:rsidRDefault="00A43926">
                      <w:pPr>
                        <w:rPr>
                          <w:rFonts w:ascii="Arial" w:hAnsi="Arial" w:cs="Arial"/>
                          <w:sz w:val="22"/>
                          <w:szCs w:val="22"/>
                        </w:rPr>
                      </w:pPr>
                      <w:r w:rsidRPr="00C37366">
                        <w:rPr>
                          <w:rFonts w:ascii="Arial" w:hAnsi="Arial" w:cs="Arial"/>
                          <w:sz w:val="22"/>
                          <w:szCs w:val="22"/>
                        </w:rPr>
                        <w:t xml:space="preserve">This comparison is based on diagnostic accuracy data reported by NICE (2020) and </w:t>
                      </w:r>
                      <w:proofErr w:type="spellStart"/>
                      <w:r w:rsidRPr="00C37366">
                        <w:rPr>
                          <w:rFonts w:ascii="Arial" w:hAnsi="Arial" w:cs="Arial"/>
                          <w:sz w:val="22"/>
                          <w:szCs w:val="22"/>
                        </w:rPr>
                        <w:t>Desteghe</w:t>
                      </w:r>
                      <w:proofErr w:type="spellEnd"/>
                      <w:r w:rsidRPr="00C37366">
                        <w:rPr>
                          <w:rFonts w:ascii="Arial" w:hAnsi="Arial" w:cs="Arial"/>
                          <w:sz w:val="22"/>
                          <w:szCs w:val="22"/>
                        </w:rPr>
                        <w:t xml:space="preserve"> (2021).</w:t>
                      </w:r>
                      <w:r w:rsidR="00FD64CA" w:rsidRPr="00C37366">
                        <w:rPr>
                          <w:rFonts w:ascii="Arial" w:hAnsi="Arial" w:cs="Arial"/>
                          <w:sz w:val="22"/>
                          <w:szCs w:val="22"/>
                        </w:rPr>
                        <w:t xml:space="preserve"> ECG using contemporary diagnostic accuracy data.</w:t>
                      </w:r>
                    </w:p>
                  </w:txbxContent>
                </v:textbox>
                <w10:wrap type="square" anchorx="margin"/>
              </v:shape>
            </w:pict>
          </mc:Fallback>
        </mc:AlternateContent>
      </w:r>
      <w:r w:rsidR="002E79F2" w:rsidRPr="00B32B18">
        <w:rPr>
          <w:rFonts w:ascii="Arial" w:hAnsi="Arial" w:cs="Arial"/>
          <w:sz w:val="22"/>
          <w:szCs w:val="22"/>
        </w:rPr>
        <w:t>Despite these advantages, the device introduces new challenges. Single</w:t>
      </w:r>
      <w:r w:rsidR="002E79F2" w:rsidRPr="00B32B18">
        <w:rPr>
          <w:rFonts w:ascii="Arial" w:hAnsi="Arial" w:cs="Arial"/>
          <w:sz w:val="22"/>
          <w:szCs w:val="22"/>
        </w:rPr>
        <w:noBreakHyphen/>
        <w:t xml:space="preserve">lead ECGs are more prone to artefacts and may be less comprehensive than standard ECGs, requiring clinicians to develop new competencies in interpretation (Williams, 2021). This creates a training burden, particularly for staff with limited digital literacy. Emmett et al. (2024) highlight that digital innovations often expose disparities in staff confidence and readiness, with some professionals embracing new tools while others experience anxiety or </w:t>
      </w:r>
      <w:proofErr w:type="spellStart"/>
      <w:r w:rsidR="002E79F2" w:rsidRPr="00B32B18">
        <w:rPr>
          <w:rFonts w:ascii="Arial" w:hAnsi="Arial" w:cs="Arial"/>
          <w:sz w:val="22"/>
          <w:szCs w:val="22"/>
        </w:rPr>
        <w:t>resistance.</w:t>
      </w:r>
      <w:r w:rsidR="00F9094A" w:rsidRPr="00B32B18">
        <w:rPr>
          <w:rFonts w:ascii="Arial" w:hAnsi="Arial" w:cs="Arial"/>
          <w:sz w:val="22"/>
          <w:szCs w:val="22"/>
        </w:rPr>
        <w:t>These</w:t>
      </w:r>
      <w:proofErr w:type="spellEnd"/>
      <w:r w:rsidR="00F9094A" w:rsidRPr="00B32B18">
        <w:rPr>
          <w:rFonts w:ascii="Arial" w:hAnsi="Arial" w:cs="Arial"/>
          <w:sz w:val="22"/>
          <w:szCs w:val="22"/>
        </w:rPr>
        <w:t xml:space="preserve"> changes directly affect key stakeholders, including GPs, nurses, and cardiology teams</w:t>
      </w:r>
      <w:r w:rsidR="004B2B93" w:rsidRPr="00B32B18">
        <w:rPr>
          <w:rFonts w:ascii="Arial" w:hAnsi="Arial" w:cs="Arial"/>
          <w:sz w:val="22"/>
          <w:szCs w:val="22"/>
        </w:rPr>
        <w:t>.</w:t>
      </w:r>
    </w:p>
    <w:p w14:paraId="1DECD792" w14:textId="64C0B92D" w:rsidR="001F608B" w:rsidRPr="00B32B18" w:rsidRDefault="001F608B" w:rsidP="002E79F2">
      <w:pPr>
        <w:rPr>
          <w:rFonts w:ascii="Arial" w:hAnsi="Arial" w:cs="Arial"/>
          <w:sz w:val="22"/>
          <w:szCs w:val="22"/>
        </w:rPr>
      </w:pPr>
      <w:r w:rsidRPr="00B32B18">
        <w:rPr>
          <w:rFonts w:ascii="Arial" w:hAnsi="Arial" w:cs="Arial"/>
          <w:sz w:val="22"/>
          <w:szCs w:val="22"/>
        </w:rPr>
        <w:t>Normalisation Process Theory (NPT) offers a useful framework for understanding why the adoption of KardiaMobile varies across clinical teams. NPT suggests that new technologies become embedded into routine practice only when staff collectively make sense of the innovation, engage with it, integrate it into their workflows, and sustain its use over time (</w:t>
      </w:r>
      <w:proofErr w:type="gramStart"/>
      <w:r w:rsidRPr="00B32B18">
        <w:rPr>
          <w:rFonts w:ascii="Arial" w:hAnsi="Arial" w:cs="Arial"/>
          <w:sz w:val="22"/>
          <w:szCs w:val="22"/>
        </w:rPr>
        <w:t>May,</w:t>
      </w:r>
      <w:proofErr w:type="gramEnd"/>
      <w:r w:rsidRPr="00B32B18">
        <w:rPr>
          <w:rFonts w:ascii="Arial" w:hAnsi="Arial" w:cs="Arial"/>
          <w:sz w:val="22"/>
          <w:szCs w:val="22"/>
        </w:rPr>
        <w:t xml:space="preserve"> 2018). Applying this theory helps explain why some clinicians incorporate KardiaMobile confidently while others struggle. If staff do not fully understand the purpose of the device, or if they perceive it as adding complexity rather than value, they are less likely to integrate it into their daily routines. Similarly, if organisational systems do not support the device for example, through training, leadership endorsement, or compatible digital infrastructure the technology is unlikely to become normalised. Using NPT strengthens the argument that successful implementation depends not only on the device’s technical performance but also on the social and organisational processes that shape everyday clinical work. </w:t>
      </w:r>
      <w:r w:rsidR="00EA24F0" w:rsidRPr="00EA24F0">
        <w:rPr>
          <w:rFonts w:ascii="Arial" w:hAnsi="Arial" w:cs="Arial"/>
          <w:sz w:val="22"/>
          <w:szCs w:val="22"/>
        </w:rPr>
        <w:t>This reinforces that workforce readiness determines whether KardiaMobile improves care</w:t>
      </w:r>
      <w:r w:rsidRPr="00B32B18">
        <w:rPr>
          <w:rFonts w:ascii="Arial" w:hAnsi="Arial" w:cs="Arial"/>
          <w:sz w:val="22"/>
          <w:szCs w:val="22"/>
        </w:rPr>
        <w:t xml:space="preserve">. </w:t>
      </w:r>
    </w:p>
    <w:p w14:paraId="367B97FA" w14:textId="0C1786A2" w:rsidR="002E79F2" w:rsidRPr="00B32B18" w:rsidRDefault="002E79F2" w:rsidP="002E79F2">
      <w:pPr>
        <w:rPr>
          <w:rFonts w:ascii="Arial" w:hAnsi="Arial" w:cs="Arial"/>
          <w:sz w:val="22"/>
          <w:szCs w:val="22"/>
        </w:rPr>
      </w:pPr>
      <w:r w:rsidRPr="00B32B18">
        <w:rPr>
          <w:rFonts w:ascii="Arial" w:hAnsi="Arial" w:cs="Arial"/>
          <w:sz w:val="22"/>
          <w:szCs w:val="22"/>
        </w:rPr>
        <w:t>The introduction of KardiaMobile also increases digital workload. Although the device reduces the need for specialist ECG appointments, it may increase frontline workload through additional digital administration, data review, and follow</w:t>
      </w:r>
      <w:r w:rsidRPr="00B32B18">
        <w:rPr>
          <w:rFonts w:ascii="Arial" w:hAnsi="Arial" w:cs="Arial"/>
          <w:sz w:val="22"/>
          <w:szCs w:val="22"/>
        </w:rPr>
        <w:noBreakHyphen/>
        <w:t xml:space="preserve">up tasks (Stewart, 2020). </w:t>
      </w:r>
      <w:r w:rsidRPr="00B32B18">
        <w:rPr>
          <w:rFonts w:ascii="Arial" w:hAnsi="Arial" w:cs="Arial"/>
          <w:sz w:val="22"/>
          <w:szCs w:val="22"/>
        </w:rPr>
        <w:lastRenderedPageBreak/>
        <w:t xml:space="preserve">Paramedics using KardiaMobile report improved triage accuracy but also increased responsibility for interpreting borderline results, which may create clinical risk if training is insufficient (Miller, 2021). Community pharmacists involved in AF screening programmes require additional governance support to use the device safely (Hobbs, 2022). </w:t>
      </w:r>
    </w:p>
    <w:p w14:paraId="3E822D15" w14:textId="0EF9D0AE" w:rsidR="002E79F2" w:rsidRPr="00B32B18" w:rsidRDefault="002E79F2" w:rsidP="002E79F2">
      <w:pPr>
        <w:rPr>
          <w:rFonts w:ascii="Arial" w:hAnsi="Arial" w:cs="Arial"/>
          <w:sz w:val="22"/>
          <w:szCs w:val="22"/>
        </w:rPr>
      </w:pPr>
      <w:r w:rsidRPr="00B32B18">
        <w:rPr>
          <w:rFonts w:ascii="Arial" w:hAnsi="Arial" w:cs="Arial"/>
          <w:sz w:val="22"/>
          <w:szCs w:val="22"/>
        </w:rPr>
        <w:t>National workforce policy reinforces the need for digital readiness. The Topol Review emphasises that clinicians require structured training to safely adopt AI</w:t>
      </w:r>
      <w:r w:rsidRPr="00B32B18">
        <w:rPr>
          <w:rFonts w:ascii="Arial" w:hAnsi="Arial" w:cs="Arial"/>
          <w:sz w:val="22"/>
          <w:szCs w:val="22"/>
        </w:rPr>
        <w:noBreakHyphen/>
        <w:t>enabled and app</w:t>
      </w:r>
      <w:r w:rsidRPr="00B32B18">
        <w:rPr>
          <w:rFonts w:ascii="Arial" w:hAnsi="Arial" w:cs="Arial"/>
          <w:sz w:val="22"/>
          <w:szCs w:val="22"/>
        </w:rPr>
        <w:noBreakHyphen/>
        <w:t>based diagnostic tools such as KardiaMobile (Topol, 2019). Patel (2021) argues that shifting diagnostic responsibility from secondary to primary care requires clear protocols and robust training to ensure safe practice. Although KardiaMobile provides automated rhythm classification, algorithmic outputs can be misinterpreted without adequate training, particularly when readings are borderline or affected by artefacts (</w:t>
      </w:r>
      <w:proofErr w:type="spellStart"/>
      <w:r w:rsidRPr="00B32B18">
        <w:rPr>
          <w:rFonts w:ascii="Arial" w:hAnsi="Arial" w:cs="Arial"/>
          <w:sz w:val="22"/>
          <w:szCs w:val="22"/>
        </w:rPr>
        <w:t>Desteghe</w:t>
      </w:r>
      <w:proofErr w:type="spellEnd"/>
      <w:r w:rsidRPr="00B32B18">
        <w:rPr>
          <w:rFonts w:ascii="Arial" w:hAnsi="Arial" w:cs="Arial"/>
          <w:sz w:val="22"/>
          <w:szCs w:val="22"/>
        </w:rPr>
        <w:t>, 2021). This raises concerns about clinical risk and highlights the need for competency</w:t>
      </w:r>
      <w:r w:rsidRPr="00B32B18">
        <w:rPr>
          <w:rFonts w:ascii="Arial" w:hAnsi="Arial" w:cs="Arial"/>
          <w:sz w:val="22"/>
          <w:szCs w:val="22"/>
        </w:rPr>
        <w:noBreakHyphen/>
        <w:t>based training.</w:t>
      </w:r>
    </w:p>
    <w:p w14:paraId="2308619C" w14:textId="22E20B29" w:rsidR="002E79F2" w:rsidRPr="00B32B18" w:rsidRDefault="002E79F2" w:rsidP="002E79F2">
      <w:pPr>
        <w:rPr>
          <w:rFonts w:ascii="Arial" w:hAnsi="Arial" w:cs="Arial"/>
          <w:sz w:val="22"/>
          <w:szCs w:val="22"/>
        </w:rPr>
      </w:pPr>
      <w:r w:rsidRPr="00B32B18">
        <w:rPr>
          <w:rFonts w:ascii="Arial" w:hAnsi="Arial" w:cs="Arial"/>
          <w:sz w:val="22"/>
          <w:szCs w:val="22"/>
        </w:rPr>
        <w:t>The introduction of KardiaMobile also requires staff to engage in additional digital tasks, such as uploading ECG files, documenting results, and communicating findings to patients. If not managed effectively, this can reduce consultation time, increase stress, and negatively affect job satisfaction. However, when supported by adequate training and streamlined workflows, KardiaMobile can enhance professional autonomy and support more proactive, preventative care. This contrast demonstrates that the workforce impact of digital innovation is not inherently positive or negative; rather, it depends on organisational readiness, training investment, and the extent to which digital tools are integrated into everyday practice.</w:t>
      </w:r>
    </w:p>
    <w:p w14:paraId="1395757E" w14:textId="77777777" w:rsidR="002E79F2" w:rsidRPr="00B32B18" w:rsidRDefault="002E79F2" w:rsidP="002E79F2">
      <w:pPr>
        <w:rPr>
          <w:rFonts w:ascii="Arial" w:hAnsi="Arial" w:cs="Arial"/>
          <w:sz w:val="22"/>
          <w:szCs w:val="22"/>
        </w:rPr>
      </w:pPr>
      <w:r w:rsidRPr="00B32B18">
        <w:rPr>
          <w:rFonts w:ascii="Arial" w:hAnsi="Arial" w:cs="Arial"/>
          <w:sz w:val="22"/>
          <w:szCs w:val="22"/>
        </w:rPr>
        <w:t>Information governance adds further complexity. Under the UK GDPR and Data Protection Act 2018, staff must ensure secure processing of special category health data, obtain informed consent, and follow data minimisation principles. Savickas et al. (2023) emphasise that digital tools can only be safely embedded when staff understand data governance responsibilities. Poor data handling can undermine patient trust and expose organisations to legal risk. Overall, KardiaMobile enhances workforce capability and diagnostic efficiency but requires investment in training, digital literacy, and governance. The contrast between increased diagnostic speed and increased digital workload highlights the need for balanced implementation strategies.</w:t>
      </w:r>
    </w:p>
    <w:p w14:paraId="67C911C0"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Impact on Service Delivery</w:t>
      </w:r>
    </w:p>
    <w:p w14:paraId="27BAEEAF" w14:textId="77777777" w:rsidR="002E79F2" w:rsidRPr="00B32B18" w:rsidRDefault="002E79F2" w:rsidP="002E79F2">
      <w:pPr>
        <w:rPr>
          <w:rFonts w:ascii="Arial" w:hAnsi="Arial" w:cs="Arial"/>
          <w:sz w:val="22"/>
          <w:szCs w:val="22"/>
        </w:rPr>
      </w:pPr>
      <w:r w:rsidRPr="00B32B18">
        <w:rPr>
          <w:rFonts w:ascii="Arial" w:hAnsi="Arial" w:cs="Arial"/>
          <w:sz w:val="22"/>
          <w:szCs w:val="22"/>
        </w:rPr>
        <w:t>KardiaMobile has had a transformative impact on service delivery, particularly in primary care and community cardiology pathways. A key benefit is the device’s ability to streamline AF detection, reducing delays associated with traditional ECG referrals. Evidence shows that KardiaMobile</w:t>
      </w:r>
      <w:r w:rsidRPr="00B32B18">
        <w:rPr>
          <w:rFonts w:ascii="Arial" w:hAnsi="Arial" w:cs="Arial"/>
          <w:sz w:val="22"/>
          <w:szCs w:val="22"/>
        </w:rPr>
        <w:noBreakHyphen/>
        <w:t>supported pathways reduce time to diagnosis, lower unnecessary referrals, and improve triage accuracy (</w:t>
      </w:r>
      <w:proofErr w:type="spellStart"/>
      <w:r w:rsidRPr="00B32B18">
        <w:rPr>
          <w:rFonts w:ascii="Arial" w:hAnsi="Arial" w:cs="Arial"/>
          <w:sz w:val="22"/>
          <w:szCs w:val="22"/>
        </w:rPr>
        <w:t>Lowres</w:t>
      </w:r>
      <w:proofErr w:type="spellEnd"/>
      <w:r w:rsidRPr="00B32B18">
        <w:rPr>
          <w:rFonts w:ascii="Arial" w:hAnsi="Arial" w:cs="Arial"/>
          <w:sz w:val="22"/>
          <w:szCs w:val="22"/>
        </w:rPr>
        <w:t>, 2022). This matters because delayed AF diagnosis is associated with higher stroke risk and increased hospital admissions (Marshall, 2021). By enabling immediate ECG capture during consultations or home visits, KardiaMobile supports integrated care models and enhances continuity between primary, community, and specialist services.</w:t>
      </w:r>
    </w:p>
    <w:p w14:paraId="496373AF" w14:textId="54D2E0E3" w:rsidR="002E79F2" w:rsidRPr="00B32B18" w:rsidRDefault="002E79F2" w:rsidP="002E79F2">
      <w:pPr>
        <w:rPr>
          <w:rFonts w:ascii="Arial" w:hAnsi="Arial" w:cs="Arial"/>
          <w:sz w:val="22"/>
          <w:szCs w:val="22"/>
        </w:rPr>
      </w:pPr>
      <w:r w:rsidRPr="00B32B18">
        <w:rPr>
          <w:rFonts w:ascii="Arial" w:hAnsi="Arial" w:cs="Arial"/>
          <w:sz w:val="22"/>
          <w:szCs w:val="22"/>
        </w:rPr>
        <w:t xml:space="preserve">Compared with traditional ECG pathways, which often involve long waiting times and logistical barriers, KardiaMobile offers a more efficient alternative. This is particularly beneficial for older adults and those in rural areas who may struggle to access specialist services (Bennett, 2020). The device aligns with NHS England’s goals to reduce pressure on </w:t>
      </w:r>
      <w:r w:rsidRPr="00B32B18">
        <w:rPr>
          <w:rFonts w:ascii="Arial" w:hAnsi="Arial" w:cs="Arial"/>
          <w:sz w:val="22"/>
          <w:szCs w:val="22"/>
        </w:rPr>
        <w:lastRenderedPageBreak/>
        <w:t>secondary care and deliver more care closer to home. Research on remote monitoring demonstrates that digital diagnostic tools can streamline clinical pathways and reduce unnecessary secondary care referrals when embedded effectively within service models (</w:t>
      </w:r>
      <w:proofErr w:type="spellStart"/>
      <w:r w:rsidRPr="00B32B18">
        <w:rPr>
          <w:rFonts w:ascii="Arial" w:hAnsi="Arial" w:cs="Arial"/>
          <w:sz w:val="22"/>
          <w:szCs w:val="22"/>
        </w:rPr>
        <w:t>Bashshur</w:t>
      </w:r>
      <w:proofErr w:type="spellEnd"/>
      <w:r w:rsidRPr="00B32B18">
        <w:rPr>
          <w:rFonts w:ascii="Arial" w:hAnsi="Arial" w:cs="Arial"/>
          <w:sz w:val="22"/>
          <w:szCs w:val="22"/>
        </w:rPr>
        <w:t xml:space="preserve">, 2020). </w:t>
      </w:r>
    </w:p>
    <w:p w14:paraId="0759DEB0" w14:textId="1BC3E8B0" w:rsidR="002E79F2" w:rsidRPr="00B32B18" w:rsidRDefault="002E79F2" w:rsidP="002E79F2">
      <w:pPr>
        <w:rPr>
          <w:rFonts w:ascii="Arial" w:hAnsi="Arial" w:cs="Arial"/>
          <w:sz w:val="22"/>
          <w:szCs w:val="22"/>
        </w:rPr>
      </w:pPr>
      <w:r w:rsidRPr="00B32B18">
        <w:rPr>
          <w:rFonts w:ascii="Arial" w:hAnsi="Arial" w:cs="Arial"/>
          <w:sz w:val="22"/>
          <w:szCs w:val="22"/>
        </w:rPr>
        <w:t xml:space="preserve">Integration with existing NHS systems is inconsistent, with some practices lacking the digital infrastructure to upload ECG recordings into electronic health records (EHRs) (Bennett, 2020). </w:t>
      </w:r>
      <w:r w:rsidR="00CA79CA" w:rsidRPr="00B32B18">
        <w:rPr>
          <w:rFonts w:ascii="Arial" w:hAnsi="Arial" w:cs="Arial"/>
          <w:sz w:val="22"/>
          <w:szCs w:val="22"/>
        </w:rPr>
        <w:t xml:space="preserve">This aligns with UK digital health policy, including the NHS Long Term Plan, which emphasises interoperable, modernised systems. </w:t>
      </w:r>
      <w:r w:rsidRPr="00B32B18">
        <w:rPr>
          <w:rFonts w:ascii="Arial" w:hAnsi="Arial" w:cs="Arial"/>
          <w:sz w:val="22"/>
          <w:szCs w:val="22"/>
        </w:rPr>
        <w:t>Emmett et al. (2024) note that digital innovations often disrupt workflows initially, requiring adaptation and organisational readiness. In some cases, KardiaMobile may increase administrative workload due to manual data entry, follow</w:t>
      </w:r>
      <w:r w:rsidRPr="00B32B18">
        <w:rPr>
          <w:rFonts w:ascii="Arial" w:hAnsi="Arial" w:cs="Arial"/>
          <w:sz w:val="22"/>
          <w:szCs w:val="22"/>
        </w:rPr>
        <w:noBreakHyphen/>
        <w:t>up appointments, and the need to verify ambiguous readings.</w:t>
      </w:r>
    </w:p>
    <w:p w14:paraId="1DC0BECF" w14:textId="6EF6F3A6" w:rsidR="002E79F2" w:rsidRPr="00B32B18" w:rsidRDefault="002E79F2" w:rsidP="002E79F2">
      <w:pPr>
        <w:rPr>
          <w:rFonts w:ascii="Arial" w:hAnsi="Arial" w:cs="Arial"/>
          <w:sz w:val="22"/>
          <w:szCs w:val="22"/>
        </w:rPr>
      </w:pPr>
      <w:r w:rsidRPr="00B32B18">
        <w:rPr>
          <w:rFonts w:ascii="Arial" w:hAnsi="Arial" w:cs="Arial"/>
          <w:sz w:val="22"/>
          <w:szCs w:val="22"/>
        </w:rPr>
        <w:t>Accuracy concerns also affect service delivery. A systematic review found that handheld ECG devices such as KardiaMobile can produce false positives in individuals with ectopic beats and false negatives in intermittent AF, which may lead to unnecessary referrals or missed diagnoses (</w:t>
      </w:r>
      <w:proofErr w:type="spellStart"/>
      <w:r w:rsidRPr="00B32B18">
        <w:rPr>
          <w:rFonts w:ascii="Arial" w:hAnsi="Arial" w:cs="Arial"/>
          <w:sz w:val="22"/>
          <w:szCs w:val="22"/>
        </w:rPr>
        <w:t>Desteghe</w:t>
      </w:r>
      <w:proofErr w:type="spellEnd"/>
      <w:r w:rsidRPr="00B32B18">
        <w:rPr>
          <w:rFonts w:ascii="Arial" w:hAnsi="Arial" w:cs="Arial"/>
          <w:sz w:val="22"/>
          <w:szCs w:val="22"/>
        </w:rPr>
        <w:t xml:space="preserve">, 2021). This matters because false positives can increase pressure on cardiology services, while false negatives can delay treatment. </w:t>
      </w:r>
      <w:r w:rsidR="00343778" w:rsidRPr="00B32B18">
        <w:rPr>
          <w:rFonts w:ascii="Arial" w:hAnsi="Arial" w:cs="Arial"/>
          <w:sz w:val="22"/>
          <w:szCs w:val="22"/>
        </w:rPr>
        <w:t xml:space="preserve">For example, while </w:t>
      </w:r>
      <w:proofErr w:type="spellStart"/>
      <w:r w:rsidR="00343778" w:rsidRPr="00B32B18">
        <w:rPr>
          <w:rFonts w:ascii="Arial" w:hAnsi="Arial" w:cs="Arial"/>
          <w:sz w:val="22"/>
          <w:szCs w:val="22"/>
        </w:rPr>
        <w:t>Lowres</w:t>
      </w:r>
      <w:proofErr w:type="spellEnd"/>
      <w:r w:rsidR="00343778" w:rsidRPr="00B32B18">
        <w:rPr>
          <w:rFonts w:ascii="Arial" w:hAnsi="Arial" w:cs="Arial"/>
          <w:sz w:val="22"/>
          <w:szCs w:val="22"/>
        </w:rPr>
        <w:t xml:space="preserve"> (2022) highlights reduced referrals through mobile ECG pathways, </w:t>
      </w:r>
      <w:proofErr w:type="spellStart"/>
      <w:r w:rsidR="00343778" w:rsidRPr="00B32B18">
        <w:rPr>
          <w:rFonts w:ascii="Arial" w:hAnsi="Arial" w:cs="Arial"/>
          <w:sz w:val="22"/>
          <w:szCs w:val="22"/>
        </w:rPr>
        <w:t>Desteghe</w:t>
      </w:r>
      <w:proofErr w:type="spellEnd"/>
      <w:r w:rsidR="00343778" w:rsidRPr="00B32B18">
        <w:rPr>
          <w:rFonts w:ascii="Arial" w:hAnsi="Arial" w:cs="Arial"/>
          <w:sz w:val="22"/>
          <w:szCs w:val="22"/>
        </w:rPr>
        <w:t xml:space="preserve"> (2021) warns that false positives may actually increase cardiology workload, showing that efficiency gains depend heavily on accuracy and governance</w:t>
      </w:r>
      <w:r w:rsidRPr="00B32B18">
        <w:rPr>
          <w:rFonts w:ascii="Arial" w:hAnsi="Arial" w:cs="Arial"/>
          <w:sz w:val="22"/>
          <w:szCs w:val="22"/>
        </w:rPr>
        <w:t>.</w:t>
      </w:r>
    </w:p>
    <w:p w14:paraId="0664DFDF" w14:textId="70B03D9D" w:rsidR="002E79F2" w:rsidRPr="00B32B18" w:rsidRDefault="00535AB3" w:rsidP="002E79F2">
      <w:pPr>
        <w:rPr>
          <w:rFonts w:ascii="Arial" w:hAnsi="Arial" w:cs="Arial"/>
          <w:sz w:val="22"/>
          <w:szCs w:val="22"/>
        </w:rPr>
      </w:pPr>
      <w:r w:rsidRPr="00535AB3">
        <w:rPr>
          <w:rFonts w:ascii="Arial" w:hAnsi="Arial" w:cs="Arial"/>
          <w:sz w:val="22"/>
          <w:szCs w:val="22"/>
        </w:rPr>
        <w:t>KardiaMobile also affects care coordination and continuity</w:t>
      </w:r>
      <w:r w:rsidR="002E79F2" w:rsidRPr="00B32B18">
        <w:rPr>
          <w:rFonts w:ascii="Arial" w:hAnsi="Arial" w:cs="Arial"/>
          <w:sz w:val="22"/>
          <w:szCs w:val="22"/>
        </w:rPr>
        <w:t xml:space="preserve">. The device enables ECG data to be captured in diverse settings </w:t>
      </w:r>
      <w:r w:rsidR="00C304C4" w:rsidRPr="00B32B18">
        <w:rPr>
          <w:rFonts w:ascii="Arial" w:hAnsi="Arial" w:cs="Arial"/>
          <w:sz w:val="22"/>
          <w:szCs w:val="22"/>
        </w:rPr>
        <w:t xml:space="preserve">such as </w:t>
      </w:r>
      <w:r w:rsidR="002E79F2" w:rsidRPr="00B32B18">
        <w:rPr>
          <w:rFonts w:ascii="Arial" w:hAnsi="Arial" w:cs="Arial"/>
          <w:sz w:val="22"/>
          <w:szCs w:val="22"/>
        </w:rPr>
        <w:t>GP surgeries, community pharmacies, care homes, and patients’ homes</w:t>
      </w:r>
      <w:r w:rsidR="00965E8C" w:rsidRPr="00B32B18">
        <w:rPr>
          <w:rFonts w:ascii="Arial" w:hAnsi="Arial" w:cs="Arial"/>
          <w:sz w:val="22"/>
          <w:szCs w:val="22"/>
        </w:rPr>
        <w:t>. W</w:t>
      </w:r>
      <w:r w:rsidR="002E79F2" w:rsidRPr="00B32B18">
        <w:rPr>
          <w:rFonts w:ascii="Arial" w:hAnsi="Arial" w:cs="Arial"/>
          <w:sz w:val="22"/>
          <w:szCs w:val="22"/>
        </w:rPr>
        <w:t>hich has the potential to improve continuity by ensuring that relevant clinical information is available earlier in the diagnostic pathway (Reed, 2022). However, this benefit is only realised when data flows seamlessly between services. In practice, many NHS organisations still operate fragmented digital systems that do not communicate effectively, resulting in ECG files being emailed, printed, or manually uploaded into EHRs (Bennett, 2020). These workarounds introduce delays</w:t>
      </w:r>
      <w:r w:rsidR="00A234DB" w:rsidRPr="00B32B18">
        <w:rPr>
          <w:rFonts w:ascii="Arial" w:hAnsi="Arial" w:cs="Arial"/>
          <w:sz w:val="22"/>
          <w:szCs w:val="22"/>
        </w:rPr>
        <w:t xml:space="preserve"> and </w:t>
      </w:r>
      <w:r w:rsidR="002E79F2" w:rsidRPr="00B32B18">
        <w:rPr>
          <w:rFonts w:ascii="Arial" w:hAnsi="Arial" w:cs="Arial"/>
          <w:sz w:val="22"/>
          <w:szCs w:val="22"/>
        </w:rPr>
        <w:t>increase administrative workload</w:t>
      </w:r>
      <w:r w:rsidR="00A234DB" w:rsidRPr="00B32B18">
        <w:rPr>
          <w:rFonts w:ascii="Arial" w:hAnsi="Arial" w:cs="Arial"/>
          <w:sz w:val="22"/>
          <w:szCs w:val="22"/>
        </w:rPr>
        <w:t xml:space="preserve">. </w:t>
      </w:r>
    </w:p>
    <w:p w14:paraId="66ED2B3A" w14:textId="1BB5FE76" w:rsidR="002E79F2" w:rsidRPr="00B32B18" w:rsidRDefault="002E79F2" w:rsidP="002E79F2">
      <w:pPr>
        <w:rPr>
          <w:rFonts w:ascii="Arial" w:hAnsi="Arial" w:cs="Arial"/>
          <w:sz w:val="22"/>
          <w:szCs w:val="22"/>
        </w:rPr>
      </w:pPr>
      <w:r w:rsidRPr="00B32B18">
        <w:rPr>
          <w:rFonts w:ascii="Arial" w:hAnsi="Arial" w:cs="Arial"/>
          <w:sz w:val="22"/>
          <w:szCs w:val="22"/>
        </w:rPr>
        <w:t xml:space="preserve">Another challenge relates to clinical governance. As KardiaMobile enables AF screening outside traditional clinical environments, organisations must ensure that appropriate protocols, escalation pathways, and safety nets are in place. </w:t>
      </w:r>
      <w:r w:rsidR="00FD5AAB" w:rsidRPr="00B32B18">
        <w:rPr>
          <w:rFonts w:ascii="Arial" w:hAnsi="Arial" w:cs="Arial"/>
          <w:sz w:val="22"/>
          <w:szCs w:val="22"/>
        </w:rPr>
        <w:t xml:space="preserve">Community pharmacy evidence supports this. Bray et al. (2021) found that while KardiaMobile increased AF detection, weak governance and low staff confidence caused delays and unnecessary referrals. This shows that service improvements rely on strong clinical pathways and organisational readiness. </w:t>
      </w:r>
      <w:r w:rsidRPr="00B32B18">
        <w:rPr>
          <w:rFonts w:ascii="Arial" w:hAnsi="Arial" w:cs="Arial"/>
          <w:sz w:val="22"/>
          <w:szCs w:val="22"/>
        </w:rPr>
        <w:t>Without clear governance, there is a risk that abnormal results may not be acted upon promptly, particularly when screening occurs in community settings such as pharmacies or care homes (Patel, 2021). Conversely, when governance is strong and digital pathways are well</w:t>
      </w:r>
      <w:r w:rsidRPr="00B32B18">
        <w:rPr>
          <w:rFonts w:ascii="Arial" w:hAnsi="Arial" w:cs="Arial"/>
          <w:sz w:val="22"/>
          <w:szCs w:val="22"/>
        </w:rPr>
        <w:noBreakHyphen/>
        <w:t>designed, KardiaMobile can reduce avoidable referrals, shorten diagnostic timelines, and support more efficient use of specialist resources. Ethical analyses of digital health emphasise that transparency and robust data governance are essential for maintaining patient trust when biometric data is processed through third</w:t>
      </w:r>
      <w:r w:rsidRPr="00B32B18">
        <w:rPr>
          <w:rFonts w:ascii="Arial" w:hAnsi="Arial" w:cs="Arial"/>
          <w:sz w:val="22"/>
          <w:szCs w:val="22"/>
        </w:rPr>
        <w:noBreakHyphen/>
        <w:t>party applications (Mittelstadt, 2020). This reinforces the need for strong governance frameworks.</w:t>
      </w:r>
    </w:p>
    <w:p w14:paraId="33A03945" w14:textId="77777777" w:rsidR="002E79F2" w:rsidRPr="00B32B18" w:rsidRDefault="002E79F2" w:rsidP="002E79F2">
      <w:pPr>
        <w:rPr>
          <w:rFonts w:ascii="Arial" w:hAnsi="Arial" w:cs="Arial"/>
          <w:sz w:val="22"/>
          <w:szCs w:val="22"/>
        </w:rPr>
      </w:pPr>
      <w:r w:rsidRPr="00B32B18">
        <w:rPr>
          <w:rFonts w:ascii="Arial" w:hAnsi="Arial" w:cs="Arial"/>
          <w:sz w:val="22"/>
          <w:szCs w:val="22"/>
        </w:rPr>
        <w:t xml:space="preserve">Overall, KardiaMobile enhances service efficiency and supports early intervention but requires robust digital infrastructure and governance to mitigate risks. The contrast between </w:t>
      </w:r>
      <w:r w:rsidRPr="00B32B18">
        <w:rPr>
          <w:rFonts w:ascii="Arial" w:hAnsi="Arial" w:cs="Arial"/>
          <w:sz w:val="22"/>
          <w:szCs w:val="22"/>
        </w:rPr>
        <w:lastRenderedPageBreak/>
        <w:t>streamlined diagnostic pathways and integration challenges highlights the importance of organisational readiness.</w:t>
      </w:r>
    </w:p>
    <w:p w14:paraId="24C1E6CE"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Impact on Patients and Service Users</w:t>
      </w:r>
    </w:p>
    <w:p w14:paraId="3DC04567" w14:textId="270446D3" w:rsidR="002E79F2" w:rsidRPr="00B32B18" w:rsidRDefault="006F5654" w:rsidP="002E79F2">
      <w:pPr>
        <w:rPr>
          <w:rFonts w:ascii="Arial" w:hAnsi="Arial" w:cs="Arial"/>
          <w:sz w:val="22"/>
          <w:szCs w:val="22"/>
        </w:rPr>
      </w:pPr>
      <w:r w:rsidRPr="006F5654">
        <w:rPr>
          <w:rFonts w:ascii="Arial" w:hAnsi="Arial" w:cs="Arial"/>
          <w:sz w:val="22"/>
          <w:szCs w:val="22"/>
        </w:rPr>
        <w:t xml:space="preserve">KardiaMobile significantly affects patient experience, with both benefits and limitations. </w:t>
      </w:r>
      <w:r w:rsidR="002E79F2" w:rsidRPr="00B32B18">
        <w:rPr>
          <w:rFonts w:ascii="Arial" w:hAnsi="Arial" w:cs="Arial"/>
          <w:sz w:val="22"/>
          <w:szCs w:val="22"/>
        </w:rPr>
        <w:t>A key advantage is increased accessibility to early AF detection. Patients can receive immediate results during consultations or use the device independently at home, supporting self</w:t>
      </w:r>
      <w:r w:rsidR="002E79F2" w:rsidRPr="00B32B18">
        <w:rPr>
          <w:rFonts w:ascii="Arial" w:hAnsi="Arial" w:cs="Arial"/>
          <w:sz w:val="22"/>
          <w:szCs w:val="22"/>
        </w:rPr>
        <w:noBreakHyphen/>
        <w:t>management and shared decision</w:t>
      </w:r>
      <w:r w:rsidR="002E79F2" w:rsidRPr="00B32B18">
        <w:rPr>
          <w:rFonts w:ascii="Arial" w:hAnsi="Arial" w:cs="Arial"/>
          <w:sz w:val="22"/>
          <w:szCs w:val="22"/>
        </w:rPr>
        <w:noBreakHyphen/>
        <w:t>making (Reed, 2022). Studies in cardiovascular care show that mobile health tools can significantly increase patient engagement</w:t>
      </w:r>
      <w:r w:rsidR="00CA3EB6">
        <w:rPr>
          <w:rFonts w:ascii="Arial" w:hAnsi="Arial" w:cs="Arial"/>
          <w:sz w:val="22"/>
          <w:szCs w:val="22"/>
        </w:rPr>
        <w:t xml:space="preserve">, </w:t>
      </w:r>
      <w:r w:rsidR="002E79F2" w:rsidRPr="00B32B18">
        <w:rPr>
          <w:rFonts w:ascii="Arial" w:hAnsi="Arial" w:cs="Arial"/>
          <w:sz w:val="22"/>
          <w:szCs w:val="22"/>
        </w:rPr>
        <w:t xml:space="preserve">when users feel confident using the technology (Cowie, 2021). </w:t>
      </w:r>
    </w:p>
    <w:p w14:paraId="14334EB9" w14:textId="26751F54" w:rsidR="002E79F2" w:rsidRPr="00B32B18" w:rsidRDefault="002E79F2" w:rsidP="002E79F2">
      <w:pPr>
        <w:rPr>
          <w:rFonts w:ascii="Arial" w:hAnsi="Arial" w:cs="Arial"/>
          <w:sz w:val="22"/>
          <w:szCs w:val="22"/>
        </w:rPr>
      </w:pPr>
      <w:r w:rsidRPr="00B32B18">
        <w:rPr>
          <w:rFonts w:ascii="Arial" w:hAnsi="Arial" w:cs="Arial"/>
          <w:sz w:val="22"/>
          <w:szCs w:val="22"/>
        </w:rPr>
        <w:t xml:space="preserve">However, patient experience is not universally positive. Digital exclusion remains a significant barrier, particularly for older adults, individuals with low digital literacy, and those without smartphones (Greenhalgh, 2022). </w:t>
      </w:r>
      <w:r w:rsidR="003A1D51" w:rsidRPr="00B32B18">
        <w:rPr>
          <w:rFonts w:ascii="Arial" w:hAnsi="Arial" w:cs="Arial"/>
          <w:sz w:val="22"/>
          <w:szCs w:val="22"/>
        </w:rPr>
        <w:t xml:space="preserve">As patients must buy KardiaMobile privately, cost limits who can access it. </w:t>
      </w:r>
      <w:r w:rsidRPr="00B32B18">
        <w:rPr>
          <w:rFonts w:ascii="Arial" w:hAnsi="Arial" w:cs="Arial"/>
          <w:sz w:val="22"/>
          <w:szCs w:val="22"/>
        </w:rPr>
        <w:t>Savickas et al. (2023) highlight that digital health tools can exacerbate inequalities if not accompanied by inclusive design and support. Some patients also experience anxiety from self</w:t>
      </w:r>
      <w:r w:rsidRPr="00B32B18">
        <w:rPr>
          <w:rFonts w:ascii="Arial" w:hAnsi="Arial" w:cs="Arial"/>
          <w:sz w:val="22"/>
          <w:szCs w:val="22"/>
        </w:rPr>
        <w:noBreakHyphen/>
        <w:t>monitoring, especially when receiving ambiguous or abnormal readings without immediate clinical interpretation (Stewart, 2020). Accuracy concerns further affect patient trust. A meta</w:t>
      </w:r>
      <w:r w:rsidRPr="00B32B18">
        <w:rPr>
          <w:rFonts w:ascii="Arial" w:hAnsi="Arial" w:cs="Arial"/>
          <w:sz w:val="22"/>
          <w:szCs w:val="22"/>
        </w:rPr>
        <w:noBreakHyphen/>
        <w:t>analysis found that handheld ECG devices can misclassify arrhythmias, which may cause unnecessary anxiety or false reassurance for patients using KardiaMobile independently (</w:t>
      </w:r>
      <w:proofErr w:type="spellStart"/>
      <w:r w:rsidRPr="00B32B18">
        <w:rPr>
          <w:rFonts w:ascii="Arial" w:hAnsi="Arial" w:cs="Arial"/>
          <w:sz w:val="22"/>
          <w:szCs w:val="22"/>
        </w:rPr>
        <w:t>Desteghe</w:t>
      </w:r>
      <w:proofErr w:type="spellEnd"/>
      <w:r w:rsidRPr="00B32B18">
        <w:rPr>
          <w:rFonts w:ascii="Arial" w:hAnsi="Arial" w:cs="Arial"/>
          <w:sz w:val="22"/>
          <w:szCs w:val="22"/>
        </w:rPr>
        <w:t>, 2021).</w:t>
      </w:r>
    </w:p>
    <w:p w14:paraId="0F5FBB91" w14:textId="58305194" w:rsidR="002E79F2" w:rsidRPr="00B32B18" w:rsidRDefault="002E79F2" w:rsidP="002E79F2">
      <w:pPr>
        <w:rPr>
          <w:rFonts w:ascii="Arial" w:hAnsi="Arial" w:cs="Arial"/>
          <w:sz w:val="22"/>
          <w:szCs w:val="22"/>
        </w:rPr>
      </w:pPr>
      <w:r w:rsidRPr="00B32B18">
        <w:rPr>
          <w:rFonts w:ascii="Arial" w:hAnsi="Arial" w:cs="Arial"/>
          <w:sz w:val="22"/>
          <w:szCs w:val="22"/>
        </w:rPr>
        <w:t>Information governance is central to patient experience. Under the UK GDPR and Data Protection Act 2018, patients must be informed about how their ECG data is processed, stored, and shared. The principles of lawfulness, fairness, and transparency require clear communication about third</w:t>
      </w:r>
      <w:r w:rsidRPr="00B32B18">
        <w:rPr>
          <w:rFonts w:ascii="Arial" w:hAnsi="Arial" w:cs="Arial"/>
          <w:sz w:val="22"/>
          <w:szCs w:val="22"/>
        </w:rPr>
        <w:noBreakHyphen/>
        <w:t>party data processing, particularly when data is stored on non</w:t>
      </w:r>
      <w:r w:rsidRPr="00B32B18">
        <w:rPr>
          <w:rFonts w:ascii="Arial" w:hAnsi="Arial" w:cs="Arial"/>
          <w:sz w:val="22"/>
          <w:szCs w:val="22"/>
        </w:rPr>
        <w:noBreakHyphen/>
        <w:t xml:space="preserve">NHS servers. Studies show that patient trust in digital tools is strongly influenced by perceptions of data security and organisational transparency (Shaw, 2021). </w:t>
      </w:r>
    </w:p>
    <w:p w14:paraId="66AB7188" w14:textId="77777777" w:rsidR="002E79F2" w:rsidRPr="00B32B18" w:rsidRDefault="002E79F2" w:rsidP="002E79F2">
      <w:pPr>
        <w:rPr>
          <w:rFonts w:ascii="Arial" w:hAnsi="Arial" w:cs="Arial"/>
          <w:sz w:val="22"/>
          <w:szCs w:val="22"/>
        </w:rPr>
      </w:pPr>
      <w:r w:rsidRPr="00B32B18">
        <w:rPr>
          <w:rFonts w:ascii="Arial" w:hAnsi="Arial" w:cs="Arial"/>
          <w:sz w:val="22"/>
          <w:szCs w:val="22"/>
        </w:rPr>
        <w:t>Overall, KardiaMobile enhances patient autonomy and access to early diagnosis but risks widening inequalities and increasing anxiety without appropriate support. The contrast between empowerment and exclusion underscores the need for inclusive implementation strategies.</w:t>
      </w:r>
    </w:p>
    <w:p w14:paraId="5A2F4FA9" w14:textId="77777777" w:rsidR="002E79F2" w:rsidRPr="00B32B18" w:rsidRDefault="002E79F2" w:rsidP="002E79F2">
      <w:pPr>
        <w:rPr>
          <w:rFonts w:ascii="Arial" w:hAnsi="Arial" w:cs="Arial"/>
          <w:b/>
          <w:bCs/>
          <w:sz w:val="22"/>
          <w:szCs w:val="22"/>
        </w:rPr>
      </w:pPr>
      <w:r w:rsidRPr="00B32B18">
        <w:rPr>
          <w:rFonts w:ascii="Arial" w:hAnsi="Arial" w:cs="Arial"/>
          <w:b/>
          <w:bCs/>
          <w:sz w:val="22"/>
          <w:szCs w:val="22"/>
        </w:rPr>
        <w:t>Conclusion</w:t>
      </w:r>
    </w:p>
    <w:p w14:paraId="47E5BADF" w14:textId="199FB2E0" w:rsidR="00A756B5" w:rsidRPr="00A756B5" w:rsidRDefault="00A756B5" w:rsidP="00A756B5">
      <w:pPr>
        <w:rPr>
          <w:rFonts w:ascii="Arial" w:hAnsi="Arial" w:cs="Arial"/>
          <w:sz w:val="22"/>
          <w:szCs w:val="22"/>
        </w:rPr>
      </w:pPr>
      <w:r w:rsidRPr="00A756B5">
        <w:rPr>
          <w:rFonts w:ascii="Arial" w:hAnsi="Arial" w:cs="Arial"/>
          <w:sz w:val="22"/>
          <w:szCs w:val="22"/>
        </w:rPr>
        <w:t>KardiaMobile demonstrates how handheld ECG technology can strengthen UK diagnostic pathways by enabling faster rhythm assessment, improved accessibility, and earlier identification of atrial fibrillation. Its impact extends beyond technical accuracy, relying on workforce digital readiness, training capacity, and the ability of services to integrate handheld devices into existing NHS workflows. Patient experience is enhanced through reassurance, autonomy, and reduced travel burden, yet concerns around accuracy, digital exclusion, and data governance highlight the need for careful oversight.</w:t>
      </w:r>
    </w:p>
    <w:p w14:paraId="533ED37A" w14:textId="77777777" w:rsidR="00A756B5" w:rsidRPr="00A756B5" w:rsidRDefault="00A756B5" w:rsidP="00A756B5">
      <w:pPr>
        <w:rPr>
          <w:rFonts w:ascii="Arial" w:hAnsi="Arial" w:cs="Arial"/>
          <w:sz w:val="22"/>
          <w:szCs w:val="22"/>
        </w:rPr>
      </w:pPr>
      <w:r w:rsidRPr="00A756B5">
        <w:rPr>
          <w:rFonts w:ascii="Arial" w:hAnsi="Arial" w:cs="Arial"/>
          <w:sz w:val="22"/>
          <w:szCs w:val="22"/>
        </w:rPr>
        <w:t>Overall, KardiaMobile shows how digital innovation can enhance NHS diagnostic capacity when supported by strong governance, workforce development, and clear clinical pathways. Its benefits are significant, but they depend on thoughtful implementation that addresses inequalities and ensures safe, reliable use across diverse settings.</w:t>
      </w:r>
    </w:p>
    <w:p w14:paraId="7C90A1F1" w14:textId="77777777" w:rsidR="00B32B18" w:rsidRDefault="00B32B18">
      <w:pPr>
        <w:rPr>
          <w:rFonts w:ascii="Arial" w:hAnsi="Arial" w:cs="Arial"/>
          <w:sz w:val="22"/>
          <w:szCs w:val="22"/>
          <w:u w:val="single"/>
        </w:rPr>
      </w:pPr>
    </w:p>
    <w:p w14:paraId="2F53691F" w14:textId="753E92BF" w:rsidR="00C304C4" w:rsidRPr="00B32B18" w:rsidRDefault="00C304C4">
      <w:pPr>
        <w:rPr>
          <w:rFonts w:ascii="Arial" w:hAnsi="Arial" w:cs="Arial"/>
          <w:sz w:val="22"/>
          <w:szCs w:val="22"/>
          <w:u w:val="single"/>
        </w:rPr>
      </w:pPr>
      <w:r w:rsidRPr="00B32B18">
        <w:rPr>
          <w:rFonts w:ascii="Arial" w:hAnsi="Arial" w:cs="Arial"/>
          <w:sz w:val="22"/>
          <w:szCs w:val="22"/>
          <w:u w:val="single"/>
        </w:rPr>
        <w:lastRenderedPageBreak/>
        <w:t xml:space="preserve">Reference list: </w:t>
      </w:r>
    </w:p>
    <w:p w14:paraId="60ECF401"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Baird, B. (2020) </w:t>
      </w:r>
      <w:r w:rsidRPr="00B32B18">
        <w:rPr>
          <w:rFonts w:ascii="Arial" w:hAnsi="Arial" w:cs="Arial"/>
          <w:i/>
          <w:iCs/>
          <w:sz w:val="22"/>
          <w:szCs w:val="22"/>
        </w:rPr>
        <w:t>Understanding workload pressures in primary care</w:t>
      </w:r>
      <w:r w:rsidRPr="00B32B18">
        <w:rPr>
          <w:rFonts w:ascii="Arial" w:hAnsi="Arial" w:cs="Arial"/>
          <w:sz w:val="22"/>
          <w:szCs w:val="22"/>
        </w:rPr>
        <w:t>. London: The King’s Fund.</w:t>
      </w:r>
    </w:p>
    <w:p w14:paraId="7D59A938" w14:textId="77777777" w:rsidR="00C304C4" w:rsidRPr="00B32B18" w:rsidRDefault="00C304C4" w:rsidP="00C304C4">
      <w:pPr>
        <w:rPr>
          <w:rFonts w:ascii="Arial" w:hAnsi="Arial" w:cs="Arial"/>
          <w:sz w:val="22"/>
          <w:szCs w:val="22"/>
        </w:rPr>
      </w:pPr>
      <w:proofErr w:type="spellStart"/>
      <w:r w:rsidRPr="00B32B18">
        <w:rPr>
          <w:rFonts w:ascii="Arial" w:hAnsi="Arial" w:cs="Arial"/>
          <w:sz w:val="22"/>
          <w:szCs w:val="22"/>
        </w:rPr>
        <w:t>Bashshur</w:t>
      </w:r>
      <w:proofErr w:type="spellEnd"/>
      <w:r w:rsidRPr="00B32B18">
        <w:rPr>
          <w:rFonts w:ascii="Arial" w:hAnsi="Arial" w:cs="Arial"/>
          <w:sz w:val="22"/>
          <w:szCs w:val="22"/>
        </w:rPr>
        <w:t xml:space="preserve">, R. (2020) ‘Telemedicine and remote monitoring: Evidence for improved clinical pathways’, </w:t>
      </w:r>
      <w:r w:rsidRPr="00B32B18">
        <w:rPr>
          <w:rFonts w:ascii="Arial" w:hAnsi="Arial" w:cs="Arial"/>
          <w:i/>
          <w:iCs/>
          <w:sz w:val="22"/>
          <w:szCs w:val="22"/>
        </w:rPr>
        <w:t>Journal of Telemedicine and e</w:t>
      </w:r>
      <w:r w:rsidRPr="00B32B18">
        <w:rPr>
          <w:rFonts w:ascii="Arial" w:hAnsi="Arial" w:cs="Arial"/>
          <w:i/>
          <w:iCs/>
          <w:sz w:val="22"/>
          <w:szCs w:val="22"/>
        </w:rPr>
        <w:noBreakHyphen/>
        <w:t>Health</w:t>
      </w:r>
      <w:r w:rsidRPr="00B32B18">
        <w:rPr>
          <w:rFonts w:ascii="Arial" w:hAnsi="Arial" w:cs="Arial"/>
          <w:sz w:val="22"/>
          <w:szCs w:val="22"/>
        </w:rPr>
        <w:t>, 26(4), pp.245–252.</w:t>
      </w:r>
    </w:p>
    <w:p w14:paraId="73BDC7E5"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Bennett, L. (2020) ‘Digital integration challenges in NHS primary care’, </w:t>
      </w:r>
      <w:r w:rsidRPr="00B32B18">
        <w:rPr>
          <w:rFonts w:ascii="Arial" w:hAnsi="Arial" w:cs="Arial"/>
          <w:i/>
          <w:iCs/>
          <w:sz w:val="22"/>
          <w:szCs w:val="22"/>
        </w:rPr>
        <w:t>British Journal of Healthcare Management</w:t>
      </w:r>
      <w:r w:rsidRPr="00B32B18">
        <w:rPr>
          <w:rFonts w:ascii="Arial" w:hAnsi="Arial" w:cs="Arial"/>
          <w:sz w:val="22"/>
          <w:szCs w:val="22"/>
        </w:rPr>
        <w:t>, 26(9), pp.1–8.</w:t>
      </w:r>
    </w:p>
    <w:p w14:paraId="2159BF83" w14:textId="7E4A821A" w:rsidR="001D76A3" w:rsidRPr="00B32B18" w:rsidRDefault="001D76A3" w:rsidP="00C304C4">
      <w:pPr>
        <w:rPr>
          <w:rFonts w:ascii="Arial" w:hAnsi="Arial" w:cs="Arial"/>
          <w:sz w:val="22"/>
          <w:szCs w:val="22"/>
        </w:rPr>
      </w:pPr>
      <w:r w:rsidRPr="00B32B18">
        <w:rPr>
          <w:rFonts w:ascii="Arial" w:hAnsi="Arial" w:cs="Arial"/>
          <w:sz w:val="22"/>
          <w:szCs w:val="22"/>
        </w:rPr>
        <w:t xml:space="preserve">Bray, E.P., Jones, M., </w:t>
      </w:r>
      <w:proofErr w:type="spellStart"/>
      <w:r w:rsidRPr="00B32B18">
        <w:rPr>
          <w:rFonts w:ascii="Arial" w:hAnsi="Arial" w:cs="Arial"/>
          <w:sz w:val="22"/>
          <w:szCs w:val="22"/>
        </w:rPr>
        <w:t>Rajappan</w:t>
      </w:r>
      <w:proofErr w:type="spellEnd"/>
      <w:r w:rsidRPr="00B32B18">
        <w:rPr>
          <w:rFonts w:ascii="Arial" w:hAnsi="Arial" w:cs="Arial"/>
          <w:sz w:val="22"/>
          <w:szCs w:val="22"/>
        </w:rPr>
        <w:t xml:space="preserve">, K. and Hobbs, F.D.R. (2021) ‘Community pharmacy screening for atrial fibrillation using KardiaMobile: a feasibility study’, </w:t>
      </w:r>
      <w:r w:rsidRPr="00B32B18">
        <w:rPr>
          <w:rFonts w:ascii="Arial" w:hAnsi="Arial" w:cs="Arial"/>
          <w:i/>
          <w:iCs/>
          <w:sz w:val="22"/>
          <w:szCs w:val="22"/>
        </w:rPr>
        <w:t>British Journal of General Practice</w:t>
      </w:r>
      <w:r w:rsidRPr="00B32B18">
        <w:rPr>
          <w:rFonts w:ascii="Arial" w:hAnsi="Arial" w:cs="Arial"/>
          <w:sz w:val="22"/>
          <w:szCs w:val="22"/>
        </w:rPr>
        <w:t>, 71(703), pp. e123–e130.</w:t>
      </w:r>
    </w:p>
    <w:p w14:paraId="52AA9473"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Chan, N. (2020) ‘Clinical utility of handheld ECG devices in primary care’, </w:t>
      </w:r>
      <w:r w:rsidRPr="00B32B18">
        <w:rPr>
          <w:rFonts w:ascii="Arial" w:hAnsi="Arial" w:cs="Arial"/>
          <w:i/>
          <w:iCs/>
          <w:sz w:val="22"/>
          <w:szCs w:val="22"/>
        </w:rPr>
        <w:t>British Journal of Cardiology</w:t>
      </w:r>
      <w:r w:rsidRPr="00B32B18">
        <w:rPr>
          <w:rFonts w:ascii="Arial" w:hAnsi="Arial" w:cs="Arial"/>
          <w:sz w:val="22"/>
          <w:szCs w:val="22"/>
        </w:rPr>
        <w:t>, 27(3), pp.45–52.</w:t>
      </w:r>
    </w:p>
    <w:p w14:paraId="750DEE25"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Cowie, M. (2021) ‘Patient engagement with mobile health technologies in cardiovascular care’, </w:t>
      </w:r>
      <w:r w:rsidRPr="00B32B18">
        <w:rPr>
          <w:rFonts w:ascii="Arial" w:hAnsi="Arial" w:cs="Arial"/>
          <w:i/>
          <w:iCs/>
          <w:sz w:val="22"/>
          <w:szCs w:val="22"/>
        </w:rPr>
        <w:t>European Heart Journal – Digital Health</w:t>
      </w:r>
      <w:r w:rsidRPr="00B32B18">
        <w:rPr>
          <w:rFonts w:ascii="Arial" w:hAnsi="Arial" w:cs="Arial"/>
          <w:sz w:val="22"/>
          <w:szCs w:val="22"/>
        </w:rPr>
        <w:t>, 2(1), pp.12–20.</w:t>
      </w:r>
    </w:p>
    <w:p w14:paraId="3275F0A3"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Department of Health and Social Care (2022) </w:t>
      </w:r>
      <w:r w:rsidRPr="00B32B18">
        <w:rPr>
          <w:rFonts w:ascii="Arial" w:hAnsi="Arial" w:cs="Arial"/>
          <w:i/>
          <w:iCs/>
          <w:sz w:val="22"/>
          <w:szCs w:val="22"/>
        </w:rPr>
        <w:t>Digital transformation in health and social care</w:t>
      </w:r>
      <w:r w:rsidRPr="00B32B18">
        <w:rPr>
          <w:rFonts w:ascii="Arial" w:hAnsi="Arial" w:cs="Arial"/>
          <w:sz w:val="22"/>
          <w:szCs w:val="22"/>
        </w:rPr>
        <w:t>. London: DHSC.</w:t>
      </w:r>
    </w:p>
    <w:p w14:paraId="719D65F8" w14:textId="77777777" w:rsidR="00C304C4" w:rsidRPr="00B32B18" w:rsidRDefault="00C304C4" w:rsidP="00C304C4">
      <w:pPr>
        <w:rPr>
          <w:rFonts w:ascii="Arial" w:hAnsi="Arial" w:cs="Arial"/>
          <w:sz w:val="22"/>
          <w:szCs w:val="22"/>
        </w:rPr>
      </w:pPr>
      <w:proofErr w:type="spellStart"/>
      <w:r w:rsidRPr="00B32B18">
        <w:rPr>
          <w:rFonts w:ascii="Arial" w:hAnsi="Arial" w:cs="Arial"/>
          <w:sz w:val="22"/>
          <w:szCs w:val="22"/>
        </w:rPr>
        <w:t>Desteghe</w:t>
      </w:r>
      <w:proofErr w:type="spellEnd"/>
      <w:r w:rsidRPr="00B32B18">
        <w:rPr>
          <w:rFonts w:ascii="Arial" w:hAnsi="Arial" w:cs="Arial"/>
          <w:sz w:val="22"/>
          <w:szCs w:val="22"/>
        </w:rPr>
        <w:t>, L. (2021) ‘Performance of handheld ECG devices for atrial fibrillation screening: A systematic review and meta</w:t>
      </w:r>
      <w:r w:rsidRPr="00B32B18">
        <w:rPr>
          <w:rFonts w:ascii="Arial" w:hAnsi="Arial" w:cs="Arial"/>
          <w:sz w:val="22"/>
          <w:szCs w:val="22"/>
        </w:rPr>
        <w:noBreakHyphen/>
        <w:t xml:space="preserve">analysis’, </w:t>
      </w:r>
      <w:r w:rsidRPr="00B32B18">
        <w:rPr>
          <w:rFonts w:ascii="Arial" w:hAnsi="Arial" w:cs="Arial"/>
          <w:i/>
          <w:iCs/>
          <w:sz w:val="22"/>
          <w:szCs w:val="22"/>
        </w:rPr>
        <w:t>Journal of Clinical Medicine</w:t>
      </w:r>
      <w:r w:rsidRPr="00B32B18">
        <w:rPr>
          <w:rFonts w:ascii="Arial" w:hAnsi="Arial" w:cs="Arial"/>
          <w:sz w:val="22"/>
          <w:szCs w:val="22"/>
        </w:rPr>
        <w:t xml:space="preserve">, 10(11). Available at: </w:t>
      </w:r>
      <w:hyperlink r:id="rId6" w:tgtFrame="_blank" w:tooltip="pmc.ncbi.nlm.nih.gov" w:history="1">
        <w:r w:rsidRPr="00B32B18">
          <w:rPr>
            <w:rStyle w:val="Hyperlink"/>
            <w:rFonts w:ascii="Arial" w:hAnsi="Arial" w:cs="Arial"/>
            <w:sz w:val="22"/>
            <w:szCs w:val="22"/>
          </w:rPr>
          <w:t>https://pmc.ncbi.nlm.nih.gov/articles/PMC8170609/</w:t>
        </w:r>
      </w:hyperlink>
      <w:r w:rsidRPr="00B32B18">
        <w:rPr>
          <w:rFonts w:ascii="Arial" w:hAnsi="Arial" w:cs="Arial"/>
          <w:sz w:val="22"/>
          <w:szCs w:val="22"/>
        </w:rPr>
        <w:t xml:space="preserve"> (Accessed: 8 June 2026).</w:t>
      </w:r>
    </w:p>
    <w:p w14:paraId="3E5DC33F"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Emmett, C., Jones, R. and Patel, S. (2024) ‘Digital readiness and workforce confidence in health care’, </w:t>
      </w:r>
      <w:r w:rsidRPr="00B32B18">
        <w:rPr>
          <w:rFonts w:ascii="Arial" w:hAnsi="Arial" w:cs="Arial"/>
          <w:i/>
          <w:iCs/>
          <w:sz w:val="22"/>
          <w:szCs w:val="22"/>
        </w:rPr>
        <w:t>Journal of Health Services Research</w:t>
      </w:r>
      <w:r w:rsidRPr="00B32B18">
        <w:rPr>
          <w:rFonts w:ascii="Arial" w:hAnsi="Arial" w:cs="Arial"/>
          <w:sz w:val="22"/>
          <w:szCs w:val="22"/>
        </w:rPr>
        <w:t>, 29(1), pp.33–47.</w:t>
      </w:r>
    </w:p>
    <w:p w14:paraId="2E180DF2"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Greenhalgh, T. (2022) ‘Digital exclusion and health inequalities’, </w:t>
      </w:r>
      <w:r w:rsidRPr="00B32B18">
        <w:rPr>
          <w:rFonts w:ascii="Arial" w:hAnsi="Arial" w:cs="Arial"/>
          <w:i/>
          <w:iCs/>
          <w:sz w:val="22"/>
          <w:szCs w:val="22"/>
        </w:rPr>
        <w:t>The Lancet Digital Health</w:t>
      </w:r>
      <w:r w:rsidRPr="00B32B18">
        <w:rPr>
          <w:rFonts w:ascii="Arial" w:hAnsi="Arial" w:cs="Arial"/>
          <w:sz w:val="22"/>
          <w:szCs w:val="22"/>
        </w:rPr>
        <w:t>, 4(3), pp.e177–e185.</w:t>
      </w:r>
    </w:p>
    <w:p w14:paraId="6BDBD062"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Hobbs, F. (2022) ‘Atrial fibrillation detection in community settings’, </w:t>
      </w:r>
      <w:r w:rsidRPr="00B32B18">
        <w:rPr>
          <w:rFonts w:ascii="Arial" w:hAnsi="Arial" w:cs="Arial"/>
          <w:i/>
          <w:iCs/>
          <w:sz w:val="22"/>
          <w:szCs w:val="22"/>
        </w:rPr>
        <w:t>British Journal of General Practice</w:t>
      </w:r>
      <w:r w:rsidRPr="00B32B18">
        <w:rPr>
          <w:rFonts w:ascii="Arial" w:hAnsi="Arial" w:cs="Arial"/>
          <w:sz w:val="22"/>
          <w:szCs w:val="22"/>
        </w:rPr>
        <w:t>, 72(715), pp.120–128.</w:t>
      </w:r>
    </w:p>
    <w:p w14:paraId="6AD626C7"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Information Commissioner’s Office (2023) </w:t>
      </w:r>
      <w:r w:rsidRPr="00B32B18">
        <w:rPr>
          <w:rFonts w:ascii="Arial" w:hAnsi="Arial" w:cs="Arial"/>
          <w:i/>
          <w:iCs/>
          <w:sz w:val="22"/>
          <w:szCs w:val="22"/>
        </w:rPr>
        <w:t>Guide to the UK GDPR</w:t>
      </w:r>
      <w:r w:rsidRPr="00B32B18">
        <w:rPr>
          <w:rFonts w:ascii="Arial" w:hAnsi="Arial" w:cs="Arial"/>
          <w:sz w:val="22"/>
          <w:szCs w:val="22"/>
        </w:rPr>
        <w:t>. Wilmslow: ICO.</w:t>
      </w:r>
    </w:p>
    <w:p w14:paraId="349A7EC7" w14:textId="77777777" w:rsidR="00C304C4" w:rsidRPr="00B32B18" w:rsidRDefault="00C304C4" w:rsidP="00C304C4">
      <w:pPr>
        <w:rPr>
          <w:rFonts w:ascii="Arial" w:hAnsi="Arial" w:cs="Arial"/>
          <w:sz w:val="22"/>
          <w:szCs w:val="22"/>
        </w:rPr>
      </w:pPr>
      <w:proofErr w:type="spellStart"/>
      <w:r w:rsidRPr="00B32B18">
        <w:rPr>
          <w:rFonts w:ascii="Arial" w:hAnsi="Arial" w:cs="Arial"/>
          <w:sz w:val="22"/>
          <w:szCs w:val="22"/>
        </w:rPr>
        <w:t>Lowres</w:t>
      </w:r>
      <w:proofErr w:type="spellEnd"/>
      <w:r w:rsidRPr="00B32B18">
        <w:rPr>
          <w:rFonts w:ascii="Arial" w:hAnsi="Arial" w:cs="Arial"/>
          <w:sz w:val="22"/>
          <w:szCs w:val="22"/>
        </w:rPr>
        <w:t xml:space="preserve">, N. (2022) ‘Effectiveness of community AF screening using mobile ECG devices’, </w:t>
      </w:r>
      <w:r w:rsidRPr="00B32B18">
        <w:rPr>
          <w:rFonts w:ascii="Arial" w:hAnsi="Arial" w:cs="Arial"/>
          <w:i/>
          <w:iCs/>
          <w:sz w:val="22"/>
          <w:szCs w:val="22"/>
        </w:rPr>
        <w:t>Heart</w:t>
      </w:r>
      <w:r w:rsidRPr="00B32B18">
        <w:rPr>
          <w:rFonts w:ascii="Arial" w:hAnsi="Arial" w:cs="Arial"/>
          <w:sz w:val="22"/>
          <w:szCs w:val="22"/>
        </w:rPr>
        <w:t>, 108(5), pp.389–396.</w:t>
      </w:r>
    </w:p>
    <w:p w14:paraId="25FE7415"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Marshall, T. (2021) ‘Impact of delayed AF diagnosis on stroke outcomes’, </w:t>
      </w:r>
      <w:r w:rsidRPr="00B32B18">
        <w:rPr>
          <w:rFonts w:ascii="Arial" w:hAnsi="Arial" w:cs="Arial"/>
          <w:i/>
          <w:iCs/>
          <w:sz w:val="22"/>
          <w:szCs w:val="22"/>
        </w:rPr>
        <w:t>Stroke Prevention Journal</w:t>
      </w:r>
      <w:r w:rsidRPr="00B32B18">
        <w:rPr>
          <w:rFonts w:ascii="Arial" w:hAnsi="Arial" w:cs="Arial"/>
          <w:sz w:val="22"/>
          <w:szCs w:val="22"/>
        </w:rPr>
        <w:t>, 14(2), pp.88–95.</w:t>
      </w:r>
    </w:p>
    <w:p w14:paraId="2DB810AA"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May, C. (2018) ‘Normalisation Process Theory: Understanding the embedding of new practices’, </w:t>
      </w:r>
      <w:r w:rsidRPr="00B32B18">
        <w:rPr>
          <w:rFonts w:ascii="Arial" w:hAnsi="Arial" w:cs="Arial"/>
          <w:i/>
          <w:iCs/>
          <w:sz w:val="22"/>
          <w:szCs w:val="22"/>
        </w:rPr>
        <w:t>Implementation Science</w:t>
      </w:r>
      <w:r w:rsidRPr="00B32B18">
        <w:rPr>
          <w:rFonts w:ascii="Arial" w:hAnsi="Arial" w:cs="Arial"/>
          <w:sz w:val="22"/>
          <w:szCs w:val="22"/>
        </w:rPr>
        <w:t>, 13(1), pp.1–12.</w:t>
      </w:r>
    </w:p>
    <w:p w14:paraId="096404BB"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Miller, J. (2021) ‘Paramedic use of handheld ECG devices in emergency care’, </w:t>
      </w:r>
      <w:r w:rsidRPr="00B32B18">
        <w:rPr>
          <w:rFonts w:ascii="Arial" w:hAnsi="Arial" w:cs="Arial"/>
          <w:i/>
          <w:iCs/>
          <w:sz w:val="22"/>
          <w:szCs w:val="22"/>
        </w:rPr>
        <w:t>Journal of Paramedic Practice</w:t>
      </w:r>
      <w:r w:rsidRPr="00B32B18">
        <w:rPr>
          <w:rFonts w:ascii="Arial" w:hAnsi="Arial" w:cs="Arial"/>
          <w:sz w:val="22"/>
          <w:szCs w:val="22"/>
        </w:rPr>
        <w:t>, 13(4), pp.150–158.</w:t>
      </w:r>
    </w:p>
    <w:p w14:paraId="5D162B89" w14:textId="77777777" w:rsidR="00C304C4" w:rsidRPr="00B32B18" w:rsidRDefault="00C304C4" w:rsidP="00C304C4">
      <w:pPr>
        <w:rPr>
          <w:rFonts w:ascii="Arial" w:hAnsi="Arial" w:cs="Arial"/>
          <w:sz w:val="22"/>
          <w:szCs w:val="22"/>
        </w:rPr>
      </w:pPr>
      <w:r w:rsidRPr="00B32B18">
        <w:rPr>
          <w:rFonts w:ascii="Arial" w:hAnsi="Arial" w:cs="Arial"/>
          <w:sz w:val="22"/>
          <w:szCs w:val="22"/>
        </w:rPr>
        <w:t>Mittelstadt, B. (2020) ‘Ethics of digital health and algorithmic decision</w:t>
      </w:r>
      <w:r w:rsidRPr="00B32B18">
        <w:rPr>
          <w:rFonts w:ascii="Arial" w:hAnsi="Arial" w:cs="Arial"/>
          <w:sz w:val="22"/>
          <w:szCs w:val="22"/>
        </w:rPr>
        <w:noBreakHyphen/>
        <w:t xml:space="preserve">making’, </w:t>
      </w:r>
      <w:r w:rsidRPr="00B32B18">
        <w:rPr>
          <w:rFonts w:ascii="Arial" w:hAnsi="Arial" w:cs="Arial"/>
          <w:i/>
          <w:iCs/>
          <w:sz w:val="22"/>
          <w:szCs w:val="22"/>
        </w:rPr>
        <w:t>Journal of Medical Ethics</w:t>
      </w:r>
      <w:r w:rsidRPr="00B32B18">
        <w:rPr>
          <w:rFonts w:ascii="Arial" w:hAnsi="Arial" w:cs="Arial"/>
          <w:sz w:val="22"/>
          <w:szCs w:val="22"/>
        </w:rPr>
        <w:t>, 46(3), pp.205–212.</w:t>
      </w:r>
    </w:p>
    <w:p w14:paraId="36910A0D" w14:textId="77777777" w:rsidR="00C304C4" w:rsidRDefault="00C304C4" w:rsidP="00C304C4">
      <w:pPr>
        <w:rPr>
          <w:rFonts w:ascii="Arial" w:hAnsi="Arial" w:cs="Arial"/>
          <w:sz w:val="22"/>
          <w:szCs w:val="22"/>
        </w:rPr>
      </w:pPr>
      <w:r w:rsidRPr="00B32B18">
        <w:rPr>
          <w:rFonts w:ascii="Arial" w:hAnsi="Arial" w:cs="Arial"/>
          <w:sz w:val="22"/>
          <w:szCs w:val="22"/>
        </w:rPr>
        <w:lastRenderedPageBreak/>
        <w:t xml:space="preserve">National Institute for Health and Care Excellence (2020) </w:t>
      </w:r>
      <w:r w:rsidRPr="00B32B18">
        <w:rPr>
          <w:rFonts w:ascii="Arial" w:hAnsi="Arial" w:cs="Arial"/>
          <w:i/>
          <w:iCs/>
          <w:sz w:val="22"/>
          <w:szCs w:val="22"/>
        </w:rPr>
        <w:t>KardiaMobile for detecting atrial fibrillation</w:t>
      </w:r>
      <w:r w:rsidRPr="00B32B18">
        <w:rPr>
          <w:rFonts w:ascii="Arial" w:hAnsi="Arial" w:cs="Arial"/>
          <w:sz w:val="22"/>
          <w:szCs w:val="22"/>
        </w:rPr>
        <w:t>. London: NICE.</w:t>
      </w:r>
    </w:p>
    <w:p w14:paraId="56D92B9E" w14:textId="76759775" w:rsidR="00F05E64" w:rsidRPr="00B32B18" w:rsidRDefault="00F05E64" w:rsidP="00C304C4">
      <w:pPr>
        <w:rPr>
          <w:rFonts w:ascii="Arial" w:hAnsi="Arial" w:cs="Arial"/>
          <w:sz w:val="22"/>
          <w:szCs w:val="22"/>
        </w:rPr>
      </w:pPr>
      <w:r w:rsidRPr="00F05E64">
        <w:rPr>
          <w:rFonts w:ascii="Arial" w:hAnsi="Arial" w:cs="Arial"/>
          <w:sz w:val="22"/>
          <w:szCs w:val="22"/>
        </w:rPr>
        <w:t xml:space="preserve">NHS England (2019) </w:t>
      </w:r>
      <w:r w:rsidRPr="00F05E64">
        <w:rPr>
          <w:rFonts w:ascii="Arial" w:hAnsi="Arial" w:cs="Arial"/>
          <w:i/>
          <w:iCs/>
          <w:sz w:val="22"/>
          <w:szCs w:val="22"/>
        </w:rPr>
        <w:t>The NHS Long Term Plan</w:t>
      </w:r>
      <w:r w:rsidRPr="00F05E64">
        <w:rPr>
          <w:rFonts w:ascii="Arial" w:hAnsi="Arial" w:cs="Arial"/>
          <w:sz w:val="22"/>
          <w:szCs w:val="22"/>
        </w:rPr>
        <w:t>. London: NHS England</w:t>
      </w:r>
      <w:r w:rsidR="00E7014E">
        <w:rPr>
          <w:rFonts w:ascii="Arial" w:hAnsi="Arial" w:cs="Arial"/>
          <w:sz w:val="22"/>
          <w:szCs w:val="22"/>
        </w:rPr>
        <w:t xml:space="preserve">. </w:t>
      </w:r>
      <w:r w:rsidR="00E7014E" w:rsidRPr="00E7014E">
        <w:rPr>
          <w:rFonts w:ascii="Arial" w:hAnsi="Arial" w:cs="Arial"/>
          <w:sz w:val="22"/>
          <w:szCs w:val="22"/>
        </w:rPr>
        <w:t>Available at: https://www.longtermplan.nhs.uk</w:t>
      </w:r>
    </w:p>
    <w:p w14:paraId="753B620C"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Patel, R. (2021) ‘Governance and safety considerations in digital AF screening’, </w:t>
      </w:r>
      <w:r w:rsidRPr="00B32B18">
        <w:rPr>
          <w:rFonts w:ascii="Arial" w:hAnsi="Arial" w:cs="Arial"/>
          <w:i/>
          <w:iCs/>
          <w:sz w:val="22"/>
          <w:szCs w:val="22"/>
        </w:rPr>
        <w:t>Clinical Governance Journal</w:t>
      </w:r>
      <w:r w:rsidRPr="00B32B18">
        <w:rPr>
          <w:rFonts w:ascii="Arial" w:hAnsi="Arial" w:cs="Arial"/>
          <w:sz w:val="22"/>
          <w:szCs w:val="22"/>
        </w:rPr>
        <w:t>, 26(2), pp.95–104.</w:t>
      </w:r>
    </w:p>
    <w:p w14:paraId="022D5196"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Reed, M. (2022) ‘Patient experiences of mobile ECG monitoring’, </w:t>
      </w:r>
      <w:r w:rsidRPr="00B32B18">
        <w:rPr>
          <w:rFonts w:ascii="Arial" w:hAnsi="Arial" w:cs="Arial"/>
          <w:i/>
          <w:iCs/>
          <w:sz w:val="22"/>
          <w:szCs w:val="22"/>
        </w:rPr>
        <w:t>Patient Experience Journal</w:t>
      </w:r>
      <w:r w:rsidRPr="00B32B18">
        <w:rPr>
          <w:rFonts w:ascii="Arial" w:hAnsi="Arial" w:cs="Arial"/>
          <w:sz w:val="22"/>
          <w:szCs w:val="22"/>
        </w:rPr>
        <w:t>, 9(1), pp.45–57.</w:t>
      </w:r>
    </w:p>
    <w:p w14:paraId="1F9F9846"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Savickas, V., Turner, A. and Lewis, J. (2023) ‘Information governance challenges in digital health’, </w:t>
      </w:r>
      <w:r w:rsidRPr="00B32B18">
        <w:rPr>
          <w:rFonts w:ascii="Arial" w:hAnsi="Arial" w:cs="Arial"/>
          <w:i/>
          <w:iCs/>
          <w:sz w:val="22"/>
          <w:szCs w:val="22"/>
        </w:rPr>
        <w:t>Health Informatics Journal</w:t>
      </w:r>
      <w:r w:rsidRPr="00B32B18">
        <w:rPr>
          <w:rFonts w:ascii="Arial" w:hAnsi="Arial" w:cs="Arial"/>
          <w:sz w:val="22"/>
          <w:szCs w:val="22"/>
        </w:rPr>
        <w:t>, 29(2), pp.1–15.</w:t>
      </w:r>
    </w:p>
    <w:p w14:paraId="48A1726C"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Shaw, S. (2021) ‘Trust and transparency in digital health technologies’, </w:t>
      </w:r>
      <w:r w:rsidRPr="00B32B18">
        <w:rPr>
          <w:rFonts w:ascii="Arial" w:hAnsi="Arial" w:cs="Arial"/>
          <w:i/>
          <w:iCs/>
          <w:sz w:val="22"/>
          <w:szCs w:val="22"/>
        </w:rPr>
        <w:t>Social Science &amp; Medicine</w:t>
      </w:r>
      <w:r w:rsidRPr="00B32B18">
        <w:rPr>
          <w:rFonts w:ascii="Arial" w:hAnsi="Arial" w:cs="Arial"/>
          <w:sz w:val="22"/>
          <w:szCs w:val="22"/>
        </w:rPr>
        <w:t>, 285, pp.1–9.</w:t>
      </w:r>
    </w:p>
    <w:p w14:paraId="74AF8487"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Stewart, A. (2020) ‘Digital workload and administrative burden in primary care’, </w:t>
      </w:r>
      <w:r w:rsidRPr="00B32B18">
        <w:rPr>
          <w:rFonts w:ascii="Arial" w:hAnsi="Arial" w:cs="Arial"/>
          <w:i/>
          <w:iCs/>
          <w:sz w:val="22"/>
          <w:szCs w:val="22"/>
        </w:rPr>
        <w:t>Journal of Primary Care Research</w:t>
      </w:r>
      <w:r w:rsidRPr="00B32B18">
        <w:rPr>
          <w:rFonts w:ascii="Arial" w:hAnsi="Arial" w:cs="Arial"/>
          <w:sz w:val="22"/>
          <w:szCs w:val="22"/>
        </w:rPr>
        <w:t>, 12(3), pp.210–219.</w:t>
      </w:r>
    </w:p>
    <w:p w14:paraId="0C7C3372"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Tieleman, R. (2019) ‘Use of mobile ECG devices in community cardiology pathways’, </w:t>
      </w:r>
      <w:r w:rsidRPr="00B32B18">
        <w:rPr>
          <w:rFonts w:ascii="Arial" w:hAnsi="Arial" w:cs="Arial"/>
          <w:i/>
          <w:iCs/>
          <w:sz w:val="22"/>
          <w:szCs w:val="22"/>
        </w:rPr>
        <w:t>European Journal of Preventive Cardiology</w:t>
      </w:r>
      <w:r w:rsidRPr="00B32B18">
        <w:rPr>
          <w:rFonts w:ascii="Arial" w:hAnsi="Arial" w:cs="Arial"/>
          <w:sz w:val="22"/>
          <w:szCs w:val="22"/>
        </w:rPr>
        <w:t>, 26(10), pp.1132–1139.</w:t>
      </w:r>
    </w:p>
    <w:p w14:paraId="13CE4E65" w14:textId="77777777" w:rsidR="00C304C4" w:rsidRPr="00B32B18" w:rsidRDefault="00C304C4" w:rsidP="00C304C4">
      <w:pPr>
        <w:rPr>
          <w:rFonts w:ascii="Arial" w:hAnsi="Arial" w:cs="Arial"/>
          <w:sz w:val="22"/>
          <w:szCs w:val="22"/>
        </w:rPr>
      </w:pPr>
      <w:r w:rsidRPr="00B32B18">
        <w:rPr>
          <w:rFonts w:ascii="Arial" w:hAnsi="Arial" w:cs="Arial"/>
          <w:sz w:val="22"/>
          <w:szCs w:val="22"/>
        </w:rPr>
        <w:t xml:space="preserve">Topol, E. (2019) </w:t>
      </w:r>
      <w:r w:rsidRPr="00B32B18">
        <w:rPr>
          <w:rFonts w:ascii="Arial" w:hAnsi="Arial" w:cs="Arial"/>
          <w:i/>
          <w:iCs/>
          <w:sz w:val="22"/>
          <w:szCs w:val="22"/>
        </w:rPr>
        <w:t>The Topol Review: Preparing the healthcare workforce to deliver the digital future</w:t>
      </w:r>
      <w:r w:rsidRPr="00B32B18">
        <w:rPr>
          <w:rFonts w:ascii="Arial" w:hAnsi="Arial" w:cs="Arial"/>
          <w:sz w:val="22"/>
          <w:szCs w:val="22"/>
        </w:rPr>
        <w:t>. London: NHS England.</w:t>
      </w:r>
    </w:p>
    <w:p w14:paraId="6CA23216" w14:textId="77777777" w:rsidR="00C304C4" w:rsidRPr="00B32B18" w:rsidRDefault="00C304C4" w:rsidP="00C304C4">
      <w:pPr>
        <w:rPr>
          <w:rFonts w:ascii="Arial" w:hAnsi="Arial" w:cs="Arial"/>
          <w:sz w:val="22"/>
          <w:szCs w:val="22"/>
        </w:rPr>
      </w:pPr>
      <w:r w:rsidRPr="00B32B18">
        <w:rPr>
          <w:rFonts w:ascii="Arial" w:hAnsi="Arial" w:cs="Arial"/>
          <w:sz w:val="22"/>
          <w:szCs w:val="22"/>
        </w:rPr>
        <w:t>Williams, J. (2021) ‘Accuracy and limitations of single</w:t>
      </w:r>
      <w:r w:rsidRPr="00B32B18">
        <w:rPr>
          <w:rFonts w:ascii="Arial" w:hAnsi="Arial" w:cs="Arial"/>
          <w:sz w:val="22"/>
          <w:szCs w:val="22"/>
        </w:rPr>
        <w:noBreakHyphen/>
        <w:t xml:space="preserve">lead ECG devices’, </w:t>
      </w:r>
      <w:r w:rsidRPr="00B32B18">
        <w:rPr>
          <w:rFonts w:ascii="Arial" w:hAnsi="Arial" w:cs="Arial"/>
          <w:i/>
          <w:iCs/>
          <w:sz w:val="22"/>
          <w:szCs w:val="22"/>
        </w:rPr>
        <w:t>Cardiology in Practice</w:t>
      </w:r>
      <w:r w:rsidRPr="00B32B18">
        <w:rPr>
          <w:rFonts w:ascii="Arial" w:hAnsi="Arial" w:cs="Arial"/>
          <w:sz w:val="22"/>
          <w:szCs w:val="22"/>
        </w:rPr>
        <w:t>, 19(2), pp.67–74.</w:t>
      </w:r>
    </w:p>
    <w:p w14:paraId="2551116D" w14:textId="77777777" w:rsidR="00C304C4" w:rsidRPr="00B32B18" w:rsidRDefault="00C304C4">
      <w:pPr>
        <w:rPr>
          <w:rFonts w:ascii="Arial" w:hAnsi="Arial" w:cs="Arial"/>
          <w:sz w:val="22"/>
          <w:szCs w:val="22"/>
        </w:rPr>
      </w:pPr>
    </w:p>
    <w:sectPr w:rsidR="00C304C4" w:rsidRPr="00B32B1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A2657" w14:textId="77777777" w:rsidR="00416A78" w:rsidRDefault="00416A78" w:rsidP="00AA32E5">
      <w:pPr>
        <w:spacing w:after="0" w:line="240" w:lineRule="auto"/>
      </w:pPr>
      <w:r>
        <w:separator/>
      </w:r>
    </w:p>
  </w:endnote>
  <w:endnote w:type="continuationSeparator" w:id="0">
    <w:p w14:paraId="3D5ED07B" w14:textId="77777777" w:rsidR="00416A78" w:rsidRDefault="00416A78" w:rsidP="00AA3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656AC" w14:textId="77777777" w:rsidR="00416A78" w:rsidRDefault="00416A78" w:rsidP="00AA32E5">
      <w:pPr>
        <w:spacing w:after="0" w:line="240" w:lineRule="auto"/>
      </w:pPr>
      <w:r>
        <w:separator/>
      </w:r>
    </w:p>
  </w:footnote>
  <w:footnote w:type="continuationSeparator" w:id="0">
    <w:p w14:paraId="13F0D526" w14:textId="77777777" w:rsidR="00416A78" w:rsidRDefault="00416A78" w:rsidP="00AA3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866B9" w14:textId="0377BE84" w:rsidR="00AA32E5" w:rsidRDefault="00AA32E5">
    <w:pPr>
      <w:pStyle w:val="Header"/>
    </w:pPr>
    <w:r>
      <w:t xml:space="preserve">Nylah Shahid </w:t>
    </w:r>
  </w:p>
  <w:p w14:paraId="28260547" w14:textId="7A62103F" w:rsidR="00AA32E5" w:rsidRDefault="00AA32E5">
    <w:pPr>
      <w:pStyle w:val="Header"/>
    </w:pPr>
    <w:r>
      <w:t>2330714</w:t>
    </w:r>
  </w:p>
  <w:p w14:paraId="6B0AA7CD" w14:textId="77777777" w:rsidR="00AA32E5" w:rsidRDefault="00AA32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9F2"/>
    <w:rsid w:val="00003F16"/>
    <w:rsid w:val="00163BFC"/>
    <w:rsid w:val="001D76A3"/>
    <w:rsid w:val="001F608B"/>
    <w:rsid w:val="002C4FFE"/>
    <w:rsid w:val="002E79F2"/>
    <w:rsid w:val="00317E1E"/>
    <w:rsid w:val="00343778"/>
    <w:rsid w:val="003708D1"/>
    <w:rsid w:val="003A1D51"/>
    <w:rsid w:val="00416A78"/>
    <w:rsid w:val="0043673F"/>
    <w:rsid w:val="00474078"/>
    <w:rsid w:val="004B2B93"/>
    <w:rsid w:val="0050476B"/>
    <w:rsid w:val="00535AB3"/>
    <w:rsid w:val="00604458"/>
    <w:rsid w:val="00676A3A"/>
    <w:rsid w:val="006F5654"/>
    <w:rsid w:val="00774E2B"/>
    <w:rsid w:val="007761C1"/>
    <w:rsid w:val="00780957"/>
    <w:rsid w:val="00791E5D"/>
    <w:rsid w:val="007B51FF"/>
    <w:rsid w:val="0086653D"/>
    <w:rsid w:val="00894AFC"/>
    <w:rsid w:val="008B038C"/>
    <w:rsid w:val="008C37BA"/>
    <w:rsid w:val="00965E8C"/>
    <w:rsid w:val="00997284"/>
    <w:rsid w:val="009C13A9"/>
    <w:rsid w:val="009C3DA4"/>
    <w:rsid w:val="009C776D"/>
    <w:rsid w:val="00A234DB"/>
    <w:rsid w:val="00A43926"/>
    <w:rsid w:val="00A756B5"/>
    <w:rsid w:val="00A86260"/>
    <w:rsid w:val="00A86803"/>
    <w:rsid w:val="00AA1A6A"/>
    <w:rsid w:val="00AA32E5"/>
    <w:rsid w:val="00AC2334"/>
    <w:rsid w:val="00AD7E52"/>
    <w:rsid w:val="00AF65DE"/>
    <w:rsid w:val="00B32B18"/>
    <w:rsid w:val="00C304C4"/>
    <w:rsid w:val="00C31D40"/>
    <w:rsid w:val="00C37366"/>
    <w:rsid w:val="00C40DD3"/>
    <w:rsid w:val="00C56509"/>
    <w:rsid w:val="00CA3EB6"/>
    <w:rsid w:val="00CA79CA"/>
    <w:rsid w:val="00CB474F"/>
    <w:rsid w:val="00CE4C45"/>
    <w:rsid w:val="00D02FF4"/>
    <w:rsid w:val="00D36B88"/>
    <w:rsid w:val="00D54A11"/>
    <w:rsid w:val="00E1384F"/>
    <w:rsid w:val="00E561A8"/>
    <w:rsid w:val="00E7014E"/>
    <w:rsid w:val="00EA24F0"/>
    <w:rsid w:val="00EC13D0"/>
    <w:rsid w:val="00F05E64"/>
    <w:rsid w:val="00F86C87"/>
    <w:rsid w:val="00F9094A"/>
    <w:rsid w:val="00FD5AAB"/>
    <w:rsid w:val="00FD6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2CEFB"/>
  <w15:chartTrackingRefBased/>
  <w15:docId w15:val="{1A97F48D-A46A-426B-A0D4-8311A8D90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9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9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9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9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9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9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9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9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9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9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9F2"/>
    <w:rPr>
      <w:rFonts w:eastAsiaTheme="majorEastAsia" w:cstheme="majorBidi"/>
      <w:color w:val="272727" w:themeColor="text1" w:themeTint="D8"/>
    </w:rPr>
  </w:style>
  <w:style w:type="paragraph" w:styleId="Title">
    <w:name w:val="Title"/>
    <w:basedOn w:val="Normal"/>
    <w:next w:val="Normal"/>
    <w:link w:val="TitleChar"/>
    <w:uiPriority w:val="10"/>
    <w:qFormat/>
    <w:rsid w:val="002E7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9F2"/>
    <w:pPr>
      <w:spacing w:before="160"/>
      <w:jc w:val="center"/>
    </w:pPr>
    <w:rPr>
      <w:i/>
      <w:iCs/>
      <w:color w:val="404040" w:themeColor="text1" w:themeTint="BF"/>
    </w:rPr>
  </w:style>
  <w:style w:type="character" w:customStyle="1" w:styleId="QuoteChar">
    <w:name w:val="Quote Char"/>
    <w:basedOn w:val="DefaultParagraphFont"/>
    <w:link w:val="Quote"/>
    <w:uiPriority w:val="29"/>
    <w:rsid w:val="002E79F2"/>
    <w:rPr>
      <w:i/>
      <w:iCs/>
      <w:color w:val="404040" w:themeColor="text1" w:themeTint="BF"/>
    </w:rPr>
  </w:style>
  <w:style w:type="paragraph" w:styleId="ListParagraph">
    <w:name w:val="List Paragraph"/>
    <w:basedOn w:val="Normal"/>
    <w:uiPriority w:val="34"/>
    <w:qFormat/>
    <w:rsid w:val="002E79F2"/>
    <w:pPr>
      <w:ind w:left="720"/>
      <w:contextualSpacing/>
    </w:pPr>
  </w:style>
  <w:style w:type="character" w:styleId="IntenseEmphasis">
    <w:name w:val="Intense Emphasis"/>
    <w:basedOn w:val="DefaultParagraphFont"/>
    <w:uiPriority w:val="21"/>
    <w:qFormat/>
    <w:rsid w:val="002E79F2"/>
    <w:rPr>
      <w:i/>
      <w:iCs/>
      <w:color w:val="0F4761" w:themeColor="accent1" w:themeShade="BF"/>
    </w:rPr>
  </w:style>
  <w:style w:type="paragraph" w:styleId="IntenseQuote">
    <w:name w:val="Intense Quote"/>
    <w:basedOn w:val="Normal"/>
    <w:next w:val="Normal"/>
    <w:link w:val="IntenseQuoteChar"/>
    <w:uiPriority w:val="30"/>
    <w:qFormat/>
    <w:rsid w:val="002E79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9F2"/>
    <w:rPr>
      <w:i/>
      <w:iCs/>
      <w:color w:val="0F4761" w:themeColor="accent1" w:themeShade="BF"/>
    </w:rPr>
  </w:style>
  <w:style w:type="character" w:styleId="IntenseReference">
    <w:name w:val="Intense Reference"/>
    <w:basedOn w:val="DefaultParagraphFont"/>
    <w:uiPriority w:val="32"/>
    <w:qFormat/>
    <w:rsid w:val="002E79F2"/>
    <w:rPr>
      <w:b/>
      <w:bCs/>
      <w:smallCaps/>
      <w:color w:val="0F4761" w:themeColor="accent1" w:themeShade="BF"/>
      <w:spacing w:val="5"/>
    </w:rPr>
  </w:style>
  <w:style w:type="character" w:styleId="Hyperlink">
    <w:name w:val="Hyperlink"/>
    <w:basedOn w:val="DefaultParagraphFont"/>
    <w:uiPriority w:val="99"/>
    <w:unhideWhenUsed/>
    <w:rsid w:val="00C304C4"/>
    <w:rPr>
      <w:color w:val="467886" w:themeColor="hyperlink"/>
      <w:u w:val="single"/>
    </w:rPr>
  </w:style>
  <w:style w:type="character" w:styleId="UnresolvedMention">
    <w:name w:val="Unresolved Mention"/>
    <w:basedOn w:val="DefaultParagraphFont"/>
    <w:uiPriority w:val="99"/>
    <w:semiHidden/>
    <w:unhideWhenUsed/>
    <w:rsid w:val="00C304C4"/>
    <w:rPr>
      <w:color w:val="605E5C"/>
      <w:shd w:val="clear" w:color="auto" w:fill="E1DFDD"/>
    </w:rPr>
  </w:style>
  <w:style w:type="paragraph" w:styleId="Header">
    <w:name w:val="header"/>
    <w:basedOn w:val="Normal"/>
    <w:link w:val="HeaderChar"/>
    <w:uiPriority w:val="99"/>
    <w:unhideWhenUsed/>
    <w:rsid w:val="00AA3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2E5"/>
  </w:style>
  <w:style w:type="paragraph" w:styleId="Footer">
    <w:name w:val="footer"/>
    <w:basedOn w:val="Normal"/>
    <w:link w:val="FooterChar"/>
    <w:uiPriority w:val="99"/>
    <w:unhideWhenUsed/>
    <w:rsid w:val="00AA3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mc.ncbi.nlm.nih.gov/articles/PMC8170609/?utm_source=copilot.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8</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53</cp:revision>
  <dcterms:created xsi:type="dcterms:W3CDTF">2026-06-08T10:02:00Z</dcterms:created>
  <dcterms:modified xsi:type="dcterms:W3CDTF">2026-06-29T10:13:00Z</dcterms:modified>
</cp:coreProperties>
</file>