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16"/>
        <w:gridCol w:w="3600"/>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D011A75"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E035F3">
              <w:rPr>
                <w:rFonts w:cs="Times New Roman"/>
                <w:b/>
                <w:bCs/>
                <w:color w:val="auto"/>
                <w:sz w:val="22"/>
              </w:rPr>
              <w:t>Luminita Malanciuc</w:t>
            </w:r>
          </w:p>
          <w:p w14:paraId="0225E82F" w14:textId="3F2EE05A"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E035F3">
              <w:rPr>
                <w:rFonts w:cs="Times New Roman"/>
                <w:b/>
                <w:bCs/>
                <w:noProof/>
                <w:sz w:val="22"/>
              </w:rPr>
              <w:t>2211340</w:t>
            </w:r>
          </w:p>
          <w:p w14:paraId="4A1C2E25" w14:textId="77777777" w:rsidR="007A2EBB" w:rsidRPr="00647085" w:rsidRDefault="007A2EBB" w:rsidP="007A2EBB">
            <w:pPr>
              <w:keepNext/>
              <w:spacing w:before="120" w:after="0" w:line="276" w:lineRule="auto"/>
              <w:rPr>
                <w:rFonts w:eastAsia="Times New Roman" w:cs="Times New Roman"/>
                <w:b/>
                <w:bCs/>
                <w:sz w:val="22"/>
                <w:lang w:val="en-AU"/>
              </w:rPr>
            </w:pPr>
            <w:r w:rsidRPr="00647085">
              <w:rPr>
                <w:rFonts w:eastAsia="Times New Roman" w:cs="Times New Roman"/>
                <w:b/>
                <w:bCs/>
                <w:sz w:val="22"/>
                <w:lang w:val="en-AU"/>
              </w:rPr>
              <w:t xml:space="preserve">Module Title: </w:t>
            </w:r>
            <w:r w:rsidRPr="00647085">
              <w:rPr>
                <w:rFonts w:eastAsia="Times New Roman" w:cs="Times New Roman"/>
                <w:b/>
                <w:bCs/>
                <w:sz w:val="22"/>
              </w:rPr>
              <w:t>Foreign Languages &amp; Cultural Awareness</w:t>
            </w:r>
            <w:r w:rsidRPr="00647085">
              <w:rPr>
                <w:rFonts w:eastAsia="Times New Roman" w:cs="Times New Roman"/>
                <w:b/>
                <w:bCs/>
                <w:sz w:val="22"/>
              </w:rPr>
              <w:br/>
              <w:t>Module code: BMIH5003</w:t>
            </w:r>
          </w:p>
          <w:p w14:paraId="36232E2A" w14:textId="5BD46E28" w:rsidR="007A2EBB" w:rsidRPr="009822C4" w:rsidRDefault="007A2EBB" w:rsidP="007A2EBB">
            <w:pPr>
              <w:keepNext/>
              <w:spacing w:before="120" w:after="0" w:line="276" w:lineRule="auto"/>
              <w:rPr>
                <w:rFonts w:eastAsia="Times New Roman" w:cs="Times New Roman"/>
                <w:b/>
                <w:bCs/>
                <w:sz w:val="22"/>
                <w:lang w:val="en-AU"/>
              </w:rPr>
            </w:pPr>
            <w:r w:rsidRPr="009822C4">
              <w:rPr>
                <w:rFonts w:eastAsia="Times New Roman" w:cs="Times New Roman"/>
                <w:b/>
                <w:bCs/>
                <w:sz w:val="22"/>
                <w:lang w:val="en-AU"/>
              </w:rPr>
              <w:t>Lecturer:</w:t>
            </w:r>
            <w:r w:rsidRPr="009822C4">
              <w:rPr>
                <w:rFonts w:cs="Times New Roman"/>
                <w:b/>
                <w:bCs/>
                <w:i/>
                <w:iCs/>
                <w:sz w:val="22"/>
              </w:rPr>
              <w:t xml:space="preserve"> </w:t>
            </w:r>
            <w:r w:rsidR="00E035F3">
              <w:rPr>
                <w:rFonts w:cs="Times New Roman"/>
                <w:b/>
                <w:bCs/>
                <w:i/>
                <w:iCs/>
                <w:sz w:val="22"/>
              </w:rPr>
              <w:t>Lisa Bassler</w:t>
            </w:r>
          </w:p>
          <w:p w14:paraId="0260DAF0" w14:textId="3B09BE7F"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E035F3">
              <w:rPr>
                <w:rFonts w:cs="Times New Roman"/>
                <w:b/>
                <w:bCs/>
                <w:noProof/>
                <w:sz w:val="22"/>
              </w:rPr>
              <w:t>01/03/2024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eastAsia="en-GB"/>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D5C40A2" w14:textId="6345FFD2" w:rsidR="00952A37" w:rsidRPr="00952A37" w:rsidRDefault="00952A37" w:rsidP="00952A37">
            <w:pPr>
              <w:spacing w:line="360" w:lineRule="auto"/>
              <w:jc w:val="both"/>
              <w:rPr>
                <w:rFonts w:cs="Times New Roman"/>
                <w:szCs w:val="24"/>
              </w:rPr>
            </w:pPr>
            <w:r w:rsidRPr="00952A37">
              <w:rPr>
                <w:rFonts w:cs="Times New Roman"/>
                <w:szCs w:val="24"/>
              </w:rPr>
              <w:t xml:space="preserve">A cultural misunderstanding occurred during dinner service at the Premier Inn restaurant in Tonbridge, UK, where I was employed as a waiter. A </w:t>
            </w:r>
            <w:r w:rsidR="000F2BAF">
              <w:rPr>
                <w:rFonts w:cs="Times New Roman"/>
                <w:szCs w:val="24"/>
              </w:rPr>
              <w:t>German</w:t>
            </w:r>
            <w:r w:rsidRPr="00952A37">
              <w:rPr>
                <w:rFonts w:cs="Times New Roman"/>
                <w:szCs w:val="24"/>
              </w:rPr>
              <w:t xml:space="preserve"> couple had already booked a table for supper. I walked up to them as they were sitting down, introduced myself, and asked if they needed any help navigating the menu. But I could see they were a little uneasy when I attempted to strike up a conversation and suggest a few regional delicacies. They were shy about speaking out, but they swiftly nodded to show that they understood the menu.</w:t>
            </w:r>
          </w:p>
          <w:p w14:paraId="67286E8D" w14:textId="73D52D61" w:rsidR="00952A37" w:rsidRPr="00952A37" w:rsidRDefault="00952A37" w:rsidP="00952A37">
            <w:pPr>
              <w:spacing w:line="360" w:lineRule="auto"/>
              <w:jc w:val="both"/>
              <w:rPr>
                <w:rFonts w:cs="Times New Roman"/>
                <w:szCs w:val="24"/>
              </w:rPr>
            </w:pPr>
            <w:r w:rsidRPr="00952A37">
              <w:rPr>
                <w:rFonts w:cs="Times New Roman"/>
                <w:szCs w:val="24"/>
              </w:rPr>
              <w:t xml:space="preserve">This incident demonstrated how simple it is for cultural misconceptions to arise, particularly in a multicultural environment such as a hotel restaurant. Here, I learned that visitors from other cultures may have interpreted my actions differently, even if they would have been quite appropriate in Western society (Xi et al., 2022). Maybe the </w:t>
            </w:r>
            <w:r w:rsidR="000F2BAF">
              <w:rPr>
                <w:rFonts w:cs="Times New Roman"/>
                <w:szCs w:val="24"/>
              </w:rPr>
              <w:t>German</w:t>
            </w:r>
            <w:r w:rsidRPr="00952A37">
              <w:rPr>
                <w:rFonts w:cs="Times New Roman"/>
                <w:szCs w:val="24"/>
              </w:rPr>
              <w:t xml:space="preserve"> visitors would have appreciated a more understated and reserved approach to talking if I had tried to strike up a discussion and provide suggestions.</w:t>
            </w:r>
          </w:p>
          <w:p w14:paraId="1526000D" w14:textId="77777777" w:rsidR="00952A37" w:rsidRPr="00952A37" w:rsidRDefault="00952A37" w:rsidP="00952A37">
            <w:pPr>
              <w:spacing w:line="360" w:lineRule="auto"/>
              <w:jc w:val="both"/>
              <w:rPr>
                <w:rFonts w:cs="Times New Roman"/>
                <w:szCs w:val="24"/>
              </w:rPr>
            </w:pPr>
            <w:r w:rsidRPr="00952A37">
              <w:rPr>
                <w:rFonts w:cs="Times New Roman"/>
                <w:szCs w:val="24"/>
              </w:rPr>
              <w:t xml:space="preserve">I need to learn more about culture differences and adjust my communication style appropriately to avoid future cultural misunderstandings. According to Alemán Carreón et al. (2021), this involves paying more attention to non-verbal clues and honoring the cultural traditions of other visitors. I should be more perceptive and attentive to my visitors' signals, </w:t>
            </w:r>
            <w:r w:rsidRPr="00952A37">
              <w:rPr>
                <w:rFonts w:cs="Times New Roman"/>
                <w:szCs w:val="24"/>
              </w:rPr>
              <w:lastRenderedPageBreak/>
              <w:t>rather than supposing that they all want an extroverted and welcoming attitude. This way, I can let them decide how much engagement they are comfortable with.</w:t>
            </w:r>
          </w:p>
          <w:p w14:paraId="6DDCAA9E" w14:textId="77777777" w:rsidR="00952A37" w:rsidRPr="00952A37" w:rsidRDefault="00952A37" w:rsidP="00952A37">
            <w:pPr>
              <w:spacing w:line="360" w:lineRule="auto"/>
              <w:jc w:val="both"/>
              <w:rPr>
                <w:rFonts w:cs="Times New Roman"/>
                <w:szCs w:val="24"/>
              </w:rPr>
            </w:pPr>
          </w:p>
          <w:p w14:paraId="458A5C92" w14:textId="77777777" w:rsidR="00952A37" w:rsidRPr="00952A37" w:rsidRDefault="00952A37" w:rsidP="00952A37">
            <w:pPr>
              <w:spacing w:line="360" w:lineRule="auto"/>
              <w:jc w:val="both"/>
              <w:rPr>
                <w:rFonts w:cs="Times New Roman"/>
                <w:szCs w:val="24"/>
              </w:rPr>
            </w:pPr>
            <w:r w:rsidRPr="00952A37">
              <w:rPr>
                <w:rFonts w:cs="Times New Roman"/>
                <w:szCs w:val="24"/>
              </w:rPr>
              <w:t>In addition, I really should educate myself more on the many international cuisines and eating traditions. To better serve my multicultural clientele, I've been doing some research on cultural norms and preferences so that I can make more educated suggestions and tailor my service accordingly. Arici, Cakmakoglu Arıcı, and Altinay (2023) state that in order to consistently enhance my cultural competency, it may be necessary for me to engage in continuous training and education, and to actively seek feedback from both colleagues and visitors.</w:t>
            </w:r>
          </w:p>
          <w:p w14:paraId="5E91F40E" w14:textId="66B383C1" w:rsidR="00D55341" w:rsidRPr="002E26DD" w:rsidRDefault="00952A37" w:rsidP="00571BF5">
            <w:pPr>
              <w:spacing w:line="360" w:lineRule="auto"/>
              <w:jc w:val="both"/>
              <w:rPr>
                <w:rFonts w:cs="Times New Roman"/>
                <w:szCs w:val="24"/>
              </w:rPr>
            </w:pPr>
            <w:r w:rsidRPr="00952A37">
              <w:rPr>
                <w:rFonts w:cs="Times New Roman"/>
                <w:szCs w:val="24"/>
              </w:rPr>
              <w:t>The significance of cultural sensitivity and adaptation in the hospitality sector has been brought to light by this experience, to put it succinctly. Every guest's experience at Premier Inn will be better if I take the time to learn about and accommodate their cultural background. Going ahead, I will make it a priority to enhance my communication abilities and broaden my cultural understanding so that I can better cater to our varied clients</w:t>
            </w:r>
            <w:r w:rsidR="00D55341" w:rsidRPr="002E26DD">
              <w:rPr>
                <w:rFonts w:cs="Times New Roman"/>
                <w:szCs w:val="24"/>
              </w:rPr>
              <w:t>.</w:t>
            </w:r>
          </w:p>
          <w:p w14:paraId="036CC918" w14:textId="586AA2D3" w:rsidR="00085A4E" w:rsidRPr="002E26DD" w:rsidRDefault="003164B2" w:rsidP="00737978">
            <w:pPr>
              <w:spacing w:line="360" w:lineRule="auto"/>
              <w:jc w:val="both"/>
              <w:rPr>
                <w:rFonts w:cs="Times New Roman"/>
                <w:b/>
                <w:bCs/>
                <w:szCs w:val="24"/>
              </w:rPr>
            </w:pPr>
            <w:r w:rsidRPr="002E26DD">
              <w:rPr>
                <w:rFonts w:cs="Times New Roman"/>
                <w:b/>
                <w:bCs/>
                <w:szCs w:val="24"/>
              </w:rPr>
              <w:t>References:</w:t>
            </w:r>
          </w:p>
          <w:p w14:paraId="5B1A77AC" w14:textId="77777777" w:rsidR="00503681" w:rsidRPr="00503681" w:rsidRDefault="00503681" w:rsidP="00503681">
            <w:pPr>
              <w:spacing w:line="360" w:lineRule="auto"/>
              <w:ind w:left="720" w:hanging="720"/>
              <w:jc w:val="both"/>
              <w:rPr>
                <w:rFonts w:cs="Times New Roman"/>
                <w:szCs w:val="24"/>
              </w:rPr>
            </w:pPr>
            <w:r w:rsidRPr="00503681">
              <w:rPr>
                <w:rFonts w:cs="Times New Roman"/>
                <w:szCs w:val="24"/>
              </w:rPr>
              <w:t>Alemán Carreón, E. C., Mendoza España, H. A., Nonaka, H., &amp; Hiraoka, T. (2021). Differences in Chinese and Western tourists faced with Japanese hospitality: A natural language processing approach. Information Technology &amp; Tourism, 23(3), 381–438. https://doi.org/10.1007/s40558-021-00203-8</w:t>
            </w:r>
          </w:p>
          <w:p w14:paraId="216DE19F" w14:textId="77777777" w:rsidR="00503681" w:rsidRPr="00503681" w:rsidRDefault="00503681" w:rsidP="00503681">
            <w:pPr>
              <w:spacing w:line="360" w:lineRule="auto"/>
              <w:ind w:left="720" w:hanging="720"/>
              <w:jc w:val="both"/>
              <w:rPr>
                <w:rFonts w:cs="Times New Roman"/>
                <w:szCs w:val="24"/>
              </w:rPr>
            </w:pPr>
            <w:r w:rsidRPr="00503681">
              <w:rPr>
                <w:rFonts w:cs="Times New Roman"/>
                <w:szCs w:val="24"/>
              </w:rPr>
              <w:t>Arici, H. E., Cakmakoglu Arıcı, N., &amp; Altinay, L. (2023). The use of big data analytics to discover customers’ perceptions of and satisfaction with green hotel service quality. Current Issues in Tourism, 26(2), 270–288. https://doi.org/10.1080/13683500.2022.2029832</w:t>
            </w:r>
          </w:p>
          <w:p w14:paraId="44A016D5" w14:textId="4C385BF7" w:rsidR="000B1E2E" w:rsidRPr="000B1E2E" w:rsidRDefault="00503681" w:rsidP="004F6184">
            <w:pPr>
              <w:spacing w:line="360" w:lineRule="auto"/>
              <w:ind w:left="720" w:hanging="720"/>
              <w:jc w:val="both"/>
              <w:rPr>
                <w:rFonts w:cs="Times New Roman"/>
                <w:szCs w:val="24"/>
              </w:rPr>
            </w:pPr>
            <w:r w:rsidRPr="00503681">
              <w:rPr>
                <w:rFonts w:cs="Times New Roman"/>
                <w:szCs w:val="24"/>
              </w:rPr>
              <w:t>Xi, Y., Ma, C., Yang, Q., &amp; Jiang, Y. (2022). A Cross-cultural Analysis of Tourists’ Perceptions of Airbnb Attributes. International Journal of Hospitality &amp; Tourism Administration, 23(4), 754–787. https://doi.org/10.1080/15256480.2020.1862014</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Pr="002E26DD" w:rsidRDefault="00723301" w:rsidP="00B70DE8">
            <w:pPr>
              <w:spacing w:line="360" w:lineRule="auto"/>
              <w:jc w:val="both"/>
              <w:rPr>
                <w:rFonts w:cs="Times New Roman"/>
                <w:b/>
                <w:bCs/>
                <w:szCs w:val="24"/>
              </w:rPr>
            </w:pPr>
            <w:r w:rsidRPr="002E26DD">
              <w:rPr>
                <w:rFonts w:cs="Times New Roman"/>
                <w:b/>
                <w:bCs/>
                <w:szCs w:val="24"/>
              </w:rPr>
              <w:t>Identified</w:t>
            </w:r>
            <w:r w:rsidR="00B3346C" w:rsidRPr="002E26DD">
              <w:rPr>
                <w:rFonts w:cs="Times New Roman"/>
                <w:b/>
                <w:bCs/>
                <w:szCs w:val="24"/>
              </w:rPr>
              <w:t xml:space="preserve"> cultural misunderstanding</w:t>
            </w:r>
            <w:r w:rsidRPr="002E26DD">
              <w:rPr>
                <w:rFonts w:cs="Times New Roman"/>
                <w:b/>
                <w:bCs/>
                <w:szCs w:val="24"/>
              </w:rPr>
              <w:t xml:space="preserve"> (in a few words)</w:t>
            </w:r>
            <w:r w:rsidR="00B3346C" w:rsidRPr="002E26DD">
              <w:rPr>
                <w:rFonts w:cs="Times New Roman"/>
                <w:b/>
                <w:bCs/>
                <w:szCs w:val="24"/>
              </w:rPr>
              <w:t xml:space="preserve"> :</w:t>
            </w:r>
          </w:p>
          <w:p w14:paraId="36C029D2" w14:textId="6385CA86" w:rsidR="00A135A5" w:rsidRPr="002E26DD" w:rsidRDefault="00DA6BF8" w:rsidP="00B70DE8">
            <w:pPr>
              <w:spacing w:line="360" w:lineRule="auto"/>
              <w:jc w:val="both"/>
              <w:rPr>
                <w:rFonts w:cs="Times New Roman"/>
                <w:szCs w:val="24"/>
              </w:rPr>
            </w:pPr>
            <w:r w:rsidRPr="00DA6BF8">
              <w:rPr>
                <w:rFonts w:cs="Times New Roman"/>
                <w:szCs w:val="24"/>
              </w:rPr>
              <w:t>Inappropriate communication style with guests from diverse cultural backgrounds</w:t>
            </w:r>
            <w:r w:rsidR="002E26DD" w:rsidRPr="002E26DD">
              <w:rPr>
                <w:rFonts w:cs="Times New Roman"/>
                <w:szCs w:val="24"/>
              </w:rPr>
              <w:t>.</w:t>
            </w:r>
          </w:p>
          <w:p w14:paraId="1F51BD1E" w14:textId="357B2AB3" w:rsidR="00723301" w:rsidRPr="002E26DD" w:rsidRDefault="00723301" w:rsidP="00B70DE8">
            <w:pPr>
              <w:spacing w:line="360" w:lineRule="auto"/>
              <w:jc w:val="both"/>
              <w:rPr>
                <w:rFonts w:cs="Times New Roman"/>
                <w:b/>
                <w:bCs/>
                <w:szCs w:val="24"/>
              </w:rPr>
            </w:pPr>
            <w:r w:rsidRPr="002E26DD">
              <w:rPr>
                <w:rFonts w:cs="Times New Roman"/>
                <w:b/>
                <w:bCs/>
                <w:szCs w:val="24"/>
              </w:rPr>
              <w:t>Training plan (Why/What</w:t>
            </w:r>
            <w:r w:rsidR="00A135A5" w:rsidRPr="002E26DD">
              <w:rPr>
                <w:rFonts w:cs="Times New Roman"/>
                <w:b/>
                <w:bCs/>
                <w:szCs w:val="24"/>
              </w:rPr>
              <w:t>/</w:t>
            </w:r>
            <w:r w:rsidRPr="002E26DD">
              <w:rPr>
                <w:rFonts w:cs="Times New Roman"/>
                <w:b/>
                <w:bCs/>
                <w:szCs w:val="24"/>
              </w:rPr>
              <w:t>/Who/Where/When):</w:t>
            </w:r>
          </w:p>
          <w:p w14:paraId="4BF3A19F" w14:textId="77777777" w:rsidR="00165E7C" w:rsidRPr="00165E7C" w:rsidRDefault="00165E7C" w:rsidP="00165E7C">
            <w:pPr>
              <w:spacing w:line="360" w:lineRule="auto"/>
              <w:jc w:val="both"/>
              <w:rPr>
                <w:rFonts w:cs="Times New Roman"/>
                <w:szCs w:val="24"/>
              </w:rPr>
            </w:pPr>
            <w:r w:rsidRPr="00165E7C">
              <w:rPr>
                <w:rFonts w:cs="Times New Roman"/>
                <w:szCs w:val="24"/>
              </w:rPr>
              <w:t>I am suggesting a thorough training plan for all of the staff at Premier Inn in Tonbridge, which is located in the United Kingdom, in order to solve the cultural misunderstanding that was detected in my reflection. The objective is to make certain that every member of the team, particularly those who are in customer-facing roles like myself, is equipped with the information and abilities necessary to effectively negotiate cultural differences and to prevent future misunderstandings that are comparable to those that have occurred in the past (Jhaiyanuntana &amp; Nomnian, 2020). This programme will largely concentrate on strengthening cultural sensitivity, improving communication skills, and extending our awareness of diverse cultures and eating habits from across the world. Through the cultivation of empathy, respect, and open-mindedness among our team, we hope to create an environment that is more inviting and inclusive for visitors who come from a variety of backgrounds.</w:t>
            </w:r>
          </w:p>
          <w:p w14:paraId="5C8C3A8F" w14:textId="77777777" w:rsidR="00165E7C" w:rsidRPr="00165E7C" w:rsidRDefault="00165E7C" w:rsidP="00165E7C">
            <w:pPr>
              <w:spacing w:line="360" w:lineRule="auto"/>
              <w:jc w:val="both"/>
              <w:rPr>
                <w:rFonts w:cs="Times New Roman"/>
                <w:szCs w:val="24"/>
              </w:rPr>
            </w:pPr>
            <w:r w:rsidRPr="00165E7C">
              <w:rPr>
                <w:rFonts w:cs="Times New Roman"/>
                <w:szCs w:val="24"/>
              </w:rPr>
              <w:t>The training sessions will be hosted at Premier Inn, making use of our available facilities, which include conference rooms and spaces specifically allocated for training (Yang et al., 2022). The events will be dynamic and interesting, including of workshops, role-playing exercises, case studies, and lectures given by cultural experts or colleagues with extensive experience. Through the use of this strategy, we will be able to actively engage in the process of our learning and apply practical strategies to problems that are based in real life.</w:t>
            </w:r>
          </w:p>
          <w:p w14:paraId="06D1CC81" w14:textId="414834CD" w:rsidR="00165E7C" w:rsidRPr="00165E7C" w:rsidRDefault="00165E7C" w:rsidP="00165E7C">
            <w:pPr>
              <w:spacing w:line="360" w:lineRule="auto"/>
              <w:jc w:val="both"/>
              <w:rPr>
                <w:rFonts w:cs="Times New Roman"/>
                <w:szCs w:val="24"/>
              </w:rPr>
            </w:pPr>
            <w:r w:rsidRPr="00165E7C">
              <w:rPr>
                <w:rFonts w:cs="Times New Roman"/>
                <w:szCs w:val="24"/>
              </w:rPr>
              <w:t xml:space="preserve">I intend to implement the training programme on a consistent basis, with sessions planned on a quarterly basis or as required to accommodate newly hired personnel and to refresh the abilities of those who are already employed. We will collaborate as a group to ensure that everyone receives training that is both consistent and thorough (Basalamah et al., 2021). This will be accomplished by working together to lead and supervise these sessions. To further </w:t>
            </w:r>
            <w:r w:rsidRPr="00165E7C">
              <w:rPr>
                <w:rFonts w:cs="Times New Roman"/>
                <w:szCs w:val="24"/>
              </w:rPr>
              <w:lastRenderedPageBreak/>
              <w:t>expand our awareness of cultural diversity, I intend to establish a collaborative learning environment in which members of the team may share their experiences and thoughts with one another.</w:t>
            </w:r>
          </w:p>
          <w:p w14:paraId="399F1BCC" w14:textId="77777777" w:rsidR="00165E7C" w:rsidRPr="00165E7C" w:rsidRDefault="00165E7C" w:rsidP="00165E7C">
            <w:pPr>
              <w:spacing w:line="360" w:lineRule="auto"/>
              <w:jc w:val="both"/>
              <w:rPr>
                <w:rFonts w:cs="Times New Roman"/>
                <w:szCs w:val="24"/>
              </w:rPr>
            </w:pPr>
            <w:r w:rsidRPr="00165E7C">
              <w:rPr>
                <w:rFonts w:cs="Times New Roman"/>
                <w:szCs w:val="24"/>
              </w:rPr>
              <w:t>In addition, I will make resources such as cultural sensitivity guides, reference materials, and online courses accessible to all of the staff so that they may engage in self-study and ongoing education. By equipping ourselves with these materials, we will be able to further improve our cultural competency and flexibility over time, which will eventually result in improved service for our customers.</w:t>
            </w:r>
          </w:p>
          <w:p w14:paraId="326567D7" w14:textId="62AA7B47" w:rsidR="00D55341" w:rsidRPr="002E26DD" w:rsidRDefault="00165E7C" w:rsidP="00B70DE8">
            <w:pPr>
              <w:spacing w:line="360" w:lineRule="auto"/>
              <w:jc w:val="both"/>
              <w:rPr>
                <w:rFonts w:cs="Times New Roman"/>
                <w:szCs w:val="24"/>
              </w:rPr>
            </w:pPr>
            <w:r w:rsidRPr="00165E7C">
              <w:rPr>
                <w:rFonts w:cs="Times New Roman"/>
                <w:szCs w:val="24"/>
              </w:rPr>
              <w:t>Through the execution of this training plan, my objective is to cultivate an atmosphere in which all visitors, regardless of their cultural background, are made to feel cherished and respected. By providing ourselves with the information and abilities necessary to effectively negotiate cultural differences, we can reduce the likelihood of misunderstandings and improve the overall experience that our guests have throughout their stay. At Premier Inn, I am dedicated to fostering an environment that is welcoming to all and provides exceptional service to customers, and I am confident that this training plan will be an essential component in getting us closer to our objective</w:t>
            </w:r>
            <w:r w:rsidR="00D55341" w:rsidRPr="002E26DD">
              <w:rPr>
                <w:rFonts w:cs="Times New Roman"/>
                <w:szCs w:val="24"/>
              </w:rPr>
              <w:t>.</w:t>
            </w:r>
          </w:p>
          <w:p w14:paraId="262BDF63" w14:textId="1BC8DC1A" w:rsidR="005C77A4" w:rsidRPr="002E26DD" w:rsidRDefault="005C77A4" w:rsidP="00B70DE8">
            <w:pPr>
              <w:spacing w:line="360" w:lineRule="auto"/>
              <w:jc w:val="both"/>
              <w:rPr>
                <w:rFonts w:cs="Times New Roman"/>
                <w:b/>
                <w:bCs/>
                <w:szCs w:val="24"/>
              </w:rPr>
            </w:pPr>
            <w:r w:rsidRPr="002E26DD">
              <w:rPr>
                <w:rFonts w:cs="Times New Roman"/>
                <w:b/>
                <w:bCs/>
                <w:szCs w:val="24"/>
              </w:rPr>
              <w:t>References:</w:t>
            </w:r>
          </w:p>
          <w:p w14:paraId="4B931B6F" w14:textId="77777777" w:rsidR="00137DE2" w:rsidRPr="006E00E6" w:rsidRDefault="00137DE2" w:rsidP="00137DE2">
            <w:pPr>
              <w:spacing w:line="360" w:lineRule="auto"/>
              <w:ind w:left="720" w:hanging="720"/>
              <w:jc w:val="both"/>
              <w:rPr>
                <w:rFonts w:cs="Times New Roman"/>
                <w:szCs w:val="24"/>
              </w:rPr>
            </w:pPr>
            <w:r w:rsidRPr="006E00E6">
              <w:rPr>
                <w:rFonts w:cs="Times New Roman"/>
                <w:szCs w:val="24"/>
              </w:rPr>
              <w:t>Basalamah, A., Ardani, E. G., &amp; Fransisca, A. (2021). Communication Challenges for Foreign Workers within Multicultural Hospitality Working Environment: Case Front Office of Hotel X in Japan. International Journal of Social Science and Business, 5(1), Article 1. https://doi.org/10.23887/ijssb.v5i1.32295</w:t>
            </w:r>
          </w:p>
          <w:p w14:paraId="65905175" w14:textId="77777777" w:rsidR="00137DE2" w:rsidRPr="006E00E6" w:rsidRDefault="00137DE2" w:rsidP="00137DE2">
            <w:pPr>
              <w:spacing w:line="360" w:lineRule="auto"/>
              <w:ind w:left="720" w:hanging="720"/>
              <w:jc w:val="both"/>
              <w:rPr>
                <w:rFonts w:cs="Times New Roman"/>
                <w:szCs w:val="24"/>
              </w:rPr>
            </w:pPr>
            <w:r w:rsidRPr="006E00E6">
              <w:rPr>
                <w:rFonts w:cs="Times New Roman"/>
                <w:szCs w:val="24"/>
              </w:rPr>
              <w:t>Jhaiyanuntana, A., &amp; Nomnian, S. (2020). Intercultural Communication Challenges and Strategies for the Thai Undergraduate Hotel Interns. PASAA: Journal of Language Teaching and Learning in Thailand, 59, 204–235.</w:t>
            </w:r>
          </w:p>
          <w:p w14:paraId="6C91D110" w14:textId="77777777" w:rsidR="00137DE2" w:rsidRPr="006E00E6" w:rsidRDefault="00137DE2" w:rsidP="00137DE2">
            <w:pPr>
              <w:spacing w:line="360" w:lineRule="auto"/>
              <w:ind w:left="720" w:hanging="720"/>
              <w:jc w:val="both"/>
              <w:rPr>
                <w:rFonts w:cs="Times New Roman"/>
                <w:szCs w:val="24"/>
              </w:rPr>
            </w:pPr>
            <w:r w:rsidRPr="006E00E6">
              <w:rPr>
                <w:rFonts w:cs="Times New Roman"/>
                <w:szCs w:val="24"/>
              </w:rPr>
              <w:t>Yang, H., Cheung, C., &amp; Li, W. (2022). Intercultural Communication Competency Practices in the Hotel Industry. Journal of China Tourism Research, 18(1), 162–184. https://doi.org/10.1080/19388160.2020.1807432</w:t>
            </w:r>
          </w:p>
          <w:p w14:paraId="193DBD3D" w14:textId="1404F03E" w:rsidR="005C77A4" w:rsidRPr="002E26DD" w:rsidRDefault="005C77A4" w:rsidP="00B70DE8">
            <w:pPr>
              <w:spacing w:line="360" w:lineRule="auto"/>
              <w:ind w:left="720" w:hanging="720"/>
              <w:jc w:val="both"/>
              <w:rPr>
                <w:rFonts w:cs="Times New Roman"/>
                <w:b/>
                <w:bCs/>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E14D5E3" w14:textId="77777777" w:rsidR="003C3704" w:rsidRPr="003C3704" w:rsidRDefault="003C3704" w:rsidP="003C3704">
            <w:pPr>
              <w:spacing w:line="360" w:lineRule="auto"/>
              <w:jc w:val="both"/>
              <w:rPr>
                <w:rFonts w:cs="Times New Roman"/>
                <w:szCs w:val="24"/>
              </w:rPr>
            </w:pPr>
            <w:r w:rsidRPr="003C3704">
              <w:rPr>
                <w:rFonts w:cs="Times New Roman"/>
                <w:szCs w:val="24"/>
              </w:rPr>
              <w:t>Through reflective techniques and a dedication to lifelong learning, I have embarked on a transformational journey of self-development, coming to appreciate the significance of cultural knowledge in the hospitality sector. I used to think cultural awareness only meant being sensitive to the needs of guests from diverse origins so that we could all have a pleasant experience. Cultural sensitivity, meanwhile, is crucial to providing outstanding customer service and encouraging diversity in the hospitality sector, as I came to realise with time (Tesseur, 2022).</w:t>
            </w:r>
          </w:p>
          <w:p w14:paraId="005E6380" w14:textId="2017A550" w:rsidR="003C3704" w:rsidRPr="003C3704" w:rsidRDefault="003C3704" w:rsidP="003C3704">
            <w:pPr>
              <w:spacing w:line="360" w:lineRule="auto"/>
              <w:jc w:val="both"/>
              <w:rPr>
                <w:rFonts w:cs="Times New Roman"/>
                <w:szCs w:val="24"/>
              </w:rPr>
            </w:pPr>
            <w:r w:rsidRPr="003C3704">
              <w:rPr>
                <w:rFonts w:cs="Times New Roman"/>
                <w:szCs w:val="24"/>
              </w:rPr>
              <w:t xml:space="preserve">I learned the importance of cultural awareness and had my preconceptions tested as my experience working in varied contexts progressed. In one unforgettable incident, I was chatting with </w:t>
            </w:r>
            <w:r w:rsidR="000F2BAF">
              <w:rPr>
                <w:rFonts w:cs="Times New Roman"/>
                <w:szCs w:val="24"/>
              </w:rPr>
              <w:t>German</w:t>
            </w:r>
            <w:r w:rsidRPr="003C3704">
              <w:rPr>
                <w:rFonts w:cs="Times New Roman"/>
                <w:szCs w:val="24"/>
              </w:rPr>
              <w:t xml:space="preserve"> visitors at the Premier Inn in Tonbridge, UK, during a hectic dinner service, and I made a complete cultural blunder. I wanted to give them great service, but I understood that my manner may have been offensive or intrusive to them because of their culture (Tesseur, 2022). In order to provide each client with thoughtful, individualised service, I thought a lot about how important it is to be aware of and sensitive to cultural variations.</w:t>
            </w:r>
          </w:p>
          <w:p w14:paraId="401BC6B2" w14:textId="77777777" w:rsidR="003C3704" w:rsidRPr="003C3704" w:rsidRDefault="003C3704" w:rsidP="003C3704">
            <w:pPr>
              <w:spacing w:line="360" w:lineRule="auto"/>
              <w:jc w:val="both"/>
              <w:rPr>
                <w:rFonts w:cs="Times New Roman"/>
                <w:szCs w:val="24"/>
              </w:rPr>
            </w:pPr>
            <w:r w:rsidRPr="003C3704">
              <w:rPr>
                <w:rFonts w:cs="Times New Roman"/>
                <w:szCs w:val="24"/>
              </w:rPr>
              <w:t>The complex nature of cultural awareness in the hotel sector became clear to me after some introspection and discussion with superiors and peers (Manoharan et al., 2021). I realised that being culturally conscious is more than just making nice small talk or not using stereotypes; it's about cultivating an authentic interest in and understanding of other cultures, making an effort to comprehend the viewpoints, tastes, and beliefs of your visitors. By changing my outlook, I was able to deal with visitors with an attitude of humility and openness, which in turn helped me to understand their cultural norms and tailor my service appropriately.</w:t>
            </w:r>
          </w:p>
          <w:p w14:paraId="04A2600E" w14:textId="77777777" w:rsidR="003C3704" w:rsidRPr="003C3704" w:rsidRDefault="003C3704" w:rsidP="003C3704">
            <w:pPr>
              <w:spacing w:line="360" w:lineRule="auto"/>
              <w:jc w:val="both"/>
              <w:rPr>
                <w:rFonts w:cs="Times New Roman"/>
                <w:szCs w:val="24"/>
              </w:rPr>
            </w:pPr>
          </w:p>
          <w:p w14:paraId="644B9C3A" w14:textId="77777777" w:rsidR="003C3704" w:rsidRPr="003C3704" w:rsidRDefault="003C3704" w:rsidP="003C3704">
            <w:pPr>
              <w:spacing w:line="360" w:lineRule="auto"/>
              <w:jc w:val="both"/>
              <w:rPr>
                <w:rFonts w:cs="Times New Roman"/>
                <w:szCs w:val="24"/>
              </w:rPr>
            </w:pPr>
            <w:r w:rsidRPr="003C3704">
              <w:rPr>
                <w:rFonts w:cs="Times New Roman"/>
                <w:szCs w:val="24"/>
              </w:rPr>
              <w:t xml:space="preserve">Further, studies in the fields of cross-cultural communication and hospitality management have shed light on how crucial cultural understanding is for increasing happy and loyal customers. For example, Mariani et al. (2020) highlighted how cultural factors like individualism-collectivism and power distance influence decision-making and </w:t>
            </w:r>
            <w:r w:rsidRPr="003C3704">
              <w:rPr>
                <w:rFonts w:cs="Times New Roman"/>
                <w:szCs w:val="24"/>
              </w:rPr>
              <w:lastRenderedPageBreak/>
              <w:t>communication methods across cultures. These realisations helped me become more aware to the subtle ways in which clients' cultural backgrounds impact their expectations and actions, which in turn allowed me to provide them with service that was both individualised and respectful of their cultural norms.</w:t>
            </w:r>
          </w:p>
          <w:p w14:paraId="12B11317" w14:textId="5952794F" w:rsidR="002E26DD" w:rsidRPr="00E3498D" w:rsidRDefault="003C3704" w:rsidP="00F131FA">
            <w:pPr>
              <w:spacing w:line="360" w:lineRule="auto"/>
              <w:jc w:val="both"/>
              <w:rPr>
                <w:rFonts w:cs="Times New Roman"/>
                <w:szCs w:val="24"/>
              </w:rPr>
            </w:pPr>
            <w:r w:rsidRPr="003C3704">
              <w:rPr>
                <w:rFonts w:cs="Times New Roman"/>
                <w:szCs w:val="24"/>
              </w:rPr>
              <w:t>In sum, I have gained valuable insight and experience from my personal development path into the significance of cultural awareness in the hospitality sector. My understanding of cultural diversity and its role in providing outstanding customer service has grown as a result of my participation in practical learning opportunities, introspective thinking, and readings from scholarly works. I intend to continue developing my cultural awareness abilities and working to make the hotel business a more welcoming and accepting place for all people</w:t>
            </w:r>
            <w:r w:rsidR="002E26DD" w:rsidRPr="00E3498D">
              <w:rPr>
                <w:rFonts w:cs="Times New Roman"/>
                <w:szCs w:val="24"/>
              </w:rPr>
              <w:t>.</w:t>
            </w:r>
          </w:p>
          <w:p w14:paraId="6AAB3825" w14:textId="59FD7FBD" w:rsidR="002E26DD" w:rsidRPr="00E3498D" w:rsidRDefault="002E26DD" w:rsidP="003E727B">
            <w:pPr>
              <w:spacing w:line="360" w:lineRule="auto"/>
              <w:jc w:val="both"/>
              <w:rPr>
                <w:rFonts w:ascii="Arial" w:hAnsi="Arial" w:cs="Arial"/>
                <w:i/>
                <w:iCs/>
                <w:szCs w:val="24"/>
              </w:rPr>
            </w:pPr>
            <w:r w:rsidRPr="00E3498D">
              <w:rPr>
                <w:rFonts w:cs="Times New Roman"/>
                <w:b/>
                <w:bCs/>
                <w:szCs w:val="24"/>
              </w:rPr>
              <w:t>References</w:t>
            </w:r>
            <w:r w:rsidRPr="00E3498D">
              <w:rPr>
                <w:rFonts w:ascii="Arial" w:hAnsi="Arial" w:cs="Arial"/>
                <w:i/>
                <w:iCs/>
                <w:szCs w:val="24"/>
              </w:rPr>
              <w:t>:</w:t>
            </w:r>
          </w:p>
          <w:p w14:paraId="61F1731A" w14:textId="77777777" w:rsidR="00B31D48" w:rsidRPr="00B31D48" w:rsidRDefault="00B31D48" w:rsidP="00B31D48">
            <w:pPr>
              <w:spacing w:line="360" w:lineRule="auto"/>
              <w:ind w:left="720" w:hanging="720"/>
              <w:jc w:val="both"/>
              <w:rPr>
                <w:rFonts w:cs="Times New Roman"/>
                <w:szCs w:val="24"/>
              </w:rPr>
            </w:pPr>
            <w:r w:rsidRPr="00B31D48">
              <w:rPr>
                <w:rFonts w:cs="Times New Roman"/>
                <w:szCs w:val="24"/>
              </w:rPr>
              <w:t>Manoharan, A., Gross, M. J., &amp; Sardeshmukh, S. R. (2021). Antecedents and Outcomes of a Culturally Diverse Workforce in Hotels. Journal of Hospitality &amp; Tourism Research, 45(8), 1383–1416. https://doi.org/10.1177/1096348020986906</w:t>
            </w:r>
          </w:p>
          <w:p w14:paraId="06D9A861" w14:textId="77777777" w:rsidR="00B31D48" w:rsidRPr="00B31D48" w:rsidRDefault="00B31D48" w:rsidP="00B31D48">
            <w:pPr>
              <w:spacing w:line="360" w:lineRule="auto"/>
              <w:ind w:left="720" w:hanging="720"/>
              <w:jc w:val="both"/>
              <w:rPr>
                <w:rFonts w:cs="Times New Roman"/>
                <w:szCs w:val="24"/>
              </w:rPr>
            </w:pPr>
            <w:r w:rsidRPr="00B31D48">
              <w:rPr>
                <w:rFonts w:cs="Times New Roman"/>
                <w:szCs w:val="24"/>
              </w:rPr>
              <w:t>Mariani, M. M., Borghi, M., &amp; Okumus, F. (2020). Unravelling the effects of cultural differences in the online appraisal of hospitality and tourism services. International Journal of Hospitality Management, 90, 102606. https://doi.org/10.1016/j.ijhm.2020.102606</w:t>
            </w:r>
          </w:p>
          <w:p w14:paraId="7082BAD0" w14:textId="70BDD21E" w:rsidR="005C77A4" w:rsidRPr="00857390" w:rsidRDefault="00B31D48" w:rsidP="00857390">
            <w:pPr>
              <w:spacing w:line="360" w:lineRule="auto"/>
              <w:ind w:left="720" w:hanging="720"/>
              <w:jc w:val="both"/>
              <w:rPr>
                <w:rFonts w:cs="Times New Roman"/>
                <w:szCs w:val="24"/>
              </w:rPr>
            </w:pPr>
            <w:r w:rsidRPr="00B31D48">
              <w:rPr>
                <w:rFonts w:cs="Times New Roman"/>
                <w:szCs w:val="24"/>
              </w:rPr>
              <w:t>Tesseur, W. (2022). Linguistic hospitality and listening through interpreters: Critical reflections and recommendations on linguistic power relationships in multilingual research (P. Holmes, J. Reynolds, &amp; S. Ganassin, Eds.; pp. 31–48). Multilingual Matters. https://doras.dcu.ie/28276/</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40002E28" w:rsidR="00E73500" w:rsidRDefault="000E6047" w:rsidP="006C0FE2">
            <w:pPr>
              <w:rPr>
                <w:b/>
                <w:bCs/>
                <w:sz w:val="28"/>
                <w:szCs w:val="24"/>
              </w:rPr>
            </w:pPr>
            <w:r>
              <w:rPr>
                <w:noProof/>
                <w:lang w:eastAsia="en-GB"/>
                <w14:ligatures w14:val="standardContextual"/>
              </w:rPr>
              <w:lastRenderedPageBreak/>
              <w:drawing>
                <wp:inline distT="0" distB="0" distL="0" distR="0" wp14:anchorId="61F79D6E" wp14:editId="735F6A30">
                  <wp:extent cx="5731510" cy="3235960"/>
                  <wp:effectExtent l="0" t="0" r="2540" b="2540"/>
                  <wp:docPr id="2007393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93538" name=""/>
                          <pic:cNvPicPr/>
                        </pic:nvPicPr>
                        <pic:blipFill>
                          <a:blip r:embed="rId8"/>
                          <a:stretch>
                            <a:fillRect/>
                          </a:stretch>
                        </pic:blipFill>
                        <pic:spPr>
                          <a:xfrm>
                            <a:off x="0" y="0"/>
                            <a:ext cx="5731510" cy="323596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2A833482" w:rsidR="003164B2" w:rsidRPr="00E73500" w:rsidRDefault="000F2BAF" w:rsidP="006C0FE2">
            <w:pPr>
              <w:rPr>
                <w:b/>
                <w:bCs/>
                <w:i/>
                <w:iCs/>
                <w:color w:val="BFBFBF" w:themeColor="background1" w:themeShade="BF"/>
                <w:sz w:val="28"/>
                <w:szCs w:val="24"/>
              </w:rPr>
            </w:pPr>
            <w:r>
              <w:rPr>
                <w:noProof/>
                <w:lang w:eastAsia="en-GB"/>
                <w14:ligatures w14:val="standardContextual"/>
              </w:rPr>
              <w:drawing>
                <wp:inline distT="0" distB="0" distL="0" distR="0" wp14:anchorId="068224B0" wp14:editId="49C63606">
                  <wp:extent cx="5731510" cy="3211830"/>
                  <wp:effectExtent l="0" t="0" r="2540" b="7620"/>
                  <wp:docPr id="472262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62810" name=""/>
                          <pic:cNvPicPr/>
                        </pic:nvPicPr>
                        <pic:blipFill>
                          <a:blip r:embed="rId9"/>
                          <a:stretch>
                            <a:fillRect/>
                          </a:stretch>
                        </pic:blipFill>
                        <pic:spPr>
                          <a:xfrm>
                            <a:off x="0" y="0"/>
                            <a:ext cx="5731510" cy="3211830"/>
                          </a:xfrm>
                          <a:prstGeom prst="rect">
                            <a:avLst/>
                          </a:prstGeom>
                        </pic:spPr>
                      </pic:pic>
                    </a:graphicData>
                  </a:graphic>
                </wp:inline>
              </w:drawing>
            </w:r>
            <w:r w:rsidR="00DD2A81" w:rsidRPr="00DD2A81">
              <w:rPr>
                <w:b/>
                <w:bCs/>
                <w:i/>
                <w:iCs/>
                <w:color w:val="BFBFBF" w:themeColor="background1" w:themeShade="BF"/>
                <w:sz w:val="28"/>
                <w:szCs w:val="24"/>
              </w:rPr>
              <w:t xml:space="preserve">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0A7E322D" w:rsidR="003164B2" w:rsidRDefault="00BD1B8F" w:rsidP="003164B2">
            <w:pPr>
              <w:rPr>
                <w:b/>
                <w:bCs/>
                <w:i/>
                <w:iCs/>
                <w:color w:val="BFBFBF" w:themeColor="background1" w:themeShade="BF"/>
                <w:sz w:val="28"/>
                <w:szCs w:val="24"/>
              </w:rPr>
            </w:pPr>
            <w:r>
              <w:rPr>
                <w:noProof/>
                <w:lang w:eastAsia="en-GB"/>
                <w14:ligatures w14:val="standardContextual"/>
              </w:rPr>
              <w:lastRenderedPageBreak/>
              <w:drawing>
                <wp:inline distT="0" distB="0" distL="0" distR="0" wp14:anchorId="2657983B" wp14:editId="0977C589">
                  <wp:extent cx="5731510" cy="3104515"/>
                  <wp:effectExtent l="0" t="0" r="2540" b="635"/>
                  <wp:docPr id="17036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1684" name=""/>
                          <pic:cNvPicPr/>
                        </pic:nvPicPr>
                        <pic:blipFill>
                          <a:blip r:embed="rId10"/>
                          <a:stretch>
                            <a:fillRect/>
                          </a:stretch>
                        </pic:blipFill>
                        <pic:spPr>
                          <a:xfrm>
                            <a:off x="0" y="0"/>
                            <a:ext cx="5731510" cy="3104515"/>
                          </a:xfrm>
                          <a:prstGeom prst="rect">
                            <a:avLst/>
                          </a:prstGeom>
                        </pic:spPr>
                      </pic:pic>
                    </a:graphicData>
                  </a:graphic>
                </wp:inline>
              </w:drawing>
            </w:r>
            <w:r w:rsidR="00DD2A81" w:rsidRPr="00DD2A81">
              <w:rPr>
                <w:b/>
                <w:bCs/>
                <w:i/>
                <w:iCs/>
                <w:color w:val="BFBFBF" w:themeColor="background1" w:themeShade="BF"/>
                <w:sz w:val="28"/>
                <w:szCs w:val="24"/>
              </w:rPr>
              <w:t xml:space="preserve"> </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0F89426A" w:rsidR="003164B2" w:rsidRDefault="000E6047" w:rsidP="003164B2">
            <w:pPr>
              <w:rPr>
                <w:b/>
                <w:bCs/>
                <w:i/>
                <w:iCs/>
                <w:color w:val="BFBFBF" w:themeColor="background1" w:themeShade="BF"/>
                <w:sz w:val="28"/>
                <w:szCs w:val="24"/>
              </w:rPr>
            </w:pPr>
            <w:r>
              <w:rPr>
                <w:noProof/>
                <w:lang w:eastAsia="en-GB"/>
                <w14:ligatures w14:val="standardContextual"/>
              </w:rPr>
              <w:drawing>
                <wp:inline distT="0" distB="0" distL="0" distR="0" wp14:anchorId="1FC5A4F7" wp14:editId="7C566401">
                  <wp:extent cx="5731510" cy="3190875"/>
                  <wp:effectExtent l="0" t="0" r="2540" b="9525"/>
                  <wp:docPr id="835133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133858" name=""/>
                          <pic:cNvPicPr/>
                        </pic:nvPicPr>
                        <pic:blipFill>
                          <a:blip r:embed="rId11"/>
                          <a:stretch>
                            <a:fillRect/>
                          </a:stretch>
                        </pic:blipFill>
                        <pic:spPr>
                          <a:xfrm>
                            <a:off x="0" y="0"/>
                            <a:ext cx="5731510" cy="3190875"/>
                          </a:xfrm>
                          <a:prstGeom prst="rect">
                            <a:avLst/>
                          </a:prstGeom>
                        </pic:spPr>
                      </pic:pic>
                    </a:graphicData>
                  </a:graphic>
                </wp:inline>
              </w:drawing>
            </w:r>
            <w:r w:rsidR="00DD2A81" w:rsidRPr="00DD2A81">
              <w:rPr>
                <w:b/>
                <w:bCs/>
                <w:i/>
                <w:iCs/>
                <w:color w:val="BFBFBF" w:themeColor="background1" w:themeShade="BF"/>
                <w:sz w:val="28"/>
                <w:szCs w:val="24"/>
              </w:rPr>
              <w:t xml:space="preserve"> </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2F54495A" w:rsidR="003164B2" w:rsidRDefault="007376EC" w:rsidP="003164B2">
            <w:pPr>
              <w:rPr>
                <w:b/>
                <w:bCs/>
                <w:i/>
                <w:iCs/>
                <w:color w:val="BFBFBF" w:themeColor="background1" w:themeShade="BF"/>
                <w:sz w:val="28"/>
                <w:szCs w:val="24"/>
              </w:rPr>
            </w:pPr>
            <w:r>
              <w:rPr>
                <w:noProof/>
                <w:lang w:eastAsia="en-GB"/>
                <w14:ligatures w14:val="standardContextual"/>
              </w:rPr>
              <w:lastRenderedPageBreak/>
              <w:drawing>
                <wp:inline distT="0" distB="0" distL="0" distR="0" wp14:anchorId="4F8EC34B" wp14:editId="32E70248">
                  <wp:extent cx="5731510" cy="3084195"/>
                  <wp:effectExtent l="0" t="0" r="2540" b="1905"/>
                  <wp:docPr id="146393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3016" name=""/>
                          <pic:cNvPicPr/>
                        </pic:nvPicPr>
                        <pic:blipFill>
                          <a:blip r:embed="rId12"/>
                          <a:stretch>
                            <a:fillRect/>
                          </a:stretch>
                        </pic:blipFill>
                        <pic:spPr>
                          <a:xfrm>
                            <a:off x="0" y="0"/>
                            <a:ext cx="5731510" cy="3084195"/>
                          </a:xfrm>
                          <a:prstGeom prst="rect">
                            <a:avLst/>
                          </a:prstGeom>
                        </pic:spPr>
                      </pic:pic>
                    </a:graphicData>
                  </a:graphic>
                </wp:inline>
              </w:drawing>
            </w:r>
            <w:r w:rsidR="00DD2A81" w:rsidRPr="00DD2A81">
              <w:rPr>
                <w:b/>
                <w:bCs/>
                <w:i/>
                <w:iCs/>
                <w:color w:val="BFBFBF" w:themeColor="background1" w:themeShade="BF"/>
                <w:sz w:val="28"/>
                <w:szCs w:val="24"/>
              </w:rPr>
              <w:t xml:space="preserve"> </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45281865" w:rsidR="003164B2" w:rsidRPr="003164B2" w:rsidRDefault="00514FE7" w:rsidP="006C0FE2">
            <w:pPr>
              <w:rPr>
                <w:b/>
                <w:bCs/>
                <w:sz w:val="28"/>
                <w:szCs w:val="24"/>
              </w:rPr>
            </w:pPr>
            <w:r>
              <w:rPr>
                <w:noProof/>
                <w:lang w:eastAsia="en-GB"/>
                <w14:ligatures w14:val="standardContextual"/>
              </w:rPr>
              <w:drawing>
                <wp:inline distT="0" distB="0" distL="0" distR="0" wp14:anchorId="2E3CAEEA" wp14:editId="690F0C3D">
                  <wp:extent cx="5731510" cy="3148965"/>
                  <wp:effectExtent l="0" t="0" r="2540" b="0"/>
                  <wp:docPr id="1701868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868311" name=""/>
                          <pic:cNvPicPr/>
                        </pic:nvPicPr>
                        <pic:blipFill>
                          <a:blip r:embed="rId13"/>
                          <a:stretch>
                            <a:fillRect/>
                          </a:stretch>
                        </pic:blipFill>
                        <pic:spPr>
                          <a:xfrm>
                            <a:off x="0" y="0"/>
                            <a:ext cx="5731510" cy="3148965"/>
                          </a:xfrm>
                          <a:prstGeom prst="rect">
                            <a:avLst/>
                          </a:prstGeom>
                        </pic:spPr>
                      </pic:pic>
                    </a:graphicData>
                  </a:graphic>
                </wp:inline>
              </w:drawing>
            </w:r>
          </w:p>
        </w:tc>
      </w:tr>
      <w:tr w:rsidR="000E6047" w:rsidRPr="00330917" w14:paraId="5AF2B955"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27A5A9A" w14:textId="70C8D863" w:rsidR="000E6047" w:rsidRDefault="00885628" w:rsidP="006C0FE2">
            <w:pPr>
              <w:rPr>
                <w:noProof/>
                <w14:ligatures w14:val="standardContextual"/>
              </w:rPr>
            </w:pPr>
            <w:r>
              <w:rPr>
                <w:noProof/>
                <w:lang w:eastAsia="en-GB"/>
                <w14:ligatures w14:val="standardContextual"/>
              </w:rPr>
              <w:lastRenderedPageBreak/>
              <w:drawing>
                <wp:inline distT="0" distB="0" distL="0" distR="0" wp14:anchorId="64224C71" wp14:editId="12DB7C45">
                  <wp:extent cx="5731510" cy="3124835"/>
                  <wp:effectExtent l="0" t="0" r="2540" b="0"/>
                  <wp:docPr id="1878197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97058" name=""/>
                          <pic:cNvPicPr/>
                        </pic:nvPicPr>
                        <pic:blipFill>
                          <a:blip r:embed="rId14"/>
                          <a:stretch>
                            <a:fillRect/>
                          </a:stretch>
                        </pic:blipFill>
                        <pic:spPr>
                          <a:xfrm>
                            <a:off x="0" y="0"/>
                            <a:ext cx="5731510" cy="312483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2E91F4CB" w14:textId="77777777" w:rsidR="000E6047" w:rsidRPr="000E6047" w:rsidRDefault="000E6047" w:rsidP="000E6047">
            <w:r w:rsidRPr="000E6047">
              <w:t>Ghani, B. et al. (2022) ‘Challenges and Strategies for Employee Retention in the Hospitality Industry: A Review’, Sustainability, 14(5), p. 2885. Available at: https://doi.org/10.3390/su14052885.</w:t>
            </w:r>
          </w:p>
          <w:p w14:paraId="3068E2B1" w14:textId="77777777" w:rsidR="000E6047" w:rsidRPr="000E6047" w:rsidRDefault="000E6047" w:rsidP="000E6047">
            <w:r w:rsidRPr="000E6047">
              <w:t>Hamid, M. et al. (2023) ‘How Memorable is Halal Tourism in Japan and the United Kingdom?’, Electronic Journal of Applied Statistical Analysis, 16(1), pp. 139–164. Available at: https://doi.org/10.1285/i20705948v16n1p139.</w:t>
            </w:r>
          </w:p>
          <w:p w14:paraId="42CD7D10" w14:textId="77777777" w:rsidR="000E6047" w:rsidRPr="000E6047" w:rsidRDefault="000E6047" w:rsidP="000E6047">
            <w:r w:rsidRPr="000E6047">
              <w:t>Madon, H. and Singh, K.K.M. (2023) ‘A Cross-Cultural Pragmatic Study of Online Complaints by Japanese and Malaysian Hotel Guests in English’, Journal of Communication, Language and Culture, 3(1), pp. 71–97. Available at: https://doi.org/10.33093/jclc.2023.3.1.6.</w:t>
            </w:r>
          </w:p>
          <w:p w14:paraId="6043A3B4" w14:textId="77777777" w:rsidR="000E6047" w:rsidRPr="000E6047" w:rsidRDefault="000E6047" w:rsidP="000E6047">
            <w:r w:rsidRPr="000E6047">
              <w:t>Sakshi et al. (2020) ‘Measuring the impact of sustainability policy and practices in tourism and hospitality industry’, Business Strategy and the Environment, 29(3), pp. 1109–1126. Available at: https://doi.org/10.1002/bse.2420.</w:t>
            </w:r>
          </w:p>
          <w:p w14:paraId="376E4F65" w14:textId="1DEC28E1" w:rsidR="0064455E" w:rsidRDefault="000E6047" w:rsidP="000E6047">
            <w:r w:rsidRPr="000E6047">
              <w:t>Serra-Cantallops, A., Ramón Cardona, J. and Salvi, F. (2020) ‘Antecedents of positive eWOM in hotels. Exploring the relative role of satisfaction, quality and positive emotional experiences’, International Journal of Contemporary Hospitality Management, 32(11), pp. 3457–3477. Available at: https://doi.org/10.1108/IJCHM-02-2020-0113.</w:t>
            </w:r>
          </w:p>
        </w:tc>
      </w:tr>
    </w:tbl>
    <w:p w14:paraId="5DD504A2" w14:textId="77777777" w:rsidR="00091775" w:rsidRDefault="00091775"/>
    <w:sectPr w:rsidR="0009177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6B702" w14:textId="77777777" w:rsidR="00FF5B23" w:rsidRDefault="00FF5B23" w:rsidP="007C2128">
      <w:pPr>
        <w:spacing w:after="0" w:line="240" w:lineRule="auto"/>
      </w:pPr>
      <w:r>
        <w:separator/>
      </w:r>
    </w:p>
  </w:endnote>
  <w:endnote w:type="continuationSeparator" w:id="0">
    <w:p w14:paraId="2948499C" w14:textId="77777777" w:rsidR="00FF5B23" w:rsidRDefault="00FF5B23"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F73681">
          <w:rPr>
            <w:noProof/>
          </w:rPr>
          <w:t>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50A5A4" w14:textId="77777777" w:rsidR="00FF5B23" w:rsidRDefault="00FF5B23" w:rsidP="007C2128">
      <w:pPr>
        <w:spacing w:after="0" w:line="240" w:lineRule="auto"/>
      </w:pPr>
      <w:r>
        <w:separator/>
      </w:r>
    </w:p>
  </w:footnote>
  <w:footnote w:type="continuationSeparator" w:id="0">
    <w:p w14:paraId="3EE0CDBC" w14:textId="77777777" w:rsidR="00FF5B23" w:rsidRDefault="00FF5B23"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7F2103"/>
    <w:multiLevelType w:val="hybridMultilevel"/>
    <w:tmpl w:val="631A4FCA"/>
    <w:lvl w:ilvl="0" w:tplc="7CFAFD90">
      <w:start w:val="1"/>
      <w:numFmt w:val="bullet"/>
      <w:lvlText w:val="•"/>
      <w:lvlJc w:val="left"/>
      <w:pPr>
        <w:tabs>
          <w:tab w:val="num" w:pos="720"/>
        </w:tabs>
        <w:ind w:left="720" w:hanging="360"/>
      </w:pPr>
      <w:rPr>
        <w:rFonts w:ascii="Arial" w:hAnsi="Arial" w:hint="default"/>
      </w:rPr>
    </w:lvl>
    <w:lvl w:ilvl="1" w:tplc="12D4BE64" w:tentative="1">
      <w:start w:val="1"/>
      <w:numFmt w:val="bullet"/>
      <w:lvlText w:val="•"/>
      <w:lvlJc w:val="left"/>
      <w:pPr>
        <w:tabs>
          <w:tab w:val="num" w:pos="1440"/>
        </w:tabs>
        <w:ind w:left="1440" w:hanging="360"/>
      </w:pPr>
      <w:rPr>
        <w:rFonts w:ascii="Arial" w:hAnsi="Arial" w:hint="default"/>
      </w:rPr>
    </w:lvl>
    <w:lvl w:ilvl="2" w:tplc="71809C5A" w:tentative="1">
      <w:start w:val="1"/>
      <w:numFmt w:val="bullet"/>
      <w:lvlText w:val="•"/>
      <w:lvlJc w:val="left"/>
      <w:pPr>
        <w:tabs>
          <w:tab w:val="num" w:pos="2160"/>
        </w:tabs>
        <w:ind w:left="2160" w:hanging="360"/>
      </w:pPr>
      <w:rPr>
        <w:rFonts w:ascii="Arial" w:hAnsi="Arial" w:hint="default"/>
      </w:rPr>
    </w:lvl>
    <w:lvl w:ilvl="3" w:tplc="C8B07E0C" w:tentative="1">
      <w:start w:val="1"/>
      <w:numFmt w:val="bullet"/>
      <w:lvlText w:val="•"/>
      <w:lvlJc w:val="left"/>
      <w:pPr>
        <w:tabs>
          <w:tab w:val="num" w:pos="2880"/>
        </w:tabs>
        <w:ind w:left="2880" w:hanging="360"/>
      </w:pPr>
      <w:rPr>
        <w:rFonts w:ascii="Arial" w:hAnsi="Arial" w:hint="default"/>
      </w:rPr>
    </w:lvl>
    <w:lvl w:ilvl="4" w:tplc="0E1248D8" w:tentative="1">
      <w:start w:val="1"/>
      <w:numFmt w:val="bullet"/>
      <w:lvlText w:val="•"/>
      <w:lvlJc w:val="left"/>
      <w:pPr>
        <w:tabs>
          <w:tab w:val="num" w:pos="3600"/>
        </w:tabs>
        <w:ind w:left="3600" w:hanging="360"/>
      </w:pPr>
      <w:rPr>
        <w:rFonts w:ascii="Arial" w:hAnsi="Arial" w:hint="default"/>
      </w:rPr>
    </w:lvl>
    <w:lvl w:ilvl="5" w:tplc="057A603E" w:tentative="1">
      <w:start w:val="1"/>
      <w:numFmt w:val="bullet"/>
      <w:lvlText w:val="•"/>
      <w:lvlJc w:val="left"/>
      <w:pPr>
        <w:tabs>
          <w:tab w:val="num" w:pos="4320"/>
        </w:tabs>
        <w:ind w:left="4320" w:hanging="360"/>
      </w:pPr>
      <w:rPr>
        <w:rFonts w:ascii="Arial" w:hAnsi="Arial" w:hint="default"/>
      </w:rPr>
    </w:lvl>
    <w:lvl w:ilvl="6" w:tplc="90464E2C" w:tentative="1">
      <w:start w:val="1"/>
      <w:numFmt w:val="bullet"/>
      <w:lvlText w:val="•"/>
      <w:lvlJc w:val="left"/>
      <w:pPr>
        <w:tabs>
          <w:tab w:val="num" w:pos="5040"/>
        </w:tabs>
        <w:ind w:left="5040" w:hanging="360"/>
      </w:pPr>
      <w:rPr>
        <w:rFonts w:ascii="Arial" w:hAnsi="Arial" w:hint="default"/>
      </w:rPr>
    </w:lvl>
    <w:lvl w:ilvl="7" w:tplc="880E0A04" w:tentative="1">
      <w:start w:val="1"/>
      <w:numFmt w:val="bullet"/>
      <w:lvlText w:val="•"/>
      <w:lvlJc w:val="left"/>
      <w:pPr>
        <w:tabs>
          <w:tab w:val="num" w:pos="5760"/>
        </w:tabs>
        <w:ind w:left="5760" w:hanging="360"/>
      </w:pPr>
      <w:rPr>
        <w:rFonts w:ascii="Arial" w:hAnsi="Arial" w:hint="default"/>
      </w:rPr>
    </w:lvl>
    <w:lvl w:ilvl="8" w:tplc="B7A02A82" w:tentative="1">
      <w:start w:val="1"/>
      <w:numFmt w:val="bullet"/>
      <w:lvlText w:val="•"/>
      <w:lvlJc w:val="left"/>
      <w:pPr>
        <w:tabs>
          <w:tab w:val="num" w:pos="6480"/>
        </w:tabs>
        <w:ind w:left="6480" w:hanging="360"/>
      </w:pPr>
      <w:rPr>
        <w:rFonts w:ascii="Arial" w:hAnsi="Arial" w:hint="default"/>
      </w:rPr>
    </w:lvl>
  </w:abstractNum>
  <w:num w:numId="1" w16cid:durableId="496311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16CC"/>
    <w:rsid w:val="000544C5"/>
    <w:rsid w:val="000838C6"/>
    <w:rsid w:val="00085411"/>
    <w:rsid w:val="00085A4E"/>
    <w:rsid w:val="00091775"/>
    <w:rsid w:val="00094FF8"/>
    <w:rsid w:val="000A23B0"/>
    <w:rsid w:val="000A7D84"/>
    <w:rsid w:val="000B1E2E"/>
    <w:rsid w:val="000C3783"/>
    <w:rsid w:val="000E6047"/>
    <w:rsid w:val="000F2BAF"/>
    <w:rsid w:val="00136D1F"/>
    <w:rsid w:val="00137DE2"/>
    <w:rsid w:val="00162C34"/>
    <w:rsid w:val="001657A9"/>
    <w:rsid w:val="00165E7C"/>
    <w:rsid w:val="00183869"/>
    <w:rsid w:val="001C05B9"/>
    <w:rsid w:val="001C56AF"/>
    <w:rsid w:val="001E6B80"/>
    <w:rsid w:val="002013C7"/>
    <w:rsid w:val="0021483D"/>
    <w:rsid w:val="00215AF7"/>
    <w:rsid w:val="00230E14"/>
    <w:rsid w:val="0028766D"/>
    <w:rsid w:val="0029354D"/>
    <w:rsid w:val="00296DC6"/>
    <w:rsid w:val="002B284E"/>
    <w:rsid w:val="002E26DD"/>
    <w:rsid w:val="002F762E"/>
    <w:rsid w:val="003164B2"/>
    <w:rsid w:val="003439EA"/>
    <w:rsid w:val="00373FD2"/>
    <w:rsid w:val="00375F09"/>
    <w:rsid w:val="003C3704"/>
    <w:rsid w:val="003D4772"/>
    <w:rsid w:val="003E727B"/>
    <w:rsid w:val="004004CA"/>
    <w:rsid w:val="00452F90"/>
    <w:rsid w:val="004F3356"/>
    <w:rsid w:val="004F6184"/>
    <w:rsid w:val="00503681"/>
    <w:rsid w:val="00514FE7"/>
    <w:rsid w:val="00524F97"/>
    <w:rsid w:val="005671B3"/>
    <w:rsid w:val="00571BF5"/>
    <w:rsid w:val="0059363C"/>
    <w:rsid w:val="005A12E2"/>
    <w:rsid w:val="005C77A4"/>
    <w:rsid w:val="0060198E"/>
    <w:rsid w:val="00602C4B"/>
    <w:rsid w:val="00606008"/>
    <w:rsid w:val="00622F44"/>
    <w:rsid w:val="0062401E"/>
    <w:rsid w:val="0064455E"/>
    <w:rsid w:val="00653996"/>
    <w:rsid w:val="00675DCB"/>
    <w:rsid w:val="00683EAF"/>
    <w:rsid w:val="006864F2"/>
    <w:rsid w:val="006B575E"/>
    <w:rsid w:val="006C0FE2"/>
    <w:rsid w:val="006D5F9C"/>
    <w:rsid w:val="006D765B"/>
    <w:rsid w:val="006E00E6"/>
    <w:rsid w:val="00723301"/>
    <w:rsid w:val="00723F3E"/>
    <w:rsid w:val="0073701D"/>
    <w:rsid w:val="007376EC"/>
    <w:rsid w:val="00737978"/>
    <w:rsid w:val="00765613"/>
    <w:rsid w:val="007A0095"/>
    <w:rsid w:val="007A2EBB"/>
    <w:rsid w:val="007C2128"/>
    <w:rsid w:val="00802881"/>
    <w:rsid w:val="00833B1F"/>
    <w:rsid w:val="00834656"/>
    <w:rsid w:val="00847B3C"/>
    <w:rsid w:val="00857390"/>
    <w:rsid w:val="00885628"/>
    <w:rsid w:val="008A7453"/>
    <w:rsid w:val="008C0A30"/>
    <w:rsid w:val="008D1246"/>
    <w:rsid w:val="008D2D31"/>
    <w:rsid w:val="00903A18"/>
    <w:rsid w:val="00910929"/>
    <w:rsid w:val="00931A2A"/>
    <w:rsid w:val="00952A37"/>
    <w:rsid w:val="0096351D"/>
    <w:rsid w:val="009732FF"/>
    <w:rsid w:val="009B4056"/>
    <w:rsid w:val="009C5BA7"/>
    <w:rsid w:val="009E74DD"/>
    <w:rsid w:val="00A135A5"/>
    <w:rsid w:val="00A24F3B"/>
    <w:rsid w:val="00A60F09"/>
    <w:rsid w:val="00A86E28"/>
    <w:rsid w:val="00AA645D"/>
    <w:rsid w:val="00AD3278"/>
    <w:rsid w:val="00AE1103"/>
    <w:rsid w:val="00B02450"/>
    <w:rsid w:val="00B11CA9"/>
    <w:rsid w:val="00B3094A"/>
    <w:rsid w:val="00B31D48"/>
    <w:rsid w:val="00B3346C"/>
    <w:rsid w:val="00B61269"/>
    <w:rsid w:val="00B70DE8"/>
    <w:rsid w:val="00BD1B8F"/>
    <w:rsid w:val="00BF3D2E"/>
    <w:rsid w:val="00BF62E2"/>
    <w:rsid w:val="00C12DC3"/>
    <w:rsid w:val="00C91424"/>
    <w:rsid w:val="00C974B9"/>
    <w:rsid w:val="00D55341"/>
    <w:rsid w:val="00DA485D"/>
    <w:rsid w:val="00DA6BF8"/>
    <w:rsid w:val="00DC0CD1"/>
    <w:rsid w:val="00DD0650"/>
    <w:rsid w:val="00DD2A81"/>
    <w:rsid w:val="00DD3589"/>
    <w:rsid w:val="00E035F3"/>
    <w:rsid w:val="00E3498D"/>
    <w:rsid w:val="00E63D4D"/>
    <w:rsid w:val="00E73500"/>
    <w:rsid w:val="00E95FE6"/>
    <w:rsid w:val="00EA26F7"/>
    <w:rsid w:val="00F131FA"/>
    <w:rsid w:val="00F178F7"/>
    <w:rsid w:val="00F53219"/>
    <w:rsid w:val="00F73681"/>
    <w:rsid w:val="00F74AA7"/>
    <w:rsid w:val="00FC6B6A"/>
    <w:rsid w:val="00FF5B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docId w15:val="{CEA3C63C-2415-4860-9438-359F2585A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BalloonText">
    <w:name w:val="Balloon Text"/>
    <w:basedOn w:val="Normal"/>
    <w:link w:val="BalloonTextChar"/>
    <w:uiPriority w:val="99"/>
    <w:semiHidden/>
    <w:unhideWhenUsed/>
    <w:rsid w:val="00F736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3681"/>
    <w:rPr>
      <w:rFonts w:ascii="Tahoma" w:eastAsiaTheme="minorHAnsi" w:hAnsi="Tahoma" w:cs="Tahoma"/>
      <w:color w:val="000000" w:themeColor="text1"/>
      <w:kern w:val="0"/>
      <w:sz w:val="16"/>
      <w:szCs w:val="16"/>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979628">
      <w:bodyDiv w:val="1"/>
      <w:marLeft w:val="0"/>
      <w:marRight w:val="0"/>
      <w:marTop w:val="0"/>
      <w:marBottom w:val="0"/>
      <w:divBdr>
        <w:top w:val="none" w:sz="0" w:space="0" w:color="auto"/>
        <w:left w:val="none" w:sz="0" w:space="0" w:color="auto"/>
        <w:bottom w:val="none" w:sz="0" w:space="0" w:color="auto"/>
        <w:right w:val="none" w:sz="0" w:space="0" w:color="auto"/>
      </w:divBdr>
    </w:div>
    <w:div w:id="485166751">
      <w:bodyDiv w:val="1"/>
      <w:marLeft w:val="0"/>
      <w:marRight w:val="0"/>
      <w:marTop w:val="0"/>
      <w:marBottom w:val="0"/>
      <w:divBdr>
        <w:top w:val="none" w:sz="0" w:space="0" w:color="auto"/>
        <w:left w:val="none" w:sz="0" w:space="0" w:color="auto"/>
        <w:bottom w:val="none" w:sz="0" w:space="0" w:color="auto"/>
        <w:right w:val="none" w:sz="0" w:space="0" w:color="auto"/>
      </w:divBdr>
    </w:div>
    <w:div w:id="534385691">
      <w:bodyDiv w:val="1"/>
      <w:marLeft w:val="0"/>
      <w:marRight w:val="0"/>
      <w:marTop w:val="0"/>
      <w:marBottom w:val="0"/>
      <w:divBdr>
        <w:top w:val="none" w:sz="0" w:space="0" w:color="auto"/>
        <w:left w:val="none" w:sz="0" w:space="0" w:color="auto"/>
        <w:bottom w:val="none" w:sz="0" w:space="0" w:color="auto"/>
        <w:right w:val="none" w:sz="0" w:space="0" w:color="auto"/>
      </w:divBdr>
    </w:div>
    <w:div w:id="852691487">
      <w:bodyDiv w:val="1"/>
      <w:marLeft w:val="0"/>
      <w:marRight w:val="0"/>
      <w:marTop w:val="0"/>
      <w:marBottom w:val="0"/>
      <w:divBdr>
        <w:top w:val="none" w:sz="0" w:space="0" w:color="auto"/>
        <w:left w:val="none" w:sz="0" w:space="0" w:color="auto"/>
        <w:bottom w:val="none" w:sz="0" w:space="0" w:color="auto"/>
        <w:right w:val="none" w:sz="0" w:space="0" w:color="auto"/>
      </w:divBdr>
    </w:div>
    <w:div w:id="954021421">
      <w:bodyDiv w:val="1"/>
      <w:marLeft w:val="0"/>
      <w:marRight w:val="0"/>
      <w:marTop w:val="0"/>
      <w:marBottom w:val="0"/>
      <w:divBdr>
        <w:top w:val="none" w:sz="0" w:space="0" w:color="auto"/>
        <w:left w:val="none" w:sz="0" w:space="0" w:color="auto"/>
        <w:bottom w:val="none" w:sz="0" w:space="0" w:color="auto"/>
        <w:right w:val="none" w:sz="0" w:space="0" w:color="auto"/>
      </w:divBdr>
    </w:div>
    <w:div w:id="1638292134">
      <w:bodyDiv w:val="1"/>
      <w:marLeft w:val="0"/>
      <w:marRight w:val="0"/>
      <w:marTop w:val="0"/>
      <w:marBottom w:val="0"/>
      <w:divBdr>
        <w:top w:val="none" w:sz="0" w:space="0" w:color="auto"/>
        <w:left w:val="none" w:sz="0" w:space="0" w:color="auto"/>
        <w:bottom w:val="none" w:sz="0" w:space="0" w:color="auto"/>
        <w:right w:val="none" w:sz="0" w:space="0" w:color="auto"/>
      </w:divBdr>
      <w:divsChild>
        <w:div w:id="1869681222">
          <w:marLeft w:val="360"/>
          <w:marRight w:val="0"/>
          <w:marTop w:val="200"/>
          <w:marBottom w:val="0"/>
          <w:divBdr>
            <w:top w:val="none" w:sz="0" w:space="0" w:color="auto"/>
            <w:left w:val="none" w:sz="0" w:space="0" w:color="auto"/>
            <w:bottom w:val="none" w:sz="0" w:space="0" w:color="auto"/>
            <w:right w:val="none" w:sz="0" w:space="0" w:color="auto"/>
          </w:divBdr>
        </w:div>
        <w:div w:id="523203685">
          <w:marLeft w:val="360"/>
          <w:marRight w:val="0"/>
          <w:marTop w:val="200"/>
          <w:marBottom w:val="0"/>
          <w:divBdr>
            <w:top w:val="none" w:sz="0" w:space="0" w:color="auto"/>
            <w:left w:val="none" w:sz="0" w:space="0" w:color="auto"/>
            <w:bottom w:val="none" w:sz="0" w:space="0" w:color="auto"/>
            <w:right w:val="none" w:sz="0" w:space="0" w:color="auto"/>
          </w:divBdr>
        </w:div>
        <w:div w:id="1265847721">
          <w:marLeft w:val="360"/>
          <w:marRight w:val="0"/>
          <w:marTop w:val="200"/>
          <w:marBottom w:val="0"/>
          <w:divBdr>
            <w:top w:val="none" w:sz="0" w:space="0" w:color="auto"/>
            <w:left w:val="none" w:sz="0" w:space="0" w:color="auto"/>
            <w:bottom w:val="none" w:sz="0" w:space="0" w:color="auto"/>
            <w:right w:val="none" w:sz="0" w:space="0" w:color="auto"/>
          </w:divBdr>
        </w:div>
        <w:div w:id="2097631726">
          <w:marLeft w:val="360"/>
          <w:marRight w:val="0"/>
          <w:marTop w:val="200"/>
          <w:marBottom w:val="0"/>
          <w:divBdr>
            <w:top w:val="none" w:sz="0" w:space="0" w:color="auto"/>
            <w:left w:val="none" w:sz="0" w:space="0" w:color="auto"/>
            <w:bottom w:val="none" w:sz="0" w:space="0" w:color="auto"/>
            <w:right w:val="none" w:sz="0" w:space="0" w:color="auto"/>
          </w:divBdr>
        </w:div>
        <w:div w:id="2045326037">
          <w:marLeft w:val="360"/>
          <w:marRight w:val="0"/>
          <w:marTop w:val="200"/>
          <w:marBottom w:val="0"/>
          <w:divBdr>
            <w:top w:val="none" w:sz="0" w:space="0" w:color="auto"/>
            <w:left w:val="none" w:sz="0" w:space="0" w:color="auto"/>
            <w:bottom w:val="none" w:sz="0" w:space="0" w:color="auto"/>
            <w:right w:val="none" w:sz="0" w:space="0" w:color="auto"/>
          </w:divBdr>
        </w:div>
        <w:div w:id="681668201">
          <w:marLeft w:val="360"/>
          <w:marRight w:val="0"/>
          <w:marTop w:val="200"/>
          <w:marBottom w:val="0"/>
          <w:divBdr>
            <w:top w:val="none" w:sz="0" w:space="0" w:color="auto"/>
            <w:left w:val="none" w:sz="0" w:space="0" w:color="auto"/>
            <w:bottom w:val="none" w:sz="0" w:space="0" w:color="auto"/>
            <w:right w:val="none" w:sz="0" w:space="0" w:color="auto"/>
          </w:divBdr>
        </w:div>
      </w:divsChild>
    </w:div>
    <w:div w:id="1880556344">
      <w:bodyDiv w:val="1"/>
      <w:marLeft w:val="0"/>
      <w:marRight w:val="0"/>
      <w:marTop w:val="0"/>
      <w:marBottom w:val="0"/>
      <w:divBdr>
        <w:top w:val="none" w:sz="0" w:space="0" w:color="auto"/>
        <w:left w:val="none" w:sz="0" w:space="0" w:color="auto"/>
        <w:bottom w:val="none" w:sz="0" w:space="0" w:color="auto"/>
        <w:right w:val="none" w:sz="0" w:space="0" w:color="auto"/>
      </w:divBdr>
    </w:div>
    <w:div w:id="1973486870">
      <w:bodyDiv w:val="1"/>
      <w:marLeft w:val="0"/>
      <w:marRight w:val="0"/>
      <w:marTop w:val="0"/>
      <w:marBottom w:val="0"/>
      <w:divBdr>
        <w:top w:val="none" w:sz="0" w:space="0" w:color="auto"/>
        <w:left w:val="none" w:sz="0" w:space="0" w:color="auto"/>
        <w:bottom w:val="none" w:sz="0" w:space="0" w:color="auto"/>
        <w:right w:val="none" w:sz="0" w:space="0" w:color="auto"/>
      </w:divBdr>
    </w:div>
    <w:div w:id="1998142557">
      <w:bodyDiv w:val="1"/>
      <w:marLeft w:val="0"/>
      <w:marRight w:val="0"/>
      <w:marTop w:val="0"/>
      <w:marBottom w:val="0"/>
      <w:divBdr>
        <w:top w:val="none" w:sz="0" w:space="0" w:color="auto"/>
        <w:left w:val="none" w:sz="0" w:space="0" w:color="auto"/>
        <w:bottom w:val="none" w:sz="0" w:space="0" w:color="auto"/>
        <w:right w:val="none" w:sz="0" w:space="0" w:color="auto"/>
      </w:divBdr>
    </w:div>
    <w:div w:id="2112387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1966</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Luminita Malanciuc (2211340)</cp:lastModifiedBy>
  <cp:revision>2</cp:revision>
  <dcterms:created xsi:type="dcterms:W3CDTF">2024-03-01T23:11:00Z</dcterms:created>
  <dcterms:modified xsi:type="dcterms:W3CDTF">2024-03-01T23:11:00Z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2024-03-01T21:48:56Z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adf51fe1-75bd-4ae0-8eff-9a7418ced5a3</vt:lpwstr>
  </property>
  <property fmtid="{D5CDD505-2E9C-101B-9397-08002B2CF9AE}" pid="7" name="MSIP_Label_defa4170-0d19-0005-0004-bc88714345d2_ActionId">
    <vt:lpwstr>0b107bc1-6f2c-41bc-94a2-713c04827be1</vt:lpwstr>
  </property>
  <property fmtid="{D5CDD505-2E9C-101B-9397-08002B2CF9AE}" pid="8" name="MSIP_Label_defa4170-0d19-0005-0004-bc88714345d2_ContentBits">
    <vt:lpwstr>0</vt:lpwstr>
  </property>
  <property fmtid="{D5CDD505-2E9C-101B-9397-08002B2CF9AE}" pid="9" name="ZOTERO_PREF_1">
    <vt:lpwstr>&lt;data data-version="3" zotero-version="6.0.30"&gt;&lt;session id="eRrUuVbw"/&gt;&lt;style id="http://www.zotero.org/styles/apa" locale="en-US" hasBibliography="1" bibliographyStyleHasBeenSet="0"/&gt;&lt;prefs&gt;&lt;pref name="fieldType" value="Field"/&gt;&lt;/prefs&gt;&lt;/data&gt;</vt:lpwstr>
  </property>
</Properties>
</file>