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ECB3E" w14:textId="3A12479F" w:rsidR="00867F78" w:rsidRPr="007F567A" w:rsidRDefault="001A555E" w:rsidP="004626F7">
      <w:pPr>
        <w:pStyle w:val="a9"/>
        <w:spacing w:beforeLines="100" w:before="312" w:afterLines="150" w:after="468" w:line="360" w:lineRule="auto"/>
        <w:jc w:val="center"/>
        <w:rPr>
          <w:rFonts w:ascii="Arial" w:hAnsi="Arial" w:cs="Arial"/>
          <w:b/>
          <w:bCs/>
          <w:color w:val="auto"/>
        </w:rPr>
      </w:pPr>
      <w:r w:rsidRPr="007F567A">
        <w:rPr>
          <w:rFonts w:ascii="Arial" w:hAnsi="Arial" w:cs="Arial"/>
          <w:b/>
          <w:bCs/>
          <w:color w:val="auto"/>
        </w:rPr>
        <w:t>Strategic Marketing</w:t>
      </w:r>
    </w:p>
    <w:p w14:paraId="3AA557AB" w14:textId="64DC403D" w:rsidR="004626F7" w:rsidRPr="007F567A" w:rsidRDefault="001A555E" w:rsidP="004626F7">
      <w:pPr>
        <w:pStyle w:val="a9"/>
        <w:spacing w:beforeLines="100" w:before="312" w:afterLines="150" w:after="468" w:line="360" w:lineRule="auto"/>
        <w:jc w:val="center"/>
        <w:rPr>
          <w:rFonts w:ascii="Arial" w:hAnsi="Arial" w:cs="Arial"/>
          <w:b/>
          <w:bCs/>
          <w:color w:val="auto"/>
          <w:sz w:val="32"/>
          <w:szCs w:val="32"/>
        </w:rPr>
      </w:pPr>
      <w:r w:rsidRPr="007F567A">
        <w:rPr>
          <w:rFonts w:ascii="Arial" w:hAnsi="Arial" w:cs="Arial"/>
          <w:b/>
          <w:bCs/>
          <w:color w:val="auto"/>
          <w:sz w:val="32"/>
          <w:szCs w:val="32"/>
        </w:rPr>
        <w:t xml:space="preserve">Assignment 2: The marketing plan of Hilton: for </w:t>
      </w:r>
      <w:r w:rsidR="00D7193A" w:rsidRPr="007F567A">
        <w:rPr>
          <w:rFonts w:ascii="Arial" w:hAnsi="Arial" w:cs="Arial"/>
          <w:b/>
          <w:bCs/>
          <w:color w:val="auto"/>
          <w:sz w:val="32"/>
          <w:szCs w:val="32"/>
        </w:rPr>
        <w:t>COVID</w:t>
      </w:r>
      <w:r w:rsidRPr="007F567A">
        <w:rPr>
          <w:rFonts w:ascii="Arial" w:hAnsi="Arial" w:cs="Arial"/>
          <w:b/>
          <w:bCs/>
          <w:color w:val="auto"/>
          <w:sz w:val="32"/>
          <w:szCs w:val="32"/>
        </w:rPr>
        <w:t xml:space="preserve">-19 and challenges beyond </w:t>
      </w:r>
      <w:r w:rsidR="00D7193A" w:rsidRPr="007F567A">
        <w:rPr>
          <w:rFonts w:ascii="Arial" w:hAnsi="Arial" w:cs="Arial"/>
          <w:b/>
          <w:bCs/>
          <w:color w:val="auto"/>
          <w:sz w:val="32"/>
          <w:szCs w:val="32"/>
        </w:rPr>
        <w:t>COVID</w:t>
      </w:r>
      <w:r w:rsidRPr="007F567A">
        <w:rPr>
          <w:rFonts w:ascii="Arial" w:hAnsi="Arial" w:cs="Arial"/>
          <w:b/>
          <w:bCs/>
          <w:color w:val="auto"/>
          <w:sz w:val="32"/>
          <w:szCs w:val="32"/>
        </w:rPr>
        <w:t>-19</w:t>
      </w:r>
    </w:p>
    <w:p w14:paraId="70995EBD" w14:textId="46D47F28" w:rsidR="007F567A" w:rsidRDefault="007F567A" w:rsidP="007F567A"/>
    <w:p w14:paraId="611EFD2B" w14:textId="7CE33A14" w:rsidR="007F567A" w:rsidRDefault="007F567A" w:rsidP="007F567A"/>
    <w:p w14:paraId="3437FAD7" w14:textId="629EE165" w:rsidR="007F567A" w:rsidRDefault="007F567A" w:rsidP="007F567A"/>
    <w:p w14:paraId="216C88AF" w14:textId="77777777" w:rsidR="007F567A" w:rsidRPr="007F567A" w:rsidRDefault="007F567A" w:rsidP="007F567A">
      <w:pPr>
        <w:jc w:val="center"/>
        <w:rPr>
          <w:rFonts w:ascii="Arial" w:hAnsi="Arial" w:cs="Arial"/>
          <w:sz w:val="32"/>
          <w:szCs w:val="32"/>
        </w:rPr>
      </w:pPr>
      <w:r w:rsidRPr="007F567A">
        <w:rPr>
          <w:rFonts w:ascii="Arial" w:hAnsi="Arial" w:cs="Arial"/>
          <w:sz w:val="32"/>
          <w:szCs w:val="32"/>
        </w:rPr>
        <w:t>Module Code: BMBM6016</w:t>
      </w:r>
    </w:p>
    <w:p w14:paraId="5BC45F77" w14:textId="77777777" w:rsidR="007F567A" w:rsidRPr="007F567A" w:rsidRDefault="007F567A" w:rsidP="007F567A">
      <w:pPr>
        <w:jc w:val="center"/>
        <w:rPr>
          <w:rFonts w:ascii="Arial" w:hAnsi="Arial" w:cs="Arial"/>
          <w:sz w:val="32"/>
          <w:szCs w:val="32"/>
        </w:rPr>
      </w:pPr>
      <w:r w:rsidRPr="007F567A">
        <w:rPr>
          <w:rFonts w:ascii="Arial" w:hAnsi="Arial" w:cs="Arial"/>
          <w:sz w:val="32"/>
          <w:szCs w:val="32"/>
        </w:rPr>
        <w:t>Name: BOTAO WU</w:t>
      </w:r>
    </w:p>
    <w:p w14:paraId="178F336C" w14:textId="039B990B" w:rsidR="007F567A" w:rsidRPr="007F567A" w:rsidRDefault="007F567A" w:rsidP="007F567A">
      <w:pPr>
        <w:jc w:val="center"/>
        <w:rPr>
          <w:rFonts w:ascii="Arial" w:hAnsi="Arial" w:cs="Arial"/>
          <w:sz w:val="32"/>
          <w:szCs w:val="32"/>
        </w:rPr>
      </w:pPr>
      <w:r w:rsidRPr="007F567A">
        <w:rPr>
          <w:rFonts w:ascii="Arial" w:hAnsi="Arial" w:cs="Arial"/>
          <w:sz w:val="32"/>
          <w:szCs w:val="32"/>
        </w:rPr>
        <w:t>Student ID: 2102968</w:t>
      </w:r>
    </w:p>
    <w:p w14:paraId="0CC029AE" w14:textId="6BB46BE1" w:rsidR="007F567A" w:rsidRPr="007F567A" w:rsidRDefault="007F567A" w:rsidP="007F567A">
      <w:pPr>
        <w:jc w:val="center"/>
        <w:rPr>
          <w:rFonts w:ascii="Arial" w:hAnsi="Arial" w:cs="Arial"/>
          <w:sz w:val="32"/>
          <w:szCs w:val="32"/>
        </w:rPr>
      </w:pPr>
      <w:r w:rsidRPr="007F567A">
        <w:rPr>
          <w:rFonts w:ascii="Arial" w:hAnsi="Arial" w:cs="Arial"/>
          <w:sz w:val="32"/>
          <w:szCs w:val="32"/>
        </w:rPr>
        <w:t>Lecturer name: LISA KNIGHT</w:t>
      </w:r>
    </w:p>
    <w:p w14:paraId="46CCC993" w14:textId="395DE4F8" w:rsidR="007F567A" w:rsidRPr="007F567A" w:rsidRDefault="004626F7" w:rsidP="004626F7">
      <w:pPr>
        <w:spacing w:beforeLines="100" w:before="312" w:afterLines="150" w:after="468" w:line="360" w:lineRule="auto"/>
        <w:rPr>
          <w:rFonts w:ascii="Arial" w:hAnsi="Arial" w:cs="Arial"/>
          <w:sz w:val="32"/>
          <w:szCs w:val="32"/>
        </w:rPr>
      </w:pPr>
      <w:r>
        <w:rPr>
          <w:rFonts w:ascii="Arial" w:hAnsi="Arial" w:cs="Arial"/>
          <w:sz w:val="32"/>
          <w:szCs w:val="32"/>
        </w:rPr>
        <w:br w:type="page"/>
      </w:r>
    </w:p>
    <w:sdt>
      <w:sdtPr>
        <w:rPr>
          <w:caps w:val="0"/>
          <w:color w:val="auto"/>
          <w:spacing w:val="0"/>
          <w:sz w:val="20"/>
          <w:szCs w:val="20"/>
          <w:lang w:val="zh-CN"/>
        </w:rPr>
        <w:id w:val="-1966340901"/>
        <w:docPartObj>
          <w:docPartGallery w:val="Table of Contents"/>
          <w:docPartUnique/>
        </w:docPartObj>
      </w:sdtPr>
      <w:sdtEndPr>
        <w:rPr>
          <w:b/>
          <w:bCs/>
        </w:rPr>
      </w:sdtEndPr>
      <w:sdtContent>
        <w:p w14:paraId="403BF255" w14:textId="395DE4F8" w:rsidR="004626F7" w:rsidRDefault="004626F7" w:rsidP="004626F7">
          <w:pPr>
            <w:pStyle w:val="TOC"/>
            <w:spacing w:beforeLines="100" w:before="312" w:afterLines="150" w:after="468" w:line="360" w:lineRule="auto"/>
          </w:pPr>
          <w:r>
            <w:rPr>
              <w:rFonts w:hint="eastAsia"/>
              <w:lang w:val="zh-CN"/>
            </w:rPr>
            <w:t>C</w:t>
          </w:r>
          <w:r>
            <w:rPr>
              <w:lang w:val="zh-CN"/>
            </w:rPr>
            <w:t>ontents Page</w:t>
          </w:r>
        </w:p>
        <w:p w14:paraId="1F63B903" w14:textId="61757A9A" w:rsidR="004626F7" w:rsidRPr="004626F7" w:rsidRDefault="004626F7" w:rsidP="004626F7">
          <w:pPr>
            <w:pStyle w:val="TOC1"/>
            <w:tabs>
              <w:tab w:val="right" w:leader="dot" w:pos="9736"/>
            </w:tabs>
            <w:spacing w:beforeLines="100" w:before="312" w:afterLines="150" w:after="468" w:line="360" w:lineRule="auto"/>
            <w:rPr>
              <w:rFonts w:ascii="Arial" w:hAnsi="Arial" w:cs="Arial"/>
              <w:noProof/>
              <w:sz w:val="22"/>
              <w:szCs w:val="22"/>
            </w:rPr>
          </w:pPr>
          <w:r w:rsidRPr="004626F7">
            <w:rPr>
              <w:rFonts w:ascii="Arial" w:hAnsi="Arial" w:cs="Arial"/>
              <w:sz w:val="22"/>
              <w:szCs w:val="22"/>
            </w:rPr>
            <w:fldChar w:fldCharType="begin"/>
          </w:r>
          <w:r w:rsidRPr="004626F7">
            <w:rPr>
              <w:rFonts w:ascii="Arial" w:hAnsi="Arial" w:cs="Arial"/>
              <w:sz w:val="22"/>
              <w:szCs w:val="22"/>
            </w:rPr>
            <w:instrText xml:space="preserve"> TOC \o "1-3" \h \z \u </w:instrText>
          </w:r>
          <w:r w:rsidRPr="004626F7">
            <w:rPr>
              <w:rFonts w:ascii="Arial" w:hAnsi="Arial" w:cs="Arial"/>
              <w:sz w:val="22"/>
              <w:szCs w:val="22"/>
            </w:rPr>
            <w:fldChar w:fldCharType="separate"/>
          </w:r>
          <w:hyperlink w:anchor="_Toc102165709" w:history="1">
            <w:r w:rsidRPr="004626F7">
              <w:rPr>
                <w:rStyle w:val="afa"/>
                <w:rFonts w:ascii="Arial" w:hAnsi="Arial" w:cs="Arial"/>
                <w:noProof/>
                <w:sz w:val="22"/>
                <w:szCs w:val="22"/>
              </w:rPr>
              <w:t>Executive Summary</w:t>
            </w:r>
            <w:r w:rsidRPr="004626F7">
              <w:rPr>
                <w:rFonts w:ascii="Arial" w:hAnsi="Arial" w:cs="Arial"/>
                <w:noProof/>
                <w:webHidden/>
                <w:sz w:val="22"/>
                <w:szCs w:val="22"/>
              </w:rPr>
              <w:tab/>
            </w:r>
            <w:r w:rsidRPr="004626F7">
              <w:rPr>
                <w:rFonts w:ascii="Arial" w:hAnsi="Arial" w:cs="Arial"/>
                <w:noProof/>
                <w:webHidden/>
                <w:sz w:val="22"/>
                <w:szCs w:val="22"/>
              </w:rPr>
              <w:fldChar w:fldCharType="begin"/>
            </w:r>
            <w:r w:rsidRPr="004626F7">
              <w:rPr>
                <w:rFonts w:ascii="Arial" w:hAnsi="Arial" w:cs="Arial"/>
                <w:noProof/>
                <w:webHidden/>
                <w:sz w:val="22"/>
                <w:szCs w:val="22"/>
              </w:rPr>
              <w:instrText xml:space="preserve"> PAGEREF _Toc102165709 \h </w:instrText>
            </w:r>
            <w:r w:rsidRPr="004626F7">
              <w:rPr>
                <w:rFonts w:ascii="Arial" w:hAnsi="Arial" w:cs="Arial"/>
                <w:noProof/>
                <w:webHidden/>
                <w:sz w:val="22"/>
                <w:szCs w:val="22"/>
              </w:rPr>
            </w:r>
            <w:r w:rsidRPr="004626F7">
              <w:rPr>
                <w:rFonts w:ascii="Arial" w:hAnsi="Arial" w:cs="Arial"/>
                <w:noProof/>
                <w:webHidden/>
                <w:sz w:val="22"/>
                <w:szCs w:val="22"/>
              </w:rPr>
              <w:fldChar w:fldCharType="separate"/>
            </w:r>
            <w:r w:rsidR="0028248C">
              <w:rPr>
                <w:rFonts w:ascii="Arial" w:hAnsi="Arial" w:cs="Arial"/>
                <w:noProof/>
                <w:webHidden/>
                <w:sz w:val="22"/>
                <w:szCs w:val="22"/>
              </w:rPr>
              <w:t>1</w:t>
            </w:r>
            <w:r w:rsidRPr="004626F7">
              <w:rPr>
                <w:rFonts w:ascii="Arial" w:hAnsi="Arial" w:cs="Arial"/>
                <w:noProof/>
                <w:webHidden/>
                <w:sz w:val="22"/>
                <w:szCs w:val="22"/>
              </w:rPr>
              <w:fldChar w:fldCharType="end"/>
            </w:r>
          </w:hyperlink>
        </w:p>
        <w:p w14:paraId="4FBD7677" w14:textId="1591D2B7" w:rsidR="004626F7" w:rsidRPr="004626F7" w:rsidRDefault="00A4278A" w:rsidP="004626F7">
          <w:pPr>
            <w:pStyle w:val="TOC1"/>
            <w:tabs>
              <w:tab w:val="left" w:pos="420"/>
              <w:tab w:val="right" w:leader="dot" w:pos="9736"/>
            </w:tabs>
            <w:spacing w:beforeLines="100" w:before="312" w:afterLines="150" w:after="468" w:line="360" w:lineRule="auto"/>
            <w:rPr>
              <w:rFonts w:ascii="Arial" w:hAnsi="Arial" w:cs="Arial"/>
              <w:noProof/>
              <w:sz w:val="22"/>
              <w:szCs w:val="22"/>
            </w:rPr>
          </w:pPr>
          <w:hyperlink w:anchor="_Toc102165710" w:history="1">
            <w:r w:rsidR="004626F7" w:rsidRPr="004626F7">
              <w:rPr>
                <w:rStyle w:val="afa"/>
                <w:rFonts w:ascii="Arial" w:hAnsi="Arial" w:cs="Arial"/>
                <w:noProof/>
                <w:sz w:val="22"/>
                <w:szCs w:val="22"/>
              </w:rPr>
              <w:t>1.</w:t>
            </w:r>
            <w:r w:rsidR="004626F7" w:rsidRPr="004626F7">
              <w:rPr>
                <w:rFonts w:ascii="Arial" w:hAnsi="Arial" w:cs="Arial"/>
                <w:noProof/>
                <w:sz w:val="22"/>
                <w:szCs w:val="22"/>
              </w:rPr>
              <w:tab/>
            </w:r>
            <w:r w:rsidR="004626F7" w:rsidRPr="004626F7">
              <w:rPr>
                <w:rStyle w:val="afa"/>
                <w:rFonts w:ascii="Arial" w:hAnsi="Arial" w:cs="Arial"/>
                <w:noProof/>
                <w:sz w:val="22"/>
                <w:szCs w:val="22"/>
              </w:rPr>
              <w:t>Introduction</w:t>
            </w:r>
            <w:r w:rsidR="004626F7" w:rsidRPr="004626F7">
              <w:rPr>
                <w:rFonts w:ascii="Arial" w:hAnsi="Arial" w:cs="Arial"/>
                <w:noProof/>
                <w:webHidden/>
                <w:sz w:val="22"/>
                <w:szCs w:val="22"/>
              </w:rPr>
              <w:tab/>
            </w:r>
            <w:r w:rsidR="004626F7" w:rsidRPr="004626F7">
              <w:rPr>
                <w:rFonts w:ascii="Arial" w:hAnsi="Arial" w:cs="Arial"/>
                <w:noProof/>
                <w:webHidden/>
                <w:sz w:val="22"/>
                <w:szCs w:val="22"/>
              </w:rPr>
              <w:fldChar w:fldCharType="begin"/>
            </w:r>
            <w:r w:rsidR="004626F7" w:rsidRPr="004626F7">
              <w:rPr>
                <w:rFonts w:ascii="Arial" w:hAnsi="Arial" w:cs="Arial"/>
                <w:noProof/>
                <w:webHidden/>
                <w:sz w:val="22"/>
                <w:szCs w:val="22"/>
              </w:rPr>
              <w:instrText xml:space="preserve"> PAGEREF _Toc102165710 \h </w:instrText>
            </w:r>
            <w:r w:rsidR="004626F7" w:rsidRPr="004626F7">
              <w:rPr>
                <w:rFonts w:ascii="Arial" w:hAnsi="Arial" w:cs="Arial"/>
                <w:noProof/>
                <w:webHidden/>
                <w:sz w:val="22"/>
                <w:szCs w:val="22"/>
              </w:rPr>
            </w:r>
            <w:r w:rsidR="004626F7" w:rsidRPr="004626F7">
              <w:rPr>
                <w:rFonts w:ascii="Arial" w:hAnsi="Arial" w:cs="Arial"/>
                <w:noProof/>
                <w:webHidden/>
                <w:sz w:val="22"/>
                <w:szCs w:val="22"/>
              </w:rPr>
              <w:fldChar w:fldCharType="separate"/>
            </w:r>
            <w:r w:rsidR="0028248C">
              <w:rPr>
                <w:rFonts w:ascii="Arial" w:hAnsi="Arial" w:cs="Arial"/>
                <w:noProof/>
                <w:webHidden/>
                <w:sz w:val="22"/>
                <w:szCs w:val="22"/>
              </w:rPr>
              <w:t>1</w:t>
            </w:r>
            <w:r w:rsidR="004626F7" w:rsidRPr="004626F7">
              <w:rPr>
                <w:rFonts w:ascii="Arial" w:hAnsi="Arial" w:cs="Arial"/>
                <w:noProof/>
                <w:webHidden/>
                <w:sz w:val="22"/>
                <w:szCs w:val="22"/>
              </w:rPr>
              <w:fldChar w:fldCharType="end"/>
            </w:r>
          </w:hyperlink>
        </w:p>
        <w:p w14:paraId="32768CEC" w14:textId="3656461A" w:rsidR="004626F7" w:rsidRPr="004626F7" w:rsidRDefault="00A4278A" w:rsidP="004626F7">
          <w:pPr>
            <w:pStyle w:val="TOC1"/>
            <w:tabs>
              <w:tab w:val="left" w:pos="420"/>
              <w:tab w:val="right" w:leader="dot" w:pos="9736"/>
            </w:tabs>
            <w:spacing w:beforeLines="100" w:before="312" w:afterLines="150" w:after="468" w:line="360" w:lineRule="auto"/>
            <w:rPr>
              <w:rFonts w:ascii="Arial" w:hAnsi="Arial" w:cs="Arial"/>
              <w:noProof/>
              <w:sz w:val="22"/>
              <w:szCs w:val="22"/>
            </w:rPr>
          </w:pPr>
          <w:hyperlink w:anchor="_Toc102165711" w:history="1">
            <w:r w:rsidR="004626F7" w:rsidRPr="004626F7">
              <w:rPr>
                <w:rStyle w:val="afa"/>
                <w:rFonts w:ascii="Arial" w:hAnsi="Arial" w:cs="Arial"/>
                <w:noProof/>
                <w:sz w:val="22"/>
                <w:szCs w:val="22"/>
              </w:rPr>
              <w:t>2.</w:t>
            </w:r>
            <w:r w:rsidR="004626F7" w:rsidRPr="004626F7">
              <w:rPr>
                <w:rFonts w:ascii="Arial" w:hAnsi="Arial" w:cs="Arial"/>
                <w:noProof/>
                <w:sz w:val="22"/>
                <w:szCs w:val="22"/>
              </w:rPr>
              <w:tab/>
            </w:r>
            <w:r w:rsidR="004626F7" w:rsidRPr="004626F7">
              <w:rPr>
                <w:rStyle w:val="afa"/>
                <w:rFonts w:ascii="Arial" w:hAnsi="Arial" w:cs="Arial"/>
                <w:noProof/>
                <w:sz w:val="22"/>
                <w:szCs w:val="22"/>
              </w:rPr>
              <w:t>SOSTAC Marketing Planning</w:t>
            </w:r>
            <w:r w:rsidR="004626F7" w:rsidRPr="004626F7">
              <w:rPr>
                <w:rFonts w:ascii="Arial" w:hAnsi="Arial" w:cs="Arial"/>
                <w:noProof/>
                <w:webHidden/>
                <w:sz w:val="22"/>
                <w:szCs w:val="22"/>
              </w:rPr>
              <w:tab/>
            </w:r>
            <w:r w:rsidR="004626F7" w:rsidRPr="004626F7">
              <w:rPr>
                <w:rFonts w:ascii="Arial" w:hAnsi="Arial" w:cs="Arial"/>
                <w:noProof/>
                <w:webHidden/>
                <w:sz w:val="22"/>
                <w:szCs w:val="22"/>
              </w:rPr>
              <w:fldChar w:fldCharType="begin"/>
            </w:r>
            <w:r w:rsidR="004626F7" w:rsidRPr="004626F7">
              <w:rPr>
                <w:rFonts w:ascii="Arial" w:hAnsi="Arial" w:cs="Arial"/>
                <w:noProof/>
                <w:webHidden/>
                <w:sz w:val="22"/>
                <w:szCs w:val="22"/>
              </w:rPr>
              <w:instrText xml:space="preserve"> PAGEREF _Toc102165711 \h </w:instrText>
            </w:r>
            <w:r w:rsidR="004626F7" w:rsidRPr="004626F7">
              <w:rPr>
                <w:rFonts w:ascii="Arial" w:hAnsi="Arial" w:cs="Arial"/>
                <w:noProof/>
                <w:webHidden/>
                <w:sz w:val="22"/>
                <w:szCs w:val="22"/>
              </w:rPr>
            </w:r>
            <w:r w:rsidR="004626F7" w:rsidRPr="004626F7">
              <w:rPr>
                <w:rFonts w:ascii="Arial" w:hAnsi="Arial" w:cs="Arial"/>
                <w:noProof/>
                <w:webHidden/>
                <w:sz w:val="22"/>
                <w:szCs w:val="22"/>
              </w:rPr>
              <w:fldChar w:fldCharType="separate"/>
            </w:r>
            <w:r w:rsidR="0028248C">
              <w:rPr>
                <w:rFonts w:ascii="Arial" w:hAnsi="Arial" w:cs="Arial"/>
                <w:noProof/>
                <w:webHidden/>
                <w:sz w:val="22"/>
                <w:szCs w:val="22"/>
              </w:rPr>
              <w:t>3</w:t>
            </w:r>
            <w:r w:rsidR="004626F7" w:rsidRPr="004626F7">
              <w:rPr>
                <w:rFonts w:ascii="Arial" w:hAnsi="Arial" w:cs="Arial"/>
                <w:noProof/>
                <w:webHidden/>
                <w:sz w:val="22"/>
                <w:szCs w:val="22"/>
              </w:rPr>
              <w:fldChar w:fldCharType="end"/>
            </w:r>
          </w:hyperlink>
        </w:p>
        <w:p w14:paraId="0908FD79" w14:textId="029E9370" w:rsidR="004626F7" w:rsidRPr="004626F7" w:rsidRDefault="00A4278A" w:rsidP="004626F7">
          <w:pPr>
            <w:pStyle w:val="TOC2"/>
            <w:tabs>
              <w:tab w:val="left" w:pos="1050"/>
              <w:tab w:val="right" w:leader="dot" w:pos="9736"/>
            </w:tabs>
            <w:spacing w:beforeLines="100" w:before="312" w:afterLines="150" w:after="468" w:line="360" w:lineRule="auto"/>
            <w:ind w:left="400"/>
            <w:rPr>
              <w:rFonts w:ascii="Arial" w:hAnsi="Arial" w:cs="Arial"/>
              <w:noProof/>
              <w:sz w:val="22"/>
              <w:szCs w:val="22"/>
            </w:rPr>
          </w:pPr>
          <w:hyperlink w:anchor="_Toc102165712" w:history="1">
            <w:r w:rsidR="004626F7" w:rsidRPr="004626F7">
              <w:rPr>
                <w:rStyle w:val="afa"/>
                <w:rFonts w:ascii="Arial" w:hAnsi="Arial" w:cs="Arial"/>
                <w:noProof/>
                <w:sz w:val="22"/>
                <w:szCs w:val="22"/>
              </w:rPr>
              <w:t>2.1</w:t>
            </w:r>
            <w:r w:rsidR="004626F7" w:rsidRPr="004626F7">
              <w:rPr>
                <w:rFonts w:ascii="Arial" w:hAnsi="Arial" w:cs="Arial"/>
                <w:noProof/>
                <w:sz w:val="22"/>
                <w:szCs w:val="22"/>
              </w:rPr>
              <w:tab/>
            </w:r>
            <w:r w:rsidR="004626F7" w:rsidRPr="004626F7">
              <w:rPr>
                <w:rStyle w:val="afa"/>
                <w:rFonts w:ascii="Arial" w:hAnsi="Arial" w:cs="Arial"/>
                <w:noProof/>
                <w:sz w:val="22"/>
                <w:szCs w:val="22"/>
              </w:rPr>
              <w:t>Situation</w:t>
            </w:r>
            <w:r w:rsidR="004626F7" w:rsidRPr="004626F7">
              <w:rPr>
                <w:rFonts w:ascii="Arial" w:hAnsi="Arial" w:cs="Arial"/>
                <w:noProof/>
                <w:webHidden/>
                <w:sz w:val="22"/>
                <w:szCs w:val="22"/>
              </w:rPr>
              <w:tab/>
            </w:r>
            <w:r w:rsidR="004626F7" w:rsidRPr="004626F7">
              <w:rPr>
                <w:rFonts w:ascii="Arial" w:hAnsi="Arial" w:cs="Arial"/>
                <w:noProof/>
                <w:webHidden/>
                <w:sz w:val="22"/>
                <w:szCs w:val="22"/>
              </w:rPr>
              <w:fldChar w:fldCharType="begin"/>
            </w:r>
            <w:r w:rsidR="004626F7" w:rsidRPr="004626F7">
              <w:rPr>
                <w:rFonts w:ascii="Arial" w:hAnsi="Arial" w:cs="Arial"/>
                <w:noProof/>
                <w:webHidden/>
                <w:sz w:val="22"/>
                <w:szCs w:val="22"/>
              </w:rPr>
              <w:instrText xml:space="preserve"> PAGEREF _Toc102165712 \h </w:instrText>
            </w:r>
            <w:r w:rsidR="004626F7" w:rsidRPr="004626F7">
              <w:rPr>
                <w:rFonts w:ascii="Arial" w:hAnsi="Arial" w:cs="Arial"/>
                <w:noProof/>
                <w:webHidden/>
                <w:sz w:val="22"/>
                <w:szCs w:val="22"/>
              </w:rPr>
            </w:r>
            <w:r w:rsidR="004626F7" w:rsidRPr="004626F7">
              <w:rPr>
                <w:rFonts w:ascii="Arial" w:hAnsi="Arial" w:cs="Arial"/>
                <w:noProof/>
                <w:webHidden/>
                <w:sz w:val="22"/>
                <w:szCs w:val="22"/>
              </w:rPr>
              <w:fldChar w:fldCharType="separate"/>
            </w:r>
            <w:r w:rsidR="0028248C">
              <w:rPr>
                <w:rFonts w:ascii="Arial" w:hAnsi="Arial" w:cs="Arial"/>
                <w:noProof/>
                <w:webHidden/>
                <w:sz w:val="22"/>
                <w:szCs w:val="22"/>
              </w:rPr>
              <w:t>3</w:t>
            </w:r>
            <w:r w:rsidR="004626F7" w:rsidRPr="004626F7">
              <w:rPr>
                <w:rFonts w:ascii="Arial" w:hAnsi="Arial" w:cs="Arial"/>
                <w:noProof/>
                <w:webHidden/>
                <w:sz w:val="22"/>
                <w:szCs w:val="22"/>
              </w:rPr>
              <w:fldChar w:fldCharType="end"/>
            </w:r>
          </w:hyperlink>
        </w:p>
        <w:p w14:paraId="38F0C63A" w14:textId="2098F232" w:rsidR="004626F7" w:rsidRPr="004626F7" w:rsidRDefault="00A4278A" w:rsidP="004626F7">
          <w:pPr>
            <w:pStyle w:val="TOC2"/>
            <w:tabs>
              <w:tab w:val="left" w:pos="1050"/>
              <w:tab w:val="right" w:leader="dot" w:pos="9736"/>
            </w:tabs>
            <w:spacing w:beforeLines="100" w:before="312" w:afterLines="150" w:after="468" w:line="360" w:lineRule="auto"/>
            <w:ind w:left="400"/>
            <w:rPr>
              <w:rFonts w:ascii="Arial" w:hAnsi="Arial" w:cs="Arial"/>
              <w:noProof/>
              <w:sz w:val="22"/>
              <w:szCs w:val="22"/>
            </w:rPr>
          </w:pPr>
          <w:hyperlink w:anchor="_Toc102165713" w:history="1">
            <w:r w:rsidR="004626F7" w:rsidRPr="004626F7">
              <w:rPr>
                <w:rStyle w:val="afa"/>
                <w:rFonts w:ascii="Arial" w:hAnsi="Arial" w:cs="Arial"/>
                <w:noProof/>
                <w:sz w:val="22"/>
                <w:szCs w:val="22"/>
              </w:rPr>
              <w:t>2.2</w:t>
            </w:r>
            <w:r w:rsidR="004626F7" w:rsidRPr="004626F7">
              <w:rPr>
                <w:rFonts w:ascii="Arial" w:hAnsi="Arial" w:cs="Arial"/>
                <w:noProof/>
                <w:sz w:val="22"/>
                <w:szCs w:val="22"/>
              </w:rPr>
              <w:tab/>
            </w:r>
            <w:r w:rsidR="004626F7" w:rsidRPr="004626F7">
              <w:rPr>
                <w:rStyle w:val="afa"/>
                <w:rFonts w:ascii="Arial" w:hAnsi="Arial" w:cs="Arial"/>
                <w:noProof/>
                <w:sz w:val="22"/>
                <w:szCs w:val="22"/>
              </w:rPr>
              <w:t>Objective</w:t>
            </w:r>
            <w:r w:rsidR="004626F7" w:rsidRPr="004626F7">
              <w:rPr>
                <w:rFonts w:ascii="Arial" w:hAnsi="Arial" w:cs="Arial"/>
                <w:noProof/>
                <w:webHidden/>
                <w:sz w:val="22"/>
                <w:szCs w:val="22"/>
              </w:rPr>
              <w:tab/>
            </w:r>
            <w:r w:rsidR="004626F7" w:rsidRPr="004626F7">
              <w:rPr>
                <w:rFonts w:ascii="Arial" w:hAnsi="Arial" w:cs="Arial"/>
                <w:noProof/>
                <w:webHidden/>
                <w:sz w:val="22"/>
                <w:szCs w:val="22"/>
              </w:rPr>
              <w:fldChar w:fldCharType="begin"/>
            </w:r>
            <w:r w:rsidR="004626F7" w:rsidRPr="004626F7">
              <w:rPr>
                <w:rFonts w:ascii="Arial" w:hAnsi="Arial" w:cs="Arial"/>
                <w:noProof/>
                <w:webHidden/>
                <w:sz w:val="22"/>
                <w:szCs w:val="22"/>
              </w:rPr>
              <w:instrText xml:space="preserve"> PAGEREF _Toc102165713 \h </w:instrText>
            </w:r>
            <w:r w:rsidR="004626F7" w:rsidRPr="004626F7">
              <w:rPr>
                <w:rFonts w:ascii="Arial" w:hAnsi="Arial" w:cs="Arial"/>
                <w:noProof/>
                <w:webHidden/>
                <w:sz w:val="22"/>
                <w:szCs w:val="22"/>
              </w:rPr>
            </w:r>
            <w:r w:rsidR="004626F7" w:rsidRPr="004626F7">
              <w:rPr>
                <w:rFonts w:ascii="Arial" w:hAnsi="Arial" w:cs="Arial"/>
                <w:noProof/>
                <w:webHidden/>
                <w:sz w:val="22"/>
                <w:szCs w:val="22"/>
              </w:rPr>
              <w:fldChar w:fldCharType="separate"/>
            </w:r>
            <w:r w:rsidR="0028248C">
              <w:rPr>
                <w:rFonts w:ascii="Arial" w:hAnsi="Arial" w:cs="Arial"/>
                <w:noProof/>
                <w:webHidden/>
                <w:sz w:val="22"/>
                <w:szCs w:val="22"/>
              </w:rPr>
              <w:t>5</w:t>
            </w:r>
            <w:r w:rsidR="004626F7" w:rsidRPr="004626F7">
              <w:rPr>
                <w:rFonts w:ascii="Arial" w:hAnsi="Arial" w:cs="Arial"/>
                <w:noProof/>
                <w:webHidden/>
                <w:sz w:val="22"/>
                <w:szCs w:val="22"/>
              </w:rPr>
              <w:fldChar w:fldCharType="end"/>
            </w:r>
          </w:hyperlink>
        </w:p>
        <w:p w14:paraId="07F16C8D" w14:textId="05ABA446" w:rsidR="004626F7" w:rsidRPr="004626F7" w:rsidRDefault="00A4278A" w:rsidP="004626F7">
          <w:pPr>
            <w:pStyle w:val="TOC2"/>
            <w:tabs>
              <w:tab w:val="left" w:pos="1050"/>
              <w:tab w:val="right" w:leader="dot" w:pos="9736"/>
            </w:tabs>
            <w:spacing w:beforeLines="100" w:before="312" w:afterLines="150" w:after="468" w:line="360" w:lineRule="auto"/>
            <w:ind w:left="400"/>
            <w:rPr>
              <w:rFonts w:ascii="Arial" w:hAnsi="Arial" w:cs="Arial"/>
              <w:noProof/>
              <w:sz w:val="22"/>
              <w:szCs w:val="22"/>
            </w:rPr>
          </w:pPr>
          <w:hyperlink w:anchor="_Toc102165714" w:history="1">
            <w:r w:rsidR="004626F7" w:rsidRPr="004626F7">
              <w:rPr>
                <w:rStyle w:val="afa"/>
                <w:rFonts w:ascii="Arial" w:hAnsi="Arial" w:cs="Arial"/>
                <w:noProof/>
                <w:sz w:val="22"/>
                <w:szCs w:val="22"/>
              </w:rPr>
              <w:t>2.3</w:t>
            </w:r>
            <w:r w:rsidR="004626F7" w:rsidRPr="004626F7">
              <w:rPr>
                <w:rFonts w:ascii="Arial" w:hAnsi="Arial" w:cs="Arial"/>
                <w:noProof/>
                <w:sz w:val="22"/>
                <w:szCs w:val="22"/>
              </w:rPr>
              <w:tab/>
            </w:r>
            <w:r w:rsidR="004626F7" w:rsidRPr="004626F7">
              <w:rPr>
                <w:rStyle w:val="afa"/>
                <w:rFonts w:ascii="Arial" w:hAnsi="Arial" w:cs="Arial"/>
                <w:noProof/>
                <w:sz w:val="22"/>
                <w:szCs w:val="22"/>
              </w:rPr>
              <w:t>Strategy</w:t>
            </w:r>
            <w:r w:rsidR="004626F7" w:rsidRPr="004626F7">
              <w:rPr>
                <w:rFonts w:ascii="Arial" w:hAnsi="Arial" w:cs="Arial"/>
                <w:noProof/>
                <w:webHidden/>
                <w:sz w:val="22"/>
                <w:szCs w:val="22"/>
              </w:rPr>
              <w:tab/>
            </w:r>
            <w:r w:rsidR="004626F7" w:rsidRPr="004626F7">
              <w:rPr>
                <w:rFonts w:ascii="Arial" w:hAnsi="Arial" w:cs="Arial"/>
                <w:noProof/>
                <w:webHidden/>
                <w:sz w:val="22"/>
                <w:szCs w:val="22"/>
              </w:rPr>
              <w:fldChar w:fldCharType="begin"/>
            </w:r>
            <w:r w:rsidR="004626F7" w:rsidRPr="004626F7">
              <w:rPr>
                <w:rFonts w:ascii="Arial" w:hAnsi="Arial" w:cs="Arial"/>
                <w:noProof/>
                <w:webHidden/>
                <w:sz w:val="22"/>
                <w:szCs w:val="22"/>
              </w:rPr>
              <w:instrText xml:space="preserve"> PAGEREF _Toc102165714 \h </w:instrText>
            </w:r>
            <w:r w:rsidR="004626F7" w:rsidRPr="004626F7">
              <w:rPr>
                <w:rFonts w:ascii="Arial" w:hAnsi="Arial" w:cs="Arial"/>
                <w:noProof/>
                <w:webHidden/>
                <w:sz w:val="22"/>
                <w:szCs w:val="22"/>
              </w:rPr>
            </w:r>
            <w:r w:rsidR="004626F7" w:rsidRPr="004626F7">
              <w:rPr>
                <w:rFonts w:ascii="Arial" w:hAnsi="Arial" w:cs="Arial"/>
                <w:noProof/>
                <w:webHidden/>
                <w:sz w:val="22"/>
                <w:szCs w:val="22"/>
              </w:rPr>
              <w:fldChar w:fldCharType="separate"/>
            </w:r>
            <w:r w:rsidR="0028248C">
              <w:rPr>
                <w:rFonts w:ascii="Arial" w:hAnsi="Arial" w:cs="Arial"/>
                <w:noProof/>
                <w:webHidden/>
                <w:sz w:val="22"/>
                <w:szCs w:val="22"/>
              </w:rPr>
              <w:t>7</w:t>
            </w:r>
            <w:r w:rsidR="004626F7" w:rsidRPr="004626F7">
              <w:rPr>
                <w:rFonts w:ascii="Arial" w:hAnsi="Arial" w:cs="Arial"/>
                <w:noProof/>
                <w:webHidden/>
                <w:sz w:val="22"/>
                <w:szCs w:val="22"/>
              </w:rPr>
              <w:fldChar w:fldCharType="end"/>
            </w:r>
          </w:hyperlink>
        </w:p>
        <w:p w14:paraId="53DE09A7" w14:textId="6C5A2107" w:rsidR="004626F7" w:rsidRPr="004626F7" w:rsidRDefault="00A4278A" w:rsidP="004626F7">
          <w:pPr>
            <w:pStyle w:val="TOC2"/>
            <w:tabs>
              <w:tab w:val="left" w:pos="1050"/>
              <w:tab w:val="right" w:leader="dot" w:pos="9736"/>
            </w:tabs>
            <w:spacing w:beforeLines="100" w:before="312" w:afterLines="150" w:after="468" w:line="360" w:lineRule="auto"/>
            <w:ind w:left="400"/>
            <w:rPr>
              <w:rFonts w:ascii="Arial" w:hAnsi="Arial" w:cs="Arial"/>
              <w:noProof/>
              <w:sz w:val="22"/>
              <w:szCs w:val="22"/>
            </w:rPr>
          </w:pPr>
          <w:hyperlink w:anchor="_Toc102165715" w:history="1">
            <w:r w:rsidR="004626F7" w:rsidRPr="004626F7">
              <w:rPr>
                <w:rStyle w:val="afa"/>
                <w:rFonts w:ascii="Arial" w:hAnsi="Arial" w:cs="Arial"/>
                <w:noProof/>
                <w:sz w:val="22"/>
                <w:szCs w:val="22"/>
              </w:rPr>
              <w:t>2.4</w:t>
            </w:r>
            <w:r w:rsidR="004626F7" w:rsidRPr="004626F7">
              <w:rPr>
                <w:rFonts w:ascii="Arial" w:hAnsi="Arial" w:cs="Arial"/>
                <w:noProof/>
                <w:sz w:val="22"/>
                <w:szCs w:val="22"/>
              </w:rPr>
              <w:tab/>
            </w:r>
            <w:r w:rsidR="004626F7" w:rsidRPr="004626F7">
              <w:rPr>
                <w:rStyle w:val="afa"/>
                <w:rFonts w:ascii="Arial" w:hAnsi="Arial" w:cs="Arial"/>
                <w:noProof/>
                <w:sz w:val="22"/>
                <w:szCs w:val="22"/>
              </w:rPr>
              <w:t>Tactics</w:t>
            </w:r>
            <w:r w:rsidR="004626F7" w:rsidRPr="004626F7">
              <w:rPr>
                <w:rFonts w:ascii="Arial" w:hAnsi="Arial" w:cs="Arial"/>
                <w:noProof/>
                <w:webHidden/>
                <w:sz w:val="22"/>
                <w:szCs w:val="22"/>
              </w:rPr>
              <w:tab/>
            </w:r>
            <w:r w:rsidR="004626F7" w:rsidRPr="004626F7">
              <w:rPr>
                <w:rFonts w:ascii="Arial" w:hAnsi="Arial" w:cs="Arial"/>
                <w:noProof/>
                <w:webHidden/>
                <w:sz w:val="22"/>
                <w:szCs w:val="22"/>
              </w:rPr>
              <w:fldChar w:fldCharType="begin"/>
            </w:r>
            <w:r w:rsidR="004626F7" w:rsidRPr="004626F7">
              <w:rPr>
                <w:rFonts w:ascii="Arial" w:hAnsi="Arial" w:cs="Arial"/>
                <w:noProof/>
                <w:webHidden/>
                <w:sz w:val="22"/>
                <w:szCs w:val="22"/>
              </w:rPr>
              <w:instrText xml:space="preserve"> PAGEREF _Toc102165715 \h </w:instrText>
            </w:r>
            <w:r w:rsidR="004626F7" w:rsidRPr="004626F7">
              <w:rPr>
                <w:rFonts w:ascii="Arial" w:hAnsi="Arial" w:cs="Arial"/>
                <w:noProof/>
                <w:webHidden/>
                <w:sz w:val="22"/>
                <w:szCs w:val="22"/>
              </w:rPr>
            </w:r>
            <w:r w:rsidR="004626F7" w:rsidRPr="004626F7">
              <w:rPr>
                <w:rFonts w:ascii="Arial" w:hAnsi="Arial" w:cs="Arial"/>
                <w:noProof/>
                <w:webHidden/>
                <w:sz w:val="22"/>
                <w:szCs w:val="22"/>
              </w:rPr>
              <w:fldChar w:fldCharType="separate"/>
            </w:r>
            <w:r w:rsidR="0028248C">
              <w:rPr>
                <w:rFonts w:ascii="Arial" w:hAnsi="Arial" w:cs="Arial"/>
                <w:noProof/>
                <w:webHidden/>
                <w:sz w:val="22"/>
                <w:szCs w:val="22"/>
              </w:rPr>
              <w:t>8</w:t>
            </w:r>
            <w:r w:rsidR="004626F7" w:rsidRPr="004626F7">
              <w:rPr>
                <w:rFonts w:ascii="Arial" w:hAnsi="Arial" w:cs="Arial"/>
                <w:noProof/>
                <w:webHidden/>
                <w:sz w:val="22"/>
                <w:szCs w:val="22"/>
              </w:rPr>
              <w:fldChar w:fldCharType="end"/>
            </w:r>
          </w:hyperlink>
        </w:p>
        <w:p w14:paraId="082540DC" w14:textId="3EBCF246" w:rsidR="004626F7" w:rsidRPr="004626F7" w:rsidRDefault="00A4278A" w:rsidP="004626F7">
          <w:pPr>
            <w:pStyle w:val="TOC2"/>
            <w:tabs>
              <w:tab w:val="left" w:pos="1050"/>
              <w:tab w:val="right" w:leader="dot" w:pos="9736"/>
            </w:tabs>
            <w:spacing w:beforeLines="100" w:before="312" w:afterLines="150" w:after="468" w:line="360" w:lineRule="auto"/>
            <w:ind w:left="400"/>
            <w:rPr>
              <w:rFonts w:ascii="Arial" w:hAnsi="Arial" w:cs="Arial"/>
              <w:noProof/>
              <w:sz w:val="22"/>
              <w:szCs w:val="22"/>
            </w:rPr>
          </w:pPr>
          <w:hyperlink w:anchor="_Toc102165716" w:history="1">
            <w:r w:rsidR="004626F7" w:rsidRPr="004626F7">
              <w:rPr>
                <w:rStyle w:val="afa"/>
                <w:rFonts w:ascii="Arial" w:hAnsi="Arial" w:cs="Arial"/>
                <w:noProof/>
                <w:sz w:val="22"/>
                <w:szCs w:val="22"/>
              </w:rPr>
              <w:t>2.5</w:t>
            </w:r>
            <w:r w:rsidR="004626F7" w:rsidRPr="004626F7">
              <w:rPr>
                <w:rFonts w:ascii="Arial" w:hAnsi="Arial" w:cs="Arial"/>
                <w:noProof/>
                <w:sz w:val="22"/>
                <w:szCs w:val="22"/>
              </w:rPr>
              <w:tab/>
            </w:r>
            <w:r w:rsidR="004626F7" w:rsidRPr="004626F7">
              <w:rPr>
                <w:rStyle w:val="afa"/>
                <w:rFonts w:ascii="Arial" w:hAnsi="Arial" w:cs="Arial"/>
                <w:noProof/>
                <w:sz w:val="22"/>
                <w:szCs w:val="22"/>
              </w:rPr>
              <w:t>Actions</w:t>
            </w:r>
            <w:r w:rsidR="004626F7" w:rsidRPr="004626F7">
              <w:rPr>
                <w:rFonts w:ascii="Arial" w:hAnsi="Arial" w:cs="Arial"/>
                <w:noProof/>
                <w:webHidden/>
                <w:sz w:val="22"/>
                <w:szCs w:val="22"/>
              </w:rPr>
              <w:tab/>
            </w:r>
            <w:r w:rsidR="004626F7" w:rsidRPr="004626F7">
              <w:rPr>
                <w:rFonts w:ascii="Arial" w:hAnsi="Arial" w:cs="Arial"/>
                <w:noProof/>
                <w:webHidden/>
                <w:sz w:val="22"/>
                <w:szCs w:val="22"/>
              </w:rPr>
              <w:fldChar w:fldCharType="begin"/>
            </w:r>
            <w:r w:rsidR="004626F7" w:rsidRPr="004626F7">
              <w:rPr>
                <w:rFonts w:ascii="Arial" w:hAnsi="Arial" w:cs="Arial"/>
                <w:noProof/>
                <w:webHidden/>
                <w:sz w:val="22"/>
                <w:szCs w:val="22"/>
              </w:rPr>
              <w:instrText xml:space="preserve"> PAGEREF _Toc102165716 \h </w:instrText>
            </w:r>
            <w:r w:rsidR="004626F7" w:rsidRPr="004626F7">
              <w:rPr>
                <w:rFonts w:ascii="Arial" w:hAnsi="Arial" w:cs="Arial"/>
                <w:noProof/>
                <w:webHidden/>
                <w:sz w:val="22"/>
                <w:szCs w:val="22"/>
              </w:rPr>
            </w:r>
            <w:r w:rsidR="004626F7" w:rsidRPr="004626F7">
              <w:rPr>
                <w:rFonts w:ascii="Arial" w:hAnsi="Arial" w:cs="Arial"/>
                <w:noProof/>
                <w:webHidden/>
                <w:sz w:val="22"/>
                <w:szCs w:val="22"/>
              </w:rPr>
              <w:fldChar w:fldCharType="separate"/>
            </w:r>
            <w:r w:rsidR="0028248C">
              <w:rPr>
                <w:rFonts w:ascii="Arial" w:hAnsi="Arial" w:cs="Arial"/>
                <w:noProof/>
                <w:webHidden/>
                <w:sz w:val="22"/>
                <w:szCs w:val="22"/>
              </w:rPr>
              <w:t>11</w:t>
            </w:r>
            <w:r w:rsidR="004626F7" w:rsidRPr="004626F7">
              <w:rPr>
                <w:rFonts w:ascii="Arial" w:hAnsi="Arial" w:cs="Arial"/>
                <w:noProof/>
                <w:webHidden/>
                <w:sz w:val="22"/>
                <w:szCs w:val="22"/>
              </w:rPr>
              <w:fldChar w:fldCharType="end"/>
            </w:r>
          </w:hyperlink>
        </w:p>
        <w:p w14:paraId="1835EEB2" w14:textId="368E7C1D" w:rsidR="004626F7" w:rsidRPr="004626F7" w:rsidRDefault="00A4278A" w:rsidP="004626F7">
          <w:pPr>
            <w:pStyle w:val="TOC2"/>
            <w:tabs>
              <w:tab w:val="left" w:pos="1050"/>
              <w:tab w:val="right" w:leader="dot" w:pos="9736"/>
            </w:tabs>
            <w:spacing w:beforeLines="100" w:before="312" w:afterLines="150" w:after="468" w:line="360" w:lineRule="auto"/>
            <w:ind w:left="400"/>
            <w:rPr>
              <w:rFonts w:ascii="Arial" w:hAnsi="Arial" w:cs="Arial"/>
              <w:noProof/>
              <w:sz w:val="22"/>
              <w:szCs w:val="22"/>
            </w:rPr>
          </w:pPr>
          <w:hyperlink w:anchor="_Toc102165717" w:history="1">
            <w:r w:rsidR="004626F7" w:rsidRPr="004626F7">
              <w:rPr>
                <w:rStyle w:val="afa"/>
                <w:rFonts w:ascii="Arial" w:hAnsi="Arial" w:cs="Arial"/>
                <w:noProof/>
                <w:sz w:val="22"/>
                <w:szCs w:val="22"/>
              </w:rPr>
              <w:t>2.6</w:t>
            </w:r>
            <w:r w:rsidR="004626F7" w:rsidRPr="004626F7">
              <w:rPr>
                <w:rFonts w:ascii="Arial" w:hAnsi="Arial" w:cs="Arial"/>
                <w:noProof/>
                <w:sz w:val="22"/>
                <w:szCs w:val="22"/>
              </w:rPr>
              <w:tab/>
            </w:r>
            <w:r w:rsidR="004626F7" w:rsidRPr="004626F7">
              <w:rPr>
                <w:rStyle w:val="afa"/>
                <w:rFonts w:ascii="Arial" w:hAnsi="Arial" w:cs="Arial"/>
                <w:noProof/>
                <w:sz w:val="22"/>
                <w:szCs w:val="22"/>
              </w:rPr>
              <w:t>Control</w:t>
            </w:r>
            <w:r w:rsidR="004626F7" w:rsidRPr="004626F7">
              <w:rPr>
                <w:rFonts w:ascii="Arial" w:hAnsi="Arial" w:cs="Arial"/>
                <w:noProof/>
                <w:webHidden/>
                <w:sz w:val="22"/>
                <w:szCs w:val="22"/>
              </w:rPr>
              <w:tab/>
            </w:r>
            <w:r w:rsidR="004626F7" w:rsidRPr="004626F7">
              <w:rPr>
                <w:rFonts w:ascii="Arial" w:hAnsi="Arial" w:cs="Arial"/>
                <w:noProof/>
                <w:webHidden/>
                <w:sz w:val="22"/>
                <w:szCs w:val="22"/>
              </w:rPr>
              <w:fldChar w:fldCharType="begin"/>
            </w:r>
            <w:r w:rsidR="004626F7" w:rsidRPr="004626F7">
              <w:rPr>
                <w:rFonts w:ascii="Arial" w:hAnsi="Arial" w:cs="Arial"/>
                <w:noProof/>
                <w:webHidden/>
                <w:sz w:val="22"/>
                <w:szCs w:val="22"/>
              </w:rPr>
              <w:instrText xml:space="preserve"> PAGEREF _Toc102165717 \h </w:instrText>
            </w:r>
            <w:r w:rsidR="004626F7" w:rsidRPr="004626F7">
              <w:rPr>
                <w:rFonts w:ascii="Arial" w:hAnsi="Arial" w:cs="Arial"/>
                <w:noProof/>
                <w:webHidden/>
                <w:sz w:val="22"/>
                <w:szCs w:val="22"/>
              </w:rPr>
            </w:r>
            <w:r w:rsidR="004626F7" w:rsidRPr="004626F7">
              <w:rPr>
                <w:rFonts w:ascii="Arial" w:hAnsi="Arial" w:cs="Arial"/>
                <w:noProof/>
                <w:webHidden/>
                <w:sz w:val="22"/>
                <w:szCs w:val="22"/>
              </w:rPr>
              <w:fldChar w:fldCharType="separate"/>
            </w:r>
            <w:r w:rsidR="0028248C">
              <w:rPr>
                <w:rFonts w:ascii="Arial" w:hAnsi="Arial" w:cs="Arial"/>
                <w:noProof/>
                <w:webHidden/>
                <w:sz w:val="22"/>
                <w:szCs w:val="22"/>
              </w:rPr>
              <w:t>12</w:t>
            </w:r>
            <w:r w:rsidR="004626F7" w:rsidRPr="004626F7">
              <w:rPr>
                <w:rFonts w:ascii="Arial" w:hAnsi="Arial" w:cs="Arial"/>
                <w:noProof/>
                <w:webHidden/>
                <w:sz w:val="22"/>
                <w:szCs w:val="22"/>
              </w:rPr>
              <w:fldChar w:fldCharType="end"/>
            </w:r>
          </w:hyperlink>
        </w:p>
        <w:p w14:paraId="6812F409" w14:textId="06BF16BE" w:rsidR="004626F7" w:rsidRPr="004626F7" w:rsidRDefault="00A4278A" w:rsidP="004626F7">
          <w:pPr>
            <w:pStyle w:val="TOC1"/>
            <w:tabs>
              <w:tab w:val="right" w:leader="dot" w:pos="9736"/>
            </w:tabs>
            <w:spacing w:beforeLines="100" w:before="312" w:afterLines="150" w:after="468" w:line="360" w:lineRule="auto"/>
            <w:rPr>
              <w:rFonts w:ascii="Arial" w:hAnsi="Arial" w:cs="Arial"/>
              <w:noProof/>
              <w:sz w:val="22"/>
              <w:szCs w:val="22"/>
            </w:rPr>
          </w:pPr>
          <w:hyperlink w:anchor="_Toc102165718" w:history="1">
            <w:r w:rsidR="004626F7" w:rsidRPr="004626F7">
              <w:rPr>
                <w:rStyle w:val="afa"/>
                <w:rFonts w:ascii="Arial" w:hAnsi="Arial" w:cs="Arial"/>
                <w:noProof/>
                <w:sz w:val="22"/>
                <w:szCs w:val="22"/>
              </w:rPr>
              <w:t>3. Recommendations and conclusion</w:t>
            </w:r>
            <w:r w:rsidR="004626F7" w:rsidRPr="004626F7">
              <w:rPr>
                <w:rFonts w:ascii="Arial" w:hAnsi="Arial" w:cs="Arial"/>
                <w:noProof/>
                <w:webHidden/>
                <w:sz w:val="22"/>
                <w:szCs w:val="22"/>
              </w:rPr>
              <w:tab/>
            </w:r>
            <w:r w:rsidR="004626F7" w:rsidRPr="004626F7">
              <w:rPr>
                <w:rFonts w:ascii="Arial" w:hAnsi="Arial" w:cs="Arial"/>
                <w:noProof/>
                <w:webHidden/>
                <w:sz w:val="22"/>
                <w:szCs w:val="22"/>
              </w:rPr>
              <w:fldChar w:fldCharType="begin"/>
            </w:r>
            <w:r w:rsidR="004626F7" w:rsidRPr="004626F7">
              <w:rPr>
                <w:rFonts w:ascii="Arial" w:hAnsi="Arial" w:cs="Arial"/>
                <w:noProof/>
                <w:webHidden/>
                <w:sz w:val="22"/>
                <w:szCs w:val="22"/>
              </w:rPr>
              <w:instrText xml:space="preserve"> PAGEREF _Toc102165718 \h </w:instrText>
            </w:r>
            <w:r w:rsidR="004626F7" w:rsidRPr="004626F7">
              <w:rPr>
                <w:rFonts w:ascii="Arial" w:hAnsi="Arial" w:cs="Arial"/>
                <w:noProof/>
                <w:webHidden/>
                <w:sz w:val="22"/>
                <w:szCs w:val="22"/>
              </w:rPr>
            </w:r>
            <w:r w:rsidR="004626F7" w:rsidRPr="004626F7">
              <w:rPr>
                <w:rFonts w:ascii="Arial" w:hAnsi="Arial" w:cs="Arial"/>
                <w:noProof/>
                <w:webHidden/>
                <w:sz w:val="22"/>
                <w:szCs w:val="22"/>
              </w:rPr>
              <w:fldChar w:fldCharType="separate"/>
            </w:r>
            <w:r w:rsidR="0028248C">
              <w:rPr>
                <w:rFonts w:ascii="Arial" w:hAnsi="Arial" w:cs="Arial"/>
                <w:noProof/>
                <w:webHidden/>
                <w:sz w:val="22"/>
                <w:szCs w:val="22"/>
              </w:rPr>
              <w:t>12</w:t>
            </w:r>
            <w:r w:rsidR="004626F7" w:rsidRPr="004626F7">
              <w:rPr>
                <w:rFonts w:ascii="Arial" w:hAnsi="Arial" w:cs="Arial"/>
                <w:noProof/>
                <w:webHidden/>
                <w:sz w:val="22"/>
                <w:szCs w:val="22"/>
              </w:rPr>
              <w:fldChar w:fldCharType="end"/>
            </w:r>
          </w:hyperlink>
        </w:p>
        <w:p w14:paraId="3A28E126" w14:textId="61392745" w:rsidR="004626F7" w:rsidRPr="004626F7" w:rsidRDefault="00A4278A" w:rsidP="004626F7">
          <w:pPr>
            <w:pStyle w:val="TOC1"/>
            <w:tabs>
              <w:tab w:val="right" w:leader="dot" w:pos="9736"/>
            </w:tabs>
            <w:spacing w:beforeLines="100" w:before="312" w:afterLines="150" w:after="468" w:line="360" w:lineRule="auto"/>
            <w:rPr>
              <w:rFonts w:ascii="Arial" w:hAnsi="Arial" w:cs="Arial"/>
              <w:noProof/>
              <w:sz w:val="22"/>
              <w:szCs w:val="22"/>
            </w:rPr>
          </w:pPr>
          <w:hyperlink w:anchor="_Toc102165719" w:history="1">
            <w:r w:rsidR="004626F7" w:rsidRPr="004626F7">
              <w:rPr>
                <w:rStyle w:val="afa"/>
                <w:rFonts w:ascii="Arial" w:hAnsi="Arial" w:cs="Arial"/>
                <w:noProof/>
                <w:sz w:val="22"/>
                <w:szCs w:val="22"/>
              </w:rPr>
              <w:t>References</w:t>
            </w:r>
            <w:r w:rsidR="004626F7" w:rsidRPr="004626F7">
              <w:rPr>
                <w:rFonts w:ascii="Arial" w:hAnsi="Arial" w:cs="Arial"/>
                <w:noProof/>
                <w:webHidden/>
                <w:sz w:val="22"/>
                <w:szCs w:val="22"/>
              </w:rPr>
              <w:tab/>
            </w:r>
            <w:r w:rsidR="004626F7" w:rsidRPr="004626F7">
              <w:rPr>
                <w:rFonts w:ascii="Arial" w:hAnsi="Arial" w:cs="Arial"/>
                <w:noProof/>
                <w:webHidden/>
                <w:sz w:val="22"/>
                <w:szCs w:val="22"/>
              </w:rPr>
              <w:fldChar w:fldCharType="begin"/>
            </w:r>
            <w:r w:rsidR="004626F7" w:rsidRPr="004626F7">
              <w:rPr>
                <w:rFonts w:ascii="Arial" w:hAnsi="Arial" w:cs="Arial"/>
                <w:noProof/>
                <w:webHidden/>
                <w:sz w:val="22"/>
                <w:szCs w:val="22"/>
              </w:rPr>
              <w:instrText xml:space="preserve"> PAGEREF _Toc102165719 \h </w:instrText>
            </w:r>
            <w:r w:rsidR="004626F7" w:rsidRPr="004626F7">
              <w:rPr>
                <w:rFonts w:ascii="Arial" w:hAnsi="Arial" w:cs="Arial"/>
                <w:noProof/>
                <w:webHidden/>
                <w:sz w:val="22"/>
                <w:szCs w:val="22"/>
              </w:rPr>
            </w:r>
            <w:r w:rsidR="004626F7" w:rsidRPr="004626F7">
              <w:rPr>
                <w:rFonts w:ascii="Arial" w:hAnsi="Arial" w:cs="Arial"/>
                <w:noProof/>
                <w:webHidden/>
                <w:sz w:val="22"/>
                <w:szCs w:val="22"/>
              </w:rPr>
              <w:fldChar w:fldCharType="separate"/>
            </w:r>
            <w:r w:rsidR="0028248C">
              <w:rPr>
                <w:rFonts w:ascii="Arial" w:hAnsi="Arial" w:cs="Arial"/>
                <w:noProof/>
                <w:webHidden/>
                <w:sz w:val="22"/>
                <w:szCs w:val="22"/>
              </w:rPr>
              <w:t>14</w:t>
            </w:r>
            <w:r w:rsidR="004626F7" w:rsidRPr="004626F7">
              <w:rPr>
                <w:rFonts w:ascii="Arial" w:hAnsi="Arial" w:cs="Arial"/>
                <w:noProof/>
                <w:webHidden/>
                <w:sz w:val="22"/>
                <w:szCs w:val="22"/>
              </w:rPr>
              <w:fldChar w:fldCharType="end"/>
            </w:r>
          </w:hyperlink>
        </w:p>
        <w:p w14:paraId="56CC8344" w14:textId="4BA62765" w:rsidR="004626F7" w:rsidRDefault="004626F7" w:rsidP="004626F7">
          <w:pPr>
            <w:spacing w:beforeLines="100" w:before="312" w:afterLines="150" w:after="468" w:line="360" w:lineRule="auto"/>
          </w:pPr>
          <w:r w:rsidRPr="004626F7">
            <w:rPr>
              <w:rFonts w:ascii="Arial" w:hAnsi="Arial" w:cs="Arial"/>
              <w:b/>
              <w:bCs/>
              <w:sz w:val="22"/>
              <w:szCs w:val="22"/>
              <w:lang w:val="zh-CN"/>
            </w:rPr>
            <w:fldChar w:fldCharType="end"/>
          </w:r>
        </w:p>
      </w:sdtContent>
    </w:sdt>
    <w:p w14:paraId="02EF0D65" w14:textId="77777777" w:rsidR="001A555E" w:rsidRPr="004626F7" w:rsidRDefault="001A555E" w:rsidP="004626F7">
      <w:pPr>
        <w:pStyle w:val="a9"/>
        <w:spacing w:beforeLines="100" w:before="312" w:afterLines="150" w:after="468" w:line="360" w:lineRule="auto"/>
        <w:jc w:val="center"/>
        <w:rPr>
          <w:rFonts w:ascii="Arial" w:hAnsi="Arial" w:cs="Arial"/>
          <w:sz w:val="32"/>
          <w:szCs w:val="32"/>
        </w:rPr>
      </w:pPr>
    </w:p>
    <w:p w14:paraId="303C8FC6" w14:textId="204E17C7" w:rsidR="004626F7" w:rsidRPr="004626F7" w:rsidRDefault="004626F7" w:rsidP="004626F7">
      <w:pPr>
        <w:spacing w:beforeLines="100" w:before="312" w:afterLines="150" w:after="468" w:line="360" w:lineRule="auto"/>
        <w:rPr>
          <w:rFonts w:ascii="Arial" w:eastAsiaTheme="majorEastAsia" w:hAnsi="Arial" w:cs="Arial"/>
          <w:caps/>
          <w:color w:val="4472C4" w:themeColor="accent1"/>
          <w:spacing w:val="10"/>
          <w:sz w:val="32"/>
          <w:szCs w:val="32"/>
        </w:rPr>
        <w:sectPr w:rsidR="004626F7" w:rsidRPr="004626F7" w:rsidSect="004626F7">
          <w:footerReference w:type="default" r:id="rId7"/>
          <w:pgSz w:w="11906" w:h="16838"/>
          <w:pgMar w:top="1440" w:right="1080" w:bottom="1440" w:left="1080" w:header="851" w:footer="992" w:gutter="0"/>
          <w:pgNumType w:start="1"/>
          <w:cols w:space="425"/>
          <w:docGrid w:type="lines" w:linePitch="312"/>
        </w:sectPr>
      </w:pPr>
    </w:p>
    <w:p w14:paraId="28418DC6" w14:textId="348D6E38" w:rsidR="001A555E" w:rsidRPr="004626F7" w:rsidRDefault="001A555E" w:rsidP="004626F7">
      <w:pPr>
        <w:pStyle w:val="1"/>
        <w:spacing w:beforeLines="100" w:before="312" w:afterLines="150" w:after="468" w:line="360" w:lineRule="auto"/>
        <w:jc w:val="both"/>
        <w:rPr>
          <w:rFonts w:ascii="Arial" w:hAnsi="Arial" w:cs="Arial"/>
        </w:rPr>
      </w:pPr>
      <w:bookmarkStart w:id="0" w:name="_Toc102165709"/>
      <w:r w:rsidRPr="004626F7">
        <w:rPr>
          <w:rFonts w:ascii="Arial" w:hAnsi="Arial" w:cs="Arial"/>
        </w:rPr>
        <w:lastRenderedPageBreak/>
        <w:t>Executive Summary</w:t>
      </w:r>
      <w:bookmarkEnd w:id="0"/>
      <w:r w:rsidRPr="004626F7">
        <w:rPr>
          <w:rFonts w:ascii="Arial" w:hAnsi="Arial" w:cs="Arial"/>
        </w:rPr>
        <w:t xml:space="preserve"> </w:t>
      </w:r>
    </w:p>
    <w:p w14:paraId="30CA1C82" w14:textId="45ABE712" w:rsidR="001A555E" w:rsidRPr="004626F7" w:rsidRDefault="0006627D"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t xml:space="preserve">The hotel industry has been facing enormous challenges due to the fact that the </w:t>
      </w:r>
      <w:r w:rsidR="00D7193A" w:rsidRPr="004626F7">
        <w:rPr>
          <w:rFonts w:ascii="Arial" w:hAnsi="Arial" w:cs="Arial"/>
          <w:sz w:val="22"/>
          <w:szCs w:val="22"/>
        </w:rPr>
        <w:t>COVID</w:t>
      </w:r>
      <w:r w:rsidRPr="004626F7">
        <w:rPr>
          <w:rFonts w:ascii="Arial" w:hAnsi="Arial" w:cs="Arial"/>
          <w:sz w:val="22"/>
          <w:szCs w:val="22"/>
        </w:rPr>
        <w:t>-19 pandemic has put huge strains on the demand. However, two years since the outbreak of the pandemic, hotel incumbents should be aware that they need to operate in a new nom under</w:t>
      </w:r>
      <w:r w:rsidR="00D7193A" w:rsidRPr="004626F7">
        <w:rPr>
          <w:rFonts w:ascii="Arial" w:hAnsi="Arial" w:cs="Arial"/>
          <w:sz w:val="22"/>
          <w:szCs w:val="22"/>
        </w:rPr>
        <w:t xml:space="preserve"> </w:t>
      </w:r>
      <w:r w:rsidRPr="004626F7">
        <w:rPr>
          <w:rFonts w:ascii="Arial" w:hAnsi="Arial" w:cs="Arial"/>
          <w:sz w:val="22"/>
          <w:szCs w:val="22"/>
        </w:rPr>
        <w:t xml:space="preserve">massive uncertainty in the whole travel ecosystem due to the </w:t>
      </w:r>
      <w:r w:rsidR="00D7193A" w:rsidRPr="004626F7">
        <w:rPr>
          <w:rFonts w:ascii="Arial" w:hAnsi="Arial" w:cs="Arial"/>
          <w:sz w:val="22"/>
          <w:szCs w:val="22"/>
        </w:rPr>
        <w:t>ongoing</w:t>
      </w:r>
      <w:r w:rsidRPr="004626F7">
        <w:rPr>
          <w:rFonts w:ascii="Arial" w:hAnsi="Arial" w:cs="Arial"/>
          <w:sz w:val="22"/>
          <w:szCs w:val="22"/>
        </w:rPr>
        <w:t xml:space="preserve"> </w:t>
      </w:r>
      <w:r w:rsidR="00D7193A" w:rsidRPr="004626F7">
        <w:rPr>
          <w:rFonts w:ascii="Arial" w:hAnsi="Arial" w:cs="Arial"/>
          <w:sz w:val="22"/>
          <w:szCs w:val="22"/>
        </w:rPr>
        <w:t>COVID</w:t>
      </w:r>
      <w:r w:rsidRPr="004626F7">
        <w:rPr>
          <w:rFonts w:ascii="Arial" w:hAnsi="Arial" w:cs="Arial"/>
          <w:sz w:val="22"/>
          <w:szCs w:val="22"/>
        </w:rPr>
        <w:t xml:space="preserve">-19. Therefore, passive </w:t>
      </w:r>
      <w:r w:rsidR="00D7193A" w:rsidRPr="004626F7">
        <w:rPr>
          <w:rFonts w:ascii="Arial" w:hAnsi="Arial" w:cs="Arial"/>
          <w:sz w:val="22"/>
          <w:szCs w:val="22"/>
        </w:rPr>
        <w:t>responses</w:t>
      </w:r>
      <w:r w:rsidRPr="004626F7">
        <w:rPr>
          <w:rFonts w:ascii="Arial" w:hAnsi="Arial" w:cs="Arial"/>
          <w:sz w:val="22"/>
          <w:szCs w:val="22"/>
        </w:rPr>
        <w:t xml:space="preserve"> that focus on the safety issues during stays are not sufficient for hotel incumbents to navigate the crisis and </w:t>
      </w:r>
      <w:r w:rsidR="00DE345C">
        <w:rPr>
          <w:rFonts w:ascii="Arial" w:hAnsi="Arial" w:cs="Arial"/>
          <w:sz w:val="22"/>
          <w:szCs w:val="22"/>
        </w:rPr>
        <w:t>sustain</w:t>
      </w:r>
      <w:r w:rsidRPr="004626F7">
        <w:rPr>
          <w:rFonts w:ascii="Arial" w:hAnsi="Arial" w:cs="Arial"/>
          <w:sz w:val="22"/>
          <w:szCs w:val="22"/>
        </w:rPr>
        <w:t xml:space="preserve"> growth. The present report demonstrates </w:t>
      </w:r>
      <w:r w:rsidR="00D7193A" w:rsidRPr="004626F7">
        <w:rPr>
          <w:rFonts w:ascii="Arial" w:hAnsi="Arial" w:cs="Arial"/>
          <w:sz w:val="22"/>
          <w:szCs w:val="22"/>
        </w:rPr>
        <w:t>a</w:t>
      </w:r>
      <w:r w:rsidRPr="004626F7">
        <w:rPr>
          <w:rFonts w:ascii="Arial" w:hAnsi="Arial" w:cs="Arial"/>
          <w:sz w:val="22"/>
          <w:szCs w:val="22"/>
        </w:rPr>
        <w:t xml:space="preserve"> marketing plan for Hilton as an active </w:t>
      </w:r>
      <w:r w:rsidR="00D7193A" w:rsidRPr="004626F7">
        <w:rPr>
          <w:rFonts w:ascii="Arial" w:hAnsi="Arial" w:cs="Arial"/>
          <w:sz w:val="22"/>
          <w:szCs w:val="22"/>
        </w:rPr>
        <w:t>response</w:t>
      </w:r>
      <w:r w:rsidRPr="004626F7">
        <w:rPr>
          <w:rFonts w:ascii="Arial" w:hAnsi="Arial" w:cs="Arial"/>
          <w:sz w:val="22"/>
          <w:szCs w:val="22"/>
        </w:rPr>
        <w:t xml:space="preserve"> </w:t>
      </w:r>
      <w:r w:rsidR="00D7193A" w:rsidRPr="004626F7">
        <w:rPr>
          <w:rFonts w:ascii="Arial" w:hAnsi="Arial" w:cs="Arial"/>
          <w:sz w:val="22"/>
          <w:szCs w:val="22"/>
        </w:rPr>
        <w:t>to</w:t>
      </w:r>
      <w:r w:rsidRPr="004626F7">
        <w:rPr>
          <w:rFonts w:ascii="Arial" w:hAnsi="Arial" w:cs="Arial"/>
          <w:sz w:val="22"/>
          <w:szCs w:val="22"/>
        </w:rPr>
        <w:t xml:space="preserve"> the COVID-19, and for challenges beyond the COVID-19. Following the logic of the SOSTAC framework, the report promotes the objective of </w:t>
      </w:r>
      <w:r w:rsidR="00D7193A" w:rsidRPr="004626F7">
        <w:rPr>
          <w:rFonts w:ascii="Arial" w:hAnsi="Arial" w:cs="Arial"/>
          <w:sz w:val="22"/>
          <w:szCs w:val="22"/>
        </w:rPr>
        <w:t>“to</w:t>
      </w:r>
      <w:r w:rsidRPr="004626F7">
        <w:rPr>
          <w:rFonts w:ascii="Arial" w:hAnsi="Arial" w:cs="Arial"/>
          <w:sz w:val="22"/>
          <w:szCs w:val="22"/>
        </w:rPr>
        <w:t xml:space="preserve"> </w:t>
      </w:r>
      <w:r w:rsidR="00D7193A" w:rsidRPr="004626F7">
        <w:rPr>
          <w:rFonts w:ascii="Arial" w:hAnsi="Arial" w:cs="Arial"/>
          <w:sz w:val="22"/>
          <w:szCs w:val="22"/>
        </w:rPr>
        <w:t>increase</w:t>
      </w:r>
      <w:r w:rsidRPr="004626F7">
        <w:rPr>
          <w:rFonts w:ascii="Arial" w:hAnsi="Arial" w:cs="Arial"/>
          <w:sz w:val="22"/>
          <w:szCs w:val="22"/>
        </w:rPr>
        <w:t xml:space="preserve"> the system-wide occupancy rate of Hilton </w:t>
      </w:r>
      <w:r w:rsidR="00D7193A" w:rsidRPr="004626F7">
        <w:rPr>
          <w:rFonts w:ascii="Arial" w:hAnsi="Arial" w:cs="Arial"/>
          <w:sz w:val="22"/>
          <w:szCs w:val="22"/>
        </w:rPr>
        <w:t xml:space="preserve">to 75% by the end of 2022”. Other marketing activities fixating on the realization of the marketing objectives are correspondingly developed. </w:t>
      </w:r>
    </w:p>
    <w:p w14:paraId="54ABD011" w14:textId="545F6E79" w:rsidR="00E1626C" w:rsidRPr="004626F7" w:rsidRDefault="00E1626C" w:rsidP="004626F7">
      <w:pPr>
        <w:pStyle w:val="1"/>
        <w:numPr>
          <w:ilvl w:val="0"/>
          <w:numId w:val="2"/>
        </w:numPr>
        <w:spacing w:beforeLines="100" w:before="312" w:afterLines="150" w:after="468" w:line="360" w:lineRule="auto"/>
        <w:rPr>
          <w:rFonts w:ascii="Arial" w:hAnsi="Arial" w:cs="Arial"/>
        </w:rPr>
      </w:pPr>
      <w:bookmarkStart w:id="1" w:name="_Toc102165710"/>
      <w:r w:rsidRPr="004626F7">
        <w:rPr>
          <w:rFonts w:ascii="Arial" w:hAnsi="Arial" w:cs="Arial"/>
        </w:rPr>
        <w:t>Introduction</w:t>
      </w:r>
      <w:bookmarkEnd w:id="1"/>
      <w:r w:rsidRPr="004626F7">
        <w:rPr>
          <w:rFonts w:ascii="Arial" w:hAnsi="Arial" w:cs="Arial"/>
        </w:rPr>
        <w:t xml:space="preserve"> </w:t>
      </w:r>
    </w:p>
    <w:p w14:paraId="0AA07F18" w14:textId="62738751" w:rsidR="00E1626C" w:rsidRPr="004626F7" w:rsidRDefault="00E1626C"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t xml:space="preserve">The hospitality industry has seen unprecedented disruption caused by the ongoing COVID-19 pandemic on a global scale since 2020. As COVID-19 can be transmitted by </w:t>
      </w:r>
      <w:r w:rsidR="00200443" w:rsidRPr="004626F7">
        <w:rPr>
          <w:rFonts w:ascii="Arial" w:hAnsi="Arial" w:cs="Arial"/>
          <w:sz w:val="22"/>
          <w:szCs w:val="22"/>
        </w:rPr>
        <w:t>close contact, governments across economies reacted to the pandemic by ordering travel restrictions, border control, and strict lockdowns. Almost two years after the COVID-19 outbreak, it is delightful to see that the hospitality industry is witnessing some gradual recovery as the travel restrictions are eased and the public confidence is restored</w:t>
      </w:r>
      <w:r w:rsidR="00F74BA0" w:rsidRPr="004626F7">
        <w:rPr>
          <w:rFonts w:ascii="Arial" w:hAnsi="Arial" w:cs="Arial"/>
          <w:sz w:val="22"/>
          <w:szCs w:val="22"/>
        </w:rPr>
        <w:t xml:space="preserve"> </w:t>
      </w:r>
      <w:r w:rsidR="00F74BA0" w:rsidRPr="004626F7">
        <w:rPr>
          <w:rFonts w:ascii="Arial" w:hAnsi="Arial" w:cs="Arial"/>
          <w:sz w:val="22"/>
          <w:szCs w:val="22"/>
        </w:rPr>
        <w:fldChar w:fldCharType="begin" w:fldLock="1"/>
      </w:r>
      <w:r w:rsidR="004626F7" w:rsidRPr="004626F7">
        <w:rPr>
          <w:rFonts w:ascii="Arial" w:hAnsi="Arial" w:cs="Arial"/>
          <w:sz w:val="22"/>
          <w:szCs w:val="22"/>
        </w:rPr>
        <w:instrText>ADDIN CSL_CITATION {"citationItems":[{"id":"ITEM-1","itemData":{"ISSN":"1862-8508","author":[{"dropping-particle":"","family":"Hoang","given":"Thinh Gia","non-dropping-particle":"","parse-names":false,"suffix":""},{"dropping-particle":"","family":"Truong","given":"Ngan Tuyet","non-dropping-particle":"","parse-names":false,"suffix":""},{"dropping-particle":"","family":"Nguyen","given":"Tam Minh","non-dropping-particle":"","parse-names":false,"suffix":""}],"container-title":"Service Business","id":"ITEM-1","issue":"2","issued":{"date-parts":[["2021"]]},"page":"209-229","publisher":"Springer","title":"The survival of hotels during the COVID-19 pandemic: a critical case study in Vietnam","type":"article-journal","volume":"15"},"uris":["http://www.mendeley.com/documents/?uuid=1e50f63a-6e43-4e8a-8bb6-e408d16fd7f1"]}],"mendeley":{"formattedCitation":"(Hoang, Truong and Nguyen, 2021)","plainTextFormattedCitation":"(Hoang, Truong and Nguyen, 2021)","previouslyFormattedCitation":"(Hoang, Truong and Nguyen, 2021)"},"properties":{"noteIndex":0},"schema":"https://github.com/citation-style-language/schema/raw/master/csl-citation.json"}</w:instrText>
      </w:r>
      <w:r w:rsidR="00F74BA0" w:rsidRPr="004626F7">
        <w:rPr>
          <w:rFonts w:ascii="Arial" w:hAnsi="Arial" w:cs="Arial"/>
          <w:sz w:val="22"/>
          <w:szCs w:val="22"/>
        </w:rPr>
        <w:fldChar w:fldCharType="separate"/>
      </w:r>
      <w:r w:rsidR="004626F7" w:rsidRPr="004626F7">
        <w:rPr>
          <w:rFonts w:ascii="Arial" w:hAnsi="Arial" w:cs="Arial"/>
          <w:noProof/>
          <w:sz w:val="22"/>
          <w:szCs w:val="22"/>
        </w:rPr>
        <w:t>(Hoang, Truong and Nguyen, 2021)</w:t>
      </w:r>
      <w:r w:rsidR="00F74BA0" w:rsidRPr="004626F7">
        <w:rPr>
          <w:rFonts w:ascii="Arial" w:hAnsi="Arial" w:cs="Arial"/>
          <w:sz w:val="22"/>
          <w:szCs w:val="22"/>
        </w:rPr>
        <w:fldChar w:fldCharType="end"/>
      </w:r>
      <w:r w:rsidR="00200443" w:rsidRPr="004626F7">
        <w:rPr>
          <w:rFonts w:ascii="Arial" w:hAnsi="Arial" w:cs="Arial"/>
          <w:sz w:val="22"/>
          <w:szCs w:val="22"/>
        </w:rPr>
        <w:t xml:space="preserve">. Significant challenges remained forward, with almost all hotels, including international hotel chain Hilton still struggling with a reduced occupancy rate. </w:t>
      </w:r>
    </w:p>
    <w:p w14:paraId="1BAE0121" w14:textId="4E573E7F" w:rsidR="00531E47" w:rsidRPr="004626F7" w:rsidRDefault="00531E47" w:rsidP="00DE345C">
      <w:pPr>
        <w:spacing w:beforeLines="100" w:before="312" w:afterLines="150" w:after="468" w:line="360" w:lineRule="auto"/>
        <w:jc w:val="center"/>
        <w:rPr>
          <w:rFonts w:ascii="Arial" w:hAnsi="Arial" w:cs="Arial"/>
          <w:sz w:val="22"/>
          <w:szCs w:val="22"/>
        </w:rPr>
      </w:pPr>
      <w:r w:rsidRPr="004626F7">
        <w:rPr>
          <w:rFonts w:ascii="Arial" w:hAnsi="Arial" w:cs="Arial"/>
          <w:noProof/>
          <w:sz w:val="22"/>
          <w:szCs w:val="22"/>
        </w:rPr>
        <w:lastRenderedPageBreak/>
        <w:drawing>
          <wp:inline distT="0" distB="0" distL="0" distR="0" wp14:anchorId="44D4E3DA" wp14:editId="3635E9FA">
            <wp:extent cx="5928874" cy="2758679"/>
            <wp:effectExtent l="0" t="0" r="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28874" cy="2758679"/>
                    </a:xfrm>
                    <a:prstGeom prst="rect">
                      <a:avLst/>
                    </a:prstGeom>
                  </pic:spPr>
                </pic:pic>
              </a:graphicData>
            </a:graphic>
          </wp:inline>
        </w:drawing>
      </w:r>
    </w:p>
    <w:p w14:paraId="04056B0D" w14:textId="53716764" w:rsidR="00531E47" w:rsidRPr="004626F7" w:rsidRDefault="00531E47" w:rsidP="00DE345C">
      <w:pPr>
        <w:spacing w:beforeLines="100" w:before="312" w:afterLines="150" w:after="468" w:line="360" w:lineRule="auto"/>
        <w:jc w:val="center"/>
        <w:rPr>
          <w:rFonts w:ascii="Arial" w:hAnsi="Arial" w:cs="Arial"/>
          <w:sz w:val="22"/>
          <w:szCs w:val="22"/>
          <w:u w:val="single"/>
        </w:rPr>
      </w:pPr>
      <w:r w:rsidRPr="004626F7">
        <w:rPr>
          <w:rFonts w:ascii="Arial" w:hAnsi="Arial" w:cs="Arial"/>
          <w:sz w:val="22"/>
          <w:szCs w:val="22"/>
          <w:u w:val="single"/>
        </w:rPr>
        <w:t xml:space="preserve">Figure 1: the global growth and development of Hilton by 2021 </w:t>
      </w:r>
      <w:r w:rsidRPr="004626F7">
        <w:rPr>
          <w:rFonts w:ascii="Arial" w:hAnsi="Arial" w:cs="Arial"/>
          <w:sz w:val="22"/>
          <w:szCs w:val="22"/>
          <w:u w:val="single"/>
        </w:rPr>
        <w:fldChar w:fldCharType="begin" w:fldLock="1"/>
      </w:r>
      <w:r w:rsidRPr="004626F7">
        <w:rPr>
          <w:rFonts w:ascii="Arial" w:hAnsi="Arial" w:cs="Arial"/>
          <w:sz w:val="22"/>
          <w:szCs w:val="22"/>
          <w:u w:val="single"/>
        </w:rPr>
        <w:instrText>ADDIN CSL_CITATION {"citationItems":[{"id":"ITEM-1","itemData":{"author":[{"dropping-particle":"","family":"Hilton","given":"","non-dropping-particle":"","parse-names":false,"suffix":""}],"id":"ITEM-1","issued":{"date-parts":[["2022"]]},"title":"Hilton Annual Report 2021","type":"report"},"uris":["http://www.mendeley.com/documents/?uuid=e624b9fa-03e1-425c-bd50-236a6f216c48"]}],"mendeley":{"formattedCitation":"(Hilton, 2022)","plainTextFormattedCitation":"(Hilton, 2022)","previouslyFormattedCitation":"(Hilton, 2022)"},"properties":{"noteIndex":0},"schema":"https://github.com/citation-style-language/schema/raw/master/csl-citation.json"}</w:instrText>
      </w:r>
      <w:r w:rsidRPr="004626F7">
        <w:rPr>
          <w:rFonts w:ascii="Arial" w:hAnsi="Arial" w:cs="Arial"/>
          <w:sz w:val="22"/>
          <w:szCs w:val="22"/>
          <w:u w:val="single"/>
        </w:rPr>
        <w:fldChar w:fldCharType="separate"/>
      </w:r>
      <w:r w:rsidRPr="004626F7">
        <w:rPr>
          <w:rFonts w:ascii="Arial" w:hAnsi="Arial" w:cs="Arial"/>
          <w:noProof/>
          <w:sz w:val="22"/>
          <w:szCs w:val="22"/>
          <w:u w:val="single"/>
        </w:rPr>
        <w:t>(Hilton, 2022)</w:t>
      </w:r>
      <w:r w:rsidRPr="004626F7">
        <w:rPr>
          <w:rFonts w:ascii="Arial" w:hAnsi="Arial" w:cs="Arial"/>
          <w:sz w:val="22"/>
          <w:szCs w:val="22"/>
          <w:u w:val="single"/>
        </w:rPr>
        <w:fldChar w:fldCharType="end"/>
      </w:r>
    </w:p>
    <w:p w14:paraId="05B6148E" w14:textId="00B19001" w:rsidR="00E650FB" w:rsidRPr="004626F7" w:rsidRDefault="00B93B8D"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t>Hilton is one of the world’s largest, fastest-growing hospitality companies with more than 18 brands and over 6800 properties in over 122 countries and territories</w:t>
      </w:r>
      <w:r w:rsidR="00F74BA0" w:rsidRPr="004626F7">
        <w:rPr>
          <w:rFonts w:ascii="Arial" w:hAnsi="Arial" w:cs="Arial"/>
          <w:sz w:val="22"/>
          <w:szCs w:val="22"/>
        </w:rPr>
        <w:t xml:space="preserve"> </w:t>
      </w:r>
      <w:r w:rsidR="00F74BA0" w:rsidRPr="004626F7">
        <w:rPr>
          <w:rFonts w:ascii="Arial" w:hAnsi="Arial" w:cs="Arial"/>
          <w:sz w:val="22"/>
          <w:szCs w:val="22"/>
        </w:rPr>
        <w:fldChar w:fldCharType="begin" w:fldLock="1"/>
      </w:r>
      <w:r w:rsidR="00F74BA0" w:rsidRPr="004626F7">
        <w:rPr>
          <w:rFonts w:ascii="Arial" w:hAnsi="Arial" w:cs="Arial"/>
          <w:sz w:val="22"/>
          <w:szCs w:val="22"/>
        </w:rPr>
        <w:instrText>ADDIN CSL_CITATION {"citationItems":[{"id":"ITEM-1","itemData":{"author":[{"dropping-particle":"","family":"Hilton","given":"","non-dropping-particle":"","parse-names":false,"suffix":""}],"id":"ITEM-1","issued":{"date-parts":[["2022"]]},"title":"Hilton Annual Report 2021","type":"report"},"uris":["http://www.mendeley.com/documents/?uuid=e624b9fa-03e1-425c-bd50-236a6f216c48"]}],"mendeley":{"formattedCitation":"(Hilton, 2022)","plainTextFormattedCitation":"(Hilton, 2022)","previouslyFormattedCitation":"(Hilton, 2022)"},"properties":{"noteIndex":0},"schema":"https://github.com/citation-style-language/schema/raw/master/csl-citation.json"}</w:instrText>
      </w:r>
      <w:r w:rsidR="00F74BA0" w:rsidRPr="004626F7">
        <w:rPr>
          <w:rFonts w:ascii="Arial" w:hAnsi="Arial" w:cs="Arial"/>
          <w:sz w:val="22"/>
          <w:szCs w:val="22"/>
        </w:rPr>
        <w:fldChar w:fldCharType="separate"/>
      </w:r>
      <w:r w:rsidR="00F74BA0" w:rsidRPr="004626F7">
        <w:rPr>
          <w:rFonts w:ascii="Arial" w:hAnsi="Arial" w:cs="Arial"/>
          <w:noProof/>
          <w:sz w:val="22"/>
          <w:szCs w:val="22"/>
        </w:rPr>
        <w:t>(Hilton, 2022)</w:t>
      </w:r>
      <w:r w:rsidR="00F74BA0" w:rsidRPr="004626F7">
        <w:rPr>
          <w:rFonts w:ascii="Arial" w:hAnsi="Arial" w:cs="Arial"/>
          <w:sz w:val="22"/>
          <w:szCs w:val="22"/>
        </w:rPr>
        <w:fldChar w:fldCharType="end"/>
      </w:r>
      <w:r w:rsidRPr="004626F7">
        <w:rPr>
          <w:rFonts w:ascii="Arial" w:hAnsi="Arial" w:cs="Arial"/>
          <w:sz w:val="22"/>
          <w:szCs w:val="22"/>
        </w:rPr>
        <w:t xml:space="preserve">. </w:t>
      </w:r>
      <w:r w:rsidR="00E1626C" w:rsidRPr="004626F7">
        <w:rPr>
          <w:rFonts w:ascii="Arial" w:hAnsi="Arial" w:cs="Arial"/>
          <w:sz w:val="22"/>
          <w:szCs w:val="22"/>
        </w:rPr>
        <w:t>The report has the objective to develop a marketing plan for Hilton at the global level based on the corresponding situational analysis</w:t>
      </w:r>
      <w:r w:rsidR="00200443" w:rsidRPr="004626F7">
        <w:rPr>
          <w:rFonts w:ascii="Arial" w:hAnsi="Arial" w:cs="Arial"/>
          <w:sz w:val="22"/>
          <w:szCs w:val="22"/>
        </w:rPr>
        <w:t>. The market plan will be structured according to the marketing planning tool SOSTAC</w:t>
      </w:r>
      <w:r w:rsidR="00C36976" w:rsidRPr="004626F7">
        <w:rPr>
          <w:rFonts w:ascii="Arial" w:hAnsi="Arial" w:cs="Arial"/>
          <w:sz w:val="22"/>
          <w:szCs w:val="22"/>
        </w:rPr>
        <w:t xml:space="preserve">, which indicates six sequential stages of marketing including situation, strategy, tactics, actions, and control. Although the framework has been developed for over a decade, it remains a widely applied approach due to its flexibility, logic, structure, and ease of use. </w:t>
      </w:r>
    </w:p>
    <w:p w14:paraId="3C566273" w14:textId="5811E88A" w:rsidR="00E1626C" w:rsidRPr="004626F7" w:rsidRDefault="00E650FB" w:rsidP="004626F7">
      <w:pPr>
        <w:spacing w:beforeLines="100" w:before="312" w:afterLines="150" w:after="468" w:line="360" w:lineRule="auto"/>
        <w:rPr>
          <w:rFonts w:ascii="Arial" w:hAnsi="Arial" w:cs="Arial"/>
        </w:rPr>
      </w:pPr>
      <w:r w:rsidRPr="004626F7">
        <w:rPr>
          <w:rFonts w:ascii="Arial" w:hAnsi="Arial" w:cs="Arial"/>
        </w:rPr>
        <w:br w:type="page"/>
      </w:r>
    </w:p>
    <w:p w14:paraId="509D4F9B" w14:textId="431A9EEE" w:rsidR="00531E47" w:rsidRPr="004626F7" w:rsidRDefault="00531E47" w:rsidP="004626F7">
      <w:pPr>
        <w:pStyle w:val="1"/>
        <w:numPr>
          <w:ilvl w:val="0"/>
          <w:numId w:val="2"/>
        </w:numPr>
        <w:spacing w:beforeLines="100" w:before="312" w:afterLines="150" w:after="468" w:line="360" w:lineRule="auto"/>
        <w:rPr>
          <w:rFonts w:ascii="Arial" w:hAnsi="Arial" w:cs="Arial"/>
        </w:rPr>
      </w:pPr>
      <w:bookmarkStart w:id="2" w:name="_Toc102165711"/>
      <w:r w:rsidRPr="004626F7">
        <w:rPr>
          <w:rFonts w:ascii="Arial" w:hAnsi="Arial" w:cs="Arial"/>
        </w:rPr>
        <w:lastRenderedPageBreak/>
        <w:t>SOSTAC Marketing Planning</w:t>
      </w:r>
      <w:bookmarkEnd w:id="2"/>
      <w:r w:rsidRPr="004626F7">
        <w:rPr>
          <w:rFonts w:ascii="Arial" w:hAnsi="Arial" w:cs="Arial"/>
        </w:rPr>
        <w:t xml:space="preserve"> </w:t>
      </w:r>
    </w:p>
    <w:p w14:paraId="6F4FFA42" w14:textId="2D5C944F" w:rsidR="00531E47" w:rsidRPr="004626F7" w:rsidRDefault="00531E47" w:rsidP="004626F7">
      <w:pPr>
        <w:pStyle w:val="2"/>
        <w:numPr>
          <w:ilvl w:val="1"/>
          <w:numId w:val="2"/>
        </w:numPr>
        <w:spacing w:beforeLines="100" w:before="312" w:afterLines="150" w:after="468" w:line="360" w:lineRule="auto"/>
        <w:rPr>
          <w:rFonts w:ascii="Arial" w:hAnsi="Arial" w:cs="Arial"/>
        </w:rPr>
      </w:pPr>
      <w:bookmarkStart w:id="3" w:name="_Toc102165712"/>
      <w:r w:rsidRPr="004626F7">
        <w:rPr>
          <w:rFonts w:ascii="Arial" w:hAnsi="Arial" w:cs="Arial"/>
        </w:rPr>
        <w:t>Situation</w:t>
      </w:r>
      <w:bookmarkEnd w:id="3"/>
      <w:r w:rsidRPr="004626F7">
        <w:rPr>
          <w:rFonts w:ascii="Arial" w:hAnsi="Arial" w:cs="Arial"/>
        </w:rPr>
        <w:t xml:space="preserve"> </w:t>
      </w:r>
    </w:p>
    <w:p w14:paraId="57E429A2" w14:textId="5A698AF5" w:rsidR="00E650FB" w:rsidRPr="004626F7" w:rsidRDefault="00E650FB" w:rsidP="004626F7">
      <w:pPr>
        <w:spacing w:beforeLines="100" w:before="312" w:afterLines="150" w:after="468" w:line="360" w:lineRule="auto"/>
        <w:jc w:val="center"/>
        <w:rPr>
          <w:rFonts w:ascii="Arial" w:hAnsi="Arial" w:cs="Arial"/>
          <w:sz w:val="22"/>
          <w:szCs w:val="22"/>
        </w:rPr>
      </w:pPr>
      <w:r w:rsidRPr="004626F7">
        <w:rPr>
          <w:rFonts w:ascii="Arial" w:hAnsi="Arial" w:cs="Arial"/>
          <w:noProof/>
          <w:sz w:val="22"/>
          <w:szCs w:val="22"/>
        </w:rPr>
        <w:drawing>
          <wp:inline distT="0" distB="0" distL="0" distR="0" wp14:anchorId="3CDA9B69" wp14:editId="08FAF11F">
            <wp:extent cx="4544599" cy="1920240"/>
            <wp:effectExtent l="0" t="0" r="8890" b="381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52127" cy="1923421"/>
                    </a:xfrm>
                    <a:prstGeom prst="rect">
                      <a:avLst/>
                    </a:prstGeom>
                    <a:noFill/>
                    <a:ln>
                      <a:noFill/>
                    </a:ln>
                  </pic:spPr>
                </pic:pic>
              </a:graphicData>
            </a:graphic>
          </wp:inline>
        </w:drawing>
      </w:r>
    </w:p>
    <w:p w14:paraId="1E04C6C7" w14:textId="4212CFF9" w:rsidR="00E650FB" w:rsidRPr="004626F7" w:rsidRDefault="00E650FB" w:rsidP="004626F7">
      <w:pPr>
        <w:spacing w:beforeLines="100" w:before="312" w:afterLines="150" w:after="468" w:line="360" w:lineRule="auto"/>
        <w:jc w:val="center"/>
        <w:rPr>
          <w:rFonts w:ascii="Arial" w:hAnsi="Arial" w:cs="Arial"/>
          <w:sz w:val="22"/>
          <w:szCs w:val="22"/>
          <w:u w:val="single"/>
        </w:rPr>
      </w:pPr>
      <w:r w:rsidRPr="004626F7">
        <w:rPr>
          <w:rFonts w:ascii="Arial" w:hAnsi="Arial" w:cs="Arial"/>
          <w:sz w:val="22"/>
          <w:szCs w:val="22"/>
          <w:u w:val="single"/>
        </w:rPr>
        <w:t>Figure 2: SWOT analysis of Hilton (own summary)</w:t>
      </w:r>
    </w:p>
    <w:p w14:paraId="484DD550" w14:textId="14B4B522" w:rsidR="00E650FB" w:rsidRPr="004626F7" w:rsidRDefault="00E650FB"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t xml:space="preserve">The situation analysis performed in another separate report indicates several points that deserve more attention of Hilton. On the one hand, the current hotel market is a typical buyer market with supplies significantly exceed demands, this has partially contributed by the fierce competition in the hotel market with highly standard and similar offerings, and partially contributed by the concerns over travel during the </w:t>
      </w:r>
      <w:r w:rsidR="00D7193A" w:rsidRPr="004626F7">
        <w:rPr>
          <w:rFonts w:ascii="Arial" w:hAnsi="Arial" w:cs="Arial"/>
          <w:sz w:val="22"/>
          <w:szCs w:val="22"/>
        </w:rPr>
        <w:t>COVID</w:t>
      </w:r>
      <w:r w:rsidRPr="004626F7">
        <w:rPr>
          <w:rFonts w:ascii="Arial" w:hAnsi="Arial" w:cs="Arial"/>
          <w:sz w:val="22"/>
          <w:szCs w:val="22"/>
        </w:rPr>
        <w:t xml:space="preserve">-19 period. At the same time, a wide spectrum of technologies </w:t>
      </w:r>
      <w:r w:rsidR="00C87AD2" w:rsidRPr="004626F7">
        <w:rPr>
          <w:rFonts w:ascii="Arial" w:hAnsi="Arial" w:cs="Arial"/>
          <w:sz w:val="22"/>
          <w:szCs w:val="22"/>
        </w:rPr>
        <w:t>can be integrated into different nodes of value delivery chain in the Hilton’s service provision, affording massive opportunities for Hilton to actively navigate the pandemic rather than being passive and responsive as it has been done so far</w:t>
      </w:r>
      <w:r w:rsidR="00F74BA0" w:rsidRPr="004626F7">
        <w:rPr>
          <w:rFonts w:ascii="Arial" w:hAnsi="Arial" w:cs="Arial"/>
          <w:sz w:val="22"/>
          <w:szCs w:val="22"/>
        </w:rPr>
        <w:t xml:space="preserve"> </w:t>
      </w:r>
      <w:r w:rsidR="00F74BA0" w:rsidRPr="004626F7">
        <w:rPr>
          <w:rFonts w:ascii="Arial" w:hAnsi="Arial" w:cs="Arial"/>
          <w:sz w:val="22"/>
          <w:szCs w:val="22"/>
        </w:rPr>
        <w:fldChar w:fldCharType="begin" w:fldLock="1"/>
      </w:r>
      <w:r w:rsidR="00F74BA0" w:rsidRPr="004626F7">
        <w:rPr>
          <w:rFonts w:ascii="Arial" w:hAnsi="Arial" w:cs="Arial"/>
          <w:sz w:val="22"/>
          <w:szCs w:val="22"/>
        </w:rPr>
        <w:instrText>ADDIN CSL_CITATION {"citationItems":[{"id":"ITEM-1","itemData":{"URL":"https://www.hotelmanagement.net/tech/10-ways-smart-technology-reshaping-hotel-industry","accessed":{"date-parts":[["2022","4","29"]]},"author":[{"dropping-particle":"","family":"Hotel Management","given":"","non-dropping-particle":"","parse-names":false,"suffix":""}],"id":"ITEM-1","issued":{"date-parts":[["2022"]]},"title":"10 ways smart technology is reshaping the hotel industry","type":"webpage"},"uris":["http://www.mendeley.com/documents/?uuid=1f16ee67-756c-340b-8f15-df61fdd2da25"]}],"mendeley":{"formattedCitation":"(Hotel Management, 2022)","plainTextFormattedCitation":"(Hotel Management, 2022)","previouslyFormattedCitation":"(Hotel Management, 2022)"},"properties":{"noteIndex":0},"schema":"https://github.com/citation-style-language/schema/raw/master/csl-citation.json"}</w:instrText>
      </w:r>
      <w:r w:rsidR="00F74BA0" w:rsidRPr="004626F7">
        <w:rPr>
          <w:rFonts w:ascii="Arial" w:hAnsi="Arial" w:cs="Arial"/>
          <w:sz w:val="22"/>
          <w:szCs w:val="22"/>
        </w:rPr>
        <w:fldChar w:fldCharType="separate"/>
      </w:r>
      <w:r w:rsidR="00F74BA0" w:rsidRPr="004626F7">
        <w:rPr>
          <w:rFonts w:ascii="Arial" w:hAnsi="Arial" w:cs="Arial"/>
          <w:noProof/>
          <w:sz w:val="22"/>
          <w:szCs w:val="22"/>
        </w:rPr>
        <w:t>(Hotel Management, 2022)</w:t>
      </w:r>
      <w:r w:rsidR="00F74BA0" w:rsidRPr="004626F7">
        <w:rPr>
          <w:rFonts w:ascii="Arial" w:hAnsi="Arial" w:cs="Arial"/>
          <w:sz w:val="22"/>
          <w:szCs w:val="22"/>
        </w:rPr>
        <w:fldChar w:fldCharType="end"/>
      </w:r>
      <w:r w:rsidR="00C87AD2" w:rsidRPr="004626F7">
        <w:rPr>
          <w:rFonts w:ascii="Arial" w:hAnsi="Arial" w:cs="Arial"/>
          <w:sz w:val="22"/>
          <w:szCs w:val="22"/>
        </w:rPr>
        <w:t xml:space="preserve">. On the other hand, the leading market position, multi-brand strategy, as well as other resources and competencies owned by Hilton, have not yet been fully and actively exploited by Hilton to combat the </w:t>
      </w:r>
      <w:r w:rsidR="00D7193A" w:rsidRPr="004626F7">
        <w:rPr>
          <w:rFonts w:ascii="Arial" w:hAnsi="Arial" w:cs="Arial"/>
          <w:sz w:val="22"/>
          <w:szCs w:val="22"/>
        </w:rPr>
        <w:t>COVID</w:t>
      </w:r>
      <w:r w:rsidR="00C87AD2" w:rsidRPr="004626F7">
        <w:rPr>
          <w:rFonts w:ascii="Arial" w:hAnsi="Arial" w:cs="Arial"/>
          <w:sz w:val="22"/>
          <w:szCs w:val="22"/>
        </w:rPr>
        <w:t xml:space="preserve">-19 challenge. </w:t>
      </w:r>
    </w:p>
    <w:p w14:paraId="4E5AA3CB" w14:textId="06E9067F" w:rsidR="001458A5" w:rsidRPr="004626F7" w:rsidRDefault="001458A5" w:rsidP="004626F7">
      <w:pPr>
        <w:spacing w:beforeLines="100" w:before="312" w:afterLines="150" w:after="468" w:line="360" w:lineRule="auto"/>
        <w:jc w:val="center"/>
        <w:rPr>
          <w:rFonts w:ascii="Arial" w:hAnsi="Arial" w:cs="Arial"/>
          <w:sz w:val="22"/>
          <w:szCs w:val="22"/>
        </w:rPr>
      </w:pPr>
      <w:r w:rsidRPr="004626F7">
        <w:rPr>
          <w:rFonts w:ascii="Arial" w:hAnsi="Arial" w:cs="Arial"/>
          <w:noProof/>
          <w:sz w:val="22"/>
          <w:szCs w:val="22"/>
        </w:rPr>
        <w:lastRenderedPageBreak/>
        <w:drawing>
          <wp:inline distT="0" distB="0" distL="0" distR="0" wp14:anchorId="26F6B1FD" wp14:editId="20F788EF">
            <wp:extent cx="4749800" cy="3056467"/>
            <wp:effectExtent l="0" t="0" r="12700" b="10795"/>
            <wp:docPr id="5" name="图表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4AAF3A7" w14:textId="5FDBD856" w:rsidR="000A7B56" w:rsidRPr="004626F7" w:rsidRDefault="000A7B56" w:rsidP="004626F7">
      <w:pPr>
        <w:spacing w:beforeLines="100" w:before="312" w:afterLines="150" w:after="468" w:line="360" w:lineRule="auto"/>
        <w:jc w:val="center"/>
        <w:rPr>
          <w:rFonts w:ascii="Arial" w:hAnsi="Arial" w:cs="Arial"/>
          <w:sz w:val="22"/>
          <w:szCs w:val="22"/>
          <w:u w:val="single"/>
        </w:rPr>
      </w:pPr>
      <w:r w:rsidRPr="004626F7">
        <w:rPr>
          <w:rFonts w:ascii="Arial" w:hAnsi="Arial" w:cs="Arial"/>
          <w:sz w:val="22"/>
          <w:szCs w:val="22"/>
          <w:u w:val="single"/>
        </w:rPr>
        <w:t xml:space="preserve">Figure 3: Revenue generated by Hilton </w:t>
      </w:r>
      <w:r w:rsidR="00F74BA0" w:rsidRPr="004626F7">
        <w:rPr>
          <w:rFonts w:ascii="Arial" w:hAnsi="Arial" w:cs="Arial"/>
          <w:sz w:val="22"/>
          <w:szCs w:val="22"/>
          <w:u w:val="single"/>
        </w:rPr>
        <w:fldChar w:fldCharType="begin" w:fldLock="1"/>
      </w:r>
      <w:r w:rsidR="00F74BA0" w:rsidRPr="004626F7">
        <w:rPr>
          <w:rFonts w:ascii="Arial" w:hAnsi="Arial" w:cs="Arial"/>
          <w:sz w:val="22"/>
          <w:szCs w:val="22"/>
          <w:u w:val="single"/>
        </w:rPr>
        <w:instrText>ADDIN CSL_CITATION {"citationItems":[{"id":"ITEM-1","itemData":{"URL":"https://www-statista-com.uoelibrary.idm.oclc.org/topics/1880/hilton-worldwide/","accessed":{"date-parts":[["2022","4","29"]]},"author":[{"dropping-particle":"","family":"Statista","given":"","non-dropping-particle":"","parse-names":false,"suffix":""}],"id":"ITEM-1","issued":{"date-parts":[["2022"]]},"title":"Hilton Worldwide Holdings - statistics &amp; facts","type":"webpage"},"uris":["http://www.mendeley.com/documents/?uuid=1c97cf44-9e09-326c-bb50-53ad16e89c9c"]}],"mendeley":{"formattedCitation":"(Statista, 2022)","plainTextFormattedCitation":"(Statista, 2022)","previouslyFormattedCitation":"(Statista, 2022)"},"properties":{"noteIndex":0},"schema":"https://github.com/citation-style-language/schema/raw/master/csl-citation.json"}</w:instrText>
      </w:r>
      <w:r w:rsidR="00F74BA0" w:rsidRPr="004626F7">
        <w:rPr>
          <w:rFonts w:ascii="Arial" w:hAnsi="Arial" w:cs="Arial"/>
          <w:sz w:val="22"/>
          <w:szCs w:val="22"/>
          <w:u w:val="single"/>
        </w:rPr>
        <w:fldChar w:fldCharType="separate"/>
      </w:r>
      <w:r w:rsidR="00F74BA0" w:rsidRPr="004626F7">
        <w:rPr>
          <w:rFonts w:ascii="Arial" w:hAnsi="Arial" w:cs="Arial"/>
          <w:noProof/>
          <w:sz w:val="22"/>
          <w:szCs w:val="22"/>
          <w:u w:val="single"/>
        </w:rPr>
        <w:t>(Statista, 2022)</w:t>
      </w:r>
      <w:r w:rsidR="00F74BA0" w:rsidRPr="004626F7">
        <w:rPr>
          <w:rFonts w:ascii="Arial" w:hAnsi="Arial" w:cs="Arial"/>
          <w:sz w:val="22"/>
          <w:szCs w:val="22"/>
          <w:u w:val="single"/>
        </w:rPr>
        <w:fldChar w:fldCharType="end"/>
      </w:r>
    </w:p>
    <w:p w14:paraId="4E5A4C9E" w14:textId="76A8315B" w:rsidR="001458A5" w:rsidRPr="004626F7" w:rsidRDefault="001458A5" w:rsidP="004626F7">
      <w:pPr>
        <w:spacing w:beforeLines="100" w:before="312" w:afterLines="150" w:after="468" w:line="360" w:lineRule="auto"/>
        <w:jc w:val="center"/>
        <w:rPr>
          <w:rFonts w:ascii="Arial" w:hAnsi="Arial" w:cs="Arial"/>
          <w:sz w:val="22"/>
          <w:szCs w:val="22"/>
        </w:rPr>
      </w:pPr>
      <w:r w:rsidRPr="004626F7">
        <w:rPr>
          <w:rFonts w:ascii="Arial" w:hAnsi="Arial" w:cs="Arial"/>
          <w:noProof/>
          <w:sz w:val="22"/>
          <w:szCs w:val="22"/>
        </w:rPr>
        <w:drawing>
          <wp:inline distT="0" distB="0" distL="0" distR="0" wp14:anchorId="5053627E" wp14:editId="40245EE7">
            <wp:extent cx="4741333" cy="2489200"/>
            <wp:effectExtent l="0" t="0" r="2540" b="6350"/>
            <wp:docPr id="7" name="图表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D7A61E0" w14:textId="57707C55" w:rsidR="00DF6A83" w:rsidRPr="004626F7" w:rsidRDefault="00DF6A83" w:rsidP="004626F7">
      <w:pPr>
        <w:spacing w:beforeLines="100" w:before="312" w:afterLines="150" w:after="468" w:line="360" w:lineRule="auto"/>
        <w:jc w:val="center"/>
        <w:rPr>
          <w:rFonts w:ascii="Arial" w:hAnsi="Arial" w:cs="Arial"/>
          <w:sz w:val="22"/>
          <w:szCs w:val="22"/>
          <w:u w:val="single"/>
        </w:rPr>
      </w:pPr>
      <w:r w:rsidRPr="004626F7">
        <w:rPr>
          <w:rFonts w:ascii="Arial" w:hAnsi="Arial" w:cs="Arial"/>
          <w:sz w:val="22"/>
          <w:szCs w:val="22"/>
          <w:u w:val="single"/>
        </w:rPr>
        <w:t xml:space="preserve">Figure 4: Occupancy rate of Hilton </w:t>
      </w:r>
      <w:r w:rsidR="00F74BA0" w:rsidRPr="004626F7">
        <w:rPr>
          <w:rFonts w:ascii="Arial" w:hAnsi="Arial" w:cs="Arial"/>
          <w:sz w:val="22"/>
          <w:szCs w:val="22"/>
          <w:u w:val="single"/>
        </w:rPr>
        <w:fldChar w:fldCharType="begin" w:fldLock="1"/>
      </w:r>
      <w:r w:rsidR="00A135EF" w:rsidRPr="004626F7">
        <w:rPr>
          <w:rFonts w:ascii="Arial" w:hAnsi="Arial" w:cs="Arial"/>
          <w:sz w:val="22"/>
          <w:szCs w:val="22"/>
          <w:u w:val="single"/>
        </w:rPr>
        <w:instrText>ADDIN CSL_CITATION {"citationItems":[{"id":"ITEM-1","itemData":{"URL":"https://www-statista-com.uoelibrary.idm.oclc.org/topics/1880/hilton-worldwide/","accessed":{"date-parts":[["2022","4","29"]]},"author":[{"dropping-particle":"","family":"Statista","given":"","non-dropping-particle":"","parse-names":false,"suffix":""}],"id":"ITEM-1","issued":{"date-parts":[["2022"]]},"title":"Hilton Worldwide Holdings - statistics &amp; facts","type":"webpage"},"uris":["http://www.mendeley.com/documents/?uuid=1c97cf44-9e09-326c-bb50-53ad16e89c9c"]}],"mendeley":{"formattedCitation":"(Statista, 2022)","plainTextFormattedCitation":"(Statista, 2022)","previouslyFormattedCitation":"(Statista, 2022)"},"properties":{"noteIndex":0},"schema":"https://github.com/citation-style-language/schema/raw/master/csl-citation.json"}</w:instrText>
      </w:r>
      <w:r w:rsidR="00F74BA0" w:rsidRPr="004626F7">
        <w:rPr>
          <w:rFonts w:ascii="Arial" w:hAnsi="Arial" w:cs="Arial"/>
          <w:sz w:val="22"/>
          <w:szCs w:val="22"/>
          <w:u w:val="single"/>
        </w:rPr>
        <w:fldChar w:fldCharType="separate"/>
      </w:r>
      <w:r w:rsidR="00F74BA0" w:rsidRPr="004626F7">
        <w:rPr>
          <w:rFonts w:ascii="Arial" w:hAnsi="Arial" w:cs="Arial"/>
          <w:noProof/>
          <w:sz w:val="22"/>
          <w:szCs w:val="22"/>
          <w:u w:val="single"/>
        </w:rPr>
        <w:t>(Statista, 2022)</w:t>
      </w:r>
      <w:r w:rsidR="00F74BA0" w:rsidRPr="004626F7">
        <w:rPr>
          <w:rFonts w:ascii="Arial" w:hAnsi="Arial" w:cs="Arial"/>
          <w:sz w:val="22"/>
          <w:szCs w:val="22"/>
          <w:u w:val="single"/>
        </w:rPr>
        <w:fldChar w:fldCharType="end"/>
      </w:r>
    </w:p>
    <w:p w14:paraId="1405CD2A" w14:textId="5F286B98" w:rsidR="00A06D3C" w:rsidRPr="004626F7" w:rsidRDefault="00A06D3C"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t xml:space="preserve">The pervasiveness and severity of the </w:t>
      </w:r>
      <w:r w:rsidR="00D7193A" w:rsidRPr="004626F7">
        <w:rPr>
          <w:rFonts w:ascii="Arial" w:hAnsi="Arial" w:cs="Arial"/>
          <w:sz w:val="22"/>
          <w:szCs w:val="22"/>
        </w:rPr>
        <w:t>COVID</w:t>
      </w:r>
      <w:r w:rsidRPr="004626F7">
        <w:rPr>
          <w:rFonts w:ascii="Arial" w:hAnsi="Arial" w:cs="Arial"/>
          <w:sz w:val="22"/>
          <w:szCs w:val="22"/>
        </w:rPr>
        <w:t xml:space="preserve">-19 has resulted a highly negative </w:t>
      </w:r>
      <w:r w:rsidR="00A135EF" w:rsidRPr="004626F7">
        <w:rPr>
          <w:rFonts w:ascii="Arial" w:hAnsi="Arial" w:cs="Arial"/>
          <w:sz w:val="22"/>
          <w:szCs w:val="22"/>
        </w:rPr>
        <w:t>influences</w:t>
      </w:r>
      <w:r w:rsidRPr="004626F7">
        <w:rPr>
          <w:rFonts w:ascii="Arial" w:hAnsi="Arial" w:cs="Arial"/>
          <w:sz w:val="22"/>
          <w:szCs w:val="22"/>
        </w:rPr>
        <w:t xml:space="preserve"> on the financial performance of Hilton, mainly due to the complete and partial suspensions of operations in many areas</w:t>
      </w:r>
      <w:r w:rsidR="00A135EF" w:rsidRPr="004626F7">
        <w:rPr>
          <w:rFonts w:ascii="Arial" w:hAnsi="Arial" w:cs="Arial"/>
          <w:sz w:val="22"/>
          <w:szCs w:val="22"/>
        </w:rPr>
        <w:t xml:space="preserve"> </w:t>
      </w:r>
      <w:r w:rsidR="00A135EF" w:rsidRPr="004626F7">
        <w:rPr>
          <w:rFonts w:ascii="Arial" w:hAnsi="Arial" w:cs="Arial"/>
          <w:sz w:val="22"/>
          <w:szCs w:val="22"/>
        </w:rPr>
        <w:fldChar w:fldCharType="begin" w:fldLock="1"/>
      </w:r>
      <w:r w:rsidR="00A135EF" w:rsidRPr="004626F7">
        <w:rPr>
          <w:rFonts w:ascii="Arial" w:hAnsi="Arial" w:cs="Arial"/>
          <w:sz w:val="22"/>
          <w:szCs w:val="22"/>
        </w:rPr>
        <w:instrText>ADDIN CSL_CITATION {"citationItems":[{"id":"ITEM-1","itemData":{"author":[{"dropping-particle":"","family":"Hilton","given":"","non-dropping-particle":"","parse-names":false,"suffix":""}],"id":"ITEM-1","issued":{"date-parts":[["2022"]]},"title":"Hilton Annual Report 2021","type":"report"},"uris":["http://www.mendeley.com/documents/?uuid=e624b9fa-03e1-425c-bd50-236a6f216c48"]}],"mendeley":{"formattedCitation":"(Hilton, 2022)","plainTextFormattedCitation":"(Hilton, 2022)","previouslyFormattedCitation":"(Hilton, 2022)"},"properties":{"noteIndex":0},"schema":"https://github.com/citation-style-language/schema/raw/master/csl-citation.json"}</w:instrText>
      </w:r>
      <w:r w:rsidR="00A135EF" w:rsidRPr="004626F7">
        <w:rPr>
          <w:rFonts w:ascii="Arial" w:hAnsi="Arial" w:cs="Arial"/>
          <w:sz w:val="22"/>
          <w:szCs w:val="22"/>
        </w:rPr>
        <w:fldChar w:fldCharType="separate"/>
      </w:r>
      <w:r w:rsidR="00A135EF" w:rsidRPr="004626F7">
        <w:rPr>
          <w:rFonts w:ascii="Arial" w:hAnsi="Arial" w:cs="Arial"/>
          <w:noProof/>
          <w:sz w:val="22"/>
          <w:szCs w:val="22"/>
        </w:rPr>
        <w:t>(Hilton, 2022)</w:t>
      </w:r>
      <w:r w:rsidR="00A135EF" w:rsidRPr="004626F7">
        <w:rPr>
          <w:rFonts w:ascii="Arial" w:hAnsi="Arial" w:cs="Arial"/>
          <w:sz w:val="22"/>
          <w:szCs w:val="22"/>
        </w:rPr>
        <w:fldChar w:fldCharType="end"/>
      </w:r>
      <w:r w:rsidRPr="004626F7">
        <w:rPr>
          <w:rFonts w:ascii="Arial" w:hAnsi="Arial" w:cs="Arial"/>
          <w:sz w:val="22"/>
          <w:szCs w:val="22"/>
        </w:rPr>
        <w:t xml:space="preserve">. As of December 2021, nearly half of Hilton’s property has suspended </w:t>
      </w:r>
      <w:r w:rsidRPr="004626F7">
        <w:rPr>
          <w:rFonts w:ascii="Arial" w:hAnsi="Arial" w:cs="Arial"/>
          <w:sz w:val="22"/>
          <w:szCs w:val="22"/>
        </w:rPr>
        <w:lastRenderedPageBreak/>
        <w:t>operations for different length of periods. However, the financial dilemma facing Hilton has started in 20</w:t>
      </w:r>
      <w:r w:rsidR="00DE345C">
        <w:rPr>
          <w:rFonts w:ascii="Arial" w:hAnsi="Arial" w:cs="Arial"/>
          <w:sz w:val="22"/>
          <w:szCs w:val="22"/>
        </w:rPr>
        <w:t>1</w:t>
      </w:r>
      <w:r w:rsidRPr="004626F7">
        <w:rPr>
          <w:rFonts w:ascii="Arial" w:hAnsi="Arial" w:cs="Arial"/>
          <w:sz w:val="22"/>
          <w:szCs w:val="22"/>
        </w:rPr>
        <w:t>7, reflecting by the significantly decreased revenue generated by Hilton (see Figure 3) as it has been losing its attractiveness to travelers and failed to differentiate itself from other hotel operators, indicating the urgency for more active strategic management to secure the future growth</w:t>
      </w:r>
      <w:r w:rsidR="00A135EF" w:rsidRPr="004626F7">
        <w:rPr>
          <w:rFonts w:ascii="Arial" w:hAnsi="Arial" w:cs="Arial"/>
          <w:sz w:val="22"/>
          <w:szCs w:val="22"/>
        </w:rPr>
        <w:t xml:space="preserve"> </w:t>
      </w:r>
      <w:r w:rsidR="00A135EF" w:rsidRPr="004626F7">
        <w:rPr>
          <w:rFonts w:ascii="Arial" w:hAnsi="Arial" w:cs="Arial"/>
          <w:sz w:val="22"/>
          <w:szCs w:val="22"/>
        </w:rPr>
        <w:fldChar w:fldCharType="begin" w:fldLock="1"/>
      </w:r>
      <w:r w:rsidR="004626F7" w:rsidRPr="004626F7">
        <w:rPr>
          <w:rFonts w:ascii="Arial" w:hAnsi="Arial" w:cs="Arial"/>
          <w:sz w:val="22"/>
          <w:szCs w:val="22"/>
        </w:rPr>
        <w:instrText>ADDIN CSL_CITATION {"citationItems":[{"id":"ITEM-1","itemData":{"author":[{"dropping-particle":"","family":"Yu","given":"Jun","non-dropping-particle":"","parse-names":false,"suffix":""},{"dropping-particle":"","family":"Kang","given":"Byong-Nam","non-dropping-particle":"","parse-names":false,"suffix":""},{"dropping-particle":"","family":"Kim","given":"Hak-Seon","non-dropping-particle":"","parse-names":false,"suffix":""}],"container-title":"Culinary Science &amp; Hospitality Research","id":"ITEM-1","issue":"12","issued":{"date-parts":[["2021"]]},"page":"200-213","title":"A Comparative Study between Hilton Hotels in South Korea and USA through User-Generated Content Analytics","type":"article-journal","volume":"27"},"uris":["http://www.mendeley.com/documents/?uuid=eb9f22af-f181-4351-ac8c-27aefce989da"]},{"id":"ITEM-2","itemData":{"ISBN":"1529792681","author":[{"dropping-particle":"","family":"Jia","given":"Yankun","non-dropping-particle":"","parse-names":false,"suffix":""},{"dropping-particle":"","family":"Curpad","given":"Samhitha","non-dropping-particle":"","parse-names":false,"suffix":""},{"dropping-particle":"","family":"Diller","given":"Christopher","non-dropping-particle":"","parse-names":false,"suffix":""},{"dropping-particle":"","family":"Gentry","given":"Richard","non-dropping-particle":"","parse-names":false,"suffix":""}],"id":"ITEM-2","issued":{"date-parts":[["2022"]]},"publisher":"SAGE Publications: SAGE Business Cases Originals","title":"Serving Hotel Customers in a Postpandemic World: How Can Hilton Worldwide Recover and Change?","type":"book"},"uris":["http://www.mendeley.com/documents/?uuid=bb166422-c692-4d4f-85e0-fd3490235190"]}],"mendeley":{"formattedCitation":"(Yu, Kang and Kim, 2021; Jia &lt;i&gt;et al.&lt;/i&gt;, 2022)","plainTextFormattedCitation":"(Yu, Kang and Kim, 2021; Jia et al., 2022)","previouslyFormattedCitation":"(Yu, Kang and Kim, 2021; Jia &lt;i&gt;et al.&lt;/i&gt;, 2022)"},"properties":{"noteIndex":0},"schema":"https://github.com/citation-style-language/schema/raw/master/csl-citation.json"}</w:instrText>
      </w:r>
      <w:r w:rsidR="00A135EF" w:rsidRPr="004626F7">
        <w:rPr>
          <w:rFonts w:ascii="Arial" w:hAnsi="Arial" w:cs="Arial"/>
          <w:sz w:val="22"/>
          <w:szCs w:val="22"/>
        </w:rPr>
        <w:fldChar w:fldCharType="separate"/>
      </w:r>
      <w:r w:rsidR="004626F7" w:rsidRPr="004626F7">
        <w:rPr>
          <w:rFonts w:ascii="Arial" w:hAnsi="Arial" w:cs="Arial"/>
          <w:noProof/>
          <w:sz w:val="22"/>
          <w:szCs w:val="22"/>
        </w:rPr>
        <w:t xml:space="preserve">(Yu, Kang and Kim, 2021; Jia </w:t>
      </w:r>
      <w:r w:rsidR="004626F7" w:rsidRPr="004626F7">
        <w:rPr>
          <w:rFonts w:ascii="Arial" w:hAnsi="Arial" w:cs="Arial"/>
          <w:i/>
          <w:noProof/>
          <w:sz w:val="22"/>
          <w:szCs w:val="22"/>
        </w:rPr>
        <w:t>et al.</w:t>
      </w:r>
      <w:r w:rsidR="004626F7" w:rsidRPr="004626F7">
        <w:rPr>
          <w:rFonts w:ascii="Arial" w:hAnsi="Arial" w:cs="Arial"/>
          <w:noProof/>
          <w:sz w:val="22"/>
          <w:szCs w:val="22"/>
        </w:rPr>
        <w:t>, 2022)</w:t>
      </w:r>
      <w:r w:rsidR="00A135EF" w:rsidRPr="004626F7">
        <w:rPr>
          <w:rFonts w:ascii="Arial" w:hAnsi="Arial" w:cs="Arial"/>
          <w:sz w:val="22"/>
          <w:szCs w:val="22"/>
        </w:rPr>
        <w:fldChar w:fldCharType="end"/>
      </w:r>
      <w:r w:rsidRPr="004626F7">
        <w:rPr>
          <w:rFonts w:ascii="Arial" w:hAnsi="Arial" w:cs="Arial"/>
          <w:sz w:val="22"/>
          <w:szCs w:val="22"/>
        </w:rPr>
        <w:t xml:space="preserve">. </w:t>
      </w:r>
    </w:p>
    <w:p w14:paraId="486CE123" w14:textId="6F818DBE" w:rsidR="00A06D3C" w:rsidRPr="004626F7" w:rsidRDefault="00A06D3C"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t>Occupancy reflects the total number of room nights sold divided by the total number of room nights available at Hilton for a given period</w:t>
      </w:r>
      <w:r w:rsidR="00A135EF" w:rsidRPr="004626F7">
        <w:rPr>
          <w:rFonts w:ascii="Arial" w:hAnsi="Arial" w:cs="Arial"/>
          <w:sz w:val="22"/>
          <w:szCs w:val="22"/>
        </w:rPr>
        <w:t xml:space="preserve"> </w:t>
      </w:r>
      <w:r w:rsidR="00A135EF" w:rsidRPr="004626F7">
        <w:rPr>
          <w:rFonts w:ascii="Arial" w:hAnsi="Arial" w:cs="Arial"/>
          <w:sz w:val="22"/>
          <w:szCs w:val="22"/>
        </w:rPr>
        <w:fldChar w:fldCharType="begin" w:fldLock="1"/>
      </w:r>
      <w:r w:rsidR="004626F7" w:rsidRPr="004626F7">
        <w:rPr>
          <w:rFonts w:ascii="Arial" w:hAnsi="Arial" w:cs="Arial"/>
          <w:sz w:val="22"/>
          <w:szCs w:val="22"/>
        </w:rPr>
        <w:instrText>ADDIN CSL_CITATION {"citationItems":[{"id":"ITEM-1","itemData":{"ISSN":"1502-2250","author":[{"dropping-particle":"","family":"Mitra","given":"Subrata Kumar","non-dropping-particle":"","parse-names":false,"suffix":""},{"dropping-particle":"","family":"Pal","given":"Debdatta","non-dropping-particle":"","parse-names":false,"suffix":""}],"container-title":"Scandinavian Journal of Hospitality and Tourism","id":"ITEM-1","issue":"2","issued":{"date-parts":[["2022"]]},"page":"181-194","publisher":"Taylor &amp; Francis","title":"Does revenue respond asymmetrically to the occupancy rate? Evidence from the Swedish hospitality industry","type":"article-journal","volume":"22"},"uris":["http://www.mendeley.com/documents/?uuid=66831d98-48c0-41db-bf47-0eb8bd228778"]}],"mendeley":{"formattedCitation":"(Mitra and Pal, 2022)","plainTextFormattedCitation":"(Mitra and Pal, 2022)","previouslyFormattedCitation":"(Mitra and Pal, 2022)"},"properties":{"noteIndex":0},"schema":"https://github.com/citation-style-language/schema/raw/master/csl-citation.json"}</w:instrText>
      </w:r>
      <w:r w:rsidR="00A135EF" w:rsidRPr="004626F7">
        <w:rPr>
          <w:rFonts w:ascii="Arial" w:hAnsi="Arial" w:cs="Arial"/>
          <w:sz w:val="22"/>
          <w:szCs w:val="22"/>
        </w:rPr>
        <w:fldChar w:fldCharType="separate"/>
      </w:r>
      <w:r w:rsidR="004626F7" w:rsidRPr="004626F7">
        <w:rPr>
          <w:rFonts w:ascii="Arial" w:hAnsi="Arial" w:cs="Arial"/>
          <w:noProof/>
          <w:sz w:val="22"/>
          <w:szCs w:val="22"/>
        </w:rPr>
        <w:t>(Mitra and Pal, 2022)</w:t>
      </w:r>
      <w:r w:rsidR="00A135EF" w:rsidRPr="004626F7">
        <w:rPr>
          <w:rFonts w:ascii="Arial" w:hAnsi="Arial" w:cs="Arial"/>
          <w:sz w:val="22"/>
          <w:szCs w:val="22"/>
        </w:rPr>
        <w:fldChar w:fldCharType="end"/>
      </w:r>
      <w:r w:rsidRPr="004626F7">
        <w:rPr>
          <w:rFonts w:ascii="Arial" w:hAnsi="Arial" w:cs="Arial"/>
          <w:sz w:val="22"/>
          <w:szCs w:val="22"/>
        </w:rPr>
        <w:t>. The indicator has been heavily used in the hotel industry to measure the utilization of the hotel’s available capacity</w:t>
      </w:r>
      <w:r w:rsidR="00A135EF" w:rsidRPr="004626F7">
        <w:rPr>
          <w:rFonts w:ascii="Arial" w:hAnsi="Arial" w:cs="Arial"/>
          <w:sz w:val="22"/>
          <w:szCs w:val="22"/>
        </w:rPr>
        <w:t xml:space="preserve"> </w:t>
      </w:r>
      <w:r w:rsidR="00A135EF" w:rsidRPr="004626F7">
        <w:rPr>
          <w:rFonts w:ascii="Arial" w:hAnsi="Arial" w:cs="Arial"/>
          <w:sz w:val="22"/>
          <w:szCs w:val="22"/>
        </w:rPr>
        <w:fldChar w:fldCharType="begin" w:fldLock="1"/>
      </w:r>
      <w:r w:rsidR="00A135EF" w:rsidRPr="004626F7">
        <w:rPr>
          <w:rFonts w:ascii="Arial" w:hAnsi="Arial" w:cs="Arial"/>
          <w:sz w:val="22"/>
          <w:szCs w:val="22"/>
        </w:rPr>
        <w:instrText>ADDIN CSL_CITATION {"citationItems":[{"id":"ITEM-1","itemData":{"ISSN":"1054-8408","author":[{"dropping-particle":"","family":"Law","given":"Rob","non-dropping-particle":"","parse-names":false,"suffix":""}],"container-title":"Journal of Travel &amp; Tourism Marketing","id":"ITEM-1","issue":"2-3","issued":{"date-parts":[["2004"]]},"page":"71-77","publisher":"Taylor &amp; Francis","title":"Initially testing an improved extrapolative hotel room occupancy rate forecasting technique","type":"article-journal","volume":"16"},"uris":["http://www.mendeley.com/documents/?uuid=54a42056-cba4-4675-bee4-96113804fa95"]}],"mendeley":{"formattedCitation":"(Law, 2004)","plainTextFormattedCitation":"(Law, 2004)","previouslyFormattedCitation":"(Law, 2004)"},"properties":{"noteIndex":0},"schema":"https://github.com/citation-style-language/schema/raw/master/csl-citation.json"}</w:instrText>
      </w:r>
      <w:r w:rsidR="00A135EF" w:rsidRPr="004626F7">
        <w:rPr>
          <w:rFonts w:ascii="Arial" w:hAnsi="Arial" w:cs="Arial"/>
          <w:sz w:val="22"/>
          <w:szCs w:val="22"/>
        </w:rPr>
        <w:fldChar w:fldCharType="separate"/>
      </w:r>
      <w:r w:rsidR="00A135EF" w:rsidRPr="004626F7">
        <w:rPr>
          <w:rFonts w:ascii="Arial" w:hAnsi="Arial" w:cs="Arial"/>
          <w:noProof/>
          <w:sz w:val="22"/>
          <w:szCs w:val="22"/>
        </w:rPr>
        <w:t>(Law, 2004)</w:t>
      </w:r>
      <w:r w:rsidR="00A135EF" w:rsidRPr="004626F7">
        <w:rPr>
          <w:rFonts w:ascii="Arial" w:hAnsi="Arial" w:cs="Arial"/>
          <w:sz w:val="22"/>
          <w:szCs w:val="22"/>
        </w:rPr>
        <w:fldChar w:fldCharType="end"/>
      </w:r>
      <w:r w:rsidRPr="004626F7">
        <w:rPr>
          <w:rFonts w:ascii="Arial" w:hAnsi="Arial" w:cs="Arial"/>
          <w:sz w:val="22"/>
          <w:szCs w:val="22"/>
        </w:rPr>
        <w:t>. The management team in the hotel typically uses the occupancy to gauge the demand and to determine the achievable average daily rate pricing levels as demands for hotel rooms fluctuate</w:t>
      </w:r>
      <w:r w:rsidR="00A135EF" w:rsidRPr="004626F7">
        <w:rPr>
          <w:rFonts w:ascii="Arial" w:hAnsi="Arial" w:cs="Arial"/>
          <w:sz w:val="22"/>
          <w:szCs w:val="22"/>
        </w:rPr>
        <w:t xml:space="preserve"> </w:t>
      </w:r>
      <w:r w:rsidR="00A135EF" w:rsidRPr="004626F7">
        <w:rPr>
          <w:rFonts w:ascii="Arial" w:hAnsi="Arial" w:cs="Arial"/>
          <w:sz w:val="22"/>
          <w:szCs w:val="22"/>
        </w:rPr>
        <w:fldChar w:fldCharType="begin" w:fldLock="1"/>
      </w:r>
      <w:r w:rsidR="004626F7" w:rsidRPr="004626F7">
        <w:rPr>
          <w:rFonts w:ascii="Arial" w:hAnsi="Arial" w:cs="Arial"/>
          <w:sz w:val="22"/>
          <w:szCs w:val="22"/>
        </w:rPr>
        <w:instrText>ADDIN CSL_CITATION {"citationItems":[{"id":"ITEM-1","itemData":{"ISSN":"1354-8166","author":[{"dropping-particle":"","family":"Oses","given":"Noelia","non-dropping-particle":"","parse-names":false,"suffix":""},{"dropping-particle":"","family":"Gerrikagoitia","given":"Jon Kepa","non-dropping-particle":"","parse-names":false,"suffix":""},{"dropping-particle":"","family":"Alzua","given":"Aurkene","non-dropping-particle":"","parse-names":false,"suffix":""}],"container-title":"Tourism Economics","id":"ITEM-1","issue":"6","issued":{"date-parts":[["2016"]]},"page":"1380-1403","publisher":"Sage Publications Sage UK: London, England","title":"Modelling and prediction of a destination</w:instrText>
      </w:r>
      <w:r w:rsidR="004626F7" w:rsidRPr="004626F7">
        <w:rPr>
          <w:rFonts w:ascii="Malgun Gothic" w:hAnsi="Malgun Gothic" w:cs="Malgun Gothic"/>
          <w:sz w:val="22"/>
          <w:szCs w:val="22"/>
        </w:rPr>
        <w:instrText>��</w:instrText>
      </w:r>
      <w:r w:rsidR="004626F7" w:rsidRPr="004626F7">
        <w:rPr>
          <w:rFonts w:ascii="Arial" w:hAnsi="Arial" w:cs="Arial"/>
          <w:sz w:val="22"/>
          <w:szCs w:val="22"/>
        </w:rPr>
        <w:instrText>s monthly average daily rate and occupancy rate based on hotel room prices offered online","type":"article-journal","volume":"22"},"uris":["http://www.mendeley.com/documents/?uuid=26bb6583-b2ff-4492-953c-695084e3db70"]},{"id":"ITEM-2","itemData":{"ISSN":"1839-5260","author":[{"dropping-particle":"","family":"Ching-chi","given":"Cindia Lam","non-dropping-particle":"","parse-names":false,"suffix":""},{"dropping-particle":"","family":"Si","given":"Clara Lei Weng","non-dropping-particle":"","parse-names":false,"suffix":""}],"container-title":"Journal of Hospitality and Tourism Management","id":"ITEM-2","issue":"1","issued":{"date-parts":[["2010"]]},"page":"34-43","publisher":"Cambridge University Press","title":"Hotel occupancy rate in a gambling destination: A longitudinal study of the Macao hotel industry 2004</w:instrText>
      </w:r>
      <w:r w:rsidR="004626F7" w:rsidRPr="004626F7">
        <w:rPr>
          <w:rFonts w:ascii="Malgun Gothic" w:hAnsi="Malgun Gothic" w:cs="Malgun Gothic"/>
          <w:sz w:val="22"/>
          <w:szCs w:val="22"/>
        </w:rPr>
        <w:instrText>�</w:instrText>
      </w:r>
      <w:r w:rsidR="004626F7" w:rsidRPr="004626F7">
        <w:rPr>
          <w:rFonts w:ascii="Arial" w:hAnsi="Arial" w:cs="Arial"/>
          <w:sz w:val="22"/>
          <w:szCs w:val="22"/>
        </w:rPr>
        <w:instrText>C2007","type":"article-journal","volume":"17"},"uris":["http://www.mendeley.com/documents/?uuid=78da3a8c-74de-40f4-8993-1668970def5e"]}],"mendeley":{"formattedCitation":"(Ching-chi and Si, 2010; Oses, Gerrikagoitia and Alzua, 2016)","plainTextFormattedCitation":"(Ching-chi and Si, 2010; Oses, Gerrikagoitia and Alzua, 2016)","previouslyFormattedCitation":"(Ching-chi and Si, 2010; Oses, Gerrikagoitia and Alzua, 2016)"},"properties":{"noteIndex":0},"schema":"https://github.com/citation-style-language/schema/raw/master/csl-citation.json"}</w:instrText>
      </w:r>
      <w:r w:rsidR="00A135EF" w:rsidRPr="004626F7">
        <w:rPr>
          <w:rFonts w:ascii="Arial" w:hAnsi="Arial" w:cs="Arial"/>
          <w:sz w:val="22"/>
          <w:szCs w:val="22"/>
        </w:rPr>
        <w:fldChar w:fldCharType="separate"/>
      </w:r>
      <w:r w:rsidR="004626F7" w:rsidRPr="004626F7">
        <w:rPr>
          <w:rFonts w:ascii="Arial" w:hAnsi="Arial" w:cs="Arial"/>
          <w:noProof/>
          <w:sz w:val="22"/>
          <w:szCs w:val="22"/>
        </w:rPr>
        <w:t>(Ching-chi and Si, 2010; Oses, Gerrikagoitia and Alzua, 2016)</w:t>
      </w:r>
      <w:r w:rsidR="00A135EF" w:rsidRPr="004626F7">
        <w:rPr>
          <w:rFonts w:ascii="Arial" w:hAnsi="Arial" w:cs="Arial"/>
          <w:sz w:val="22"/>
          <w:szCs w:val="22"/>
        </w:rPr>
        <w:fldChar w:fldCharType="end"/>
      </w:r>
      <w:r w:rsidRPr="004626F7">
        <w:rPr>
          <w:rFonts w:ascii="Arial" w:hAnsi="Arial" w:cs="Arial"/>
          <w:sz w:val="22"/>
          <w:szCs w:val="22"/>
        </w:rPr>
        <w:t xml:space="preserve">. </w:t>
      </w:r>
      <w:r w:rsidR="00442489" w:rsidRPr="004626F7">
        <w:rPr>
          <w:rFonts w:ascii="Arial" w:hAnsi="Arial" w:cs="Arial"/>
          <w:sz w:val="22"/>
          <w:szCs w:val="22"/>
        </w:rPr>
        <w:t>The occupancy is an indicator that is currency neutral, which means it can be compared horizontally with other hotel incumbents or vertically with previous performance. The occupancy rate of Hilton has witnessed a sharp drop in the onset of the pandemic in 2020 to the historical low of 40.3%</w:t>
      </w:r>
      <w:r w:rsidR="00A135EF" w:rsidRPr="004626F7">
        <w:rPr>
          <w:rFonts w:ascii="Arial" w:hAnsi="Arial" w:cs="Arial"/>
          <w:sz w:val="22"/>
          <w:szCs w:val="22"/>
        </w:rPr>
        <w:t xml:space="preserve"> </w:t>
      </w:r>
      <w:r w:rsidR="00A135EF" w:rsidRPr="004626F7">
        <w:rPr>
          <w:rFonts w:ascii="Arial" w:hAnsi="Arial" w:cs="Arial"/>
          <w:sz w:val="22"/>
          <w:szCs w:val="22"/>
        </w:rPr>
        <w:fldChar w:fldCharType="begin" w:fldLock="1"/>
      </w:r>
      <w:r w:rsidR="00A135EF" w:rsidRPr="004626F7">
        <w:rPr>
          <w:rFonts w:ascii="Arial" w:hAnsi="Arial" w:cs="Arial"/>
          <w:sz w:val="22"/>
          <w:szCs w:val="22"/>
        </w:rPr>
        <w:instrText>ADDIN CSL_CITATION {"citationItems":[{"id":"ITEM-1","itemData":{"URL":"https://www-statista-com.uoelibrary.idm.oclc.org/topics/1880/hilton-worldwide/","accessed":{"date-parts":[["2022","4","29"]]},"author":[{"dropping-particle":"","family":"Statista","given":"","non-dropping-particle":"","parse-names":false,"suffix":""}],"id":"ITEM-1","issued":{"date-parts":[["2022"]]},"title":"Hilton Worldwide Holdings - statistics &amp; facts","type":"webpage"},"uris":["http://www.mendeley.com/documents/?uuid=1c97cf44-9e09-326c-bb50-53ad16e89c9c"]}],"mendeley":{"formattedCitation":"(Statista, 2022)","plainTextFormattedCitation":"(Statista, 2022)","previouslyFormattedCitation":"(Statista, 2022)"},"properties":{"noteIndex":0},"schema":"https://github.com/citation-style-language/schema/raw/master/csl-citation.json"}</w:instrText>
      </w:r>
      <w:r w:rsidR="00A135EF" w:rsidRPr="004626F7">
        <w:rPr>
          <w:rFonts w:ascii="Arial" w:hAnsi="Arial" w:cs="Arial"/>
          <w:sz w:val="22"/>
          <w:szCs w:val="22"/>
        </w:rPr>
        <w:fldChar w:fldCharType="separate"/>
      </w:r>
      <w:r w:rsidR="00A135EF" w:rsidRPr="004626F7">
        <w:rPr>
          <w:rFonts w:ascii="Arial" w:hAnsi="Arial" w:cs="Arial"/>
          <w:noProof/>
          <w:sz w:val="22"/>
          <w:szCs w:val="22"/>
        </w:rPr>
        <w:t>(Statista, 2022)</w:t>
      </w:r>
      <w:r w:rsidR="00A135EF" w:rsidRPr="004626F7">
        <w:rPr>
          <w:rFonts w:ascii="Arial" w:hAnsi="Arial" w:cs="Arial"/>
          <w:sz w:val="22"/>
          <w:szCs w:val="22"/>
        </w:rPr>
        <w:fldChar w:fldCharType="end"/>
      </w:r>
      <w:r w:rsidR="00442489" w:rsidRPr="004626F7">
        <w:rPr>
          <w:rFonts w:ascii="Arial" w:hAnsi="Arial" w:cs="Arial"/>
          <w:sz w:val="22"/>
          <w:szCs w:val="22"/>
        </w:rPr>
        <w:t xml:space="preserve">. System-wide occupancy improved rapidly during 20201, increasing by 6.9% as compared to the same period in 2020 but lagging behind the pre-pandemic level. </w:t>
      </w:r>
    </w:p>
    <w:p w14:paraId="1AB9610D" w14:textId="1F77A417" w:rsidR="00442489" w:rsidRPr="004626F7" w:rsidRDefault="00442489"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t xml:space="preserve">Overall, the situation analysis, in financial and strategic terms, indicates the challenges but also opportunities ahead, and Hilton, thereby, should exert a higher level of proactivity by using its current competencies and resources to eliminate the challenges and seizes the opportunities to </w:t>
      </w:r>
      <w:r w:rsidR="00DE345C">
        <w:rPr>
          <w:rFonts w:ascii="Arial" w:hAnsi="Arial" w:cs="Arial"/>
          <w:sz w:val="22"/>
          <w:szCs w:val="22"/>
        </w:rPr>
        <w:t xml:space="preserve">sustain </w:t>
      </w:r>
      <w:r w:rsidRPr="004626F7">
        <w:rPr>
          <w:rFonts w:ascii="Arial" w:hAnsi="Arial" w:cs="Arial"/>
          <w:sz w:val="22"/>
          <w:szCs w:val="22"/>
        </w:rPr>
        <w:t xml:space="preserve">the growth </w:t>
      </w:r>
      <w:r w:rsidR="00DE345C">
        <w:rPr>
          <w:rFonts w:ascii="Arial" w:hAnsi="Arial" w:cs="Arial"/>
          <w:sz w:val="22"/>
          <w:szCs w:val="22"/>
        </w:rPr>
        <w:t>under</w:t>
      </w:r>
      <w:r w:rsidRPr="004626F7">
        <w:rPr>
          <w:rFonts w:ascii="Arial" w:hAnsi="Arial" w:cs="Arial"/>
          <w:sz w:val="22"/>
          <w:szCs w:val="22"/>
        </w:rPr>
        <w:t xml:space="preserve"> the headwinds of the COVID-19. </w:t>
      </w:r>
    </w:p>
    <w:p w14:paraId="09A7E1AD" w14:textId="463FEE14" w:rsidR="00DF6A83" w:rsidRPr="004626F7" w:rsidRDefault="00DF6A83" w:rsidP="004626F7">
      <w:pPr>
        <w:pStyle w:val="2"/>
        <w:numPr>
          <w:ilvl w:val="1"/>
          <w:numId w:val="2"/>
        </w:numPr>
        <w:spacing w:beforeLines="100" w:before="312" w:afterLines="150" w:after="468" w:line="360" w:lineRule="auto"/>
        <w:rPr>
          <w:rFonts w:ascii="Arial" w:hAnsi="Arial" w:cs="Arial"/>
        </w:rPr>
      </w:pPr>
      <w:bookmarkStart w:id="4" w:name="_Toc102165713"/>
      <w:r w:rsidRPr="004626F7">
        <w:rPr>
          <w:rFonts w:ascii="Arial" w:hAnsi="Arial" w:cs="Arial"/>
        </w:rPr>
        <w:t>Objective</w:t>
      </w:r>
      <w:bookmarkEnd w:id="4"/>
      <w:r w:rsidRPr="004626F7">
        <w:rPr>
          <w:rFonts w:ascii="Arial" w:hAnsi="Arial" w:cs="Arial"/>
        </w:rPr>
        <w:t xml:space="preserve"> </w:t>
      </w:r>
    </w:p>
    <w:p w14:paraId="50E0418F" w14:textId="7A3FBD52" w:rsidR="00DF6A83" w:rsidRPr="004626F7" w:rsidRDefault="00DF6A83"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t xml:space="preserve">The formulation of the marketing objective is based on the SMART criteria, which requires the objective to be specific, measurable, achievable, </w:t>
      </w:r>
      <w:r w:rsidR="009C3B0F" w:rsidRPr="004626F7">
        <w:rPr>
          <w:rFonts w:ascii="Arial" w:hAnsi="Arial" w:cs="Arial"/>
          <w:sz w:val="22"/>
          <w:szCs w:val="22"/>
        </w:rPr>
        <w:t>relevant</w:t>
      </w:r>
      <w:r w:rsidR="00E0666D" w:rsidRPr="004626F7">
        <w:rPr>
          <w:rFonts w:ascii="Arial" w:hAnsi="Arial" w:cs="Arial"/>
          <w:sz w:val="22"/>
          <w:szCs w:val="22"/>
        </w:rPr>
        <w:t>,</w:t>
      </w:r>
      <w:r w:rsidRPr="004626F7">
        <w:rPr>
          <w:rFonts w:ascii="Arial" w:hAnsi="Arial" w:cs="Arial"/>
          <w:sz w:val="22"/>
          <w:szCs w:val="22"/>
        </w:rPr>
        <w:t xml:space="preserve"> and time-bound</w:t>
      </w:r>
      <w:r w:rsidR="00A135EF" w:rsidRPr="004626F7">
        <w:rPr>
          <w:rFonts w:ascii="Arial" w:hAnsi="Arial" w:cs="Arial"/>
          <w:sz w:val="22"/>
          <w:szCs w:val="22"/>
        </w:rPr>
        <w:t xml:space="preserve"> </w:t>
      </w:r>
      <w:r w:rsidR="00A135EF" w:rsidRPr="004626F7">
        <w:rPr>
          <w:rFonts w:ascii="Arial" w:hAnsi="Arial" w:cs="Arial"/>
          <w:sz w:val="22"/>
          <w:szCs w:val="22"/>
        </w:rPr>
        <w:fldChar w:fldCharType="begin" w:fldLock="1"/>
      </w:r>
      <w:r w:rsidR="002873EC" w:rsidRPr="004626F7">
        <w:rPr>
          <w:rFonts w:ascii="Arial" w:hAnsi="Arial" w:cs="Arial"/>
          <w:sz w:val="22"/>
          <w:szCs w:val="22"/>
        </w:rPr>
        <w:instrText>ADDIN CSL_CITATION {"citationItems":[{"id":"ITEM-1","itemData":{"ISBN":"0080912125","author":[{"dropping-particle":"","family":"Wilson","given":"Richard M S","non-dropping-particle":"","parse-names":false,"suffix":""}],"id":"ITEM-1","issued":{"date-parts":[["2010"]]},"publisher":"Routledge","title":"Strategic marketing planning","type":"book"},"uris":["http://www.mendeley.com/documents/?uuid=79b14fe2-7287-4b44-858d-ccf913f82959"]}],"mendeley":{"formattedCitation":"(Wilson, 2010)","plainTextFormattedCitation":"(Wilson, 2010)","previouslyFormattedCitation":"(Wilson, 2010)"},"properties":{"noteIndex":0},"schema":"https://github.com/citation-style-language/schema/raw/master/csl-citation.json"}</w:instrText>
      </w:r>
      <w:r w:rsidR="00A135EF" w:rsidRPr="004626F7">
        <w:rPr>
          <w:rFonts w:ascii="Arial" w:hAnsi="Arial" w:cs="Arial"/>
          <w:sz w:val="22"/>
          <w:szCs w:val="22"/>
        </w:rPr>
        <w:fldChar w:fldCharType="separate"/>
      </w:r>
      <w:r w:rsidR="00A135EF" w:rsidRPr="004626F7">
        <w:rPr>
          <w:rFonts w:ascii="Arial" w:hAnsi="Arial" w:cs="Arial"/>
          <w:noProof/>
          <w:sz w:val="22"/>
          <w:szCs w:val="22"/>
        </w:rPr>
        <w:t>(Wilson, 2010)</w:t>
      </w:r>
      <w:r w:rsidR="00A135EF" w:rsidRPr="004626F7">
        <w:rPr>
          <w:rFonts w:ascii="Arial" w:hAnsi="Arial" w:cs="Arial"/>
          <w:sz w:val="22"/>
          <w:szCs w:val="22"/>
        </w:rPr>
        <w:fldChar w:fldCharType="end"/>
      </w:r>
      <w:r w:rsidRPr="004626F7">
        <w:rPr>
          <w:rFonts w:ascii="Arial" w:hAnsi="Arial" w:cs="Arial"/>
          <w:sz w:val="22"/>
          <w:szCs w:val="22"/>
        </w:rPr>
        <w:t>.</w:t>
      </w:r>
      <w:r w:rsidR="00E0666D" w:rsidRPr="004626F7">
        <w:rPr>
          <w:rFonts w:ascii="Arial" w:hAnsi="Arial" w:cs="Arial"/>
          <w:sz w:val="22"/>
          <w:szCs w:val="22"/>
        </w:rPr>
        <w:t xml:space="preserve"> The above analysis indicates the fact that although the occupancy rate had dramatically decreased in 2020 and </w:t>
      </w:r>
      <w:r w:rsidR="00E0666D" w:rsidRPr="004626F7">
        <w:rPr>
          <w:rFonts w:ascii="Arial" w:hAnsi="Arial" w:cs="Arial"/>
          <w:sz w:val="22"/>
          <w:szCs w:val="22"/>
        </w:rPr>
        <w:lastRenderedPageBreak/>
        <w:t xml:space="preserve">2021 due to the </w:t>
      </w:r>
      <w:r w:rsidR="00D7193A" w:rsidRPr="004626F7">
        <w:rPr>
          <w:rFonts w:ascii="Arial" w:hAnsi="Arial" w:cs="Arial"/>
          <w:sz w:val="22"/>
          <w:szCs w:val="22"/>
        </w:rPr>
        <w:t>COVID</w:t>
      </w:r>
      <w:r w:rsidR="00E0666D" w:rsidRPr="004626F7">
        <w:rPr>
          <w:rFonts w:ascii="Arial" w:hAnsi="Arial" w:cs="Arial"/>
          <w:sz w:val="22"/>
          <w:szCs w:val="22"/>
        </w:rPr>
        <w:t>-19, it has been on a gradual recovery. The marketing plan is developed with the objective of</w:t>
      </w:r>
    </w:p>
    <w:p w14:paraId="1A11687B" w14:textId="4DB8DBD9" w:rsidR="00E0666D" w:rsidRPr="004626F7" w:rsidRDefault="002873EC" w:rsidP="004626F7">
      <w:pPr>
        <w:spacing w:beforeLines="100" w:before="312" w:afterLines="150" w:after="468" w:line="360" w:lineRule="auto"/>
        <w:jc w:val="both"/>
        <w:rPr>
          <w:rFonts w:ascii="Arial" w:hAnsi="Arial" w:cs="Arial"/>
          <w:b/>
          <w:bCs/>
          <w:i/>
          <w:iCs/>
          <w:sz w:val="22"/>
          <w:szCs w:val="22"/>
        </w:rPr>
      </w:pPr>
      <w:r w:rsidRPr="004626F7">
        <w:rPr>
          <w:rFonts w:ascii="Arial" w:hAnsi="Arial" w:cs="Arial"/>
          <w:b/>
          <w:bCs/>
          <w:i/>
          <w:iCs/>
          <w:sz w:val="22"/>
          <w:szCs w:val="22"/>
        </w:rPr>
        <w:t>“</w:t>
      </w:r>
      <w:r w:rsidR="00E0666D" w:rsidRPr="004626F7">
        <w:rPr>
          <w:rFonts w:ascii="Arial" w:hAnsi="Arial" w:cs="Arial"/>
          <w:b/>
          <w:bCs/>
          <w:i/>
          <w:iCs/>
          <w:sz w:val="22"/>
          <w:szCs w:val="22"/>
        </w:rPr>
        <w:t xml:space="preserve">To promote the occupancy rate of Hilton to 75% by the end of the fiscal year 2022. </w:t>
      </w:r>
      <w:r w:rsidRPr="004626F7">
        <w:rPr>
          <w:rFonts w:ascii="Arial" w:hAnsi="Arial" w:cs="Arial"/>
          <w:b/>
          <w:bCs/>
          <w:i/>
          <w:iCs/>
          <w:sz w:val="22"/>
          <w:szCs w:val="22"/>
        </w:rPr>
        <w:t>“</w:t>
      </w:r>
    </w:p>
    <w:p w14:paraId="36EC2E7C" w14:textId="118279AF" w:rsidR="00E0666D" w:rsidRPr="004626F7" w:rsidRDefault="00E0666D"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t xml:space="preserve">The objective set above fulfilled the SMART criteria in the following way. </w:t>
      </w:r>
    </w:p>
    <w:p w14:paraId="5582F65B" w14:textId="0045A3F4" w:rsidR="00E0666D" w:rsidRPr="004626F7" w:rsidRDefault="00E0666D" w:rsidP="004626F7">
      <w:pPr>
        <w:pStyle w:val="a7"/>
        <w:numPr>
          <w:ilvl w:val="0"/>
          <w:numId w:val="4"/>
        </w:numPr>
        <w:spacing w:beforeLines="100" w:before="312" w:afterLines="150" w:after="468" w:line="360" w:lineRule="auto"/>
        <w:ind w:firstLineChars="0"/>
        <w:jc w:val="both"/>
        <w:rPr>
          <w:rFonts w:ascii="Arial" w:hAnsi="Arial" w:cs="Arial"/>
          <w:sz w:val="22"/>
          <w:szCs w:val="22"/>
        </w:rPr>
      </w:pPr>
      <w:r w:rsidRPr="004626F7">
        <w:rPr>
          <w:rFonts w:ascii="Arial" w:hAnsi="Arial" w:cs="Arial"/>
          <w:sz w:val="22"/>
          <w:szCs w:val="22"/>
        </w:rPr>
        <w:t xml:space="preserve">Specific: the objective </w:t>
      </w:r>
      <w:r w:rsidR="001A1F8F" w:rsidRPr="004626F7">
        <w:rPr>
          <w:rFonts w:ascii="Arial" w:hAnsi="Arial" w:cs="Arial"/>
          <w:sz w:val="22"/>
          <w:szCs w:val="22"/>
        </w:rPr>
        <w:t>uses</w:t>
      </w:r>
      <w:r w:rsidRPr="004626F7">
        <w:rPr>
          <w:rFonts w:ascii="Arial" w:hAnsi="Arial" w:cs="Arial"/>
          <w:sz w:val="22"/>
          <w:szCs w:val="22"/>
        </w:rPr>
        <w:t xml:space="preserve"> the occupancy rate as the key performance indicator</w:t>
      </w:r>
      <w:r w:rsidR="00664124" w:rsidRPr="004626F7">
        <w:rPr>
          <w:rFonts w:ascii="Arial" w:hAnsi="Arial" w:cs="Arial"/>
          <w:sz w:val="22"/>
          <w:szCs w:val="22"/>
        </w:rPr>
        <w:t xml:space="preserve">, </w:t>
      </w:r>
      <w:r w:rsidR="007E7EE1" w:rsidRPr="004626F7">
        <w:rPr>
          <w:rFonts w:ascii="Arial" w:hAnsi="Arial" w:cs="Arial"/>
          <w:sz w:val="22"/>
          <w:szCs w:val="22"/>
        </w:rPr>
        <w:t xml:space="preserve">and the clearly indicates what will be accomplished, and the specific action “promotion” is going to take by Hilton. </w:t>
      </w:r>
    </w:p>
    <w:p w14:paraId="0AAF7BF2" w14:textId="3E821B7D" w:rsidR="007E7EE1" w:rsidRPr="004626F7" w:rsidRDefault="007E7EE1" w:rsidP="004626F7">
      <w:pPr>
        <w:pStyle w:val="a7"/>
        <w:numPr>
          <w:ilvl w:val="0"/>
          <w:numId w:val="4"/>
        </w:numPr>
        <w:spacing w:beforeLines="100" w:before="312" w:afterLines="150" w:after="468" w:line="360" w:lineRule="auto"/>
        <w:ind w:firstLineChars="0"/>
        <w:jc w:val="both"/>
        <w:rPr>
          <w:rFonts w:ascii="Arial" w:hAnsi="Arial" w:cs="Arial"/>
          <w:sz w:val="22"/>
          <w:szCs w:val="22"/>
        </w:rPr>
      </w:pPr>
      <w:r w:rsidRPr="004626F7">
        <w:rPr>
          <w:rFonts w:ascii="Arial" w:hAnsi="Arial" w:cs="Arial"/>
          <w:sz w:val="22"/>
          <w:szCs w:val="22"/>
        </w:rPr>
        <w:t xml:space="preserve">Measurable: the metric of “occupancy rate” is chosen to determine if Hilton meets the objective, which makes the objective more </w:t>
      </w:r>
      <w:r w:rsidR="00ED5119" w:rsidRPr="004626F7">
        <w:rPr>
          <w:rFonts w:ascii="Arial" w:hAnsi="Arial" w:cs="Arial"/>
          <w:sz w:val="22"/>
          <w:szCs w:val="22"/>
        </w:rPr>
        <w:t>tangible</w:t>
      </w:r>
      <w:r w:rsidRPr="004626F7">
        <w:rPr>
          <w:rFonts w:ascii="Arial" w:hAnsi="Arial" w:cs="Arial"/>
          <w:sz w:val="22"/>
          <w:szCs w:val="22"/>
        </w:rPr>
        <w:t xml:space="preserve"> because it provides a way to measure, track, evaluate and control the progress </w:t>
      </w:r>
    </w:p>
    <w:p w14:paraId="20655351" w14:textId="2F24DE76" w:rsidR="00ED5119" w:rsidRPr="004626F7" w:rsidRDefault="00ED5119" w:rsidP="004626F7">
      <w:pPr>
        <w:pStyle w:val="a7"/>
        <w:numPr>
          <w:ilvl w:val="0"/>
          <w:numId w:val="4"/>
        </w:numPr>
        <w:spacing w:beforeLines="100" w:before="312" w:afterLines="150" w:after="468" w:line="360" w:lineRule="auto"/>
        <w:ind w:firstLineChars="0"/>
        <w:jc w:val="both"/>
        <w:rPr>
          <w:rFonts w:ascii="Arial" w:hAnsi="Arial" w:cs="Arial"/>
          <w:sz w:val="22"/>
          <w:szCs w:val="22"/>
        </w:rPr>
      </w:pPr>
      <w:r w:rsidRPr="004626F7">
        <w:rPr>
          <w:rFonts w:ascii="Arial" w:hAnsi="Arial" w:cs="Arial"/>
          <w:sz w:val="22"/>
          <w:szCs w:val="22"/>
        </w:rPr>
        <w:t xml:space="preserve">Achievable: as Hilton had an occupancy rate slightly over 75% before the COVID-19 disrupted the whole industry, the goal is perceived as highly achievable as the whole industry is on its gradual recovery. </w:t>
      </w:r>
      <w:r w:rsidR="0010439C" w:rsidRPr="004626F7">
        <w:rPr>
          <w:rFonts w:ascii="Arial" w:hAnsi="Arial" w:cs="Arial"/>
          <w:sz w:val="22"/>
          <w:szCs w:val="22"/>
        </w:rPr>
        <w:t xml:space="preserve">The spread of vaccination programs, across economies, means that most travel destinations are not losing the travel restrictions. The recovery has really begun to take shape since 2022 as people have become comfortable and confident in travel, and are allowed to do more in destinations. </w:t>
      </w:r>
      <w:r w:rsidR="007F2F06" w:rsidRPr="004626F7">
        <w:rPr>
          <w:rFonts w:ascii="Arial" w:hAnsi="Arial" w:cs="Arial"/>
          <w:sz w:val="22"/>
          <w:szCs w:val="22"/>
        </w:rPr>
        <w:t>At the industry level, the occupancy has rebounded from 44% in 2020 to 52% in 2021</w:t>
      </w:r>
      <w:r w:rsidR="0048432E" w:rsidRPr="004626F7">
        <w:rPr>
          <w:rFonts w:ascii="Arial" w:hAnsi="Arial" w:cs="Arial"/>
          <w:sz w:val="22"/>
          <w:szCs w:val="22"/>
        </w:rPr>
        <w:t>, and it is going to further rebound to around 70% by the end of 2022</w:t>
      </w:r>
      <w:r w:rsidR="002873EC" w:rsidRPr="004626F7">
        <w:rPr>
          <w:rFonts w:ascii="Arial" w:hAnsi="Arial" w:cs="Arial"/>
          <w:sz w:val="22"/>
          <w:szCs w:val="22"/>
        </w:rPr>
        <w:t xml:space="preserve"> </w:t>
      </w:r>
      <w:r w:rsidR="002873EC" w:rsidRPr="004626F7">
        <w:rPr>
          <w:rFonts w:ascii="Arial" w:hAnsi="Arial" w:cs="Arial"/>
          <w:sz w:val="22"/>
          <w:szCs w:val="22"/>
        </w:rPr>
        <w:fldChar w:fldCharType="begin" w:fldLock="1"/>
      </w:r>
      <w:r w:rsidR="002873EC" w:rsidRPr="004626F7">
        <w:rPr>
          <w:rFonts w:ascii="Arial" w:hAnsi="Arial" w:cs="Arial"/>
          <w:sz w:val="22"/>
          <w:szCs w:val="22"/>
        </w:rPr>
        <w:instrText>ADDIN CSL_CITATION {"citationItems":[{"id":"ITEM-1","itemData":{"URL":"https://www.unwto.org/tourism-data/unwto-tourism-recovery-tracker","accessed":{"date-parts":[["2022","4","29"]]},"author":[{"dropping-particle":"","family":"UNWTO","given":"","non-dropping-particle":"","parse-names":false,"suffix":""}],"id":"ITEM-1","issued":{"date-parts":[["2022"]]},"title":"UNWTO Tourism Recovery Tracker | Tourism Dashboard","type":"webpage"},"uris":["http://www.mendeley.com/documents/?uuid=850a93fd-88cf-3e29-b5fc-5c92cdbc217f"]}],"mendeley":{"formattedCitation":"(UNWTO, 2022)","plainTextFormattedCitation":"(UNWTO, 2022)","previouslyFormattedCitation":"(UNWTO, 2022)"},"properties":{"noteIndex":0},"schema":"https://github.com/citation-style-language/schema/raw/master/csl-citation.json"}</w:instrText>
      </w:r>
      <w:r w:rsidR="002873EC" w:rsidRPr="004626F7">
        <w:rPr>
          <w:rFonts w:ascii="Arial" w:hAnsi="Arial" w:cs="Arial"/>
          <w:sz w:val="22"/>
          <w:szCs w:val="22"/>
        </w:rPr>
        <w:fldChar w:fldCharType="separate"/>
      </w:r>
      <w:r w:rsidR="002873EC" w:rsidRPr="004626F7">
        <w:rPr>
          <w:rFonts w:ascii="Arial" w:hAnsi="Arial" w:cs="Arial"/>
          <w:noProof/>
          <w:sz w:val="22"/>
          <w:szCs w:val="22"/>
        </w:rPr>
        <w:t>(UNWTO, 2022)</w:t>
      </w:r>
      <w:r w:rsidR="002873EC" w:rsidRPr="004626F7">
        <w:rPr>
          <w:rFonts w:ascii="Arial" w:hAnsi="Arial" w:cs="Arial"/>
          <w:sz w:val="22"/>
          <w:szCs w:val="22"/>
        </w:rPr>
        <w:fldChar w:fldCharType="end"/>
      </w:r>
      <w:r w:rsidR="0048432E" w:rsidRPr="004626F7">
        <w:rPr>
          <w:rFonts w:ascii="Arial" w:hAnsi="Arial" w:cs="Arial"/>
          <w:sz w:val="22"/>
          <w:szCs w:val="22"/>
        </w:rPr>
        <w:t xml:space="preserve">. Therefore, it is reasonable to set an objective of promoting an occupancy rate of around 75%, which is the pre-pandemic occupancy level of Hilton. </w:t>
      </w:r>
      <w:r w:rsidR="009C3B0F" w:rsidRPr="004626F7">
        <w:rPr>
          <w:rFonts w:ascii="Arial" w:hAnsi="Arial" w:cs="Arial"/>
          <w:sz w:val="22"/>
          <w:szCs w:val="22"/>
        </w:rPr>
        <w:t xml:space="preserve">Especially, the achievability of the goal is further justified by the current strengths of Hilton including its international presence and a well-diversified portfolio, as well as the current opportunities presented including the integration of technologies to improve operational efficiency and stand differentiated. </w:t>
      </w:r>
    </w:p>
    <w:p w14:paraId="26381ECE" w14:textId="3EBD6489" w:rsidR="0048432E" w:rsidRPr="004626F7" w:rsidRDefault="0048432E" w:rsidP="004626F7">
      <w:pPr>
        <w:pStyle w:val="a7"/>
        <w:numPr>
          <w:ilvl w:val="0"/>
          <w:numId w:val="4"/>
        </w:numPr>
        <w:spacing w:beforeLines="100" w:before="312" w:afterLines="150" w:after="468" w:line="360" w:lineRule="auto"/>
        <w:ind w:firstLineChars="0"/>
        <w:jc w:val="both"/>
        <w:rPr>
          <w:rFonts w:ascii="Arial" w:hAnsi="Arial" w:cs="Arial"/>
          <w:sz w:val="22"/>
          <w:szCs w:val="22"/>
        </w:rPr>
      </w:pPr>
      <w:r w:rsidRPr="004626F7">
        <w:rPr>
          <w:rFonts w:ascii="Arial" w:hAnsi="Arial" w:cs="Arial"/>
          <w:sz w:val="22"/>
          <w:szCs w:val="22"/>
        </w:rPr>
        <w:lastRenderedPageBreak/>
        <w:t>Re</w:t>
      </w:r>
      <w:r w:rsidR="009C3B0F" w:rsidRPr="004626F7">
        <w:rPr>
          <w:rFonts w:ascii="Arial" w:hAnsi="Arial" w:cs="Arial"/>
          <w:sz w:val="22"/>
          <w:szCs w:val="22"/>
        </w:rPr>
        <w:t>levant: relevancy of the objective requires the objective to focus on something that makes sense with broader strategic goals. The occupancy is directly associated with the net revenues, which is, in turn, positively related to the net earnings</w:t>
      </w:r>
      <w:r w:rsidR="002873EC" w:rsidRPr="004626F7">
        <w:rPr>
          <w:rFonts w:ascii="Arial" w:hAnsi="Arial" w:cs="Arial"/>
          <w:sz w:val="22"/>
          <w:szCs w:val="22"/>
        </w:rPr>
        <w:t xml:space="preserve"> </w:t>
      </w:r>
      <w:r w:rsidR="002873EC" w:rsidRPr="004626F7">
        <w:rPr>
          <w:rFonts w:ascii="Arial" w:hAnsi="Arial" w:cs="Arial"/>
          <w:sz w:val="22"/>
          <w:szCs w:val="22"/>
        </w:rPr>
        <w:fldChar w:fldCharType="begin" w:fldLock="1"/>
      </w:r>
      <w:r w:rsidR="004626F7" w:rsidRPr="004626F7">
        <w:rPr>
          <w:rFonts w:ascii="Arial" w:hAnsi="Arial" w:cs="Arial"/>
          <w:sz w:val="22"/>
          <w:szCs w:val="22"/>
        </w:rPr>
        <w:instrText>ADDIN CSL_CITATION {"citationItems":[{"id":"ITEM-1","itemData":{"ISSN":"1354-8166","author":[{"dropping-particle":"","family":"Oses","given":"Noelia","non-dropping-particle":"","parse-names":false,"suffix":""},{"dropping-particle":"","family":"Gerrikagoitia","given":"Jon Kepa","non-dropping-particle":"","parse-names":false,"suffix":""},{"dropping-particle":"","family":"Alzua","given":"Aurkene","non-dropping-particle":"","parse-names":false,"suffix":""}],"container-title":"Tourism Economics","id":"ITEM-1","issue":"6","issued":{"date-parts":[["2016"]]},"page":"1380-1403","publisher":"Sage Publications Sage UK: London, England","title":"Modelling and prediction of a destination</w:instrText>
      </w:r>
      <w:r w:rsidR="004626F7" w:rsidRPr="004626F7">
        <w:rPr>
          <w:rFonts w:ascii="Malgun Gothic" w:hAnsi="Malgun Gothic" w:cs="Malgun Gothic"/>
          <w:sz w:val="22"/>
          <w:szCs w:val="22"/>
        </w:rPr>
        <w:instrText>��</w:instrText>
      </w:r>
      <w:r w:rsidR="004626F7" w:rsidRPr="004626F7">
        <w:rPr>
          <w:rFonts w:ascii="Arial" w:hAnsi="Arial" w:cs="Arial"/>
          <w:sz w:val="22"/>
          <w:szCs w:val="22"/>
        </w:rPr>
        <w:instrText>s monthly average daily rate and occupancy rate based on hotel room prices offered online","type":"article-journal","volume":"22"},"uris":["http://www.mendeley.com/documents/?uuid=26bb6583-b2ff-4492-953c-695084e3db70"]}],"mendeley":{"formattedCitation":"(Oses, Gerrikagoitia and Alzua, 2016)","plainTextFormattedCitation":"(Oses, Gerrikagoitia and Alzua, 2016)","previouslyFormattedCitation":"(Oses, Gerrikagoitia and Alzua, 2016)"},"properties":{"noteIndex":0},"schema":"https://github.com/citation-style-language/schema/raw/master/csl-citation.json"}</w:instrText>
      </w:r>
      <w:r w:rsidR="002873EC" w:rsidRPr="004626F7">
        <w:rPr>
          <w:rFonts w:ascii="Arial" w:hAnsi="Arial" w:cs="Arial"/>
          <w:sz w:val="22"/>
          <w:szCs w:val="22"/>
        </w:rPr>
        <w:fldChar w:fldCharType="separate"/>
      </w:r>
      <w:r w:rsidR="004626F7" w:rsidRPr="004626F7">
        <w:rPr>
          <w:rFonts w:ascii="Arial" w:hAnsi="Arial" w:cs="Arial"/>
          <w:noProof/>
          <w:sz w:val="22"/>
          <w:szCs w:val="22"/>
        </w:rPr>
        <w:t>(Oses, Gerrikagoitia and Alzua, 2016)</w:t>
      </w:r>
      <w:r w:rsidR="002873EC" w:rsidRPr="004626F7">
        <w:rPr>
          <w:rFonts w:ascii="Arial" w:hAnsi="Arial" w:cs="Arial"/>
          <w:sz w:val="22"/>
          <w:szCs w:val="22"/>
        </w:rPr>
        <w:fldChar w:fldCharType="end"/>
      </w:r>
      <w:r w:rsidR="009C3B0F" w:rsidRPr="004626F7">
        <w:rPr>
          <w:rFonts w:ascii="Arial" w:hAnsi="Arial" w:cs="Arial"/>
          <w:sz w:val="22"/>
          <w:szCs w:val="22"/>
        </w:rPr>
        <w:t xml:space="preserve">. The promotion of the occupancy rate will directly benefit Hilton to enhance its resilience and develop its profitability through more revenue reserve. </w:t>
      </w:r>
    </w:p>
    <w:p w14:paraId="7E5D3BF5" w14:textId="1F632FC0" w:rsidR="009C3B0F" w:rsidRPr="004626F7" w:rsidRDefault="009C3B0F" w:rsidP="004626F7">
      <w:pPr>
        <w:pStyle w:val="a7"/>
        <w:numPr>
          <w:ilvl w:val="0"/>
          <w:numId w:val="4"/>
        </w:numPr>
        <w:spacing w:beforeLines="100" w:before="312" w:afterLines="150" w:after="468" w:line="360" w:lineRule="auto"/>
        <w:ind w:firstLineChars="0"/>
        <w:jc w:val="both"/>
        <w:rPr>
          <w:rFonts w:ascii="Arial" w:hAnsi="Arial" w:cs="Arial"/>
          <w:sz w:val="22"/>
          <w:szCs w:val="22"/>
        </w:rPr>
      </w:pPr>
      <w:r w:rsidRPr="004626F7">
        <w:rPr>
          <w:rFonts w:ascii="Arial" w:hAnsi="Arial" w:cs="Arial"/>
          <w:sz w:val="22"/>
          <w:szCs w:val="22"/>
        </w:rPr>
        <w:t xml:space="preserve">Time-bound: the target date of “by the end of 2022” is provided for </w:t>
      </w:r>
      <w:r w:rsidR="00B964D3" w:rsidRPr="004626F7">
        <w:rPr>
          <w:rFonts w:ascii="Arial" w:hAnsi="Arial" w:cs="Arial"/>
          <w:sz w:val="22"/>
          <w:szCs w:val="22"/>
        </w:rPr>
        <w:t>deliverables</w:t>
      </w:r>
      <w:r w:rsidRPr="004626F7">
        <w:rPr>
          <w:rFonts w:ascii="Arial" w:hAnsi="Arial" w:cs="Arial"/>
          <w:sz w:val="22"/>
          <w:szCs w:val="22"/>
        </w:rPr>
        <w:t xml:space="preserve"> to be imperative. The </w:t>
      </w:r>
      <w:r w:rsidR="00B964D3" w:rsidRPr="004626F7">
        <w:rPr>
          <w:rFonts w:ascii="Arial" w:hAnsi="Arial" w:cs="Arial"/>
          <w:sz w:val="22"/>
          <w:szCs w:val="22"/>
        </w:rPr>
        <w:t>scenario</w:t>
      </w:r>
      <w:r w:rsidRPr="004626F7">
        <w:rPr>
          <w:rFonts w:ascii="Arial" w:hAnsi="Arial" w:cs="Arial"/>
          <w:sz w:val="22"/>
          <w:szCs w:val="22"/>
        </w:rPr>
        <w:t xml:space="preserve"> analysis afforded </w:t>
      </w:r>
      <w:r w:rsidR="00B964D3" w:rsidRPr="004626F7">
        <w:rPr>
          <w:rFonts w:ascii="Arial" w:hAnsi="Arial" w:cs="Arial"/>
          <w:sz w:val="22"/>
          <w:szCs w:val="22"/>
        </w:rPr>
        <w:t xml:space="preserve">by </w:t>
      </w:r>
      <w:r w:rsidR="00B964D3" w:rsidRPr="004626F7">
        <w:rPr>
          <w:rFonts w:ascii="Arial" w:hAnsi="Arial" w:cs="Arial"/>
          <w:sz w:val="22"/>
          <w:szCs w:val="22"/>
        </w:rPr>
        <w:fldChar w:fldCharType="begin" w:fldLock="1"/>
      </w:r>
      <w:r w:rsidR="00146EE5" w:rsidRPr="004626F7">
        <w:rPr>
          <w:rFonts w:ascii="Arial" w:hAnsi="Arial" w:cs="Arial"/>
          <w:sz w:val="22"/>
          <w:szCs w:val="22"/>
        </w:rPr>
        <w:instrText>ADDIN CSL_CITATION {"citationItems":[{"id":"ITEM-1","itemData":{"URL":"https://www2.deloitte.com/global/en/pages/finance/articles/the-hospitality-industry-time-for-recovery.html","accessed":{"date-parts":[["2022","4","29"]]},"author":[{"dropping-particle":"","family":"Deloitte","given":"","non-dropping-particle":"","parse-names":false,"suffix":""}],"id":"ITEM-1","issued":{"date-parts":[["2022"]]},"title":"The Hospitality Industry: Time for Recovery ","type":"webpage"},"uris":["http://www.mendeley.com/documents/?uuid=26820fe2-79a3-3281-9aad-463385dc47a8"]}],"mendeley":{"formattedCitation":"(Deloitte, 2022)","manualFormatting":"Deloitte (2022)","plainTextFormattedCitation":"(Deloitte, 2022)","previouslyFormattedCitation":"(Deloitte, 2022)"},"properties":{"noteIndex":0},"schema":"https://github.com/citation-style-language/schema/raw/master/csl-citation.json"}</w:instrText>
      </w:r>
      <w:r w:rsidR="00B964D3" w:rsidRPr="004626F7">
        <w:rPr>
          <w:rFonts w:ascii="Arial" w:hAnsi="Arial" w:cs="Arial"/>
          <w:sz w:val="22"/>
          <w:szCs w:val="22"/>
        </w:rPr>
        <w:fldChar w:fldCharType="separate"/>
      </w:r>
      <w:r w:rsidR="00B964D3" w:rsidRPr="004626F7">
        <w:rPr>
          <w:rFonts w:ascii="Arial" w:hAnsi="Arial" w:cs="Arial"/>
          <w:noProof/>
          <w:sz w:val="22"/>
          <w:szCs w:val="22"/>
        </w:rPr>
        <w:t>Deloitte (2022)</w:t>
      </w:r>
      <w:r w:rsidR="00B964D3" w:rsidRPr="004626F7">
        <w:rPr>
          <w:rFonts w:ascii="Arial" w:hAnsi="Arial" w:cs="Arial"/>
          <w:sz w:val="22"/>
          <w:szCs w:val="22"/>
        </w:rPr>
        <w:fldChar w:fldCharType="end"/>
      </w:r>
      <w:r w:rsidR="00B964D3" w:rsidRPr="004626F7">
        <w:rPr>
          <w:rFonts w:ascii="Arial" w:hAnsi="Arial" w:cs="Arial"/>
          <w:sz w:val="22"/>
          <w:szCs w:val="22"/>
        </w:rPr>
        <w:t xml:space="preserve"> </w:t>
      </w:r>
      <w:r w:rsidRPr="004626F7">
        <w:rPr>
          <w:rFonts w:ascii="Arial" w:hAnsi="Arial" w:cs="Arial"/>
          <w:sz w:val="22"/>
          <w:szCs w:val="22"/>
        </w:rPr>
        <w:t xml:space="preserve">indicates the whole travel industry is expected to </w:t>
      </w:r>
      <w:r w:rsidR="00B964D3" w:rsidRPr="004626F7">
        <w:rPr>
          <w:rFonts w:ascii="Arial" w:hAnsi="Arial" w:cs="Arial"/>
          <w:sz w:val="22"/>
          <w:szCs w:val="22"/>
        </w:rPr>
        <w:t>recover</w:t>
      </w:r>
      <w:r w:rsidRPr="004626F7">
        <w:rPr>
          <w:rFonts w:ascii="Arial" w:hAnsi="Arial" w:cs="Arial"/>
          <w:sz w:val="22"/>
          <w:szCs w:val="22"/>
        </w:rPr>
        <w:t xml:space="preserve"> to</w:t>
      </w:r>
      <w:r w:rsidR="00B964D3" w:rsidRPr="004626F7">
        <w:rPr>
          <w:rFonts w:ascii="Arial" w:hAnsi="Arial" w:cs="Arial"/>
          <w:sz w:val="22"/>
          <w:szCs w:val="22"/>
        </w:rPr>
        <w:t xml:space="preserve"> or exceed</w:t>
      </w:r>
      <w:r w:rsidRPr="004626F7">
        <w:rPr>
          <w:rFonts w:ascii="Arial" w:hAnsi="Arial" w:cs="Arial"/>
          <w:sz w:val="22"/>
          <w:szCs w:val="22"/>
        </w:rPr>
        <w:t xml:space="preserve"> the pre-pandemic level by the end of 2022</w:t>
      </w:r>
      <w:r w:rsidR="00B964D3" w:rsidRPr="004626F7">
        <w:rPr>
          <w:rFonts w:ascii="Arial" w:hAnsi="Arial" w:cs="Arial"/>
          <w:sz w:val="22"/>
          <w:szCs w:val="22"/>
        </w:rPr>
        <w:t xml:space="preserve">. On the one hand, with the wide accessibility of vaccinations and the ever-high travel desire, hotels will see an uptick in domestic guests first and then international guests. </w:t>
      </w:r>
    </w:p>
    <w:p w14:paraId="209B3964" w14:textId="51D472EB" w:rsidR="00D97461" w:rsidRPr="004626F7" w:rsidRDefault="00D97461" w:rsidP="004626F7">
      <w:pPr>
        <w:pStyle w:val="2"/>
        <w:numPr>
          <w:ilvl w:val="1"/>
          <w:numId w:val="2"/>
        </w:numPr>
        <w:spacing w:beforeLines="100" w:before="312" w:afterLines="150" w:after="468" w:line="360" w:lineRule="auto"/>
        <w:rPr>
          <w:rFonts w:ascii="Arial" w:hAnsi="Arial" w:cs="Arial"/>
        </w:rPr>
      </w:pPr>
      <w:bookmarkStart w:id="5" w:name="_Toc102165714"/>
      <w:r w:rsidRPr="004626F7">
        <w:rPr>
          <w:rFonts w:ascii="Arial" w:hAnsi="Arial" w:cs="Arial"/>
        </w:rPr>
        <w:t>Strategy</w:t>
      </w:r>
      <w:bookmarkEnd w:id="5"/>
      <w:r w:rsidRPr="004626F7">
        <w:rPr>
          <w:rFonts w:ascii="Arial" w:hAnsi="Arial" w:cs="Arial"/>
        </w:rPr>
        <w:t xml:space="preserve"> </w:t>
      </w:r>
    </w:p>
    <w:p w14:paraId="19B50D85" w14:textId="4BDECD9D" w:rsidR="00D97461" w:rsidRPr="004626F7" w:rsidRDefault="00D97461"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t xml:space="preserve">Based on the above discussion, the overall strategy developed for </w:t>
      </w:r>
      <w:r w:rsidR="0019245D" w:rsidRPr="004626F7">
        <w:rPr>
          <w:rFonts w:ascii="Arial" w:hAnsi="Arial" w:cs="Arial"/>
          <w:sz w:val="22"/>
          <w:szCs w:val="22"/>
        </w:rPr>
        <w:t>Hilton</w:t>
      </w:r>
      <w:r w:rsidRPr="004626F7">
        <w:rPr>
          <w:rFonts w:ascii="Arial" w:hAnsi="Arial" w:cs="Arial"/>
          <w:sz w:val="22"/>
          <w:szCs w:val="22"/>
        </w:rPr>
        <w:t xml:space="preserve"> is considered as three Rs, including re-open, recover, and re-adapt. By following the three Rs, Hilton is able t</w:t>
      </w:r>
      <w:r w:rsidR="00DE345C">
        <w:rPr>
          <w:rFonts w:ascii="Arial" w:hAnsi="Arial" w:cs="Arial"/>
          <w:sz w:val="22"/>
          <w:szCs w:val="22"/>
        </w:rPr>
        <w:t>o</w:t>
      </w:r>
      <w:r w:rsidRPr="004626F7">
        <w:rPr>
          <w:rFonts w:ascii="Arial" w:hAnsi="Arial" w:cs="Arial"/>
          <w:sz w:val="22"/>
          <w:szCs w:val="22"/>
        </w:rPr>
        <w:t xml:space="preserve"> build back stronger and more resilient. </w:t>
      </w:r>
    </w:p>
    <w:p w14:paraId="031EEC1B" w14:textId="453564A1" w:rsidR="00D97461" w:rsidRPr="004626F7" w:rsidRDefault="00D97461" w:rsidP="004626F7">
      <w:pPr>
        <w:pStyle w:val="a7"/>
        <w:numPr>
          <w:ilvl w:val="0"/>
          <w:numId w:val="4"/>
        </w:numPr>
        <w:spacing w:beforeLines="100" w:before="312" w:afterLines="150" w:after="468" w:line="360" w:lineRule="auto"/>
        <w:ind w:firstLineChars="0"/>
        <w:jc w:val="both"/>
        <w:rPr>
          <w:rFonts w:ascii="Arial" w:hAnsi="Arial" w:cs="Arial"/>
          <w:sz w:val="22"/>
          <w:szCs w:val="22"/>
        </w:rPr>
      </w:pPr>
      <w:r w:rsidRPr="004626F7">
        <w:rPr>
          <w:rFonts w:ascii="Arial" w:hAnsi="Arial" w:cs="Arial"/>
          <w:sz w:val="22"/>
          <w:szCs w:val="22"/>
        </w:rPr>
        <w:t xml:space="preserve">Re-open: </w:t>
      </w:r>
      <w:r w:rsidR="0019245D" w:rsidRPr="004626F7">
        <w:rPr>
          <w:rFonts w:ascii="Arial" w:hAnsi="Arial" w:cs="Arial"/>
          <w:sz w:val="22"/>
          <w:szCs w:val="22"/>
        </w:rPr>
        <w:t xml:space="preserve">the first of R of the strategy requires Hilton to fulfill its duty to manage risks to those affected by its operation, which indicates the active engagement in undertaking health and safety risks resulting from the COVID-19 pandemic, and take reasonable actions to mitigate the risks. </w:t>
      </w:r>
      <w:r w:rsidRPr="004626F7">
        <w:rPr>
          <w:rFonts w:ascii="Arial" w:hAnsi="Arial" w:cs="Arial"/>
          <w:sz w:val="22"/>
          <w:szCs w:val="22"/>
        </w:rPr>
        <w:t xml:space="preserve"> </w:t>
      </w:r>
      <w:r w:rsidR="0019245D" w:rsidRPr="004626F7">
        <w:rPr>
          <w:rFonts w:ascii="Arial" w:hAnsi="Arial" w:cs="Arial"/>
          <w:sz w:val="22"/>
          <w:szCs w:val="22"/>
        </w:rPr>
        <w:t xml:space="preserve">This can be done by introducing contactless technologies to support accommodation service delivery in each node, such as artificial intelligence-enabled </w:t>
      </w:r>
      <w:r w:rsidR="00F05117" w:rsidRPr="004626F7">
        <w:rPr>
          <w:rFonts w:ascii="Arial" w:hAnsi="Arial" w:cs="Arial"/>
          <w:sz w:val="22"/>
          <w:szCs w:val="22"/>
        </w:rPr>
        <w:t>chatbots</w:t>
      </w:r>
      <w:r w:rsidR="0019245D" w:rsidRPr="004626F7">
        <w:rPr>
          <w:rFonts w:ascii="Arial" w:hAnsi="Arial" w:cs="Arial"/>
          <w:sz w:val="22"/>
          <w:szCs w:val="22"/>
        </w:rPr>
        <w:t xml:space="preserve"> in the information collection phase, digital keys for self-service check-in and check-out, robots for room service delivery, etc.</w:t>
      </w:r>
      <w:r w:rsidR="002873EC" w:rsidRPr="004626F7">
        <w:rPr>
          <w:rFonts w:ascii="Arial" w:hAnsi="Arial" w:cs="Arial"/>
          <w:sz w:val="22"/>
          <w:szCs w:val="22"/>
        </w:rPr>
        <w:t xml:space="preserve"> </w:t>
      </w:r>
      <w:r w:rsidR="002873EC" w:rsidRPr="004626F7">
        <w:rPr>
          <w:rFonts w:ascii="Arial" w:hAnsi="Arial" w:cs="Arial"/>
          <w:sz w:val="22"/>
          <w:szCs w:val="22"/>
        </w:rPr>
        <w:fldChar w:fldCharType="begin" w:fldLock="1"/>
      </w:r>
      <w:r w:rsidR="004626F7" w:rsidRPr="004626F7">
        <w:rPr>
          <w:rFonts w:ascii="Arial" w:hAnsi="Arial" w:cs="Arial"/>
          <w:sz w:val="22"/>
          <w:szCs w:val="22"/>
        </w:rPr>
        <w:instrText>ADDIN CSL_CITATION {"citationItems":[{"id":"ITEM-1","itemData":{"ISSN":"1246-0125","author":[{"dropping-particle":"","family":"Haqbin","given":"Arash","non-dropping-particle":"","parse-names":false,"suffix":""},{"dropping-particle":"","family":"Shojaei","given":"Payam","non-dropping-particle":"","parse-names":false,"suffix":""},{"dropping-particle":"","family":"Radmanesh","given":"Saeed","non-dropping-particle":"","parse-names":false,"suffix":""}],"container-title":"Journal of Decision Systems","id":"ITEM-1","issue":"1-2","issued":{"date-parts":[["2022"]]},"page":"102-115","publisher":"Taylor &amp; Francis","title":"Prioritising COVID-19 recovery solutions for tourism small and medium-sized enterprises: A rough best-worst method approach","type":"article-journal","volume":"31"},"uris":["http://www.mendeley.com/documents/?uuid=afa3c5d3-566d-4924-b166-71ded4396c4f"]},{"id":"ITEM-2","itemData":{"author":[{"dropping-particle":"","family":"Rogerson","given":"Christian M","non-dropping-particle":"","parse-names":false,"suffix":""},{"dropping-particle":"","family":"Rogerson","given":"Jayne M","non-dropping-particle":"","parse-names":false,"suffix":""}],"container-title":"African Journal of Hospitality, Tourism and Leisure","id":"ITEM-2","issue":"1","issued":{"date-parts":[["2021"]]},"page":"1-21","title":"COVID-19 and changing tourism demand: Research review and policy implications for South Africa","type":"article-journal","volume":"10"},"uris":["http://www.mendeley.com/documents/?uuid=fc7e318e-ee8d-438b-b245-ed9565cbcfd9"]}],"mendeley":{"formattedCitation":"(Rogerson and Rogerson, 2021; Haqbin, Shojaei and Radmanesh, 2022)","plainTextFormattedCitation":"(Rogerson and Rogerson, 2021; Haqbin, Shojaei and Radmanesh, 2022)","previouslyFormattedCitation":"(Rogerson and Rogerson, 2021; Haqbin, Shojaei and Radmanesh, 2022)"},"properties":{"noteIndex":0},"schema":"https://github.com/citation-style-language/schema/raw/master/csl-citation.json"}</w:instrText>
      </w:r>
      <w:r w:rsidR="002873EC" w:rsidRPr="004626F7">
        <w:rPr>
          <w:rFonts w:ascii="Arial" w:hAnsi="Arial" w:cs="Arial"/>
          <w:sz w:val="22"/>
          <w:szCs w:val="22"/>
        </w:rPr>
        <w:fldChar w:fldCharType="separate"/>
      </w:r>
      <w:r w:rsidR="004626F7" w:rsidRPr="004626F7">
        <w:rPr>
          <w:rFonts w:ascii="Arial" w:hAnsi="Arial" w:cs="Arial"/>
          <w:noProof/>
          <w:sz w:val="22"/>
          <w:szCs w:val="22"/>
        </w:rPr>
        <w:t>(Rogerson and Rogerson, 2021; Haqbin, Shojaei and Radmanesh, 2022)</w:t>
      </w:r>
      <w:r w:rsidR="002873EC" w:rsidRPr="004626F7">
        <w:rPr>
          <w:rFonts w:ascii="Arial" w:hAnsi="Arial" w:cs="Arial"/>
          <w:sz w:val="22"/>
          <w:szCs w:val="22"/>
        </w:rPr>
        <w:fldChar w:fldCharType="end"/>
      </w:r>
      <w:r w:rsidR="0019245D" w:rsidRPr="004626F7">
        <w:rPr>
          <w:rFonts w:ascii="Arial" w:hAnsi="Arial" w:cs="Arial"/>
          <w:sz w:val="22"/>
          <w:szCs w:val="22"/>
        </w:rPr>
        <w:t xml:space="preserve"> </w:t>
      </w:r>
    </w:p>
    <w:p w14:paraId="6BFEE7DB" w14:textId="03C063A1" w:rsidR="0019245D" w:rsidRPr="004626F7" w:rsidRDefault="0019245D" w:rsidP="004626F7">
      <w:pPr>
        <w:pStyle w:val="a7"/>
        <w:numPr>
          <w:ilvl w:val="0"/>
          <w:numId w:val="4"/>
        </w:numPr>
        <w:spacing w:beforeLines="100" w:before="312" w:afterLines="150" w:after="468" w:line="360" w:lineRule="auto"/>
        <w:ind w:firstLineChars="0"/>
        <w:jc w:val="both"/>
        <w:rPr>
          <w:rFonts w:ascii="Arial" w:hAnsi="Arial" w:cs="Arial"/>
          <w:sz w:val="22"/>
          <w:szCs w:val="22"/>
        </w:rPr>
      </w:pPr>
      <w:r w:rsidRPr="004626F7">
        <w:rPr>
          <w:rFonts w:ascii="Arial" w:hAnsi="Arial" w:cs="Arial"/>
          <w:sz w:val="22"/>
          <w:szCs w:val="22"/>
        </w:rPr>
        <w:t>Recovery: the nature of the COVID-19 pandemic</w:t>
      </w:r>
      <w:r w:rsidR="00F05117" w:rsidRPr="004626F7">
        <w:rPr>
          <w:rFonts w:ascii="Arial" w:hAnsi="Arial" w:cs="Arial"/>
          <w:sz w:val="22"/>
          <w:szCs w:val="22"/>
        </w:rPr>
        <w:t xml:space="preserve"> (with all kinds of variants, with the severity of its impacts on the hotel industry), indicates that even after reopening, the hotel incumbents are likely </w:t>
      </w:r>
      <w:r w:rsidR="00F05117" w:rsidRPr="004626F7">
        <w:rPr>
          <w:rFonts w:ascii="Arial" w:hAnsi="Arial" w:cs="Arial"/>
          <w:sz w:val="22"/>
          <w:szCs w:val="22"/>
        </w:rPr>
        <w:lastRenderedPageBreak/>
        <w:t xml:space="preserve">to face challenges in recovery, especially demand recovery. Hilton must take the opportunity to ensure that demand for its service is strengthened as it gradually comes out of the pandemic. The intervention of marketing efforts could not be ignored in this stage, to drive up the demand. </w:t>
      </w:r>
    </w:p>
    <w:p w14:paraId="06BACCD7" w14:textId="2AB4054F" w:rsidR="00F05117" w:rsidRPr="004626F7" w:rsidRDefault="00F05117" w:rsidP="004626F7">
      <w:pPr>
        <w:pStyle w:val="a7"/>
        <w:numPr>
          <w:ilvl w:val="0"/>
          <w:numId w:val="4"/>
        </w:numPr>
        <w:spacing w:beforeLines="100" w:before="312" w:afterLines="150" w:after="468" w:line="360" w:lineRule="auto"/>
        <w:ind w:firstLineChars="0"/>
        <w:jc w:val="both"/>
        <w:rPr>
          <w:rFonts w:ascii="Arial" w:hAnsi="Arial" w:cs="Arial"/>
          <w:sz w:val="22"/>
          <w:szCs w:val="22"/>
        </w:rPr>
      </w:pPr>
      <w:r w:rsidRPr="004626F7">
        <w:rPr>
          <w:rFonts w:ascii="Arial" w:hAnsi="Arial" w:cs="Arial"/>
          <w:sz w:val="22"/>
          <w:szCs w:val="22"/>
        </w:rPr>
        <w:t xml:space="preserve">Re-adapt: despite the huge disruption brought by </w:t>
      </w:r>
      <w:r w:rsidR="00D7193A" w:rsidRPr="004626F7">
        <w:rPr>
          <w:rFonts w:ascii="Arial" w:hAnsi="Arial" w:cs="Arial"/>
          <w:sz w:val="22"/>
          <w:szCs w:val="22"/>
        </w:rPr>
        <w:t>COVID</w:t>
      </w:r>
      <w:r w:rsidRPr="004626F7">
        <w:rPr>
          <w:rFonts w:ascii="Arial" w:hAnsi="Arial" w:cs="Arial"/>
          <w:sz w:val="22"/>
          <w:szCs w:val="22"/>
        </w:rPr>
        <w:t>-19, Hilton still faces other challenges, such as highly fierce competition and a highly saturated market, the threats from the accommodation services, etc. as well as other opportunities, such as the evolution and revolutions of different kinds of technologies</w:t>
      </w:r>
      <w:r w:rsidR="002873EC" w:rsidRPr="004626F7">
        <w:rPr>
          <w:rFonts w:ascii="Arial" w:hAnsi="Arial" w:cs="Arial"/>
          <w:sz w:val="22"/>
          <w:szCs w:val="22"/>
        </w:rPr>
        <w:t xml:space="preserve"> </w:t>
      </w:r>
      <w:r w:rsidR="002873EC" w:rsidRPr="004626F7">
        <w:rPr>
          <w:rFonts w:ascii="Arial" w:hAnsi="Arial" w:cs="Arial"/>
          <w:sz w:val="22"/>
          <w:szCs w:val="22"/>
        </w:rPr>
        <w:fldChar w:fldCharType="begin" w:fldLock="1"/>
      </w:r>
      <w:r w:rsidR="004626F7" w:rsidRPr="004626F7">
        <w:rPr>
          <w:rFonts w:ascii="Arial" w:hAnsi="Arial" w:cs="Arial"/>
          <w:sz w:val="22"/>
          <w:szCs w:val="22"/>
        </w:rPr>
        <w:instrText>ADDIN CSL_CITATION {"citationItems":[{"id":"ITEM-1","itemData":{"ISSN":"2281-4612","author":[{"dropping-particle":"","family":"Dimitrios","given":"Belias","non-dropping-particle":"","parse-names":false,"suffix":""},{"dropping-particle":"","family":"Christos","given":"Papademetriou","non-dropping-particle":"","parse-names":false,"suffix":""},{"dropping-particle":"","family":"Ioannis","given":"Rossidis","non-dropping-particle":"","parse-names":false,"suffix":""},{"dropping-particle":"","family":"Vasiliadis","given":"Labros","non-dropping-particle":"","parse-names":false,"suffix":""}],"container-title":"Academic Journal of Interdisciplinary Studies","id":"ITEM-1","issue":"6","issued":{"date-parts":[["2020"]]},"page":"130","title":"Strategic management in the hotel industry: proposed strategic practices to recover from COVID-19 global crisis","type":"article-journal","volume":"9"},"uris":["http://www.mendeley.com/documents/?uuid=59de4210-4a8b-4ac6-a5fc-fbff4066dd1e"]}],"mendeley":{"formattedCitation":"(Dimitrios &lt;i&gt;et al.&lt;/i&gt;, 2020)","plainTextFormattedCitation":"(Dimitrios et al., 2020)","previouslyFormattedCitation":"(Dimitrios &lt;i&gt;et al.&lt;/i&gt;, 2020)"},"properties":{"noteIndex":0},"schema":"https://github.com/citation-style-language/schema/raw/master/csl-citation.json"}</w:instrText>
      </w:r>
      <w:r w:rsidR="002873EC" w:rsidRPr="004626F7">
        <w:rPr>
          <w:rFonts w:ascii="Arial" w:hAnsi="Arial" w:cs="Arial"/>
          <w:sz w:val="22"/>
          <w:szCs w:val="22"/>
        </w:rPr>
        <w:fldChar w:fldCharType="separate"/>
      </w:r>
      <w:r w:rsidR="004626F7" w:rsidRPr="004626F7">
        <w:rPr>
          <w:rFonts w:ascii="Arial" w:hAnsi="Arial" w:cs="Arial"/>
          <w:noProof/>
          <w:sz w:val="22"/>
          <w:szCs w:val="22"/>
        </w:rPr>
        <w:t xml:space="preserve">(Dimitrios </w:t>
      </w:r>
      <w:r w:rsidR="004626F7" w:rsidRPr="004626F7">
        <w:rPr>
          <w:rFonts w:ascii="Arial" w:hAnsi="Arial" w:cs="Arial"/>
          <w:i/>
          <w:noProof/>
          <w:sz w:val="22"/>
          <w:szCs w:val="22"/>
        </w:rPr>
        <w:t>et al.</w:t>
      </w:r>
      <w:r w:rsidR="004626F7" w:rsidRPr="004626F7">
        <w:rPr>
          <w:rFonts w:ascii="Arial" w:hAnsi="Arial" w:cs="Arial"/>
          <w:noProof/>
          <w:sz w:val="22"/>
          <w:szCs w:val="22"/>
        </w:rPr>
        <w:t>, 2020)</w:t>
      </w:r>
      <w:r w:rsidR="002873EC" w:rsidRPr="004626F7">
        <w:rPr>
          <w:rFonts w:ascii="Arial" w:hAnsi="Arial" w:cs="Arial"/>
          <w:sz w:val="22"/>
          <w:szCs w:val="22"/>
        </w:rPr>
        <w:fldChar w:fldCharType="end"/>
      </w:r>
      <w:r w:rsidR="00711D9B" w:rsidRPr="004626F7">
        <w:rPr>
          <w:rFonts w:ascii="Arial" w:hAnsi="Arial" w:cs="Arial"/>
          <w:sz w:val="22"/>
          <w:szCs w:val="22"/>
        </w:rPr>
        <w:t>. This requires Hilton, beyond combating the COVID-19 pandemic, should also demonstrate its ability to swiftly adapt to future uncertainty and complexity. The integration of technologies to optimize and differentiate customer services could help Hilton to harness and build upon some pre-pandemic and during-pandemic challenges.</w:t>
      </w:r>
    </w:p>
    <w:p w14:paraId="19DF89CD" w14:textId="1D8920B6" w:rsidR="00711D9B" w:rsidRPr="004626F7" w:rsidRDefault="00711D9B" w:rsidP="004626F7">
      <w:pPr>
        <w:pStyle w:val="2"/>
        <w:numPr>
          <w:ilvl w:val="1"/>
          <w:numId w:val="2"/>
        </w:numPr>
        <w:spacing w:beforeLines="100" w:before="312" w:afterLines="150" w:after="468" w:line="360" w:lineRule="auto"/>
        <w:rPr>
          <w:rFonts w:ascii="Arial" w:hAnsi="Arial" w:cs="Arial"/>
        </w:rPr>
      </w:pPr>
      <w:bookmarkStart w:id="6" w:name="_Toc102165715"/>
      <w:r w:rsidRPr="004626F7">
        <w:rPr>
          <w:rFonts w:ascii="Arial" w:hAnsi="Arial" w:cs="Arial"/>
        </w:rPr>
        <w:t>Tactics</w:t>
      </w:r>
      <w:bookmarkEnd w:id="6"/>
      <w:r w:rsidRPr="004626F7">
        <w:rPr>
          <w:rFonts w:ascii="Arial" w:hAnsi="Arial" w:cs="Arial"/>
        </w:rPr>
        <w:t xml:space="preserve"> </w:t>
      </w:r>
    </w:p>
    <w:p w14:paraId="5D97A45B" w14:textId="57A7E8B0" w:rsidR="008F62AC" w:rsidRPr="004626F7" w:rsidRDefault="008F62AC"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t xml:space="preserve">The tactics of Hilton is developed for the 4P marketing mix, which refers to the product, price, place and promotion of the marketing package. </w:t>
      </w:r>
    </w:p>
    <w:p w14:paraId="5F968945" w14:textId="1C88E09F" w:rsidR="008F62AC" w:rsidRPr="004626F7" w:rsidRDefault="008F62AC" w:rsidP="004626F7">
      <w:pPr>
        <w:pStyle w:val="a7"/>
        <w:numPr>
          <w:ilvl w:val="0"/>
          <w:numId w:val="4"/>
        </w:numPr>
        <w:spacing w:beforeLines="100" w:before="312" w:afterLines="150" w:after="468" w:line="360" w:lineRule="auto"/>
        <w:ind w:firstLineChars="0"/>
        <w:jc w:val="both"/>
        <w:rPr>
          <w:rFonts w:ascii="Arial" w:hAnsi="Arial" w:cs="Arial"/>
          <w:sz w:val="22"/>
          <w:szCs w:val="22"/>
        </w:rPr>
      </w:pPr>
      <w:r w:rsidRPr="004626F7">
        <w:rPr>
          <w:rFonts w:ascii="Arial" w:hAnsi="Arial" w:cs="Arial"/>
          <w:sz w:val="22"/>
          <w:szCs w:val="22"/>
        </w:rPr>
        <w:t xml:space="preserve">Product: </w:t>
      </w:r>
      <w:r w:rsidR="0070600F" w:rsidRPr="004626F7">
        <w:rPr>
          <w:rFonts w:ascii="Arial" w:hAnsi="Arial" w:cs="Arial"/>
          <w:sz w:val="22"/>
          <w:szCs w:val="22"/>
        </w:rPr>
        <w:t>High-end business consumers value class and service, so in terms of competition strategy, platform enterprises can make efforts to win by quality and make more efforts on additional services on the platform; for the accommodation environment and additional services valued by mid-range consumers, they can simulate the decision-making and experience process of mid-range consumers and look for some thoughtful services that are not costly but can generate surprises</w:t>
      </w:r>
      <w:r w:rsidR="007E2D20" w:rsidRPr="004626F7">
        <w:rPr>
          <w:rFonts w:ascii="Arial" w:hAnsi="Arial" w:cs="Arial"/>
          <w:sz w:val="22"/>
          <w:szCs w:val="22"/>
        </w:rPr>
        <w:t xml:space="preserve"> </w:t>
      </w:r>
      <w:r w:rsidR="007E2D20" w:rsidRPr="004626F7">
        <w:rPr>
          <w:rFonts w:ascii="Arial" w:hAnsi="Arial" w:cs="Arial"/>
          <w:sz w:val="22"/>
          <w:szCs w:val="22"/>
        </w:rPr>
        <w:fldChar w:fldCharType="begin" w:fldLock="1"/>
      </w:r>
      <w:r w:rsidR="004626F7" w:rsidRPr="004626F7">
        <w:rPr>
          <w:rFonts w:ascii="Arial" w:hAnsi="Arial" w:cs="Arial"/>
          <w:sz w:val="22"/>
          <w:szCs w:val="22"/>
        </w:rPr>
        <w:instrText>ADDIN CSL_CITATION {"citationItems":[{"id":"ITEM-1","itemData":{"ISSN":"0261-5177","author":[{"dropping-particle":"","family":"Piccoli","given":"Gabriele","non-dropping-particle":"","parse-names":false,"suffix":""},{"dropping-particle":"","family":"Lui","given":"Tsz-Wai","non-dropping-particle":"","parse-names":false,"suffix":""},{"dropping-particle":"","family":"Grün","given":"Bettina","non-dropping-particle":"","parse-names":false,"suffix":""}],"container-title":"Tourism Management","id":"ITEM-1","issue":"2","issued":{"date-parts":[["2017"]]},"page":"349-362","publisher":"Elsevier","title":"The impact of IT-enabled customer service systems on service personalization, customer service perceptions, and hotel performance","type":"article-journal","volume":"59"},"uris":["http://www.mendeley.com/documents/?uuid=ab22a1d1-8ed7-4fa1-9a34-55f921b74c12"]},{"id":"ITEM-2","itemData":{"ISSN":"0278-4319","author":[{"dropping-particle":"","family":"Ariffin","given":"Ahmad Azmi M","non-dropping-particle":"","parse-names":false,"suffix":""},{"dropping-particle":"","family":"Maghzi","given":"Atefeh","non-dropping-particle":"","parse-names":false,"suffix":""}],"container-title":"International Journal of Hospitality Management","id":"ITEM-2","issue":"1","issued":{"date-parts":[["2012"]]},"page":"191-198","publisher":"Elsevier","title":"A preliminary study on customer expectations of hotel hospitality: Influences of personal and hotel factors","type":"article-journal","volume":"31"},"uris":["http://www.mendeley.com/documents/?uuid=57801f0b-db67-40e4-b3d4-2bcbaf3eb1a1"]}],"mendeley":{"formattedCitation":"(Ariffin and Maghzi, 2012; Piccoli, Lui and Grün, 2017)","plainTextFormattedCitation":"(Ariffin and Maghzi, 2012; Piccoli, Lui and Grün, 2017)","previouslyFormattedCitation":"(Ariffin and Maghzi, 2012; Piccoli, Lui and Grün, 2017)"},"properties":{"noteIndex":0},"schema":"https://github.com/citation-style-language/schema/raw/master/csl-citation.json"}</w:instrText>
      </w:r>
      <w:r w:rsidR="007E2D20" w:rsidRPr="004626F7">
        <w:rPr>
          <w:rFonts w:ascii="Arial" w:hAnsi="Arial" w:cs="Arial"/>
          <w:sz w:val="22"/>
          <w:szCs w:val="22"/>
        </w:rPr>
        <w:fldChar w:fldCharType="separate"/>
      </w:r>
      <w:r w:rsidR="004626F7" w:rsidRPr="004626F7">
        <w:rPr>
          <w:rFonts w:ascii="Arial" w:hAnsi="Arial" w:cs="Arial"/>
          <w:noProof/>
          <w:sz w:val="22"/>
          <w:szCs w:val="22"/>
        </w:rPr>
        <w:t>(Ariffin and Maghzi, 2012; Piccoli, Lui and Grün, 2017)</w:t>
      </w:r>
      <w:r w:rsidR="007E2D20" w:rsidRPr="004626F7">
        <w:rPr>
          <w:rFonts w:ascii="Arial" w:hAnsi="Arial" w:cs="Arial"/>
          <w:sz w:val="22"/>
          <w:szCs w:val="22"/>
        </w:rPr>
        <w:fldChar w:fldCharType="end"/>
      </w:r>
      <w:r w:rsidR="0070600F" w:rsidRPr="004626F7">
        <w:rPr>
          <w:rFonts w:ascii="Arial" w:hAnsi="Arial" w:cs="Arial"/>
          <w:sz w:val="22"/>
          <w:szCs w:val="22"/>
        </w:rPr>
        <w:t>. These additional services chosen with care can often reap extra points for the overall experience of users; and for consumer groups who choose economy hotels, they can seek a balanced advantage by properly studying the cost performance ratio and, to a certain extent, considering concessions, while safeguarding the basic requirement of neatness and hygiene</w:t>
      </w:r>
      <w:r w:rsidR="007E2D20" w:rsidRPr="004626F7">
        <w:rPr>
          <w:rFonts w:ascii="Arial" w:hAnsi="Arial" w:cs="Arial"/>
          <w:sz w:val="22"/>
          <w:szCs w:val="22"/>
        </w:rPr>
        <w:t xml:space="preserve"> </w:t>
      </w:r>
      <w:r w:rsidR="007E2D20" w:rsidRPr="004626F7">
        <w:rPr>
          <w:rFonts w:ascii="Arial" w:hAnsi="Arial" w:cs="Arial"/>
          <w:sz w:val="22"/>
          <w:szCs w:val="22"/>
        </w:rPr>
        <w:fldChar w:fldCharType="begin" w:fldLock="1"/>
      </w:r>
      <w:r w:rsidR="004626F7" w:rsidRPr="004626F7">
        <w:rPr>
          <w:rFonts w:ascii="Arial" w:hAnsi="Arial" w:cs="Arial"/>
          <w:sz w:val="22"/>
          <w:szCs w:val="22"/>
        </w:rPr>
        <w:instrText>ADDIN CSL_CITATION {"citationItems":[{"id":"ITEM-1","itemData":{"ISSN":"1573-059X","author":[{"dropping-particle":"","family":"Arora","given":"Neeraj","non-dropping-particle":"","parse-names":false,"suffix":""},{"dropping-particle":"","family":"Dreze","given":"Xavier","non-dropping-particle":"","parse-names":false,"suffix":""},{"dropping-particle":"","family":"Ghose","given":"Anindya","non-dropping-particle":"","parse-names":false,"suffix":""},{"dropping-particle":"","family":"Hess","given":"James D","non-dropping-particle":"","parse-names":false,"suffix":""},{"dropping-particle":"","family":"Iyengar","given":"Raghuram","non-dropping-particle":"","parse-names":false,"suffix":""},{"dropping-particle":"","family":"Jing","given":"Bing","non-dropping-particle":"","parse-names":false,"suffix":""},{"dropping-particle":"","family":"Joshi","given":"Yogesh","non-dropping-particle":"","parse-names":false,"suffix":""},{"dropping-particle":"","family":"Kumar","given":"V","non-dropping-particle":"","parse-names":false,"suffix":""},{"dropping-particle":"","family":"Lurie","given":"Nicholas","non-dropping-particle":"","parse-names":false,"suffix":""},{"dropping-particle":"","family":"Neslin","given":"Scott","non-dropping-particle":"","parse-names":false,"suffix":""}],"container-title":"Marketing Letters","id":"ITEM-1","issue":"3","issued":{"date-parts":[["2008"]]},"page":"305-321","publisher":"Springer","title":"Putting one-to-one marketing to work: Personalization, customization, and choice","type":"article-journal","volume":"19"},"uris":["http://www.mendeley.com/documents/?uuid=8f264d2d-992d-4ea0-8b31-bd1990a5d3e9"]},{"id":"ITEM-2","itemData":{"ISSN":"1447-6770","author":[{"dropping-particle":"","family":"Lei","given":"Soey Sut Ieng","non-dropping-particle":"","parse-names":false,"suffix":""},{"dropping-particle":"","family":"Chan","given":"Irene Cheng Chu","non-dropping-particle":"","parse-names":false,"suffix":""},{"dropping-particle":"","family":"Tang","given":"Jingyi","non-dropping-particle":"","parse-names":false,"suffix":""},{"dropping-particle":"","family":"Ye","given":"Shun","non-dropping-particle":"","parse-names":false,"suffix":""}],"container-title":"Journal of Hospitality and Tourism Management","id":"ITEM-2","issue":"4","issued":{"date-parts":[["2022"]]},"page":"288-297","publisher":"Elsevier","title":"Will tourists take mobile travel advice? Examining the personalization-privacy paradox","type":"article-journal","volume":"50"},"uris":["http://www.mendeley.com/documents/?uuid=53c90b0a-8110-41f6-86e1-bce611113d90"]}],"mendeley":{"formattedCitation":"(Arora &lt;i&gt;et al.&lt;/i&gt;, 2008; Lei &lt;i&gt;et al.&lt;/i&gt;, 2022)","plainTextFormattedCitation":"(Arora et al., 2008; Lei et al., 2022)","previouslyFormattedCitation":"(Arora &lt;i&gt;et al.&lt;/i&gt;, 2008; Lei &lt;i&gt;et al.&lt;/i&gt;, 2022)"},"properties":{"noteIndex":0},"schema":"https://github.com/citation-style-language/schema/raw/master/csl-citation.json"}</w:instrText>
      </w:r>
      <w:r w:rsidR="007E2D20" w:rsidRPr="004626F7">
        <w:rPr>
          <w:rFonts w:ascii="Arial" w:hAnsi="Arial" w:cs="Arial"/>
          <w:sz w:val="22"/>
          <w:szCs w:val="22"/>
        </w:rPr>
        <w:fldChar w:fldCharType="separate"/>
      </w:r>
      <w:r w:rsidR="004626F7" w:rsidRPr="004626F7">
        <w:rPr>
          <w:rFonts w:ascii="Arial" w:hAnsi="Arial" w:cs="Arial"/>
          <w:noProof/>
          <w:sz w:val="22"/>
          <w:szCs w:val="22"/>
        </w:rPr>
        <w:t xml:space="preserve">(Arora </w:t>
      </w:r>
      <w:r w:rsidR="004626F7" w:rsidRPr="004626F7">
        <w:rPr>
          <w:rFonts w:ascii="Arial" w:hAnsi="Arial" w:cs="Arial"/>
          <w:i/>
          <w:noProof/>
          <w:sz w:val="22"/>
          <w:szCs w:val="22"/>
        </w:rPr>
        <w:t>et al.</w:t>
      </w:r>
      <w:r w:rsidR="004626F7" w:rsidRPr="004626F7">
        <w:rPr>
          <w:rFonts w:ascii="Arial" w:hAnsi="Arial" w:cs="Arial"/>
          <w:noProof/>
          <w:sz w:val="22"/>
          <w:szCs w:val="22"/>
        </w:rPr>
        <w:t xml:space="preserve">, 2008; Lei </w:t>
      </w:r>
      <w:r w:rsidR="004626F7" w:rsidRPr="004626F7">
        <w:rPr>
          <w:rFonts w:ascii="Arial" w:hAnsi="Arial" w:cs="Arial"/>
          <w:i/>
          <w:noProof/>
          <w:sz w:val="22"/>
          <w:szCs w:val="22"/>
        </w:rPr>
        <w:t>et al.</w:t>
      </w:r>
      <w:r w:rsidR="004626F7" w:rsidRPr="004626F7">
        <w:rPr>
          <w:rFonts w:ascii="Arial" w:hAnsi="Arial" w:cs="Arial"/>
          <w:noProof/>
          <w:sz w:val="22"/>
          <w:szCs w:val="22"/>
        </w:rPr>
        <w:t>, 2022)</w:t>
      </w:r>
      <w:r w:rsidR="007E2D20" w:rsidRPr="004626F7">
        <w:rPr>
          <w:rFonts w:ascii="Arial" w:hAnsi="Arial" w:cs="Arial"/>
          <w:sz w:val="22"/>
          <w:szCs w:val="22"/>
        </w:rPr>
        <w:fldChar w:fldCharType="end"/>
      </w:r>
      <w:r w:rsidR="0070600F" w:rsidRPr="004626F7">
        <w:rPr>
          <w:rFonts w:ascii="Arial" w:hAnsi="Arial" w:cs="Arial"/>
          <w:sz w:val="22"/>
          <w:szCs w:val="22"/>
        </w:rPr>
        <w:t xml:space="preserve">. Overall, the integration of data technologies should be noted by Hilton to generate insights from customers, </w:t>
      </w:r>
      <w:r w:rsidR="0070600F" w:rsidRPr="004626F7">
        <w:rPr>
          <w:rFonts w:ascii="Arial" w:hAnsi="Arial" w:cs="Arial"/>
          <w:sz w:val="22"/>
          <w:szCs w:val="22"/>
        </w:rPr>
        <w:lastRenderedPageBreak/>
        <w:t>and afford services according to their consumption features and preferences</w:t>
      </w:r>
      <w:r w:rsidR="00DE345C">
        <w:rPr>
          <w:rFonts w:ascii="Arial" w:hAnsi="Arial" w:cs="Arial"/>
          <w:sz w:val="22"/>
          <w:szCs w:val="22"/>
        </w:rPr>
        <w:t xml:space="preserve"> across above ranges</w:t>
      </w:r>
      <w:r w:rsidR="0070600F" w:rsidRPr="004626F7">
        <w:rPr>
          <w:rFonts w:ascii="Arial" w:hAnsi="Arial" w:cs="Arial"/>
          <w:sz w:val="22"/>
          <w:szCs w:val="22"/>
        </w:rPr>
        <w:t xml:space="preserve">, so as to differentiate their services from others. However, all those differentiation efforts should be built upon the fulfillment of the reopening requirement, which is to ensure a safe stay for all customers through contactless service delivery and other relevant COVID-19 responses </w:t>
      </w:r>
      <w:r w:rsidR="001E4ABF" w:rsidRPr="004626F7">
        <w:rPr>
          <w:rFonts w:ascii="Arial" w:hAnsi="Arial" w:cs="Arial"/>
          <w:sz w:val="22"/>
          <w:szCs w:val="22"/>
        </w:rPr>
        <w:t>(such</w:t>
      </w:r>
      <w:r w:rsidR="0070600F" w:rsidRPr="004626F7">
        <w:rPr>
          <w:rFonts w:ascii="Arial" w:hAnsi="Arial" w:cs="Arial"/>
          <w:sz w:val="22"/>
          <w:szCs w:val="22"/>
        </w:rPr>
        <w:t xml:space="preserve"> as the communication of local travel regulations to the guests, the </w:t>
      </w:r>
      <w:r w:rsidR="008614D3" w:rsidRPr="004626F7">
        <w:rPr>
          <w:rFonts w:ascii="Arial" w:hAnsi="Arial" w:cs="Arial"/>
          <w:sz w:val="22"/>
          <w:szCs w:val="22"/>
        </w:rPr>
        <w:t>contingency measures for the infected cases, etc.)</w:t>
      </w:r>
      <w:r w:rsidR="0070600F" w:rsidRPr="004626F7">
        <w:rPr>
          <w:rFonts w:ascii="Arial" w:hAnsi="Arial" w:cs="Arial"/>
          <w:sz w:val="22"/>
          <w:szCs w:val="22"/>
        </w:rPr>
        <w:t xml:space="preserve">. </w:t>
      </w:r>
      <w:r w:rsidR="00783AC3" w:rsidRPr="004626F7">
        <w:rPr>
          <w:rFonts w:ascii="Arial" w:hAnsi="Arial" w:cs="Arial"/>
          <w:sz w:val="22"/>
          <w:szCs w:val="22"/>
        </w:rPr>
        <w:t xml:space="preserve">Intense room cleaning still remains the top action that guests would lie to see from hotels </w:t>
      </w:r>
      <w:r w:rsidR="00783AC3" w:rsidRPr="004626F7">
        <w:rPr>
          <w:rFonts w:ascii="Arial" w:hAnsi="Arial" w:cs="Arial"/>
          <w:sz w:val="22"/>
          <w:szCs w:val="22"/>
        </w:rPr>
        <w:fldChar w:fldCharType="begin" w:fldLock="1"/>
      </w:r>
      <w:r w:rsidR="00783AC3" w:rsidRPr="004626F7">
        <w:rPr>
          <w:rFonts w:ascii="Arial" w:hAnsi="Arial" w:cs="Arial"/>
          <w:sz w:val="22"/>
          <w:szCs w:val="22"/>
        </w:rPr>
        <w:instrText>ADDIN CSL_CITATION {"citationItems":[{"id":"ITEM-1","itemData":{"URL":"https://www.mckinsey.com/industries/travel-logistics-and-infrastructure/our-insights/hospitality-and-covid-19-how-long-until-no-vacancy-for-us-hotels","accessed":{"date-parts":[["2022","4","29"]]},"author":[{"dropping-particle":"","family":"McKinsey","given":"","non-dropping-particle":"","parse-names":false,"suffix":""}],"id":"ITEM-1","issued":{"date-parts":[["2022"]]},"title":"COVID-19's effect on the hotel industry ","type":"webpage"},"uris":["http://www.mendeley.com/documents/?uuid=cf826ecf-7d6b-3aeb-ab06-0c8c63ef5d06"]}],"mendeley":{"formattedCitation":"(McKinsey, 2022)","plainTextFormattedCitation":"(McKinsey, 2022)","previouslyFormattedCitation":"(McKinsey, 2022)"},"properties":{"noteIndex":0},"schema":"https://github.com/citation-style-language/schema/raw/master/csl-citation.json"}</w:instrText>
      </w:r>
      <w:r w:rsidR="00783AC3" w:rsidRPr="004626F7">
        <w:rPr>
          <w:rFonts w:ascii="Arial" w:hAnsi="Arial" w:cs="Arial"/>
          <w:sz w:val="22"/>
          <w:szCs w:val="22"/>
        </w:rPr>
        <w:fldChar w:fldCharType="separate"/>
      </w:r>
      <w:r w:rsidR="00783AC3" w:rsidRPr="004626F7">
        <w:rPr>
          <w:rFonts w:ascii="Arial" w:hAnsi="Arial" w:cs="Arial"/>
          <w:noProof/>
          <w:sz w:val="22"/>
          <w:szCs w:val="22"/>
        </w:rPr>
        <w:t>(McKinsey, 2022)</w:t>
      </w:r>
      <w:r w:rsidR="00783AC3" w:rsidRPr="004626F7">
        <w:rPr>
          <w:rFonts w:ascii="Arial" w:hAnsi="Arial" w:cs="Arial"/>
          <w:sz w:val="22"/>
          <w:szCs w:val="22"/>
        </w:rPr>
        <w:fldChar w:fldCharType="end"/>
      </w:r>
    </w:p>
    <w:p w14:paraId="20E38EF4" w14:textId="0E1B45BA" w:rsidR="00783AC3" w:rsidRPr="004626F7" w:rsidRDefault="00783AC3" w:rsidP="004626F7">
      <w:pPr>
        <w:spacing w:beforeLines="100" w:before="312" w:afterLines="150" w:after="468" w:line="360" w:lineRule="auto"/>
        <w:jc w:val="center"/>
        <w:rPr>
          <w:rFonts w:ascii="Arial" w:hAnsi="Arial" w:cs="Arial"/>
          <w:sz w:val="22"/>
          <w:szCs w:val="22"/>
        </w:rPr>
      </w:pPr>
      <w:r w:rsidRPr="004626F7">
        <w:rPr>
          <w:rFonts w:ascii="Arial" w:hAnsi="Arial" w:cs="Arial"/>
          <w:noProof/>
          <w:sz w:val="22"/>
          <w:szCs w:val="22"/>
        </w:rPr>
        <w:drawing>
          <wp:inline distT="0" distB="0" distL="0" distR="0" wp14:anchorId="665D8FC4" wp14:editId="1E247699">
            <wp:extent cx="4373824" cy="3842817"/>
            <wp:effectExtent l="0" t="0" r="8255" b="571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82862" cy="3850758"/>
                    </a:xfrm>
                    <a:prstGeom prst="rect">
                      <a:avLst/>
                    </a:prstGeom>
                  </pic:spPr>
                </pic:pic>
              </a:graphicData>
            </a:graphic>
          </wp:inline>
        </w:drawing>
      </w:r>
    </w:p>
    <w:p w14:paraId="474E9A3B" w14:textId="31D17094" w:rsidR="00783AC3" w:rsidRPr="004626F7" w:rsidRDefault="00783AC3" w:rsidP="004626F7">
      <w:pPr>
        <w:spacing w:beforeLines="100" w:before="312" w:afterLines="150" w:after="468" w:line="360" w:lineRule="auto"/>
        <w:jc w:val="center"/>
        <w:rPr>
          <w:rFonts w:ascii="Arial" w:hAnsi="Arial" w:cs="Arial"/>
          <w:sz w:val="22"/>
          <w:szCs w:val="22"/>
          <w:u w:val="single"/>
        </w:rPr>
      </w:pPr>
      <w:r w:rsidRPr="004626F7">
        <w:rPr>
          <w:rFonts w:ascii="Arial" w:hAnsi="Arial" w:cs="Arial"/>
          <w:sz w:val="22"/>
          <w:szCs w:val="22"/>
          <w:u w:val="single"/>
        </w:rPr>
        <w:t xml:space="preserve">Figure </w:t>
      </w:r>
      <w:r w:rsidR="00D7193A" w:rsidRPr="004626F7">
        <w:rPr>
          <w:rFonts w:ascii="Arial" w:hAnsi="Arial" w:cs="Arial"/>
          <w:sz w:val="22"/>
          <w:szCs w:val="22"/>
          <w:u w:val="single"/>
        </w:rPr>
        <w:t>5</w:t>
      </w:r>
      <w:r w:rsidRPr="004626F7">
        <w:rPr>
          <w:rFonts w:ascii="Arial" w:hAnsi="Arial" w:cs="Arial"/>
          <w:sz w:val="22"/>
          <w:szCs w:val="22"/>
          <w:u w:val="single"/>
        </w:rPr>
        <w:t xml:space="preserve">. Actions guests would like to see </w:t>
      </w:r>
      <w:r w:rsidRPr="004626F7">
        <w:rPr>
          <w:rFonts w:ascii="Arial" w:hAnsi="Arial" w:cs="Arial"/>
          <w:sz w:val="22"/>
          <w:szCs w:val="22"/>
          <w:u w:val="single"/>
        </w:rPr>
        <w:fldChar w:fldCharType="begin" w:fldLock="1"/>
      </w:r>
      <w:r w:rsidR="00F74BA0" w:rsidRPr="004626F7">
        <w:rPr>
          <w:rFonts w:ascii="Arial" w:hAnsi="Arial" w:cs="Arial"/>
          <w:sz w:val="22"/>
          <w:szCs w:val="22"/>
          <w:u w:val="single"/>
        </w:rPr>
        <w:instrText>ADDIN CSL_CITATION {"citationItems":[{"id":"ITEM-1","itemData":{"URL":"https://www.mckinsey.com/industries/travel-logistics-and-infrastructure/our-insights/hospitality-and-covid-19-how-long-until-no-vacancy-for-us-hotels","accessed":{"date-parts":[["2022","4","29"]]},"author":[{"dropping-particle":"","family":"McKinsey","given":"","non-dropping-particle":"","parse-names":false,"suffix":""}],"id":"ITEM-1","issued":{"date-parts":[["2022"]]},"title":"COVID-19's effect on the hotel industry ","type":"webpage"},"uris":["http://www.mendeley.com/documents/?uuid=cf826ecf-7d6b-3aeb-ab06-0c8c63ef5d06"]}],"mendeley":{"formattedCitation":"(McKinsey, 2022)","plainTextFormattedCitation":"(McKinsey, 2022)","previouslyFormattedCitation":"(McKinsey, 2022)"},"properties":{"noteIndex":0},"schema":"https://github.com/citation-style-language/schema/raw/master/csl-citation.json"}</w:instrText>
      </w:r>
      <w:r w:rsidRPr="004626F7">
        <w:rPr>
          <w:rFonts w:ascii="Arial" w:hAnsi="Arial" w:cs="Arial"/>
          <w:sz w:val="22"/>
          <w:szCs w:val="22"/>
          <w:u w:val="single"/>
        </w:rPr>
        <w:fldChar w:fldCharType="separate"/>
      </w:r>
      <w:r w:rsidRPr="004626F7">
        <w:rPr>
          <w:rFonts w:ascii="Arial" w:hAnsi="Arial" w:cs="Arial"/>
          <w:noProof/>
          <w:sz w:val="22"/>
          <w:szCs w:val="22"/>
          <w:u w:val="single"/>
        </w:rPr>
        <w:t>(McKinsey, 2022)</w:t>
      </w:r>
      <w:r w:rsidRPr="004626F7">
        <w:rPr>
          <w:rFonts w:ascii="Arial" w:hAnsi="Arial" w:cs="Arial"/>
          <w:sz w:val="22"/>
          <w:szCs w:val="22"/>
          <w:u w:val="single"/>
        </w:rPr>
        <w:fldChar w:fldCharType="end"/>
      </w:r>
    </w:p>
    <w:p w14:paraId="20EE7678" w14:textId="0C1F9976" w:rsidR="00EC217F" w:rsidRPr="004626F7" w:rsidRDefault="00EC217F" w:rsidP="004626F7">
      <w:pPr>
        <w:pStyle w:val="a7"/>
        <w:numPr>
          <w:ilvl w:val="0"/>
          <w:numId w:val="4"/>
        </w:numPr>
        <w:spacing w:beforeLines="100" w:before="312" w:afterLines="150" w:after="468" w:line="360" w:lineRule="auto"/>
        <w:ind w:firstLineChars="0"/>
        <w:jc w:val="both"/>
        <w:rPr>
          <w:rFonts w:ascii="Arial" w:hAnsi="Arial" w:cs="Arial"/>
          <w:sz w:val="22"/>
          <w:szCs w:val="22"/>
        </w:rPr>
      </w:pPr>
      <w:r w:rsidRPr="004626F7">
        <w:rPr>
          <w:rFonts w:ascii="Arial" w:hAnsi="Arial" w:cs="Arial"/>
          <w:sz w:val="22"/>
          <w:szCs w:val="22"/>
        </w:rPr>
        <w:t xml:space="preserve">Place: </w:t>
      </w:r>
      <w:r w:rsidR="0070600F" w:rsidRPr="004626F7">
        <w:rPr>
          <w:rFonts w:ascii="Arial" w:hAnsi="Arial" w:cs="Arial"/>
          <w:sz w:val="22"/>
          <w:szCs w:val="22"/>
        </w:rPr>
        <w:t xml:space="preserve">Tourism is a comprehensive industry with </w:t>
      </w:r>
      <w:r w:rsidR="008614D3" w:rsidRPr="004626F7">
        <w:rPr>
          <w:rFonts w:ascii="Arial" w:hAnsi="Arial" w:cs="Arial"/>
          <w:sz w:val="22"/>
          <w:szCs w:val="22"/>
        </w:rPr>
        <w:t xml:space="preserve">a </w:t>
      </w:r>
      <w:r w:rsidR="0070600F" w:rsidRPr="004626F7">
        <w:rPr>
          <w:rFonts w:ascii="Arial" w:hAnsi="Arial" w:cs="Arial"/>
          <w:sz w:val="22"/>
          <w:szCs w:val="22"/>
        </w:rPr>
        <w:t>strong correlation, including many tourism elements such as food, accommodation, travel, purchase</w:t>
      </w:r>
      <w:r w:rsidR="008614D3" w:rsidRPr="004626F7">
        <w:rPr>
          <w:rFonts w:ascii="Arial" w:hAnsi="Arial" w:cs="Arial"/>
          <w:sz w:val="22"/>
          <w:szCs w:val="22"/>
        </w:rPr>
        <w:t>,</w:t>
      </w:r>
      <w:r w:rsidR="0070600F" w:rsidRPr="004626F7">
        <w:rPr>
          <w:rFonts w:ascii="Arial" w:hAnsi="Arial" w:cs="Arial"/>
          <w:sz w:val="22"/>
          <w:szCs w:val="22"/>
        </w:rPr>
        <w:t xml:space="preserve"> and entertainment, and correspondingly, various industry sectors related to tourism</w:t>
      </w:r>
      <w:r w:rsidR="007E2D20" w:rsidRPr="004626F7">
        <w:rPr>
          <w:rFonts w:ascii="Arial" w:hAnsi="Arial" w:cs="Arial"/>
          <w:sz w:val="22"/>
          <w:szCs w:val="22"/>
        </w:rPr>
        <w:t xml:space="preserve"> </w:t>
      </w:r>
      <w:r w:rsidR="007E2D20" w:rsidRPr="004626F7">
        <w:rPr>
          <w:rFonts w:ascii="Arial" w:hAnsi="Arial" w:cs="Arial"/>
          <w:sz w:val="22"/>
          <w:szCs w:val="22"/>
        </w:rPr>
        <w:fldChar w:fldCharType="begin" w:fldLock="1"/>
      </w:r>
      <w:r w:rsidR="004626F7" w:rsidRPr="004626F7">
        <w:rPr>
          <w:rFonts w:ascii="Arial" w:hAnsi="Arial" w:cs="Arial"/>
          <w:sz w:val="22"/>
          <w:szCs w:val="22"/>
        </w:rPr>
        <w:instrText>ADDIN CSL_CITATION {"citationItems":[{"id":"ITEM-1","itemData":{"ISSN":"0022-4359","author":[{"dropping-particle":"","family":"Ye","given":"Fei","non-dropping-particle":"","parse-names":false,"suffix":""},{"dropping-particle":"","family":"Zhang","given":"Li","non-dropping-particle":"","parse-names":false,"suffix":""},{"dropping-particle":"","family":"Li","given":"Yina","non-dropping-particle":"","parse-names":false,"suffix":""}],"container-title":"Journal of Retailing","id":"ITEM-1","issue":"1","issued":{"date-parts":[["2018"]]},"page":"33-44","publisher":"Elsevier","title":"Strategic choice of sales channel and business model for the hotel supply chain","type":"article-journal","volume":"94"},"uris":["http://www.mendeley.com/documents/?uuid=3a688dd7-f7c3-4f79-93ca-1e0893f0762a"]}],"mendeley":{"formattedCitation":"(Ye, Zhang and Li, 2018)","plainTextFormattedCitation":"(Ye, Zhang and Li, 2018)","previouslyFormattedCitation":"(Ye, Zhang and Li, 2018)"},"properties":{"noteIndex":0},"schema":"https://github.com/citation-style-language/schema/raw/master/csl-citation.json"}</w:instrText>
      </w:r>
      <w:r w:rsidR="007E2D20" w:rsidRPr="004626F7">
        <w:rPr>
          <w:rFonts w:ascii="Arial" w:hAnsi="Arial" w:cs="Arial"/>
          <w:sz w:val="22"/>
          <w:szCs w:val="22"/>
        </w:rPr>
        <w:fldChar w:fldCharType="separate"/>
      </w:r>
      <w:r w:rsidR="004626F7" w:rsidRPr="004626F7">
        <w:rPr>
          <w:rFonts w:ascii="Arial" w:hAnsi="Arial" w:cs="Arial"/>
          <w:noProof/>
          <w:sz w:val="22"/>
          <w:szCs w:val="22"/>
        </w:rPr>
        <w:t>(Ye, Zhang and Li, 2018)</w:t>
      </w:r>
      <w:r w:rsidR="007E2D20" w:rsidRPr="004626F7">
        <w:rPr>
          <w:rFonts w:ascii="Arial" w:hAnsi="Arial" w:cs="Arial"/>
          <w:sz w:val="22"/>
          <w:szCs w:val="22"/>
        </w:rPr>
        <w:fldChar w:fldCharType="end"/>
      </w:r>
      <w:r w:rsidR="0070600F" w:rsidRPr="004626F7">
        <w:rPr>
          <w:rFonts w:ascii="Arial" w:hAnsi="Arial" w:cs="Arial"/>
          <w:sz w:val="22"/>
          <w:szCs w:val="22"/>
        </w:rPr>
        <w:t xml:space="preserve">. The online tourism industry chain is based on the modern online platform service technology, linking various </w:t>
      </w:r>
      <w:r w:rsidR="0070600F" w:rsidRPr="004626F7">
        <w:rPr>
          <w:rFonts w:ascii="Arial" w:hAnsi="Arial" w:cs="Arial"/>
          <w:sz w:val="22"/>
          <w:szCs w:val="22"/>
        </w:rPr>
        <w:lastRenderedPageBreak/>
        <w:t>elements of the tourism industry, efficiently completing the precise match between tourism supply and demand on the platform, and realizing a win-win development of tourism experience for tourists, comprehensive revenue value for all parties, and resource allocation efficiency for all parties</w:t>
      </w:r>
      <w:r w:rsidR="007E2D20" w:rsidRPr="004626F7">
        <w:rPr>
          <w:rFonts w:ascii="Arial" w:hAnsi="Arial" w:cs="Arial"/>
          <w:sz w:val="22"/>
          <w:szCs w:val="22"/>
        </w:rPr>
        <w:t xml:space="preserve"> </w:t>
      </w:r>
      <w:r w:rsidR="007E2D20" w:rsidRPr="004626F7">
        <w:rPr>
          <w:rFonts w:ascii="Arial" w:hAnsi="Arial" w:cs="Arial"/>
          <w:sz w:val="22"/>
          <w:szCs w:val="22"/>
        </w:rPr>
        <w:fldChar w:fldCharType="begin" w:fldLock="1"/>
      </w:r>
      <w:r w:rsidR="004626F7" w:rsidRPr="004626F7">
        <w:rPr>
          <w:rFonts w:ascii="Arial" w:hAnsi="Arial" w:cs="Arial"/>
          <w:sz w:val="22"/>
          <w:szCs w:val="22"/>
        </w:rPr>
        <w:instrText>ADDIN CSL_CITATION {"citationItems":[{"id":"ITEM-1","itemData":{"ISSN":"0969-6016","author":[{"dropping-particle":"","family":"Ye","given":"Fei","non-dropping-particle":"","parse-names":false,"suffix":""},{"dropping-particle":"","family":"Yan","given":"Hui","non-dropping-particle":"","parse-names":false,"suffix":""},{"dropping-particle":"","family":"Wu","given":"Yongzhong","non-dropping-particle":"","parse-names":false,"suffix":""}],"container-title":"International Transactions in Operational Research","id":"ITEM-1","issue":"3","issued":{"date-parts":[["2019"]]},"page":"968-998","publisher":"Wiley Online Library","title":"Optimal online channel strategies for a hotel considering direct booking and cooperation with an online travel agent","type":"article-journal","volume":"26"},"uris":["http://www.mendeley.com/documents/?uuid=6179be7e-9055-4c8b-aa54-8fa3be540a02"]}],"mendeley":{"formattedCitation":"(Ye, Yan and Wu, 2019)","plainTextFormattedCitation":"(Ye, Yan and Wu, 2019)","previouslyFormattedCitation":"(Ye, Yan and Wu, 2019)"},"properties":{"noteIndex":0},"schema":"https://github.com/citation-style-language/schema/raw/master/csl-citation.json"}</w:instrText>
      </w:r>
      <w:r w:rsidR="007E2D20" w:rsidRPr="004626F7">
        <w:rPr>
          <w:rFonts w:ascii="Arial" w:hAnsi="Arial" w:cs="Arial"/>
          <w:sz w:val="22"/>
          <w:szCs w:val="22"/>
        </w:rPr>
        <w:fldChar w:fldCharType="separate"/>
      </w:r>
      <w:r w:rsidR="004626F7" w:rsidRPr="004626F7">
        <w:rPr>
          <w:rFonts w:ascii="Arial" w:hAnsi="Arial" w:cs="Arial"/>
          <w:noProof/>
          <w:sz w:val="22"/>
          <w:szCs w:val="22"/>
        </w:rPr>
        <w:t>(Ye, Yan and Wu, 2019)</w:t>
      </w:r>
      <w:r w:rsidR="007E2D20" w:rsidRPr="004626F7">
        <w:rPr>
          <w:rFonts w:ascii="Arial" w:hAnsi="Arial" w:cs="Arial"/>
          <w:sz w:val="22"/>
          <w:szCs w:val="22"/>
        </w:rPr>
        <w:fldChar w:fldCharType="end"/>
      </w:r>
      <w:r w:rsidR="0070600F" w:rsidRPr="004626F7">
        <w:rPr>
          <w:rFonts w:ascii="Arial" w:hAnsi="Arial" w:cs="Arial"/>
          <w:sz w:val="22"/>
          <w:szCs w:val="22"/>
        </w:rPr>
        <w:t xml:space="preserve">. Hilton can reach out to other stakeholders in the tourism industry to improve its presence, such as collaborating with local airlines to offer some package offerings, to partner with online travel agencies to increase its accessibility, etc. </w:t>
      </w:r>
    </w:p>
    <w:p w14:paraId="099B059C" w14:textId="60CCB12B" w:rsidR="0004676E" w:rsidRPr="004626F7" w:rsidRDefault="0004676E" w:rsidP="004626F7">
      <w:pPr>
        <w:pStyle w:val="a7"/>
        <w:numPr>
          <w:ilvl w:val="0"/>
          <w:numId w:val="4"/>
        </w:numPr>
        <w:spacing w:beforeLines="100" w:before="312" w:afterLines="150" w:after="468" w:line="360" w:lineRule="auto"/>
        <w:ind w:firstLineChars="0"/>
        <w:jc w:val="both"/>
        <w:rPr>
          <w:rFonts w:ascii="Arial" w:hAnsi="Arial" w:cs="Arial"/>
          <w:sz w:val="22"/>
          <w:szCs w:val="22"/>
        </w:rPr>
      </w:pPr>
      <w:r w:rsidRPr="004626F7">
        <w:rPr>
          <w:rFonts w:ascii="Arial" w:hAnsi="Arial" w:cs="Arial"/>
          <w:sz w:val="22"/>
          <w:szCs w:val="22"/>
        </w:rPr>
        <w:t>Price: Hotel OTAs have expanded the traditional "hotel-customer" model into a "hotel-OTA platform-customer" model</w:t>
      </w:r>
      <w:r w:rsidR="007E2D20" w:rsidRPr="004626F7">
        <w:rPr>
          <w:rFonts w:ascii="Arial" w:hAnsi="Arial" w:cs="Arial"/>
          <w:sz w:val="22"/>
          <w:szCs w:val="22"/>
        </w:rPr>
        <w:t xml:space="preserve"> </w:t>
      </w:r>
      <w:r w:rsidR="007E2D20" w:rsidRPr="004626F7">
        <w:rPr>
          <w:rFonts w:ascii="Arial" w:hAnsi="Arial" w:cs="Arial"/>
          <w:sz w:val="22"/>
          <w:szCs w:val="22"/>
        </w:rPr>
        <w:fldChar w:fldCharType="begin" w:fldLock="1"/>
      </w:r>
      <w:r w:rsidR="004626F7" w:rsidRPr="004626F7">
        <w:rPr>
          <w:rFonts w:ascii="Arial" w:hAnsi="Arial" w:cs="Arial"/>
          <w:sz w:val="22"/>
          <w:szCs w:val="22"/>
        </w:rPr>
        <w:instrText>ADDIN CSL_CITATION {"citationItems":[{"id":"ITEM-1","itemData":{"ISSN":"0732-2399","author":[{"dropping-particle":"","family":"Hunold","given":"Matthias","non-dropping-particle":"","parse-names":false,"suffix":""},{"dropping-particle":"","family":"Kesler","given":"Reinhold","non-dropping-particle":"","parse-names":false,"suffix":""},{"dropping-particle":"","family":"Laitenberger","given":"Ulrich","non-dropping-particle":"","parse-names":false,"suffix":""}],"container-title":"Marketing Science","id":"ITEM-1","issue":"1","issued":{"date-parts":[["2020"]]},"page":"92-116","publisher":"INFORMS","title":"Rankings of online travel agents, channel pricing, and consumer protection","type":"article-journal","volume":"39"},"uris":["http://www.mendeley.com/documents/?uuid=38d5c5b7-905d-4432-b541-98a3413d41f9"]}],"mendeley":{"formattedCitation":"(Hunold, Kesler and Laitenberger, 2020)","plainTextFormattedCitation":"(Hunold, Kesler and Laitenberger, 2020)","previouslyFormattedCitation":"(Hunold, Kesler and Laitenberger, 2020)"},"properties":{"noteIndex":0},"schema":"https://github.com/citation-style-language/schema/raw/master/csl-citation.json"}</w:instrText>
      </w:r>
      <w:r w:rsidR="007E2D20" w:rsidRPr="004626F7">
        <w:rPr>
          <w:rFonts w:ascii="Arial" w:hAnsi="Arial" w:cs="Arial"/>
          <w:sz w:val="22"/>
          <w:szCs w:val="22"/>
        </w:rPr>
        <w:fldChar w:fldCharType="separate"/>
      </w:r>
      <w:r w:rsidR="004626F7" w:rsidRPr="004626F7">
        <w:rPr>
          <w:rFonts w:ascii="Arial" w:hAnsi="Arial" w:cs="Arial"/>
          <w:noProof/>
          <w:sz w:val="22"/>
          <w:szCs w:val="22"/>
        </w:rPr>
        <w:t>(Hunold, Kesler and Laitenberger, 2020)</w:t>
      </w:r>
      <w:r w:rsidR="007E2D20" w:rsidRPr="004626F7">
        <w:rPr>
          <w:rFonts w:ascii="Arial" w:hAnsi="Arial" w:cs="Arial"/>
          <w:sz w:val="22"/>
          <w:szCs w:val="22"/>
        </w:rPr>
        <w:fldChar w:fldCharType="end"/>
      </w:r>
      <w:r w:rsidRPr="004626F7">
        <w:rPr>
          <w:rFonts w:ascii="Arial" w:hAnsi="Arial" w:cs="Arial"/>
          <w:sz w:val="22"/>
          <w:szCs w:val="22"/>
        </w:rPr>
        <w:t xml:space="preserve">. In order to cope with strategic customers, many hotels have joined OTA platforms such as Flying Pig, Ctrip, </w:t>
      </w:r>
      <w:proofErr w:type="spellStart"/>
      <w:r w:rsidRPr="004626F7">
        <w:rPr>
          <w:rFonts w:ascii="Arial" w:hAnsi="Arial" w:cs="Arial"/>
          <w:sz w:val="22"/>
          <w:szCs w:val="22"/>
        </w:rPr>
        <w:t>Yilong</w:t>
      </w:r>
      <w:proofErr w:type="spellEnd"/>
      <w:r w:rsidRPr="004626F7">
        <w:rPr>
          <w:rFonts w:ascii="Arial" w:hAnsi="Arial" w:cs="Arial"/>
          <w:sz w:val="22"/>
          <w:szCs w:val="22"/>
        </w:rPr>
        <w:t xml:space="preserve"> and Trip Advisor, and cooperate with OTA platforms by signing agency distribution contracts. Under the OTA operation mode, customers can check the latest price and remaining room quantity of hotel rooms on the OTA platform at any time; </w:t>
      </w:r>
      <w:r w:rsidR="00560E61" w:rsidRPr="004626F7">
        <w:rPr>
          <w:rFonts w:ascii="Arial" w:hAnsi="Arial" w:cs="Arial"/>
          <w:sz w:val="22"/>
          <w:szCs w:val="22"/>
        </w:rPr>
        <w:t>Hilton</w:t>
      </w:r>
      <w:r w:rsidRPr="004626F7">
        <w:rPr>
          <w:rFonts w:ascii="Arial" w:hAnsi="Arial" w:cs="Arial"/>
          <w:sz w:val="22"/>
          <w:szCs w:val="22"/>
        </w:rPr>
        <w:t xml:space="preserve"> can make use of the advantage of concentrated customer resources on the OTA platform to dynamically adjust prices to improve occupancy rates</w:t>
      </w:r>
      <w:r w:rsidR="007E2D20" w:rsidRPr="004626F7">
        <w:rPr>
          <w:rFonts w:ascii="Arial" w:hAnsi="Arial" w:cs="Arial"/>
          <w:sz w:val="22"/>
          <w:szCs w:val="22"/>
        </w:rPr>
        <w:t xml:space="preserve"> </w:t>
      </w:r>
      <w:r w:rsidR="007E2D20" w:rsidRPr="004626F7">
        <w:rPr>
          <w:rFonts w:ascii="Arial" w:hAnsi="Arial" w:cs="Arial"/>
          <w:sz w:val="22"/>
          <w:szCs w:val="22"/>
        </w:rPr>
        <w:fldChar w:fldCharType="begin" w:fldLock="1"/>
      </w:r>
      <w:r w:rsidR="004626F7" w:rsidRPr="004626F7">
        <w:rPr>
          <w:rFonts w:ascii="Arial" w:hAnsi="Arial" w:cs="Arial"/>
          <w:sz w:val="22"/>
          <w:szCs w:val="22"/>
        </w:rPr>
        <w:instrText>ADDIN CSL_CITATION {"citationItems":[{"id":"ITEM-1","itemData":{"ISSN":"1477-657X","author":[{"dropping-particle":"","family":"Noone","given":"Breffni M","non-dropping-particle":"","parse-names":false,"suffix":""},{"dropping-particle":"","family":"McGuire","given":"Kelly A","non-dropping-particle":"","parse-names":false,"suffix":""}],"container-title":"Journal of Revenue and Pricing Management","id":"ITEM-1","issue":"5","issued":{"date-parts":[["2013"]]},"page":"385-401","publisher":"Springer","title":"Pricing in a social world: The influence of non-price information on hotel choice","type":"article-journal","volume":"12"},"uris":["http://www.mendeley.com/documents/?uuid=6ab64e2b-fea7-4335-af9a-d4dabad3a2b6"]},{"id":"ITEM-2","itemData":{"ISSN":"1477-657X","author":[{"dropping-particle":"","family":"Enz","given":"Cathy A","non-dropping-particle":"","parse-names":false,"suffix":""},{"dropping-particle":"","family":"James","given":"Elizabeth C","non-dropping-particle":"","parse-names":false,"suffix":""}],"container-title":"Journal of Revenue and Pricing Management","id":"ITEM-2","issue":"2","issued":{"date-parts":[["2017"]]},"page":"109-114","publisher":"Springer","title":"Beyond channel mix management: Building within online travel agencies (OTA) metrics and strategies","type":"article-journal","volume":"16"},"uris":["http://www.mendeley.com/documents/?uuid=20073ffc-a76c-4b89-a426-cfad25c01bfb"]}],"mendeley":{"formattedCitation":"(Noone and McGuire, 2013; Enz and James, 2017)","plainTextFormattedCitation":"(Noone and McGuire, 2013; Enz and James, 2017)","previouslyFormattedCitation":"(Noone and McGuire, 2013; Enz and James, 2017)"},"properties":{"noteIndex":0},"schema":"https://github.com/citation-style-language/schema/raw/master/csl-citation.json"}</w:instrText>
      </w:r>
      <w:r w:rsidR="007E2D20" w:rsidRPr="004626F7">
        <w:rPr>
          <w:rFonts w:ascii="Arial" w:hAnsi="Arial" w:cs="Arial"/>
          <w:sz w:val="22"/>
          <w:szCs w:val="22"/>
        </w:rPr>
        <w:fldChar w:fldCharType="separate"/>
      </w:r>
      <w:r w:rsidR="004626F7" w:rsidRPr="004626F7">
        <w:rPr>
          <w:rFonts w:ascii="Arial" w:hAnsi="Arial" w:cs="Arial"/>
          <w:noProof/>
          <w:sz w:val="22"/>
          <w:szCs w:val="22"/>
        </w:rPr>
        <w:t>(Noone and McGuire, 2013; Enz and James, 2017)</w:t>
      </w:r>
      <w:r w:rsidR="007E2D20" w:rsidRPr="004626F7">
        <w:rPr>
          <w:rFonts w:ascii="Arial" w:hAnsi="Arial" w:cs="Arial"/>
          <w:sz w:val="22"/>
          <w:szCs w:val="22"/>
        </w:rPr>
        <w:fldChar w:fldCharType="end"/>
      </w:r>
      <w:r w:rsidRPr="004626F7">
        <w:rPr>
          <w:rFonts w:ascii="Arial" w:hAnsi="Arial" w:cs="Arial"/>
          <w:sz w:val="22"/>
          <w:szCs w:val="22"/>
        </w:rPr>
        <w:t>.</w:t>
      </w:r>
    </w:p>
    <w:p w14:paraId="7DC41963" w14:textId="66450CB5" w:rsidR="00CC4ACA" w:rsidRPr="004626F7" w:rsidRDefault="00CC4ACA" w:rsidP="004626F7">
      <w:pPr>
        <w:pStyle w:val="a7"/>
        <w:numPr>
          <w:ilvl w:val="0"/>
          <w:numId w:val="4"/>
        </w:numPr>
        <w:spacing w:beforeLines="100" w:before="312" w:afterLines="150" w:after="468" w:line="360" w:lineRule="auto"/>
        <w:ind w:firstLineChars="0"/>
        <w:jc w:val="both"/>
        <w:rPr>
          <w:rFonts w:ascii="Arial" w:hAnsi="Arial" w:cs="Arial"/>
          <w:sz w:val="22"/>
          <w:szCs w:val="22"/>
        </w:rPr>
      </w:pPr>
      <w:r w:rsidRPr="004626F7">
        <w:rPr>
          <w:rFonts w:ascii="Arial" w:hAnsi="Arial" w:cs="Arial"/>
          <w:sz w:val="22"/>
          <w:szCs w:val="22"/>
        </w:rPr>
        <w:t xml:space="preserve">Promotion: </w:t>
      </w:r>
      <w:r w:rsidR="002400F1">
        <w:rPr>
          <w:rFonts w:ascii="Arial" w:hAnsi="Arial" w:cs="Arial"/>
          <w:sz w:val="22"/>
          <w:szCs w:val="22"/>
        </w:rPr>
        <w:t>M</w:t>
      </w:r>
      <w:r w:rsidRPr="004626F7">
        <w:rPr>
          <w:rFonts w:ascii="Arial" w:hAnsi="Arial" w:cs="Arial"/>
          <w:sz w:val="22"/>
          <w:szCs w:val="22"/>
        </w:rPr>
        <w:t xml:space="preserve">ore and more hotels are using modern online information technology to directly engage with their target markets and meet their individual needs. In the post-epidemic era, Hilton Hotels Group </w:t>
      </w:r>
      <w:r w:rsidR="002400F1">
        <w:rPr>
          <w:rFonts w:ascii="Arial" w:hAnsi="Arial" w:cs="Arial"/>
          <w:sz w:val="22"/>
          <w:szCs w:val="22"/>
        </w:rPr>
        <w:t>should continue</w:t>
      </w:r>
      <w:r w:rsidRPr="004626F7">
        <w:rPr>
          <w:rFonts w:ascii="Arial" w:hAnsi="Arial" w:cs="Arial"/>
          <w:sz w:val="22"/>
          <w:szCs w:val="22"/>
        </w:rPr>
        <w:t xml:space="preserve"> to expand its online marketing positions and </w:t>
      </w:r>
      <w:r w:rsidR="002400F1">
        <w:rPr>
          <w:rFonts w:ascii="Arial" w:hAnsi="Arial" w:cs="Arial"/>
          <w:sz w:val="22"/>
          <w:szCs w:val="22"/>
        </w:rPr>
        <w:t>conduct</w:t>
      </w:r>
      <w:r w:rsidRPr="004626F7">
        <w:rPr>
          <w:rFonts w:ascii="Arial" w:hAnsi="Arial" w:cs="Arial"/>
          <w:sz w:val="22"/>
          <w:szCs w:val="22"/>
        </w:rPr>
        <w:t xml:space="preserve"> precise marketing to its target </w:t>
      </w:r>
      <w:r w:rsidR="002400F1">
        <w:rPr>
          <w:rFonts w:ascii="Arial" w:hAnsi="Arial" w:cs="Arial"/>
          <w:sz w:val="22"/>
          <w:szCs w:val="22"/>
        </w:rPr>
        <w:t>segment</w:t>
      </w:r>
      <w:r w:rsidRPr="004626F7">
        <w:rPr>
          <w:rFonts w:ascii="Arial" w:hAnsi="Arial" w:cs="Arial"/>
          <w:sz w:val="22"/>
          <w:szCs w:val="22"/>
        </w:rPr>
        <w:t xml:space="preserve"> from multiple channels through different online media such as official apps, microblogs, Meta, Instagram, </w:t>
      </w:r>
      <w:r w:rsidR="00EC217F" w:rsidRPr="004626F7">
        <w:rPr>
          <w:rFonts w:ascii="Arial" w:hAnsi="Arial" w:cs="Arial"/>
          <w:sz w:val="22"/>
          <w:szCs w:val="22"/>
        </w:rPr>
        <w:t>WeChat</w:t>
      </w:r>
      <w:r w:rsidRPr="004626F7">
        <w:rPr>
          <w:rFonts w:ascii="Arial" w:hAnsi="Arial" w:cs="Arial"/>
          <w:sz w:val="22"/>
          <w:szCs w:val="22"/>
        </w:rPr>
        <w:t>, etc.</w:t>
      </w:r>
      <w:r w:rsidR="00EC217F" w:rsidRPr="004626F7">
        <w:rPr>
          <w:rFonts w:ascii="Arial" w:hAnsi="Arial" w:cs="Arial"/>
          <w:sz w:val="22"/>
          <w:szCs w:val="22"/>
        </w:rPr>
        <w:t xml:space="preserve"> Also, g</w:t>
      </w:r>
      <w:r w:rsidRPr="004626F7">
        <w:rPr>
          <w:rFonts w:ascii="Arial" w:hAnsi="Arial" w:cs="Arial"/>
          <w:sz w:val="22"/>
          <w:szCs w:val="22"/>
        </w:rPr>
        <w:t>iven a large portion of Hilton’s revenue has been contributed by its members, Hilton could an official program through which Hilton Honors members can conveniently complete a series of processes from room selection, check-in, check-out, and experience high-tech "contactless service through premium discount and service experiences</w:t>
      </w:r>
      <w:r w:rsidR="00EC217F" w:rsidRPr="004626F7">
        <w:rPr>
          <w:rFonts w:ascii="Arial" w:hAnsi="Arial" w:cs="Arial"/>
          <w:sz w:val="22"/>
          <w:szCs w:val="22"/>
        </w:rPr>
        <w:t>, and get rewards from their stays in Hilton</w:t>
      </w:r>
      <w:r w:rsidRPr="004626F7">
        <w:rPr>
          <w:rFonts w:ascii="Arial" w:hAnsi="Arial" w:cs="Arial"/>
          <w:sz w:val="22"/>
          <w:szCs w:val="22"/>
        </w:rPr>
        <w:t>.</w:t>
      </w:r>
      <w:r w:rsidR="00EC217F" w:rsidRPr="004626F7">
        <w:rPr>
          <w:rFonts w:ascii="Arial" w:hAnsi="Arial" w:cs="Arial"/>
          <w:sz w:val="22"/>
          <w:szCs w:val="22"/>
        </w:rPr>
        <w:t xml:space="preserve"> Furthermore, in</w:t>
      </w:r>
      <w:r w:rsidRPr="004626F7">
        <w:rPr>
          <w:rFonts w:ascii="Arial" w:hAnsi="Arial" w:cs="Arial"/>
          <w:sz w:val="22"/>
          <w:szCs w:val="22"/>
        </w:rPr>
        <w:t xml:space="preserve"> recent years, live streaming</w:t>
      </w:r>
      <w:r w:rsidR="00EC217F" w:rsidRPr="004626F7">
        <w:rPr>
          <w:rFonts w:ascii="Arial" w:hAnsi="Arial" w:cs="Arial"/>
          <w:sz w:val="22"/>
          <w:szCs w:val="22"/>
        </w:rPr>
        <w:t xml:space="preserve"> and short video</w:t>
      </w:r>
      <w:r w:rsidRPr="004626F7">
        <w:rPr>
          <w:rFonts w:ascii="Arial" w:hAnsi="Arial" w:cs="Arial"/>
          <w:sz w:val="22"/>
          <w:szCs w:val="22"/>
        </w:rPr>
        <w:t xml:space="preserve"> ha</w:t>
      </w:r>
      <w:r w:rsidR="00EC217F" w:rsidRPr="004626F7">
        <w:rPr>
          <w:rFonts w:ascii="Arial" w:hAnsi="Arial" w:cs="Arial"/>
          <w:sz w:val="22"/>
          <w:szCs w:val="22"/>
        </w:rPr>
        <w:t>ve</w:t>
      </w:r>
      <w:r w:rsidRPr="004626F7">
        <w:rPr>
          <w:rFonts w:ascii="Arial" w:hAnsi="Arial" w:cs="Arial"/>
          <w:sz w:val="22"/>
          <w:szCs w:val="22"/>
        </w:rPr>
        <w:t xml:space="preserve"> become a popular promotional tool due to its ability to </w:t>
      </w:r>
      <w:r w:rsidR="004626F7" w:rsidRPr="004626F7">
        <w:rPr>
          <w:rFonts w:ascii="Arial" w:hAnsi="Arial" w:cs="Arial"/>
          <w:sz w:val="22"/>
          <w:szCs w:val="22"/>
        </w:rPr>
        <w:t>directly interact with customers, showcase services, gain</w:t>
      </w:r>
      <w:r w:rsidRPr="004626F7">
        <w:rPr>
          <w:rFonts w:ascii="Arial" w:hAnsi="Arial" w:cs="Arial"/>
          <w:sz w:val="22"/>
          <w:szCs w:val="22"/>
        </w:rPr>
        <w:t xml:space="preserve"> user trust, build brand image</w:t>
      </w:r>
      <w:r w:rsidR="007E2D20" w:rsidRPr="004626F7">
        <w:rPr>
          <w:rFonts w:ascii="Arial" w:hAnsi="Arial" w:cs="Arial"/>
          <w:sz w:val="22"/>
          <w:szCs w:val="22"/>
        </w:rPr>
        <w:t xml:space="preserve"> </w:t>
      </w:r>
      <w:r w:rsidR="004626F7" w:rsidRPr="004626F7">
        <w:rPr>
          <w:rFonts w:ascii="Arial" w:hAnsi="Arial" w:cs="Arial"/>
          <w:sz w:val="22"/>
          <w:szCs w:val="22"/>
        </w:rPr>
        <w:fldChar w:fldCharType="begin" w:fldLock="1"/>
      </w:r>
      <w:r w:rsidR="004626F7" w:rsidRPr="004626F7">
        <w:rPr>
          <w:rFonts w:ascii="Arial" w:hAnsi="Arial" w:cs="Arial"/>
          <w:sz w:val="22"/>
          <w:szCs w:val="22"/>
        </w:rPr>
        <w:instrText>ADDIN CSL_CITATION {"citationItems":[{"id":"ITEM-1","itemData":{"ISSN":"0278-4319","author":[{"dropping-particle":"","family":"Hua","given":"Nan","non-dropping-particle":"","parse-names":false,"suffix":""},{"dropping-particle":"","family":"Morosan","given":"Cristian","non-dropping-particle":"","parse-names":false,"suffix":""},{"dropping-particle":"","family":"DeFranco","given":"Agnes","non-dropping-particle":"","parse-names":false,"suffix":""}],"container-title":"International Journal of Hospitality Management","id":"ITEM-1","issue":"5","issued":{"date-parts":[["2015"]]},"page":"109-120","publisher":"Elsevier","title":"The other side of technology adoption: examining the relationships between e-commerce expenses and hotel performance","type":"article-journal","volume":"45"},"uris":["http://www.mendeley.com/documents/?uuid=0a8d37bc-f775-49b1-b28a-2e0e9bed5d73"]},{"id":"ITEM-2","itemData":{"ISSN":"1943-4294","author":[{"dropping-particle":"","family":"Deng","given":"Zhiming","non-dropping-particle":"","parse-names":false,"suffix":""},{"dropping-particle":"","family":"Benckendorff","given":"Pierre","non-dropping-particle":"","parse-names":false,"suffix":""},{"dropping-particle":"","family":"Wang","given":"Jie","non-dropping-particle":"","parse-names":false,"suffix":""}],"container-title":"Information Technology &amp; Tourism","id":"ITEM-2","issue":"2","issued":{"date-parts":[["2021"]]},"page":"189-207","publisher":"Springer","title":"Travel live streaming: an affordance perspective","type":"article-journal","volume":"23"},"uris":["http://www.mendeley.com/documents/?uuid=b95281e0-cef9-4945-963a-c210f67dbf25"]}],"mendeley":{"formattedCitation":"(Hua, Morosan and DeFranco, 2015; Deng, Benckendorff and Wang, 2021)","plainTextFormattedCitation":"(Hua, Morosan and DeFranco, 2015; Deng, Benckendorff and Wang, 2021)","previouslyFormattedCitation":"(Hua, Morosan and DeFranco, 2015; Deng, Benckendorff and Wang, 2021)"},"properties":{"noteIndex":0},"schema":"https://github.com/citation-style-language/schema/raw/master/csl-citation.json"}</w:instrText>
      </w:r>
      <w:r w:rsidR="004626F7" w:rsidRPr="004626F7">
        <w:rPr>
          <w:rFonts w:ascii="Arial" w:hAnsi="Arial" w:cs="Arial"/>
          <w:sz w:val="22"/>
          <w:szCs w:val="22"/>
        </w:rPr>
        <w:fldChar w:fldCharType="separate"/>
      </w:r>
      <w:r w:rsidR="004626F7" w:rsidRPr="004626F7">
        <w:rPr>
          <w:rFonts w:ascii="Arial" w:hAnsi="Arial" w:cs="Arial"/>
          <w:noProof/>
          <w:sz w:val="22"/>
          <w:szCs w:val="22"/>
        </w:rPr>
        <w:t>(Hua, Morosan and DeFranco, 2015; Deng, Benckendorff and Wang, 2021)</w:t>
      </w:r>
      <w:r w:rsidR="004626F7" w:rsidRPr="004626F7">
        <w:rPr>
          <w:rFonts w:ascii="Arial" w:hAnsi="Arial" w:cs="Arial"/>
          <w:sz w:val="22"/>
          <w:szCs w:val="22"/>
        </w:rPr>
        <w:fldChar w:fldCharType="end"/>
      </w:r>
      <w:r w:rsidRPr="004626F7">
        <w:rPr>
          <w:rFonts w:ascii="Arial" w:hAnsi="Arial" w:cs="Arial"/>
          <w:sz w:val="22"/>
          <w:szCs w:val="22"/>
        </w:rPr>
        <w:t>. Against the backdrop of the COVID-</w:t>
      </w:r>
      <w:r w:rsidRPr="004626F7">
        <w:rPr>
          <w:rFonts w:ascii="Arial" w:hAnsi="Arial" w:cs="Arial"/>
          <w:sz w:val="22"/>
          <w:szCs w:val="22"/>
        </w:rPr>
        <w:lastRenderedPageBreak/>
        <w:t xml:space="preserve">19, Hilton Hotels Group </w:t>
      </w:r>
      <w:r w:rsidR="004626F7" w:rsidRPr="004626F7">
        <w:rPr>
          <w:rFonts w:ascii="Arial" w:hAnsi="Arial" w:cs="Arial"/>
          <w:sz w:val="22"/>
          <w:szCs w:val="22"/>
        </w:rPr>
        <w:t xml:space="preserve">should seize </w:t>
      </w:r>
      <w:r w:rsidRPr="004626F7">
        <w:rPr>
          <w:rFonts w:ascii="Arial" w:hAnsi="Arial" w:cs="Arial"/>
          <w:sz w:val="22"/>
          <w:szCs w:val="22"/>
        </w:rPr>
        <w:t>the opportunity to launch several webcasts</w:t>
      </w:r>
      <w:r w:rsidR="004626F7" w:rsidRPr="004626F7">
        <w:rPr>
          <w:rFonts w:ascii="Arial" w:hAnsi="Arial" w:cs="Arial"/>
          <w:sz w:val="22"/>
          <w:szCs w:val="22"/>
        </w:rPr>
        <w:t>, using short video marketing in Instagram or Tik Tok, or using live e-commerce using T-mall, Ctrip, etc.</w:t>
      </w:r>
      <w:r w:rsidRPr="004626F7">
        <w:rPr>
          <w:rFonts w:ascii="Arial" w:hAnsi="Arial" w:cs="Arial"/>
          <w:sz w:val="22"/>
          <w:szCs w:val="22"/>
        </w:rPr>
        <w:t xml:space="preserve"> to showcase and promote its safe</w:t>
      </w:r>
      <w:r w:rsidR="004626F7" w:rsidRPr="004626F7">
        <w:rPr>
          <w:rFonts w:ascii="Arial" w:hAnsi="Arial" w:cs="Arial"/>
          <w:sz w:val="22"/>
          <w:szCs w:val="22"/>
        </w:rPr>
        <w:t xml:space="preserve"> and </w:t>
      </w:r>
      <w:r w:rsidR="002400F1" w:rsidRPr="004626F7">
        <w:rPr>
          <w:rFonts w:ascii="Arial" w:hAnsi="Arial" w:cs="Arial"/>
          <w:sz w:val="22"/>
          <w:szCs w:val="22"/>
        </w:rPr>
        <w:t>differentiated</w:t>
      </w:r>
      <w:r w:rsidRPr="004626F7">
        <w:rPr>
          <w:rFonts w:ascii="Arial" w:hAnsi="Arial" w:cs="Arial"/>
          <w:sz w:val="22"/>
          <w:szCs w:val="22"/>
        </w:rPr>
        <w:t xml:space="preserve"> accommodation services to </w:t>
      </w:r>
      <w:r w:rsidR="002400F1">
        <w:rPr>
          <w:rFonts w:ascii="Arial" w:hAnsi="Arial" w:cs="Arial"/>
          <w:sz w:val="22"/>
          <w:szCs w:val="22"/>
        </w:rPr>
        <w:t xml:space="preserve">local and international </w:t>
      </w:r>
      <w:r w:rsidRPr="004626F7">
        <w:rPr>
          <w:rFonts w:ascii="Arial" w:hAnsi="Arial" w:cs="Arial"/>
          <w:sz w:val="22"/>
          <w:szCs w:val="22"/>
        </w:rPr>
        <w:t xml:space="preserve">consumers. For </w:t>
      </w:r>
      <w:r w:rsidR="002400F1">
        <w:rPr>
          <w:rFonts w:ascii="Arial" w:hAnsi="Arial" w:cs="Arial"/>
          <w:sz w:val="22"/>
          <w:szCs w:val="22"/>
        </w:rPr>
        <w:t>Hilton</w:t>
      </w:r>
      <w:r w:rsidRPr="004626F7">
        <w:rPr>
          <w:rFonts w:ascii="Arial" w:hAnsi="Arial" w:cs="Arial"/>
          <w:sz w:val="22"/>
          <w:szCs w:val="22"/>
        </w:rPr>
        <w:t xml:space="preserve">, live streaming or short video marketing can be leveraged as an effective platform to showcase how they ensure stay safety while not eroding stay experience, and how Hilton has been creative in </w:t>
      </w:r>
      <w:r w:rsidR="00EC217F" w:rsidRPr="004626F7">
        <w:rPr>
          <w:rFonts w:ascii="Arial" w:hAnsi="Arial" w:cs="Arial"/>
          <w:sz w:val="22"/>
          <w:szCs w:val="22"/>
        </w:rPr>
        <w:t xml:space="preserve">stay offerings through value-added features, etc. </w:t>
      </w:r>
    </w:p>
    <w:p w14:paraId="01C950A7" w14:textId="2809747D" w:rsidR="00146EE5" w:rsidRPr="004626F7" w:rsidRDefault="00146EE5" w:rsidP="004626F7">
      <w:pPr>
        <w:spacing w:beforeLines="100" w:before="312" w:afterLines="150" w:after="468" w:line="360" w:lineRule="auto"/>
        <w:jc w:val="center"/>
        <w:rPr>
          <w:rFonts w:ascii="Arial" w:hAnsi="Arial" w:cs="Arial"/>
          <w:sz w:val="22"/>
          <w:szCs w:val="22"/>
        </w:rPr>
      </w:pPr>
      <w:r w:rsidRPr="004626F7">
        <w:rPr>
          <w:rFonts w:ascii="Arial" w:hAnsi="Arial" w:cs="Arial"/>
          <w:noProof/>
          <w:sz w:val="22"/>
          <w:szCs w:val="22"/>
        </w:rPr>
        <w:drawing>
          <wp:inline distT="0" distB="0" distL="0" distR="0" wp14:anchorId="01533767" wp14:editId="5265D782">
            <wp:extent cx="4655820" cy="2630304"/>
            <wp:effectExtent l="0" t="0" r="0" b="0"/>
            <wp:docPr id="8" name="图片 8" descr="Tourism live streaming on rise in China - CGT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urism live streaming on rise in China - CGT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62219" cy="2633919"/>
                    </a:xfrm>
                    <a:prstGeom prst="rect">
                      <a:avLst/>
                    </a:prstGeom>
                    <a:noFill/>
                    <a:ln>
                      <a:noFill/>
                    </a:ln>
                  </pic:spPr>
                </pic:pic>
              </a:graphicData>
            </a:graphic>
          </wp:inline>
        </w:drawing>
      </w:r>
    </w:p>
    <w:p w14:paraId="59A1ACF7" w14:textId="5DF67FE7" w:rsidR="00146EE5" w:rsidRPr="007F567A" w:rsidRDefault="00146EE5" w:rsidP="004626F7">
      <w:pPr>
        <w:spacing w:beforeLines="100" w:before="312" w:afterLines="150" w:after="468" w:line="360" w:lineRule="auto"/>
        <w:jc w:val="center"/>
        <w:rPr>
          <w:rFonts w:ascii="Arial" w:hAnsi="Arial" w:cs="Arial"/>
          <w:sz w:val="22"/>
          <w:szCs w:val="22"/>
          <w:u w:val="single"/>
          <w:lang w:val="it-IT"/>
        </w:rPr>
      </w:pPr>
      <w:r w:rsidRPr="007F567A">
        <w:rPr>
          <w:rFonts w:ascii="Arial" w:hAnsi="Arial" w:cs="Arial"/>
          <w:sz w:val="22"/>
          <w:szCs w:val="22"/>
          <w:u w:val="single"/>
          <w:lang w:val="it-IT"/>
        </w:rPr>
        <w:t xml:space="preserve">Figure </w:t>
      </w:r>
      <w:r w:rsidR="00D7193A" w:rsidRPr="007F567A">
        <w:rPr>
          <w:rFonts w:ascii="Arial" w:hAnsi="Arial" w:cs="Arial"/>
          <w:sz w:val="22"/>
          <w:szCs w:val="22"/>
          <w:u w:val="single"/>
          <w:lang w:val="it-IT"/>
        </w:rPr>
        <w:t>6</w:t>
      </w:r>
      <w:r w:rsidRPr="007F567A">
        <w:rPr>
          <w:rFonts w:ascii="Arial" w:hAnsi="Arial" w:cs="Arial"/>
          <w:sz w:val="22"/>
          <w:szCs w:val="22"/>
          <w:u w:val="single"/>
          <w:lang w:val="it-IT"/>
        </w:rPr>
        <w:t xml:space="preserve">. </w:t>
      </w:r>
      <w:proofErr w:type="spellStart"/>
      <w:r w:rsidRPr="007F567A">
        <w:rPr>
          <w:rFonts w:ascii="Arial" w:hAnsi="Arial" w:cs="Arial"/>
          <w:sz w:val="22"/>
          <w:szCs w:val="22"/>
          <w:u w:val="single"/>
          <w:lang w:val="it-IT"/>
        </w:rPr>
        <w:t>Tourism</w:t>
      </w:r>
      <w:proofErr w:type="spellEnd"/>
      <w:r w:rsidRPr="007F567A">
        <w:rPr>
          <w:rFonts w:ascii="Arial" w:hAnsi="Arial" w:cs="Arial"/>
          <w:sz w:val="22"/>
          <w:szCs w:val="22"/>
          <w:u w:val="single"/>
          <w:lang w:val="it-IT"/>
        </w:rPr>
        <w:t xml:space="preserve"> e-commerce in China </w:t>
      </w:r>
      <w:r w:rsidRPr="004626F7">
        <w:rPr>
          <w:rFonts w:ascii="Arial" w:hAnsi="Arial" w:cs="Arial"/>
          <w:sz w:val="22"/>
          <w:szCs w:val="22"/>
          <w:u w:val="single"/>
        </w:rPr>
        <w:fldChar w:fldCharType="begin" w:fldLock="1"/>
      </w:r>
      <w:r w:rsidR="00783AC3" w:rsidRPr="007F567A">
        <w:rPr>
          <w:rFonts w:ascii="Arial" w:hAnsi="Arial" w:cs="Arial"/>
          <w:sz w:val="22"/>
          <w:szCs w:val="22"/>
          <w:u w:val="single"/>
          <w:lang w:val="it-IT"/>
        </w:rPr>
        <w:instrText>ADDIN CSL_CITATION {"citationItems":[{"id":"ITEM-1","itemData":{"URL":"https://news.cgtn.com/news/2020-03-07/Tourism-live-streaming-on-rise-in-China--OFeh5V73VK/index.html","accessed":{"date-parts":[["2022","4","29"]]},"author":[{"dropping-particle":"","family":"CGTN","given":"","non-dropping-particle":"","parse-names":false,"suffix":""}],"id":"ITEM-1","issued":{"date-parts":[["2022"]]},"title":"Tourism live streaming on rise in China ","type":"webpage"},"uris":["http://www.mendeley.com/documents/?uuid=7c33740c-ff64-3775-bf1b-c286321bd4e5"]}],"mendeley":{"formattedCitation":"(CGTN, 2022)","plainTextFormattedCitation":"(CGTN, 2022)","previouslyFormattedCitation":"(CGTN, 2022)"},"properties":{"noteIndex":0},"schema":"https://github.com/citation-style-language/schema/raw/master/csl-citation.json"}</w:instrText>
      </w:r>
      <w:r w:rsidRPr="004626F7">
        <w:rPr>
          <w:rFonts w:ascii="Arial" w:hAnsi="Arial" w:cs="Arial"/>
          <w:sz w:val="22"/>
          <w:szCs w:val="22"/>
          <w:u w:val="single"/>
        </w:rPr>
        <w:fldChar w:fldCharType="separate"/>
      </w:r>
      <w:r w:rsidRPr="007F567A">
        <w:rPr>
          <w:rFonts w:ascii="Arial" w:hAnsi="Arial" w:cs="Arial"/>
          <w:noProof/>
          <w:sz w:val="22"/>
          <w:szCs w:val="22"/>
          <w:u w:val="single"/>
          <w:lang w:val="it-IT"/>
        </w:rPr>
        <w:t>(CGTN, 2022)</w:t>
      </w:r>
      <w:r w:rsidRPr="004626F7">
        <w:rPr>
          <w:rFonts w:ascii="Arial" w:hAnsi="Arial" w:cs="Arial"/>
          <w:sz w:val="22"/>
          <w:szCs w:val="22"/>
          <w:u w:val="single"/>
        </w:rPr>
        <w:fldChar w:fldCharType="end"/>
      </w:r>
    </w:p>
    <w:p w14:paraId="25024918" w14:textId="5BB9FD1E" w:rsidR="00146EE5" w:rsidRPr="004626F7" w:rsidRDefault="00146EE5" w:rsidP="004626F7">
      <w:pPr>
        <w:pStyle w:val="2"/>
        <w:numPr>
          <w:ilvl w:val="1"/>
          <w:numId w:val="2"/>
        </w:numPr>
        <w:spacing w:beforeLines="100" w:before="312" w:afterLines="150" w:after="468" w:line="360" w:lineRule="auto"/>
        <w:rPr>
          <w:rFonts w:ascii="Arial" w:hAnsi="Arial" w:cs="Arial"/>
        </w:rPr>
      </w:pPr>
      <w:bookmarkStart w:id="7" w:name="_Toc102165716"/>
      <w:r w:rsidRPr="004626F7">
        <w:rPr>
          <w:rFonts w:ascii="Arial" w:hAnsi="Arial" w:cs="Arial"/>
        </w:rPr>
        <w:t>Actions</w:t>
      </w:r>
      <w:bookmarkEnd w:id="7"/>
      <w:r w:rsidRPr="004626F7">
        <w:rPr>
          <w:rFonts w:ascii="Arial" w:hAnsi="Arial" w:cs="Arial"/>
        </w:rPr>
        <w:t xml:space="preserve"> </w:t>
      </w:r>
    </w:p>
    <w:p w14:paraId="09305E97" w14:textId="23A643D6" w:rsidR="00783AC3" w:rsidRPr="004626F7" w:rsidRDefault="004A403C"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t xml:space="preserve">Based on the above tactics, it is necessary for Hilton to allocate responsibility to the regional marketing team. The regional marketing team should, then, build a workflow with detailed deliverables and deadlines to progress with the overall objective, with employees who take responsible of each </w:t>
      </w:r>
      <w:r w:rsidR="004D4603" w:rsidRPr="004626F7">
        <w:rPr>
          <w:rFonts w:ascii="Arial" w:hAnsi="Arial" w:cs="Arial"/>
          <w:sz w:val="22"/>
          <w:szCs w:val="22"/>
        </w:rPr>
        <w:t xml:space="preserve">task, etc. The workflow will vary from one marketing team to another due to the differences of local situations, but all regional team should periodically report to the lead marketing team that track, control and coordinate marketing activities at the corporate level. </w:t>
      </w:r>
      <w:r w:rsidR="008E4497" w:rsidRPr="004626F7">
        <w:rPr>
          <w:rFonts w:ascii="Arial" w:hAnsi="Arial" w:cs="Arial"/>
          <w:sz w:val="22"/>
          <w:szCs w:val="22"/>
        </w:rPr>
        <w:t xml:space="preserve">The role of regional marketing team should </w:t>
      </w:r>
      <w:r w:rsidR="008E4497" w:rsidRPr="004626F7">
        <w:rPr>
          <w:rFonts w:ascii="Arial" w:hAnsi="Arial" w:cs="Arial"/>
          <w:sz w:val="22"/>
          <w:szCs w:val="22"/>
        </w:rPr>
        <w:lastRenderedPageBreak/>
        <w:t xml:space="preserve">be highlighted as they are more profound understanding of the local macro and </w:t>
      </w:r>
      <w:proofErr w:type="spellStart"/>
      <w:r w:rsidR="008E4497" w:rsidRPr="004626F7">
        <w:rPr>
          <w:rFonts w:ascii="Arial" w:hAnsi="Arial" w:cs="Arial"/>
          <w:sz w:val="22"/>
          <w:szCs w:val="22"/>
        </w:rPr>
        <w:t>meso</w:t>
      </w:r>
      <w:proofErr w:type="spellEnd"/>
      <w:r w:rsidR="008E4497" w:rsidRPr="004626F7">
        <w:rPr>
          <w:rFonts w:ascii="Arial" w:hAnsi="Arial" w:cs="Arial"/>
          <w:sz w:val="22"/>
          <w:szCs w:val="22"/>
        </w:rPr>
        <w:t xml:space="preserve"> environment, and is able to roll out localized marketing initiatives. </w:t>
      </w:r>
    </w:p>
    <w:p w14:paraId="44BD2BFE" w14:textId="6522351F" w:rsidR="00146EE5" w:rsidRPr="004626F7" w:rsidRDefault="00146EE5" w:rsidP="004626F7">
      <w:pPr>
        <w:pStyle w:val="2"/>
        <w:numPr>
          <w:ilvl w:val="1"/>
          <w:numId w:val="2"/>
        </w:numPr>
        <w:spacing w:beforeLines="100" w:before="312" w:afterLines="150" w:after="468" w:line="360" w:lineRule="auto"/>
        <w:rPr>
          <w:rFonts w:ascii="Arial" w:hAnsi="Arial" w:cs="Arial"/>
        </w:rPr>
      </w:pPr>
      <w:bookmarkStart w:id="8" w:name="_Toc102165717"/>
      <w:r w:rsidRPr="004626F7">
        <w:rPr>
          <w:rFonts w:ascii="Arial" w:hAnsi="Arial" w:cs="Arial"/>
        </w:rPr>
        <w:t>Control</w:t>
      </w:r>
      <w:bookmarkEnd w:id="8"/>
      <w:r w:rsidRPr="004626F7">
        <w:rPr>
          <w:rFonts w:ascii="Arial" w:hAnsi="Arial" w:cs="Arial"/>
        </w:rPr>
        <w:t xml:space="preserve"> </w:t>
      </w:r>
    </w:p>
    <w:p w14:paraId="7A5334EC" w14:textId="72CC6238" w:rsidR="008E4497" w:rsidRPr="004626F7" w:rsidRDefault="008E4497"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t>Aside from the allocation of resources, there is an on-going challenge of performance management, and whether performance leads to pipeline conversion. This can be addressed through engagement dashboard, such as Salesforce that allows the marketing team to coordinate marketing activities based on real-time insights. The occupancy rate, as a overate KPI, should be furthered dissembled into the regional occupancy</w:t>
      </w:r>
      <w:r w:rsidR="005D1FB5" w:rsidRPr="004626F7">
        <w:rPr>
          <w:rFonts w:ascii="Arial" w:hAnsi="Arial" w:cs="Arial"/>
          <w:sz w:val="22"/>
          <w:szCs w:val="22"/>
        </w:rPr>
        <w:t xml:space="preserve"> (system-wide, </w:t>
      </w:r>
      <w:r w:rsidR="00730C4A" w:rsidRPr="004626F7">
        <w:rPr>
          <w:rFonts w:ascii="Arial" w:hAnsi="Arial" w:cs="Arial"/>
          <w:sz w:val="22"/>
          <w:szCs w:val="22"/>
        </w:rPr>
        <w:t>U.S.,</w:t>
      </w:r>
      <w:r w:rsidR="005D1FB5" w:rsidRPr="004626F7">
        <w:rPr>
          <w:rFonts w:ascii="Arial" w:hAnsi="Arial" w:cs="Arial"/>
          <w:sz w:val="22"/>
          <w:szCs w:val="22"/>
        </w:rPr>
        <w:t xml:space="preserve"> Europe, MEA, Asia Pacific, etc.)</w:t>
      </w:r>
      <w:r w:rsidRPr="004626F7">
        <w:rPr>
          <w:rFonts w:ascii="Arial" w:hAnsi="Arial" w:cs="Arial"/>
          <w:sz w:val="22"/>
          <w:szCs w:val="22"/>
        </w:rPr>
        <w:t>, seasonal occupancy</w:t>
      </w:r>
      <w:r w:rsidR="005D1FB5" w:rsidRPr="004626F7">
        <w:rPr>
          <w:rFonts w:ascii="Arial" w:hAnsi="Arial" w:cs="Arial"/>
          <w:sz w:val="22"/>
          <w:szCs w:val="22"/>
        </w:rPr>
        <w:t xml:space="preserve"> (third quarter, </w:t>
      </w:r>
      <w:r w:rsidR="00730C4A" w:rsidRPr="004626F7">
        <w:rPr>
          <w:rFonts w:ascii="Arial" w:hAnsi="Arial" w:cs="Arial"/>
          <w:sz w:val="22"/>
          <w:szCs w:val="22"/>
        </w:rPr>
        <w:t>fourth</w:t>
      </w:r>
      <w:r w:rsidR="005D1FB5" w:rsidRPr="004626F7">
        <w:rPr>
          <w:rFonts w:ascii="Arial" w:hAnsi="Arial" w:cs="Arial"/>
          <w:sz w:val="22"/>
          <w:szCs w:val="22"/>
        </w:rPr>
        <w:t xml:space="preserve"> quarter, etc.)</w:t>
      </w:r>
      <w:r w:rsidRPr="004626F7">
        <w:rPr>
          <w:rFonts w:ascii="Arial" w:hAnsi="Arial" w:cs="Arial"/>
          <w:sz w:val="22"/>
          <w:szCs w:val="22"/>
        </w:rPr>
        <w:t>, and brand occupancy</w:t>
      </w:r>
      <w:r w:rsidR="00730C4A" w:rsidRPr="004626F7">
        <w:rPr>
          <w:rFonts w:ascii="Arial" w:hAnsi="Arial" w:cs="Arial"/>
          <w:sz w:val="22"/>
          <w:szCs w:val="22"/>
        </w:rPr>
        <w:t xml:space="preserve"> (CONRAD, Hilton, Hampton, etc.)</w:t>
      </w:r>
      <w:r w:rsidRPr="004626F7">
        <w:rPr>
          <w:rFonts w:ascii="Arial" w:hAnsi="Arial" w:cs="Arial"/>
          <w:sz w:val="22"/>
          <w:szCs w:val="22"/>
        </w:rPr>
        <w:t xml:space="preserve">, etc. </w:t>
      </w:r>
      <w:r w:rsidR="005D1FB5" w:rsidRPr="004626F7">
        <w:rPr>
          <w:rFonts w:ascii="Arial" w:hAnsi="Arial" w:cs="Arial"/>
          <w:sz w:val="22"/>
          <w:szCs w:val="22"/>
        </w:rPr>
        <w:t xml:space="preserve">At the same time, the room occupancy rate should be assessed together with other relevant KPIs, such as average daily rate (ADR), revenue per available room (RevPAR), </w:t>
      </w:r>
      <w:proofErr w:type="spellStart"/>
      <w:r w:rsidR="005D1FB5" w:rsidRPr="004626F7">
        <w:rPr>
          <w:rFonts w:ascii="Arial" w:hAnsi="Arial" w:cs="Arial"/>
          <w:sz w:val="22"/>
          <w:szCs w:val="22"/>
        </w:rPr>
        <w:t>EBITDA</w:t>
      </w:r>
      <w:r w:rsidR="002400F1">
        <w:rPr>
          <w:rFonts w:ascii="Arial" w:hAnsi="Arial" w:cs="Arial"/>
          <w:sz w:val="22"/>
          <w:szCs w:val="22"/>
        </w:rPr>
        <w:t>,etc</w:t>
      </w:r>
      <w:proofErr w:type="spellEnd"/>
      <w:r w:rsidR="00730C4A" w:rsidRPr="004626F7">
        <w:rPr>
          <w:rFonts w:ascii="Arial" w:hAnsi="Arial" w:cs="Arial"/>
          <w:sz w:val="22"/>
          <w:szCs w:val="22"/>
        </w:rPr>
        <w:t xml:space="preserve">. </w:t>
      </w:r>
    </w:p>
    <w:p w14:paraId="35209695" w14:textId="26418D72" w:rsidR="00146EE5" w:rsidRPr="004626F7" w:rsidRDefault="00146EE5" w:rsidP="004626F7">
      <w:pPr>
        <w:pStyle w:val="1"/>
        <w:spacing w:beforeLines="100" w:before="312" w:afterLines="150" w:after="468" w:line="360" w:lineRule="auto"/>
        <w:rPr>
          <w:rFonts w:ascii="Arial" w:hAnsi="Arial" w:cs="Arial"/>
        </w:rPr>
      </w:pPr>
      <w:bookmarkStart w:id="9" w:name="_Toc102165718"/>
      <w:r w:rsidRPr="004626F7">
        <w:rPr>
          <w:rFonts w:ascii="Arial" w:hAnsi="Arial" w:cs="Arial"/>
        </w:rPr>
        <w:t>3. Recommendations and conclusion</w:t>
      </w:r>
      <w:bookmarkEnd w:id="9"/>
      <w:r w:rsidRPr="004626F7">
        <w:rPr>
          <w:rFonts w:ascii="Arial" w:hAnsi="Arial" w:cs="Arial"/>
        </w:rPr>
        <w:t xml:space="preserve"> </w:t>
      </w:r>
    </w:p>
    <w:p w14:paraId="5F174F63" w14:textId="7C16E1FB" w:rsidR="00730C4A" w:rsidRPr="004626F7" w:rsidRDefault="00811B1B"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t>So far, the actions of Hilton remain largely responsive towards the COVID-19 pandemic. With new dynamics depending on the waves of the pandemic, Hilton should be prepared to operate in the new normal environment to adapt to the current environment, and adapt its vision of the future to the new circumstance</w:t>
      </w:r>
      <w:r w:rsidR="00730C4A" w:rsidRPr="004626F7">
        <w:rPr>
          <w:rFonts w:ascii="Arial" w:hAnsi="Arial" w:cs="Arial"/>
          <w:sz w:val="22"/>
          <w:szCs w:val="22"/>
        </w:rPr>
        <w:t xml:space="preserve">. The primary recommendation here is for Hilton to not narrowly focus on the situation presented by the </w:t>
      </w:r>
      <w:r w:rsidR="00D7193A" w:rsidRPr="004626F7">
        <w:rPr>
          <w:rFonts w:ascii="Arial" w:hAnsi="Arial" w:cs="Arial"/>
          <w:sz w:val="22"/>
          <w:szCs w:val="22"/>
        </w:rPr>
        <w:t>COVID</w:t>
      </w:r>
      <w:r w:rsidR="00730C4A" w:rsidRPr="004626F7">
        <w:rPr>
          <w:rFonts w:ascii="Arial" w:hAnsi="Arial" w:cs="Arial"/>
          <w:sz w:val="22"/>
          <w:szCs w:val="22"/>
        </w:rPr>
        <w:t xml:space="preserve">-19 pandemic, but take a broader and long-term view to focus on the challenges existing before the </w:t>
      </w:r>
      <w:r w:rsidR="00D7193A" w:rsidRPr="004626F7">
        <w:rPr>
          <w:rFonts w:ascii="Arial" w:hAnsi="Arial" w:cs="Arial"/>
          <w:sz w:val="22"/>
          <w:szCs w:val="22"/>
        </w:rPr>
        <w:t>COVID</w:t>
      </w:r>
      <w:r w:rsidR="00730C4A" w:rsidRPr="004626F7">
        <w:rPr>
          <w:rFonts w:ascii="Arial" w:hAnsi="Arial" w:cs="Arial"/>
          <w:sz w:val="22"/>
          <w:szCs w:val="22"/>
        </w:rPr>
        <w:t xml:space="preserve">-19 and continuing changed during the </w:t>
      </w:r>
      <w:r w:rsidR="00D7193A" w:rsidRPr="004626F7">
        <w:rPr>
          <w:rFonts w:ascii="Arial" w:hAnsi="Arial" w:cs="Arial"/>
          <w:sz w:val="22"/>
          <w:szCs w:val="22"/>
        </w:rPr>
        <w:t>COVID</w:t>
      </w:r>
      <w:r w:rsidR="00730C4A" w:rsidRPr="004626F7">
        <w:rPr>
          <w:rFonts w:ascii="Arial" w:hAnsi="Arial" w:cs="Arial"/>
          <w:sz w:val="22"/>
          <w:szCs w:val="22"/>
        </w:rPr>
        <w:t xml:space="preserve">-19 to live with the new norm presented by the on-going pandemic and turning challenges into opportunities. </w:t>
      </w:r>
    </w:p>
    <w:p w14:paraId="7EAC23A2" w14:textId="1FE7E3E7" w:rsidR="00730C4A" w:rsidRPr="004626F7" w:rsidRDefault="00730C4A"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t xml:space="preserve">The present report focusses on the development of an effective marketing plan for Hilton given its operational dilemma now. Given the optimisms towards the travel industry, it is expected that the hotel sector is going to witness a rebound back to or even exceeds the pre-pandemic level. Occupancy affects all components of revenues. The overall objective of the marketing plan is to promote the </w:t>
      </w:r>
      <w:r w:rsidRPr="004626F7">
        <w:rPr>
          <w:rFonts w:ascii="Arial" w:hAnsi="Arial" w:cs="Arial"/>
          <w:sz w:val="22"/>
          <w:szCs w:val="22"/>
        </w:rPr>
        <w:lastRenderedPageBreak/>
        <w:t xml:space="preserve">system-wide occupancy till 75% by the end of 2022. Starting from the objective, </w:t>
      </w:r>
      <w:r w:rsidR="00867F78" w:rsidRPr="004626F7">
        <w:rPr>
          <w:rFonts w:ascii="Arial" w:hAnsi="Arial" w:cs="Arial"/>
          <w:sz w:val="22"/>
          <w:szCs w:val="22"/>
        </w:rPr>
        <w:t>a</w:t>
      </w:r>
      <w:r w:rsidRPr="004626F7">
        <w:rPr>
          <w:rFonts w:ascii="Arial" w:hAnsi="Arial" w:cs="Arial"/>
          <w:sz w:val="22"/>
          <w:szCs w:val="22"/>
        </w:rPr>
        <w:t xml:space="preserve"> detailed marketing plan based on SOSTAC is developed taking consideration of Hilton’s current status quo.  </w:t>
      </w:r>
    </w:p>
    <w:p w14:paraId="2C8C3855" w14:textId="77777777" w:rsidR="00730C4A" w:rsidRPr="004626F7" w:rsidRDefault="00730C4A" w:rsidP="004626F7">
      <w:pPr>
        <w:spacing w:beforeLines="100" w:before="312" w:afterLines="150" w:after="468" w:line="360" w:lineRule="auto"/>
        <w:jc w:val="both"/>
        <w:rPr>
          <w:rFonts w:ascii="Arial" w:hAnsi="Arial" w:cs="Arial"/>
          <w:sz w:val="22"/>
          <w:szCs w:val="22"/>
        </w:rPr>
      </w:pPr>
      <w:r w:rsidRPr="004626F7">
        <w:rPr>
          <w:rFonts w:ascii="Arial" w:hAnsi="Arial" w:cs="Arial"/>
          <w:sz w:val="22"/>
          <w:szCs w:val="22"/>
        </w:rPr>
        <w:br w:type="page"/>
      </w:r>
    </w:p>
    <w:p w14:paraId="000967E0" w14:textId="519B75A4" w:rsidR="00730C4A" w:rsidRPr="004626F7" w:rsidRDefault="00730C4A" w:rsidP="004626F7">
      <w:pPr>
        <w:pStyle w:val="1"/>
        <w:spacing w:beforeLines="100" w:before="312" w:afterLines="150" w:after="468" w:line="360" w:lineRule="auto"/>
        <w:rPr>
          <w:rFonts w:ascii="Arial" w:hAnsi="Arial" w:cs="Arial"/>
        </w:rPr>
      </w:pPr>
      <w:bookmarkStart w:id="10" w:name="_Toc102165719"/>
      <w:r w:rsidRPr="004626F7">
        <w:rPr>
          <w:rFonts w:ascii="Arial" w:hAnsi="Arial" w:cs="Arial"/>
        </w:rPr>
        <w:lastRenderedPageBreak/>
        <w:t>References</w:t>
      </w:r>
      <w:bookmarkEnd w:id="10"/>
      <w:r w:rsidRPr="004626F7">
        <w:rPr>
          <w:rFonts w:ascii="Arial" w:hAnsi="Arial" w:cs="Arial"/>
        </w:rPr>
        <w:t xml:space="preserve"> </w:t>
      </w:r>
    </w:p>
    <w:p w14:paraId="0C609F48" w14:textId="7B473C1C"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sz w:val="22"/>
          <w:szCs w:val="22"/>
        </w:rPr>
        <w:fldChar w:fldCharType="begin" w:fldLock="1"/>
      </w:r>
      <w:r w:rsidRPr="002400F1">
        <w:rPr>
          <w:rFonts w:ascii="Arial" w:hAnsi="Arial" w:cs="Arial"/>
          <w:sz w:val="22"/>
          <w:szCs w:val="22"/>
        </w:rPr>
        <w:instrText xml:space="preserve">ADDIN Mendeley Bibliography CSL_BIBLIOGRAPHY </w:instrText>
      </w:r>
      <w:r w:rsidRPr="002400F1">
        <w:rPr>
          <w:rFonts w:ascii="Arial" w:hAnsi="Arial" w:cs="Arial"/>
          <w:sz w:val="22"/>
          <w:szCs w:val="22"/>
        </w:rPr>
        <w:fldChar w:fldCharType="separate"/>
      </w:r>
      <w:r w:rsidRPr="002400F1">
        <w:rPr>
          <w:rFonts w:ascii="Arial" w:hAnsi="Arial" w:cs="Arial"/>
          <w:noProof/>
          <w:sz w:val="22"/>
          <w:szCs w:val="22"/>
        </w:rPr>
        <w:t xml:space="preserve">Ariffin, A. A. M. and Maghzi, A. (2012) ‘A preliminary study on customer expectations of hotel hospitality: Influences of personal and hotel factors’, </w:t>
      </w:r>
      <w:r w:rsidRPr="002400F1">
        <w:rPr>
          <w:rFonts w:ascii="Arial" w:hAnsi="Arial" w:cs="Arial"/>
          <w:i/>
          <w:iCs/>
          <w:noProof/>
          <w:sz w:val="22"/>
          <w:szCs w:val="22"/>
        </w:rPr>
        <w:t>International Journal of Hospitality Management</w:t>
      </w:r>
      <w:r w:rsidRPr="002400F1">
        <w:rPr>
          <w:rFonts w:ascii="Arial" w:hAnsi="Arial" w:cs="Arial"/>
          <w:noProof/>
          <w:sz w:val="22"/>
          <w:szCs w:val="22"/>
        </w:rPr>
        <w:t>, 31(1), pp. 191–198.</w:t>
      </w:r>
    </w:p>
    <w:p w14:paraId="71CB455A"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Arora, N. </w:t>
      </w:r>
      <w:r w:rsidRPr="002400F1">
        <w:rPr>
          <w:rFonts w:ascii="Arial" w:hAnsi="Arial" w:cs="Arial"/>
          <w:i/>
          <w:iCs/>
          <w:noProof/>
          <w:sz w:val="22"/>
          <w:szCs w:val="22"/>
        </w:rPr>
        <w:t>et al.</w:t>
      </w:r>
      <w:r w:rsidRPr="002400F1">
        <w:rPr>
          <w:rFonts w:ascii="Arial" w:hAnsi="Arial" w:cs="Arial"/>
          <w:noProof/>
          <w:sz w:val="22"/>
          <w:szCs w:val="22"/>
        </w:rPr>
        <w:t xml:space="preserve"> (2008) ‘Putting one-to-one marketing to work: Personalization, customization, and choice’, </w:t>
      </w:r>
      <w:r w:rsidRPr="002400F1">
        <w:rPr>
          <w:rFonts w:ascii="Arial" w:hAnsi="Arial" w:cs="Arial"/>
          <w:i/>
          <w:iCs/>
          <w:noProof/>
          <w:sz w:val="22"/>
          <w:szCs w:val="22"/>
        </w:rPr>
        <w:t>Marketing Letters</w:t>
      </w:r>
      <w:r w:rsidRPr="002400F1">
        <w:rPr>
          <w:rFonts w:ascii="Arial" w:hAnsi="Arial" w:cs="Arial"/>
          <w:noProof/>
          <w:sz w:val="22"/>
          <w:szCs w:val="22"/>
        </w:rPr>
        <w:t>, 19(3), pp. 305–321.</w:t>
      </w:r>
    </w:p>
    <w:p w14:paraId="1E307061"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CGTN (2022) </w:t>
      </w:r>
      <w:r w:rsidRPr="002400F1">
        <w:rPr>
          <w:rFonts w:ascii="Arial" w:hAnsi="Arial" w:cs="Arial"/>
          <w:i/>
          <w:iCs/>
          <w:noProof/>
          <w:sz w:val="22"/>
          <w:szCs w:val="22"/>
        </w:rPr>
        <w:t xml:space="preserve">Tourism live streaming on rise in China </w:t>
      </w:r>
      <w:r w:rsidRPr="002400F1">
        <w:rPr>
          <w:rFonts w:ascii="Arial" w:hAnsi="Arial" w:cs="Arial"/>
          <w:noProof/>
          <w:sz w:val="22"/>
          <w:szCs w:val="22"/>
        </w:rPr>
        <w:t>. Available at: https://news.cgtn.com/news/2020-03-07/Tourism-live-streaming-on-rise-in-China--OFeh5V73VK/index.html (Accessed: 29 April 2022).</w:t>
      </w:r>
    </w:p>
    <w:p w14:paraId="4353F542" w14:textId="21E6F2BC"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Ching-chi, C. L. and Si, C. L. W. (2010) ‘Hotel occupancy rate in a gambling destination: A longitudinal study of the Macao hotel industry 2004-2007’, </w:t>
      </w:r>
      <w:r w:rsidRPr="002400F1">
        <w:rPr>
          <w:rFonts w:ascii="Arial" w:hAnsi="Arial" w:cs="Arial"/>
          <w:i/>
          <w:iCs/>
          <w:noProof/>
          <w:sz w:val="22"/>
          <w:szCs w:val="22"/>
        </w:rPr>
        <w:t>Journal of Hospitality and Tourism Management</w:t>
      </w:r>
      <w:r w:rsidRPr="002400F1">
        <w:rPr>
          <w:rFonts w:ascii="Arial" w:hAnsi="Arial" w:cs="Arial"/>
          <w:noProof/>
          <w:sz w:val="22"/>
          <w:szCs w:val="22"/>
        </w:rPr>
        <w:t>, 17(1), pp. 34–43.</w:t>
      </w:r>
    </w:p>
    <w:p w14:paraId="06F4AB6A"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Deloitte (2022) </w:t>
      </w:r>
      <w:r w:rsidRPr="002400F1">
        <w:rPr>
          <w:rFonts w:ascii="Arial" w:hAnsi="Arial" w:cs="Arial"/>
          <w:i/>
          <w:iCs/>
          <w:noProof/>
          <w:sz w:val="22"/>
          <w:szCs w:val="22"/>
        </w:rPr>
        <w:t xml:space="preserve">The Hospitality Industry: Time for Recovery </w:t>
      </w:r>
      <w:r w:rsidRPr="002400F1">
        <w:rPr>
          <w:rFonts w:ascii="Arial" w:hAnsi="Arial" w:cs="Arial"/>
          <w:noProof/>
          <w:sz w:val="22"/>
          <w:szCs w:val="22"/>
        </w:rPr>
        <w:t>. Available at: https://www2.deloitte.com/global/en/pages/finance/articles/the-hospitality-industry-time-for-recovery.html (Accessed: 29 April 2022).</w:t>
      </w:r>
    </w:p>
    <w:p w14:paraId="7360AB17"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Deng, Z., Benckendorff, P. and Wang, J. (2021) ‘Travel live streaming: an affordance perspective’, </w:t>
      </w:r>
      <w:r w:rsidRPr="002400F1">
        <w:rPr>
          <w:rFonts w:ascii="Arial" w:hAnsi="Arial" w:cs="Arial"/>
          <w:i/>
          <w:iCs/>
          <w:noProof/>
          <w:sz w:val="22"/>
          <w:szCs w:val="22"/>
        </w:rPr>
        <w:t>Information Technology &amp; Tourism</w:t>
      </w:r>
      <w:r w:rsidRPr="002400F1">
        <w:rPr>
          <w:rFonts w:ascii="Arial" w:hAnsi="Arial" w:cs="Arial"/>
          <w:noProof/>
          <w:sz w:val="22"/>
          <w:szCs w:val="22"/>
        </w:rPr>
        <w:t>, 23(2), pp. 189–207.</w:t>
      </w:r>
    </w:p>
    <w:p w14:paraId="5E908A4A"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Dimitrios, B. </w:t>
      </w:r>
      <w:r w:rsidRPr="002400F1">
        <w:rPr>
          <w:rFonts w:ascii="Arial" w:hAnsi="Arial" w:cs="Arial"/>
          <w:i/>
          <w:iCs/>
          <w:noProof/>
          <w:sz w:val="22"/>
          <w:szCs w:val="22"/>
        </w:rPr>
        <w:t>et al.</w:t>
      </w:r>
      <w:r w:rsidRPr="002400F1">
        <w:rPr>
          <w:rFonts w:ascii="Arial" w:hAnsi="Arial" w:cs="Arial"/>
          <w:noProof/>
          <w:sz w:val="22"/>
          <w:szCs w:val="22"/>
        </w:rPr>
        <w:t xml:space="preserve"> (2020) ‘Strategic management in the hotel industry: proposed strategic practices to recover from COVID-19 global crisis’, </w:t>
      </w:r>
      <w:r w:rsidRPr="002400F1">
        <w:rPr>
          <w:rFonts w:ascii="Arial" w:hAnsi="Arial" w:cs="Arial"/>
          <w:i/>
          <w:iCs/>
          <w:noProof/>
          <w:sz w:val="22"/>
          <w:szCs w:val="22"/>
        </w:rPr>
        <w:t>Academic Journal of Interdisciplinary Studies</w:t>
      </w:r>
      <w:r w:rsidRPr="002400F1">
        <w:rPr>
          <w:rFonts w:ascii="Arial" w:hAnsi="Arial" w:cs="Arial"/>
          <w:noProof/>
          <w:sz w:val="22"/>
          <w:szCs w:val="22"/>
        </w:rPr>
        <w:t>, 9(6), p. 130.</w:t>
      </w:r>
    </w:p>
    <w:p w14:paraId="6A161950"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lastRenderedPageBreak/>
        <w:t xml:space="preserve">Enz, C. A. and James, E. C. (2017) ‘Beyond channel mix management: Building within online travel agencies (OTA) metrics and strategies’, </w:t>
      </w:r>
      <w:r w:rsidRPr="002400F1">
        <w:rPr>
          <w:rFonts w:ascii="Arial" w:hAnsi="Arial" w:cs="Arial"/>
          <w:i/>
          <w:iCs/>
          <w:noProof/>
          <w:sz w:val="22"/>
          <w:szCs w:val="22"/>
        </w:rPr>
        <w:t>Journal of Revenue and Pricing Management</w:t>
      </w:r>
      <w:r w:rsidRPr="002400F1">
        <w:rPr>
          <w:rFonts w:ascii="Arial" w:hAnsi="Arial" w:cs="Arial"/>
          <w:noProof/>
          <w:sz w:val="22"/>
          <w:szCs w:val="22"/>
        </w:rPr>
        <w:t>, 16(2), pp. 109–114.</w:t>
      </w:r>
    </w:p>
    <w:p w14:paraId="6CD6097F"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Haqbin, A., Shojaei, P. and Radmanesh, S. (2022) ‘Prioritising COVID-19 recovery solutions for tourism small and medium-sized enterprises: A rough best-worst method approach’, </w:t>
      </w:r>
      <w:r w:rsidRPr="002400F1">
        <w:rPr>
          <w:rFonts w:ascii="Arial" w:hAnsi="Arial" w:cs="Arial"/>
          <w:i/>
          <w:iCs/>
          <w:noProof/>
          <w:sz w:val="22"/>
          <w:szCs w:val="22"/>
        </w:rPr>
        <w:t>Journal of Decision Systems</w:t>
      </w:r>
      <w:r w:rsidRPr="002400F1">
        <w:rPr>
          <w:rFonts w:ascii="Arial" w:hAnsi="Arial" w:cs="Arial"/>
          <w:noProof/>
          <w:sz w:val="22"/>
          <w:szCs w:val="22"/>
        </w:rPr>
        <w:t>, 31(1–2), pp. 102–115.</w:t>
      </w:r>
    </w:p>
    <w:p w14:paraId="6A373B81"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Hilton (2022) </w:t>
      </w:r>
      <w:r w:rsidRPr="002400F1">
        <w:rPr>
          <w:rFonts w:ascii="Arial" w:hAnsi="Arial" w:cs="Arial"/>
          <w:i/>
          <w:iCs/>
          <w:noProof/>
          <w:sz w:val="22"/>
          <w:szCs w:val="22"/>
        </w:rPr>
        <w:t>Hilton Annual Report 2021</w:t>
      </w:r>
      <w:r w:rsidRPr="002400F1">
        <w:rPr>
          <w:rFonts w:ascii="Arial" w:hAnsi="Arial" w:cs="Arial"/>
          <w:noProof/>
          <w:sz w:val="22"/>
          <w:szCs w:val="22"/>
        </w:rPr>
        <w:t>.</w:t>
      </w:r>
    </w:p>
    <w:p w14:paraId="63F2B321"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Hoang, T. G., Truong, N. T. and Nguyen, T. M. (2021) ‘The survival of hotels during the COVID-19 pandemic: a critical case study in Vietnam’, </w:t>
      </w:r>
      <w:r w:rsidRPr="002400F1">
        <w:rPr>
          <w:rFonts w:ascii="Arial" w:hAnsi="Arial" w:cs="Arial"/>
          <w:i/>
          <w:iCs/>
          <w:noProof/>
          <w:sz w:val="22"/>
          <w:szCs w:val="22"/>
        </w:rPr>
        <w:t>Service Business</w:t>
      </w:r>
      <w:r w:rsidRPr="002400F1">
        <w:rPr>
          <w:rFonts w:ascii="Arial" w:hAnsi="Arial" w:cs="Arial"/>
          <w:noProof/>
          <w:sz w:val="22"/>
          <w:szCs w:val="22"/>
        </w:rPr>
        <w:t>, 15(2), pp. 209–229.</w:t>
      </w:r>
    </w:p>
    <w:p w14:paraId="70CEEF13"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Hotel Management (2022) </w:t>
      </w:r>
      <w:r w:rsidRPr="002400F1">
        <w:rPr>
          <w:rFonts w:ascii="Arial" w:hAnsi="Arial" w:cs="Arial"/>
          <w:i/>
          <w:iCs/>
          <w:noProof/>
          <w:sz w:val="22"/>
          <w:szCs w:val="22"/>
        </w:rPr>
        <w:t>10 ways smart technology is reshaping the hotel industry</w:t>
      </w:r>
      <w:r w:rsidRPr="002400F1">
        <w:rPr>
          <w:rFonts w:ascii="Arial" w:hAnsi="Arial" w:cs="Arial"/>
          <w:noProof/>
          <w:sz w:val="22"/>
          <w:szCs w:val="22"/>
        </w:rPr>
        <w:t>. Available at: https://www.hotelmanagement.net/tech/10-ways-smart-technology-reshaping-hotel-industry (Accessed: 29 April 2022).</w:t>
      </w:r>
    </w:p>
    <w:p w14:paraId="4DB68FEE"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Hua, N., Morosan, C. and DeFranco, A. (2015) ‘The other side of technology adoption: examining the relationships between e-commerce expenses and hotel performance’, </w:t>
      </w:r>
      <w:r w:rsidRPr="002400F1">
        <w:rPr>
          <w:rFonts w:ascii="Arial" w:hAnsi="Arial" w:cs="Arial"/>
          <w:i/>
          <w:iCs/>
          <w:noProof/>
          <w:sz w:val="22"/>
          <w:szCs w:val="22"/>
        </w:rPr>
        <w:t>International Journal of Hospitality Management</w:t>
      </w:r>
      <w:r w:rsidRPr="002400F1">
        <w:rPr>
          <w:rFonts w:ascii="Arial" w:hAnsi="Arial" w:cs="Arial"/>
          <w:noProof/>
          <w:sz w:val="22"/>
          <w:szCs w:val="22"/>
        </w:rPr>
        <w:t>, 45(5), pp. 109–120.</w:t>
      </w:r>
    </w:p>
    <w:p w14:paraId="6FBC8A2E"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Hunold, M., Kesler, R. and Laitenberger, U. (2020) ‘Rankings of online travel agents, channel pricing, and consumer protection’, </w:t>
      </w:r>
      <w:r w:rsidRPr="002400F1">
        <w:rPr>
          <w:rFonts w:ascii="Arial" w:hAnsi="Arial" w:cs="Arial"/>
          <w:i/>
          <w:iCs/>
          <w:noProof/>
          <w:sz w:val="22"/>
          <w:szCs w:val="22"/>
        </w:rPr>
        <w:t>Marketing Science</w:t>
      </w:r>
      <w:r w:rsidRPr="002400F1">
        <w:rPr>
          <w:rFonts w:ascii="Arial" w:hAnsi="Arial" w:cs="Arial"/>
          <w:noProof/>
          <w:sz w:val="22"/>
          <w:szCs w:val="22"/>
        </w:rPr>
        <w:t>, 39(1), pp. 92–116.</w:t>
      </w:r>
    </w:p>
    <w:p w14:paraId="2F0DF60E"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Jia, Y. </w:t>
      </w:r>
      <w:r w:rsidRPr="002400F1">
        <w:rPr>
          <w:rFonts w:ascii="Arial" w:hAnsi="Arial" w:cs="Arial"/>
          <w:i/>
          <w:iCs/>
          <w:noProof/>
          <w:sz w:val="22"/>
          <w:szCs w:val="22"/>
        </w:rPr>
        <w:t>et al.</w:t>
      </w:r>
      <w:r w:rsidRPr="002400F1">
        <w:rPr>
          <w:rFonts w:ascii="Arial" w:hAnsi="Arial" w:cs="Arial"/>
          <w:noProof/>
          <w:sz w:val="22"/>
          <w:szCs w:val="22"/>
        </w:rPr>
        <w:t xml:space="preserve"> (2022) </w:t>
      </w:r>
      <w:r w:rsidRPr="002400F1">
        <w:rPr>
          <w:rFonts w:ascii="Arial" w:hAnsi="Arial" w:cs="Arial"/>
          <w:i/>
          <w:iCs/>
          <w:noProof/>
          <w:sz w:val="22"/>
          <w:szCs w:val="22"/>
        </w:rPr>
        <w:t>Serving Hotel Customers in a Postpandemic World: How Can Hilton Worldwide Recover and Change?</w:t>
      </w:r>
      <w:r w:rsidRPr="002400F1">
        <w:rPr>
          <w:rFonts w:ascii="Arial" w:hAnsi="Arial" w:cs="Arial"/>
          <w:noProof/>
          <w:sz w:val="22"/>
          <w:szCs w:val="22"/>
        </w:rPr>
        <w:t xml:space="preserve"> SAGE Publications: SAGE Business Cases Originals.</w:t>
      </w:r>
    </w:p>
    <w:p w14:paraId="45A54DEE"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lastRenderedPageBreak/>
        <w:t xml:space="preserve">Law, R. (2004) ‘Initially testing an improved extrapolative hotel room occupancy rate forecasting technique’, </w:t>
      </w:r>
      <w:r w:rsidRPr="002400F1">
        <w:rPr>
          <w:rFonts w:ascii="Arial" w:hAnsi="Arial" w:cs="Arial"/>
          <w:i/>
          <w:iCs/>
          <w:noProof/>
          <w:sz w:val="22"/>
          <w:szCs w:val="22"/>
        </w:rPr>
        <w:t>Journal of Travel &amp; Tourism Marketing</w:t>
      </w:r>
      <w:r w:rsidRPr="002400F1">
        <w:rPr>
          <w:rFonts w:ascii="Arial" w:hAnsi="Arial" w:cs="Arial"/>
          <w:noProof/>
          <w:sz w:val="22"/>
          <w:szCs w:val="22"/>
        </w:rPr>
        <w:t>, 16(2–3), pp. 71–77.</w:t>
      </w:r>
    </w:p>
    <w:p w14:paraId="71AB6AF1"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7F567A">
        <w:rPr>
          <w:rFonts w:ascii="Arial" w:hAnsi="Arial" w:cs="Arial"/>
          <w:noProof/>
          <w:sz w:val="22"/>
          <w:szCs w:val="22"/>
          <w:lang w:val="it-IT"/>
        </w:rPr>
        <w:t xml:space="preserve">Lei, S. S. I. </w:t>
      </w:r>
      <w:r w:rsidRPr="007F567A">
        <w:rPr>
          <w:rFonts w:ascii="Arial" w:hAnsi="Arial" w:cs="Arial"/>
          <w:i/>
          <w:iCs/>
          <w:noProof/>
          <w:sz w:val="22"/>
          <w:szCs w:val="22"/>
          <w:lang w:val="it-IT"/>
        </w:rPr>
        <w:t>et al.</w:t>
      </w:r>
      <w:r w:rsidRPr="007F567A">
        <w:rPr>
          <w:rFonts w:ascii="Arial" w:hAnsi="Arial" w:cs="Arial"/>
          <w:noProof/>
          <w:sz w:val="22"/>
          <w:szCs w:val="22"/>
          <w:lang w:val="it-IT"/>
        </w:rPr>
        <w:t xml:space="preserve"> </w:t>
      </w:r>
      <w:r w:rsidRPr="002400F1">
        <w:rPr>
          <w:rFonts w:ascii="Arial" w:hAnsi="Arial" w:cs="Arial"/>
          <w:noProof/>
          <w:sz w:val="22"/>
          <w:szCs w:val="22"/>
        </w:rPr>
        <w:t xml:space="preserve">(2022) ‘Will tourists take mobile travel advice? Examining the personalization-privacy paradox’, </w:t>
      </w:r>
      <w:r w:rsidRPr="002400F1">
        <w:rPr>
          <w:rFonts w:ascii="Arial" w:hAnsi="Arial" w:cs="Arial"/>
          <w:i/>
          <w:iCs/>
          <w:noProof/>
          <w:sz w:val="22"/>
          <w:szCs w:val="22"/>
        </w:rPr>
        <w:t>Journal of Hospitality and Tourism Management</w:t>
      </w:r>
      <w:r w:rsidRPr="002400F1">
        <w:rPr>
          <w:rFonts w:ascii="Arial" w:hAnsi="Arial" w:cs="Arial"/>
          <w:noProof/>
          <w:sz w:val="22"/>
          <w:szCs w:val="22"/>
        </w:rPr>
        <w:t>, 50(4), pp. 288–297.</w:t>
      </w:r>
    </w:p>
    <w:p w14:paraId="58328454"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McKinsey (2022) </w:t>
      </w:r>
      <w:r w:rsidRPr="002400F1">
        <w:rPr>
          <w:rFonts w:ascii="Arial" w:hAnsi="Arial" w:cs="Arial"/>
          <w:i/>
          <w:iCs/>
          <w:noProof/>
          <w:sz w:val="22"/>
          <w:szCs w:val="22"/>
        </w:rPr>
        <w:t xml:space="preserve">COVID-19’s effect on the hotel industry </w:t>
      </w:r>
      <w:r w:rsidRPr="002400F1">
        <w:rPr>
          <w:rFonts w:ascii="Arial" w:hAnsi="Arial" w:cs="Arial"/>
          <w:noProof/>
          <w:sz w:val="22"/>
          <w:szCs w:val="22"/>
        </w:rPr>
        <w:t>. Available at: https://www.mckinsey.com/industries/travel-logistics-and-infrastructure/our-insights/hospitality-and-covid-19-how-long-until-no-vacancy-for-us-hotels (Accessed: 29 April 2022).</w:t>
      </w:r>
    </w:p>
    <w:p w14:paraId="250B7032"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Mitra, S. K. and Pal, D. (2022) ‘Does revenue respond asymmetrically to the occupancy rate? Evidence from the Swedish hospitality industry’, </w:t>
      </w:r>
      <w:r w:rsidRPr="002400F1">
        <w:rPr>
          <w:rFonts w:ascii="Arial" w:hAnsi="Arial" w:cs="Arial"/>
          <w:i/>
          <w:iCs/>
          <w:noProof/>
          <w:sz w:val="22"/>
          <w:szCs w:val="22"/>
        </w:rPr>
        <w:t>Scandinavian Journal of Hospitality and Tourism</w:t>
      </w:r>
      <w:r w:rsidRPr="002400F1">
        <w:rPr>
          <w:rFonts w:ascii="Arial" w:hAnsi="Arial" w:cs="Arial"/>
          <w:noProof/>
          <w:sz w:val="22"/>
          <w:szCs w:val="22"/>
        </w:rPr>
        <w:t>, 22(2), pp. 181–194.</w:t>
      </w:r>
    </w:p>
    <w:p w14:paraId="42DBF44C"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Noone, B. M. and McGuire, K. A. (2013) ‘Pricing in a social world: The influence of non-price information on hotel choice’, </w:t>
      </w:r>
      <w:r w:rsidRPr="002400F1">
        <w:rPr>
          <w:rFonts w:ascii="Arial" w:hAnsi="Arial" w:cs="Arial"/>
          <w:i/>
          <w:iCs/>
          <w:noProof/>
          <w:sz w:val="22"/>
          <w:szCs w:val="22"/>
        </w:rPr>
        <w:t>Journal of Revenue and Pricing Management</w:t>
      </w:r>
      <w:r w:rsidRPr="002400F1">
        <w:rPr>
          <w:rFonts w:ascii="Arial" w:hAnsi="Arial" w:cs="Arial"/>
          <w:noProof/>
          <w:sz w:val="22"/>
          <w:szCs w:val="22"/>
        </w:rPr>
        <w:t>, 12(5), pp. 385–401.</w:t>
      </w:r>
    </w:p>
    <w:p w14:paraId="0B37E20D" w14:textId="378E7D6E"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Oses, N., Gerrikagoitia, J. K. and Alzua, A. (2016) ‘Modelling and prediction of a destination's monthly average daily rate and occupancy rate based on hotel room prices offered online’, </w:t>
      </w:r>
      <w:r w:rsidRPr="002400F1">
        <w:rPr>
          <w:rFonts w:ascii="Arial" w:hAnsi="Arial" w:cs="Arial"/>
          <w:i/>
          <w:iCs/>
          <w:noProof/>
          <w:sz w:val="22"/>
          <w:szCs w:val="22"/>
        </w:rPr>
        <w:t>Tourism Economics</w:t>
      </w:r>
      <w:r w:rsidRPr="002400F1">
        <w:rPr>
          <w:rFonts w:ascii="Arial" w:hAnsi="Arial" w:cs="Arial"/>
          <w:noProof/>
          <w:sz w:val="22"/>
          <w:szCs w:val="22"/>
        </w:rPr>
        <w:t>, 22(6), pp. 1380–1403.</w:t>
      </w:r>
    </w:p>
    <w:p w14:paraId="79E7C969"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Piccoli, G., Lui, T.-W. and Grün, B. (2017) ‘The impact of IT-enabled customer service systems on service personalization, customer service perceptions, and hotel performance’, </w:t>
      </w:r>
      <w:r w:rsidRPr="002400F1">
        <w:rPr>
          <w:rFonts w:ascii="Arial" w:hAnsi="Arial" w:cs="Arial"/>
          <w:i/>
          <w:iCs/>
          <w:noProof/>
          <w:sz w:val="22"/>
          <w:szCs w:val="22"/>
        </w:rPr>
        <w:t>Tourism Management</w:t>
      </w:r>
      <w:r w:rsidRPr="002400F1">
        <w:rPr>
          <w:rFonts w:ascii="Arial" w:hAnsi="Arial" w:cs="Arial"/>
          <w:noProof/>
          <w:sz w:val="22"/>
          <w:szCs w:val="22"/>
        </w:rPr>
        <w:t>, 59(2), pp. 349–362.</w:t>
      </w:r>
    </w:p>
    <w:p w14:paraId="4C26C64B"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Rogerson, C. M. and Rogerson, J. M. (2021) ‘COVID-19 and changing tourism demand: Research review and policy implications for South Africa’, </w:t>
      </w:r>
      <w:r w:rsidRPr="002400F1">
        <w:rPr>
          <w:rFonts w:ascii="Arial" w:hAnsi="Arial" w:cs="Arial"/>
          <w:i/>
          <w:iCs/>
          <w:noProof/>
          <w:sz w:val="22"/>
          <w:szCs w:val="22"/>
        </w:rPr>
        <w:t>African Journal of Hospitality, Tourism and Leisure</w:t>
      </w:r>
      <w:r w:rsidRPr="002400F1">
        <w:rPr>
          <w:rFonts w:ascii="Arial" w:hAnsi="Arial" w:cs="Arial"/>
          <w:noProof/>
          <w:sz w:val="22"/>
          <w:szCs w:val="22"/>
        </w:rPr>
        <w:t>, 10(1), pp. 1–21.</w:t>
      </w:r>
    </w:p>
    <w:p w14:paraId="0691FC8C"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lastRenderedPageBreak/>
        <w:t xml:space="preserve">Statista (2022) </w:t>
      </w:r>
      <w:r w:rsidRPr="002400F1">
        <w:rPr>
          <w:rFonts w:ascii="Arial" w:hAnsi="Arial" w:cs="Arial"/>
          <w:i/>
          <w:iCs/>
          <w:noProof/>
          <w:sz w:val="22"/>
          <w:szCs w:val="22"/>
        </w:rPr>
        <w:t>Hilton Worldwide Holdings - statistics &amp; facts</w:t>
      </w:r>
      <w:r w:rsidRPr="002400F1">
        <w:rPr>
          <w:rFonts w:ascii="Arial" w:hAnsi="Arial" w:cs="Arial"/>
          <w:noProof/>
          <w:sz w:val="22"/>
          <w:szCs w:val="22"/>
        </w:rPr>
        <w:t>. Available at: https://www-statista-com.uoelibrary.idm.oclc.org/topics/1880/hilton-worldwide/ (Accessed: 29 April 2022).</w:t>
      </w:r>
    </w:p>
    <w:p w14:paraId="29923D69"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UNWTO (2022) </w:t>
      </w:r>
      <w:r w:rsidRPr="002400F1">
        <w:rPr>
          <w:rFonts w:ascii="Arial" w:hAnsi="Arial" w:cs="Arial"/>
          <w:i/>
          <w:iCs/>
          <w:noProof/>
          <w:sz w:val="22"/>
          <w:szCs w:val="22"/>
        </w:rPr>
        <w:t>UNWTO Tourism Recovery Tracker | Tourism Dashboard</w:t>
      </w:r>
      <w:r w:rsidRPr="002400F1">
        <w:rPr>
          <w:rFonts w:ascii="Arial" w:hAnsi="Arial" w:cs="Arial"/>
          <w:noProof/>
          <w:sz w:val="22"/>
          <w:szCs w:val="22"/>
        </w:rPr>
        <w:t>. Available at: https://www.unwto.org/tourism-data/unwto-tourism-recovery-tracker (Accessed: 29 April 2022).</w:t>
      </w:r>
    </w:p>
    <w:p w14:paraId="6A4AA19C"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Wilson, R. M. S. (2010) </w:t>
      </w:r>
      <w:r w:rsidRPr="002400F1">
        <w:rPr>
          <w:rFonts w:ascii="Arial" w:hAnsi="Arial" w:cs="Arial"/>
          <w:i/>
          <w:iCs/>
          <w:noProof/>
          <w:sz w:val="22"/>
          <w:szCs w:val="22"/>
        </w:rPr>
        <w:t>Strategic marketing planning</w:t>
      </w:r>
      <w:r w:rsidRPr="002400F1">
        <w:rPr>
          <w:rFonts w:ascii="Arial" w:hAnsi="Arial" w:cs="Arial"/>
          <w:noProof/>
          <w:sz w:val="22"/>
          <w:szCs w:val="22"/>
        </w:rPr>
        <w:t>. Routledge.</w:t>
      </w:r>
    </w:p>
    <w:p w14:paraId="4C26CDEA"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Ye, F., Yan, H. and Wu, Y. (2019) ‘Optimal online channel strategies for a hotel considering direct booking and cooperation with an online travel agent’, </w:t>
      </w:r>
      <w:r w:rsidRPr="002400F1">
        <w:rPr>
          <w:rFonts w:ascii="Arial" w:hAnsi="Arial" w:cs="Arial"/>
          <w:i/>
          <w:iCs/>
          <w:noProof/>
          <w:sz w:val="22"/>
          <w:szCs w:val="22"/>
        </w:rPr>
        <w:t>International Transactions in Operational Research</w:t>
      </w:r>
      <w:r w:rsidRPr="002400F1">
        <w:rPr>
          <w:rFonts w:ascii="Arial" w:hAnsi="Arial" w:cs="Arial"/>
          <w:noProof/>
          <w:sz w:val="22"/>
          <w:szCs w:val="22"/>
        </w:rPr>
        <w:t>, 26(3), pp. 968–998.</w:t>
      </w:r>
    </w:p>
    <w:p w14:paraId="07B66799"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Ye, F., Zhang, L. and Li, Y. (2018) ‘Strategic choice of sales channel and business model for the hotel supply chain’, </w:t>
      </w:r>
      <w:r w:rsidRPr="002400F1">
        <w:rPr>
          <w:rFonts w:ascii="Arial" w:hAnsi="Arial" w:cs="Arial"/>
          <w:i/>
          <w:iCs/>
          <w:noProof/>
          <w:sz w:val="22"/>
          <w:szCs w:val="22"/>
        </w:rPr>
        <w:t>Journal of Retailing</w:t>
      </w:r>
      <w:r w:rsidRPr="002400F1">
        <w:rPr>
          <w:rFonts w:ascii="Arial" w:hAnsi="Arial" w:cs="Arial"/>
          <w:noProof/>
          <w:sz w:val="22"/>
          <w:szCs w:val="22"/>
        </w:rPr>
        <w:t>, 94(1), pp. 33–44.</w:t>
      </w:r>
    </w:p>
    <w:p w14:paraId="7BB10709" w14:textId="77777777" w:rsidR="004626F7" w:rsidRPr="002400F1" w:rsidRDefault="004626F7" w:rsidP="004626F7">
      <w:pPr>
        <w:autoSpaceDE w:val="0"/>
        <w:autoSpaceDN w:val="0"/>
        <w:adjustRightInd w:val="0"/>
        <w:spacing w:beforeLines="100" w:before="312" w:afterLines="150" w:after="468" w:line="360" w:lineRule="auto"/>
        <w:rPr>
          <w:rFonts w:ascii="Arial" w:hAnsi="Arial" w:cs="Arial"/>
          <w:noProof/>
          <w:sz w:val="22"/>
          <w:szCs w:val="22"/>
        </w:rPr>
      </w:pPr>
      <w:r w:rsidRPr="002400F1">
        <w:rPr>
          <w:rFonts w:ascii="Arial" w:hAnsi="Arial" w:cs="Arial"/>
          <w:noProof/>
          <w:sz w:val="22"/>
          <w:szCs w:val="22"/>
        </w:rPr>
        <w:t xml:space="preserve">Yu, J., Kang, B.-N. and Kim, H.-S. (2021) ‘A Comparative Study between Hilton Hotels in South Korea and USA through User-Generated Content Analytics’, </w:t>
      </w:r>
      <w:r w:rsidRPr="002400F1">
        <w:rPr>
          <w:rFonts w:ascii="Arial" w:hAnsi="Arial" w:cs="Arial"/>
          <w:i/>
          <w:iCs/>
          <w:noProof/>
          <w:sz w:val="22"/>
          <w:szCs w:val="22"/>
        </w:rPr>
        <w:t>Culinary Science &amp; Hospitality Research</w:t>
      </w:r>
      <w:r w:rsidRPr="002400F1">
        <w:rPr>
          <w:rFonts w:ascii="Arial" w:hAnsi="Arial" w:cs="Arial"/>
          <w:noProof/>
          <w:sz w:val="22"/>
          <w:szCs w:val="22"/>
        </w:rPr>
        <w:t>, 27(12), pp. 200–213.</w:t>
      </w:r>
    </w:p>
    <w:p w14:paraId="25BEE948" w14:textId="5975122D" w:rsidR="00730C4A" w:rsidRPr="002400F1" w:rsidRDefault="004626F7" w:rsidP="004626F7">
      <w:pPr>
        <w:spacing w:beforeLines="100" w:before="312" w:afterLines="150" w:after="468" w:line="360" w:lineRule="auto"/>
        <w:rPr>
          <w:rFonts w:ascii="Arial" w:hAnsi="Arial" w:cs="Arial"/>
          <w:sz w:val="22"/>
          <w:szCs w:val="22"/>
        </w:rPr>
      </w:pPr>
      <w:r w:rsidRPr="002400F1">
        <w:rPr>
          <w:rFonts w:ascii="Arial" w:hAnsi="Arial" w:cs="Arial"/>
          <w:sz w:val="22"/>
          <w:szCs w:val="22"/>
        </w:rPr>
        <w:fldChar w:fldCharType="end"/>
      </w:r>
    </w:p>
    <w:p w14:paraId="05F7E02D" w14:textId="77777777" w:rsidR="00730C4A" w:rsidRPr="002400F1" w:rsidRDefault="00730C4A" w:rsidP="004626F7">
      <w:pPr>
        <w:spacing w:beforeLines="100" w:before="312" w:afterLines="150" w:after="468" w:line="360" w:lineRule="auto"/>
        <w:rPr>
          <w:rFonts w:ascii="Arial" w:hAnsi="Arial" w:cs="Arial"/>
          <w:sz w:val="22"/>
          <w:szCs w:val="22"/>
        </w:rPr>
      </w:pPr>
    </w:p>
    <w:p w14:paraId="3BDC2196" w14:textId="77777777" w:rsidR="00811B1B" w:rsidRPr="002400F1" w:rsidRDefault="00811B1B" w:rsidP="004626F7">
      <w:pPr>
        <w:spacing w:beforeLines="100" w:before="312" w:afterLines="150" w:after="468" w:line="360" w:lineRule="auto"/>
        <w:rPr>
          <w:rFonts w:ascii="Arial" w:hAnsi="Arial" w:cs="Arial"/>
          <w:sz w:val="22"/>
          <w:szCs w:val="22"/>
        </w:rPr>
      </w:pPr>
    </w:p>
    <w:p w14:paraId="0E4D2B00" w14:textId="0C1B6134" w:rsidR="00531E47" w:rsidRPr="002400F1" w:rsidRDefault="00531E47" w:rsidP="004626F7">
      <w:pPr>
        <w:spacing w:beforeLines="100" w:before="312" w:afterLines="150" w:after="468" w:line="360" w:lineRule="auto"/>
        <w:rPr>
          <w:rFonts w:ascii="Arial" w:hAnsi="Arial" w:cs="Arial"/>
          <w:sz w:val="22"/>
          <w:szCs w:val="22"/>
        </w:rPr>
      </w:pPr>
    </w:p>
    <w:sectPr w:rsidR="00531E47" w:rsidRPr="002400F1" w:rsidSect="004626F7">
      <w:footerReference w:type="default" r:id="rId14"/>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C305C" w14:textId="77777777" w:rsidR="00A4278A" w:rsidRDefault="00A4278A" w:rsidP="00E1626C">
      <w:pPr>
        <w:spacing w:before="0" w:after="0" w:line="240" w:lineRule="auto"/>
      </w:pPr>
      <w:r>
        <w:separator/>
      </w:r>
    </w:p>
  </w:endnote>
  <w:endnote w:type="continuationSeparator" w:id="0">
    <w:p w14:paraId="67CE350B" w14:textId="77777777" w:rsidR="00A4278A" w:rsidRDefault="00A4278A" w:rsidP="00E1626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Nova Cond Light">
    <w:altName w:val="Arial Nova Cond Light"/>
    <w:charset w:val="00"/>
    <w:family w:val="swiss"/>
    <w:pitch w:val="variable"/>
    <w:sig w:usb0="0000028F" w:usb1="00000002"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75BE3" w14:textId="13AD2344" w:rsidR="004626F7" w:rsidRDefault="004626F7">
    <w:pPr>
      <w:pStyle w:val="a5"/>
      <w:jc w:val="center"/>
    </w:pPr>
  </w:p>
  <w:p w14:paraId="2AA786A3" w14:textId="285A597A" w:rsidR="001458A5" w:rsidRDefault="001458A5">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3902921"/>
      <w:docPartObj>
        <w:docPartGallery w:val="Page Numbers (Bottom of Page)"/>
        <w:docPartUnique/>
      </w:docPartObj>
    </w:sdtPr>
    <w:sdtEndPr/>
    <w:sdtContent>
      <w:p w14:paraId="55032068" w14:textId="77777777" w:rsidR="004626F7" w:rsidRDefault="004626F7">
        <w:pPr>
          <w:pStyle w:val="a5"/>
          <w:jc w:val="center"/>
        </w:pPr>
        <w:r>
          <w:fldChar w:fldCharType="begin"/>
        </w:r>
        <w:r>
          <w:instrText>PAGE   \* MERGEFORMAT</w:instrText>
        </w:r>
        <w:r>
          <w:fldChar w:fldCharType="separate"/>
        </w:r>
        <w:r>
          <w:rPr>
            <w:lang w:val="zh-CN"/>
          </w:rPr>
          <w:t>2</w:t>
        </w:r>
        <w:r>
          <w:fldChar w:fldCharType="end"/>
        </w:r>
      </w:p>
    </w:sdtContent>
  </w:sdt>
  <w:p w14:paraId="73FF2845" w14:textId="77777777" w:rsidR="004626F7" w:rsidRDefault="004626F7">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81050" w14:textId="77777777" w:rsidR="00A4278A" w:rsidRDefault="00A4278A" w:rsidP="00E1626C">
      <w:pPr>
        <w:spacing w:before="0" w:after="0" w:line="240" w:lineRule="auto"/>
      </w:pPr>
      <w:r>
        <w:separator/>
      </w:r>
    </w:p>
  </w:footnote>
  <w:footnote w:type="continuationSeparator" w:id="0">
    <w:p w14:paraId="1F80EA15" w14:textId="77777777" w:rsidR="00A4278A" w:rsidRDefault="00A4278A" w:rsidP="00E1626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96275C"/>
    <w:multiLevelType w:val="hybridMultilevel"/>
    <w:tmpl w:val="9594CF1C"/>
    <w:lvl w:ilvl="0" w:tplc="8780BFE6">
      <w:start w:val="2"/>
      <w:numFmt w:val="bullet"/>
      <w:lvlText w:val="-"/>
      <w:lvlJc w:val="left"/>
      <w:pPr>
        <w:ind w:left="360" w:hanging="360"/>
      </w:pPr>
      <w:rPr>
        <w:rFonts w:ascii="Arial Nova Cond Light" w:eastAsiaTheme="minorEastAsia" w:hAnsi="Arial Nova Cond Light" w:cstheme="minorBidi"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5CAB4C63"/>
    <w:multiLevelType w:val="hybridMultilevel"/>
    <w:tmpl w:val="D622683C"/>
    <w:lvl w:ilvl="0" w:tplc="9BF21EB2">
      <w:start w:val="2"/>
      <w:numFmt w:val="bullet"/>
      <w:lvlText w:val="-"/>
      <w:lvlJc w:val="left"/>
      <w:pPr>
        <w:ind w:left="360" w:hanging="360"/>
      </w:pPr>
      <w:rPr>
        <w:rFonts w:ascii="DengXian" w:eastAsia="DengXian" w:hAnsi="DengXian"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5FD13133"/>
    <w:multiLevelType w:val="hybridMultilevel"/>
    <w:tmpl w:val="3070A342"/>
    <w:lvl w:ilvl="0" w:tplc="C4C0763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76DC2436"/>
    <w:multiLevelType w:val="multilevel"/>
    <w:tmpl w:val="ED44E3C8"/>
    <w:lvl w:ilvl="0">
      <w:start w:val="1"/>
      <w:numFmt w:val="decimal"/>
      <w:lvlText w:val="%1."/>
      <w:lvlJc w:val="left"/>
      <w:pPr>
        <w:ind w:left="360" w:hanging="360"/>
      </w:pPr>
      <w:rPr>
        <w:rFonts w:hint="default"/>
      </w:rPr>
    </w:lvl>
    <w:lvl w:ilvl="1">
      <w:start w:val="1"/>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16cid:durableId="1589773624">
    <w:abstractNumId w:val="2"/>
  </w:num>
  <w:num w:numId="2" w16cid:durableId="18052680">
    <w:abstractNumId w:val="3"/>
  </w:num>
  <w:num w:numId="3" w16cid:durableId="815685108">
    <w:abstractNumId w:val="1"/>
  </w:num>
  <w:num w:numId="4" w16cid:durableId="68114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bordersDoNotSurroundHeader/>
  <w:bordersDoNotSurroundFooter/>
  <w:proofState w:spelling="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06C"/>
    <w:rsid w:val="0004676E"/>
    <w:rsid w:val="0006627D"/>
    <w:rsid w:val="000A7B56"/>
    <w:rsid w:val="0010439C"/>
    <w:rsid w:val="001458A5"/>
    <w:rsid w:val="00146EE5"/>
    <w:rsid w:val="0019245D"/>
    <w:rsid w:val="001A1F8F"/>
    <w:rsid w:val="001A555E"/>
    <w:rsid w:val="001E4ABF"/>
    <w:rsid w:val="00200443"/>
    <w:rsid w:val="002400F1"/>
    <w:rsid w:val="0028248C"/>
    <w:rsid w:val="002873EC"/>
    <w:rsid w:val="00442489"/>
    <w:rsid w:val="0045312F"/>
    <w:rsid w:val="004626F7"/>
    <w:rsid w:val="0048432E"/>
    <w:rsid w:val="004901C0"/>
    <w:rsid w:val="004A403C"/>
    <w:rsid w:val="004D4603"/>
    <w:rsid w:val="00531E47"/>
    <w:rsid w:val="00560E61"/>
    <w:rsid w:val="00575151"/>
    <w:rsid w:val="005D1FB5"/>
    <w:rsid w:val="00664124"/>
    <w:rsid w:val="00685CDF"/>
    <w:rsid w:val="0070600F"/>
    <w:rsid w:val="00711D9B"/>
    <w:rsid w:val="00730C4A"/>
    <w:rsid w:val="00783AC3"/>
    <w:rsid w:val="007E2D20"/>
    <w:rsid w:val="007E7EE1"/>
    <w:rsid w:val="007F2F06"/>
    <w:rsid w:val="007F567A"/>
    <w:rsid w:val="00811B1B"/>
    <w:rsid w:val="00855DD0"/>
    <w:rsid w:val="008614D3"/>
    <w:rsid w:val="00867F78"/>
    <w:rsid w:val="008D6B03"/>
    <w:rsid w:val="008E4497"/>
    <w:rsid w:val="008F62AC"/>
    <w:rsid w:val="009C3B0F"/>
    <w:rsid w:val="00A06D3C"/>
    <w:rsid w:val="00A135EF"/>
    <w:rsid w:val="00A4278A"/>
    <w:rsid w:val="00B93B8D"/>
    <w:rsid w:val="00B964D3"/>
    <w:rsid w:val="00C36976"/>
    <w:rsid w:val="00C87AD2"/>
    <w:rsid w:val="00CC4ACA"/>
    <w:rsid w:val="00D7193A"/>
    <w:rsid w:val="00D97461"/>
    <w:rsid w:val="00DE345C"/>
    <w:rsid w:val="00DF02ED"/>
    <w:rsid w:val="00DF6A83"/>
    <w:rsid w:val="00E0666D"/>
    <w:rsid w:val="00E1626C"/>
    <w:rsid w:val="00E650FB"/>
    <w:rsid w:val="00EA5A33"/>
    <w:rsid w:val="00EC217F"/>
    <w:rsid w:val="00ED5119"/>
    <w:rsid w:val="00EE206C"/>
    <w:rsid w:val="00F05117"/>
    <w:rsid w:val="00F07B44"/>
    <w:rsid w:val="00F74B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0CA32C"/>
  <w15:chartTrackingRefBased/>
  <w15:docId w15:val="{AE1AC2A2-B323-4DA1-BAB8-B8BA23DAF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31E47"/>
  </w:style>
  <w:style w:type="paragraph" w:styleId="1">
    <w:name w:val="heading 1"/>
    <w:basedOn w:val="a"/>
    <w:next w:val="a"/>
    <w:link w:val="10"/>
    <w:uiPriority w:val="9"/>
    <w:qFormat/>
    <w:rsid w:val="00531E47"/>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2">
    <w:name w:val="heading 2"/>
    <w:basedOn w:val="a"/>
    <w:next w:val="a"/>
    <w:link w:val="20"/>
    <w:uiPriority w:val="9"/>
    <w:unhideWhenUsed/>
    <w:qFormat/>
    <w:rsid w:val="00531E47"/>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3">
    <w:name w:val="heading 3"/>
    <w:basedOn w:val="a"/>
    <w:next w:val="a"/>
    <w:link w:val="30"/>
    <w:uiPriority w:val="9"/>
    <w:semiHidden/>
    <w:unhideWhenUsed/>
    <w:qFormat/>
    <w:rsid w:val="00531E47"/>
    <w:pPr>
      <w:pBdr>
        <w:top w:val="single" w:sz="6" w:space="2" w:color="4472C4" w:themeColor="accent1"/>
      </w:pBdr>
      <w:spacing w:before="300" w:after="0"/>
      <w:outlineLvl w:val="2"/>
    </w:pPr>
    <w:rPr>
      <w:caps/>
      <w:color w:val="1F3763" w:themeColor="accent1" w:themeShade="7F"/>
      <w:spacing w:val="15"/>
    </w:rPr>
  </w:style>
  <w:style w:type="paragraph" w:styleId="4">
    <w:name w:val="heading 4"/>
    <w:basedOn w:val="a"/>
    <w:next w:val="a"/>
    <w:link w:val="40"/>
    <w:uiPriority w:val="9"/>
    <w:semiHidden/>
    <w:unhideWhenUsed/>
    <w:qFormat/>
    <w:rsid w:val="00531E47"/>
    <w:pPr>
      <w:pBdr>
        <w:top w:val="dotted" w:sz="6" w:space="2" w:color="4472C4" w:themeColor="accent1"/>
      </w:pBdr>
      <w:spacing w:before="200" w:after="0"/>
      <w:outlineLvl w:val="3"/>
    </w:pPr>
    <w:rPr>
      <w:caps/>
      <w:color w:val="2F5496" w:themeColor="accent1" w:themeShade="BF"/>
      <w:spacing w:val="10"/>
    </w:rPr>
  </w:style>
  <w:style w:type="paragraph" w:styleId="5">
    <w:name w:val="heading 5"/>
    <w:basedOn w:val="a"/>
    <w:next w:val="a"/>
    <w:link w:val="50"/>
    <w:uiPriority w:val="9"/>
    <w:semiHidden/>
    <w:unhideWhenUsed/>
    <w:qFormat/>
    <w:rsid w:val="00531E47"/>
    <w:pPr>
      <w:pBdr>
        <w:bottom w:val="single" w:sz="6" w:space="1" w:color="4472C4" w:themeColor="accent1"/>
      </w:pBdr>
      <w:spacing w:before="200" w:after="0"/>
      <w:outlineLvl w:val="4"/>
    </w:pPr>
    <w:rPr>
      <w:caps/>
      <w:color w:val="2F5496" w:themeColor="accent1" w:themeShade="BF"/>
      <w:spacing w:val="10"/>
    </w:rPr>
  </w:style>
  <w:style w:type="paragraph" w:styleId="6">
    <w:name w:val="heading 6"/>
    <w:basedOn w:val="a"/>
    <w:next w:val="a"/>
    <w:link w:val="60"/>
    <w:uiPriority w:val="9"/>
    <w:semiHidden/>
    <w:unhideWhenUsed/>
    <w:qFormat/>
    <w:rsid w:val="00531E47"/>
    <w:pPr>
      <w:pBdr>
        <w:bottom w:val="dotted" w:sz="6" w:space="1" w:color="4472C4" w:themeColor="accent1"/>
      </w:pBdr>
      <w:spacing w:before="200" w:after="0"/>
      <w:outlineLvl w:val="5"/>
    </w:pPr>
    <w:rPr>
      <w:caps/>
      <w:color w:val="2F5496" w:themeColor="accent1" w:themeShade="BF"/>
      <w:spacing w:val="10"/>
    </w:rPr>
  </w:style>
  <w:style w:type="paragraph" w:styleId="7">
    <w:name w:val="heading 7"/>
    <w:basedOn w:val="a"/>
    <w:next w:val="a"/>
    <w:link w:val="70"/>
    <w:uiPriority w:val="9"/>
    <w:semiHidden/>
    <w:unhideWhenUsed/>
    <w:qFormat/>
    <w:rsid w:val="00531E47"/>
    <w:pPr>
      <w:spacing w:before="200" w:after="0"/>
      <w:outlineLvl w:val="6"/>
    </w:pPr>
    <w:rPr>
      <w:caps/>
      <w:color w:val="2F5496" w:themeColor="accent1" w:themeShade="BF"/>
      <w:spacing w:val="10"/>
    </w:rPr>
  </w:style>
  <w:style w:type="paragraph" w:styleId="8">
    <w:name w:val="heading 8"/>
    <w:basedOn w:val="a"/>
    <w:next w:val="a"/>
    <w:link w:val="80"/>
    <w:uiPriority w:val="9"/>
    <w:semiHidden/>
    <w:unhideWhenUsed/>
    <w:qFormat/>
    <w:rsid w:val="00531E47"/>
    <w:pPr>
      <w:spacing w:before="200" w:after="0"/>
      <w:outlineLvl w:val="7"/>
    </w:pPr>
    <w:rPr>
      <w:caps/>
      <w:spacing w:val="10"/>
      <w:sz w:val="18"/>
      <w:szCs w:val="18"/>
    </w:rPr>
  </w:style>
  <w:style w:type="paragraph" w:styleId="9">
    <w:name w:val="heading 9"/>
    <w:basedOn w:val="a"/>
    <w:next w:val="a"/>
    <w:link w:val="90"/>
    <w:uiPriority w:val="9"/>
    <w:semiHidden/>
    <w:unhideWhenUsed/>
    <w:qFormat/>
    <w:rsid w:val="00531E47"/>
    <w:pPr>
      <w:spacing w:before="200" w:after="0"/>
      <w:outlineLvl w:val="8"/>
    </w:pPr>
    <w:rPr>
      <w:i/>
      <w:iCs/>
      <w:caps/>
      <w:spacing w:val="10"/>
      <w:sz w:val="18"/>
      <w:szCs w:val="1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1626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1626C"/>
    <w:rPr>
      <w:sz w:val="18"/>
      <w:szCs w:val="18"/>
      <w:lang w:val="en-GB"/>
    </w:rPr>
  </w:style>
  <w:style w:type="paragraph" w:styleId="a5">
    <w:name w:val="footer"/>
    <w:basedOn w:val="a"/>
    <w:link w:val="a6"/>
    <w:uiPriority w:val="99"/>
    <w:unhideWhenUsed/>
    <w:rsid w:val="00E1626C"/>
    <w:pPr>
      <w:tabs>
        <w:tab w:val="center" w:pos="4153"/>
        <w:tab w:val="right" w:pos="8306"/>
      </w:tabs>
      <w:snapToGrid w:val="0"/>
    </w:pPr>
    <w:rPr>
      <w:sz w:val="18"/>
      <w:szCs w:val="18"/>
    </w:rPr>
  </w:style>
  <w:style w:type="character" w:customStyle="1" w:styleId="a6">
    <w:name w:val="页脚 字符"/>
    <w:basedOn w:val="a0"/>
    <w:link w:val="a5"/>
    <w:uiPriority w:val="99"/>
    <w:rsid w:val="00E1626C"/>
    <w:rPr>
      <w:sz w:val="18"/>
      <w:szCs w:val="18"/>
      <w:lang w:val="en-GB"/>
    </w:rPr>
  </w:style>
  <w:style w:type="paragraph" w:styleId="a7">
    <w:name w:val="List Paragraph"/>
    <w:basedOn w:val="a"/>
    <w:uiPriority w:val="34"/>
    <w:qFormat/>
    <w:rsid w:val="00E1626C"/>
    <w:pPr>
      <w:ind w:firstLineChars="200" w:firstLine="420"/>
    </w:pPr>
  </w:style>
  <w:style w:type="character" w:customStyle="1" w:styleId="10">
    <w:name w:val="标题 1 字符"/>
    <w:basedOn w:val="a0"/>
    <w:link w:val="1"/>
    <w:uiPriority w:val="9"/>
    <w:rsid w:val="00531E47"/>
    <w:rPr>
      <w:caps/>
      <w:color w:val="FFFFFF" w:themeColor="background1"/>
      <w:spacing w:val="15"/>
      <w:sz w:val="22"/>
      <w:szCs w:val="22"/>
      <w:shd w:val="clear" w:color="auto" w:fill="4472C4" w:themeFill="accent1"/>
    </w:rPr>
  </w:style>
  <w:style w:type="character" w:customStyle="1" w:styleId="20">
    <w:name w:val="标题 2 字符"/>
    <w:basedOn w:val="a0"/>
    <w:link w:val="2"/>
    <w:uiPriority w:val="9"/>
    <w:rsid w:val="00531E47"/>
    <w:rPr>
      <w:caps/>
      <w:spacing w:val="15"/>
      <w:shd w:val="clear" w:color="auto" w:fill="D9E2F3" w:themeFill="accent1" w:themeFillTint="33"/>
    </w:rPr>
  </w:style>
  <w:style w:type="character" w:customStyle="1" w:styleId="30">
    <w:name w:val="标题 3 字符"/>
    <w:basedOn w:val="a0"/>
    <w:link w:val="3"/>
    <w:uiPriority w:val="9"/>
    <w:semiHidden/>
    <w:rsid w:val="00531E47"/>
    <w:rPr>
      <w:caps/>
      <w:color w:val="1F3763" w:themeColor="accent1" w:themeShade="7F"/>
      <w:spacing w:val="15"/>
    </w:rPr>
  </w:style>
  <w:style w:type="character" w:customStyle="1" w:styleId="40">
    <w:name w:val="标题 4 字符"/>
    <w:basedOn w:val="a0"/>
    <w:link w:val="4"/>
    <w:uiPriority w:val="9"/>
    <w:semiHidden/>
    <w:rsid w:val="00531E47"/>
    <w:rPr>
      <w:caps/>
      <w:color w:val="2F5496" w:themeColor="accent1" w:themeShade="BF"/>
      <w:spacing w:val="10"/>
    </w:rPr>
  </w:style>
  <w:style w:type="character" w:customStyle="1" w:styleId="50">
    <w:name w:val="标题 5 字符"/>
    <w:basedOn w:val="a0"/>
    <w:link w:val="5"/>
    <w:uiPriority w:val="9"/>
    <w:semiHidden/>
    <w:rsid w:val="00531E47"/>
    <w:rPr>
      <w:caps/>
      <w:color w:val="2F5496" w:themeColor="accent1" w:themeShade="BF"/>
      <w:spacing w:val="10"/>
    </w:rPr>
  </w:style>
  <w:style w:type="character" w:customStyle="1" w:styleId="60">
    <w:name w:val="标题 6 字符"/>
    <w:basedOn w:val="a0"/>
    <w:link w:val="6"/>
    <w:uiPriority w:val="9"/>
    <w:semiHidden/>
    <w:rsid w:val="00531E47"/>
    <w:rPr>
      <w:caps/>
      <w:color w:val="2F5496" w:themeColor="accent1" w:themeShade="BF"/>
      <w:spacing w:val="10"/>
    </w:rPr>
  </w:style>
  <w:style w:type="character" w:customStyle="1" w:styleId="70">
    <w:name w:val="标题 7 字符"/>
    <w:basedOn w:val="a0"/>
    <w:link w:val="7"/>
    <w:uiPriority w:val="9"/>
    <w:semiHidden/>
    <w:rsid w:val="00531E47"/>
    <w:rPr>
      <w:caps/>
      <w:color w:val="2F5496" w:themeColor="accent1" w:themeShade="BF"/>
      <w:spacing w:val="10"/>
    </w:rPr>
  </w:style>
  <w:style w:type="character" w:customStyle="1" w:styleId="80">
    <w:name w:val="标题 8 字符"/>
    <w:basedOn w:val="a0"/>
    <w:link w:val="8"/>
    <w:uiPriority w:val="9"/>
    <w:semiHidden/>
    <w:rsid w:val="00531E47"/>
    <w:rPr>
      <w:caps/>
      <w:spacing w:val="10"/>
      <w:sz w:val="18"/>
      <w:szCs w:val="18"/>
    </w:rPr>
  </w:style>
  <w:style w:type="character" w:customStyle="1" w:styleId="90">
    <w:name w:val="标题 9 字符"/>
    <w:basedOn w:val="a0"/>
    <w:link w:val="9"/>
    <w:uiPriority w:val="9"/>
    <w:semiHidden/>
    <w:rsid w:val="00531E47"/>
    <w:rPr>
      <w:i/>
      <w:iCs/>
      <w:caps/>
      <w:spacing w:val="10"/>
      <w:sz w:val="18"/>
      <w:szCs w:val="18"/>
    </w:rPr>
  </w:style>
  <w:style w:type="paragraph" w:styleId="a8">
    <w:name w:val="caption"/>
    <w:basedOn w:val="a"/>
    <w:next w:val="a"/>
    <w:uiPriority w:val="35"/>
    <w:semiHidden/>
    <w:unhideWhenUsed/>
    <w:qFormat/>
    <w:rsid w:val="00531E47"/>
    <w:rPr>
      <w:b/>
      <w:bCs/>
      <w:color w:val="2F5496" w:themeColor="accent1" w:themeShade="BF"/>
      <w:sz w:val="16"/>
      <w:szCs w:val="16"/>
    </w:rPr>
  </w:style>
  <w:style w:type="paragraph" w:styleId="a9">
    <w:name w:val="Title"/>
    <w:basedOn w:val="a"/>
    <w:next w:val="a"/>
    <w:link w:val="aa"/>
    <w:uiPriority w:val="10"/>
    <w:qFormat/>
    <w:rsid w:val="00531E47"/>
    <w:pPr>
      <w:spacing w:before="0" w:after="0"/>
    </w:pPr>
    <w:rPr>
      <w:rFonts w:asciiTheme="majorHAnsi" w:eastAsiaTheme="majorEastAsia" w:hAnsiTheme="majorHAnsi" w:cstheme="majorBidi"/>
      <w:caps/>
      <w:color w:val="4472C4" w:themeColor="accent1"/>
      <w:spacing w:val="10"/>
      <w:sz w:val="52"/>
      <w:szCs w:val="52"/>
    </w:rPr>
  </w:style>
  <w:style w:type="character" w:customStyle="1" w:styleId="aa">
    <w:name w:val="标题 字符"/>
    <w:basedOn w:val="a0"/>
    <w:link w:val="a9"/>
    <w:uiPriority w:val="10"/>
    <w:rsid w:val="00531E47"/>
    <w:rPr>
      <w:rFonts w:asciiTheme="majorHAnsi" w:eastAsiaTheme="majorEastAsia" w:hAnsiTheme="majorHAnsi" w:cstheme="majorBidi"/>
      <w:caps/>
      <w:color w:val="4472C4" w:themeColor="accent1"/>
      <w:spacing w:val="10"/>
      <w:sz w:val="52"/>
      <w:szCs w:val="52"/>
    </w:rPr>
  </w:style>
  <w:style w:type="paragraph" w:styleId="ab">
    <w:name w:val="Subtitle"/>
    <w:basedOn w:val="a"/>
    <w:next w:val="a"/>
    <w:link w:val="ac"/>
    <w:uiPriority w:val="11"/>
    <w:qFormat/>
    <w:rsid w:val="00531E47"/>
    <w:pPr>
      <w:spacing w:before="0" w:after="500" w:line="240" w:lineRule="auto"/>
    </w:pPr>
    <w:rPr>
      <w:caps/>
      <w:color w:val="595959" w:themeColor="text1" w:themeTint="A6"/>
      <w:spacing w:val="10"/>
      <w:sz w:val="21"/>
      <w:szCs w:val="21"/>
    </w:rPr>
  </w:style>
  <w:style w:type="character" w:customStyle="1" w:styleId="ac">
    <w:name w:val="副标题 字符"/>
    <w:basedOn w:val="a0"/>
    <w:link w:val="ab"/>
    <w:uiPriority w:val="11"/>
    <w:rsid w:val="00531E47"/>
    <w:rPr>
      <w:caps/>
      <w:color w:val="595959" w:themeColor="text1" w:themeTint="A6"/>
      <w:spacing w:val="10"/>
      <w:sz w:val="21"/>
      <w:szCs w:val="21"/>
    </w:rPr>
  </w:style>
  <w:style w:type="character" w:styleId="ad">
    <w:name w:val="Strong"/>
    <w:uiPriority w:val="22"/>
    <w:qFormat/>
    <w:rsid w:val="00531E47"/>
    <w:rPr>
      <w:b/>
      <w:bCs/>
    </w:rPr>
  </w:style>
  <w:style w:type="character" w:styleId="ae">
    <w:name w:val="Emphasis"/>
    <w:uiPriority w:val="20"/>
    <w:qFormat/>
    <w:rsid w:val="00531E47"/>
    <w:rPr>
      <w:caps/>
      <w:color w:val="1F3763" w:themeColor="accent1" w:themeShade="7F"/>
      <w:spacing w:val="5"/>
    </w:rPr>
  </w:style>
  <w:style w:type="paragraph" w:styleId="af">
    <w:name w:val="No Spacing"/>
    <w:uiPriority w:val="1"/>
    <w:qFormat/>
    <w:rsid w:val="00531E47"/>
    <w:pPr>
      <w:spacing w:after="0" w:line="240" w:lineRule="auto"/>
    </w:pPr>
  </w:style>
  <w:style w:type="paragraph" w:styleId="af0">
    <w:name w:val="Quote"/>
    <w:basedOn w:val="a"/>
    <w:next w:val="a"/>
    <w:link w:val="af1"/>
    <w:uiPriority w:val="29"/>
    <w:qFormat/>
    <w:rsid w:val="00531E47"/>
    <w:rPr>
      <w:i/>
      <w:iCs/>
      <w:sz w:val="24"/>
      <w:szCs w:val="24"/>
    </w:rPr>
  </w:style>
  <w:style w:type="character" w:customStyle="1" w:styleId="af1">
    <w:name w:val="引用 字符"/>
    <w:basedOn w:val="a0"/>
    <w:link w:val="af0"/>
    <w:uiPriority w:val="29"/>
    <w:rsid w:val="00531E47"/>
    <w:rPr>
      <w:i/>
      <w:iCs/>
      <w:sz w:val="24"/>
      <w:szCs w:val="24"/>
    </w:rPr>
  </w:style>
  <w:style w:type="paragraph" w:styleId="af2">
    <w:name w:val="Intense Quote"/>
    <w:basedOn w:val="a"/>
    <w:next w:val="a"/>
    <w:link w:val="af3"/>
    <w:uiPriority w:val="30"/>
    <w:qFormat/>
    <w:rsid w:val="00531E47"/>
    <w:pPr>
      <w:spacing w:before="240" w:after="240" w:line="240" w:lineRule="auto"/>
      <w:ind w:left="1080" w:right="1080"/>
      <w:jc w:val="center"/>
    </w:pPr>
    <w:rPr>
      <w:color w:val="4472C4" w:themeColor="accent1"/>
      <w:sz w:val="24"/>
      <w:szCs w:val="24"/>
    </w:rPr>
  </w:style>
  <w:style w:type="character" w:customStyle="1" w:styleId="af3">
    <w:name w:val="明显引用 字符"/>
    <w:basedOn w:val="a0"/>
    <w:link w:val="af2"/>
    <w:uiPriority w:val="30"/>
    <w:rsid w:val="00531E47"/>
    <w:rPr>
      <w:color w:val="4472C4" w:themeColor="accent1"/>
      <w:sz w:val="24"/>
      <w:szCs w:val="24"/>
    </w:rPr>
  </w:style>
  <w:style w:type="character" w:styleId="af4">
    <w:name w:val="Subtle Emphasis"/>
    <w:uiPriority w:val="19"/>
    <w:qFormat/>
    <w:rsid w:val="00531E47"/>
    <w:rPr>
      <w:i/>
      <w:iCs/>
      <w:color w:val="1F3763" w:themeColor="accent1" w:themeShade="7F"/>
    </w:rPr>
  </w:style>
  <w:style w:type="character" w:styleId="af5">
    <w:name w:val="Intense Emphasis"/>
    <w:uiPriority w:val="21"/>
    <w:qFormat/>
    <w:rsid w:val="00531E47"/>
    <w:rPr>
      <w:b/>
      <w:bCs/>
      <w:caps/>
      <w:color w:val="1F3763" w:themeColor="accent1" w:themeShade="7F"/>
      <w:spacing w:val="10"/>
    </w:rPr>
  </w:style>
  <w:style w:type="character" w:styleId="af6">
    <w:name w:val="Subtle Reference"/>
    <w:uiPriority w:val="31"/>
    <w:qFormat/>
    <w:rsid w:val="00531E47"/>
    <w:rPr>
      <w:b/>
      <w:bCs/>
      <w:color w:val="4472C4" w:themeColor="accent1"/>
    </w:rPr>
  </w:style>
  <w:style w:type="character" w:styleId="af7">
    <w:name w:val="Intense Reference"/>
    <w:uiPriority w:val="32"/>
    <w:qFormat/>
    <w:rsid w:val="00531E47"/>
    <w:rPr>
      <w:b/>
      <w:bCs/>
      <w:i/>
      <w:iCs/>
      <w:caps/>
      <w:color w:val="4472C4" w:themeColor="accent1"/>
    </w:rPr>
  </w:style>
  <w:style w:type="character" w:styleId="af8">
    <w:name w:val="Book Title"/>
    <w:uiPriority w:val="33"/>
    <w:qFormat/>
    <w:rsid w:val="00531E47"/>
    <w:rPr>
      <w:b/>
      <w:bCs/>
      <w:i/>
      <w:iCs/>
      <w:spacing w:val="0"/>
    </w:rPr>
  </w:style>
  <w:style w:type="paragraph" w:styleId="TOC">
    <w:name w:val="TOC Heading"/>
    <w:basedOn w:val="1"/>
    <w:next w:val="a"/>
    <w:uiPriority w:val="39"/>
    <w:unhideWhenUsed/>
    <w:qFormat/>
    <w:rsid w:val="00531E47"/>
    <w:pPr>
      <w:outlineLvl w:val="9"/>
    </w:pPr>
  </w:style>
  <w:style w:type="table" w:styleId="af9">
    <w:name w:val="Table Grid"/>
    <w:basedOn w:val="a1"/>
    <w:uiPriority w:val="39"/>
    <w:rsid w:val="00531E47"/>
    <w:pPr>
      <w:spacing w:before="0"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a"/>
    <w:next w:val="a"/>
    <w:autoRedefine/>
    <w:uiPriority w:val="39"/>
    <w:unhideWhenUsed/>
    <w:rsid w:val="004626F7"/>
  </w:style>
  <w:style w:type="paragraph" w:styleId="TOC2">
    <w:name w:val="toc 2"/>
    <w:basedOn w:val="a"/>
    <w:next w:val="a"/>
    <w:autoRedefine/>
    <w:uiPriority w:val="39"/>
    <w:unhideWhenUsed/>
    <w:rsid w:val="004626F7"/>
    <w:pPr>
      <w:ind w:leftChars="200" w:left="420"/>
    </w:pPr>
  </w:style>
  <w:style w:type="character" w:styleId="afa">
    <w:name w:val="Hyperlink"/>
    <w:basedOn w:val="a0"/>
    <w:uiPriority w:val="99"/>
    <w:unhideWhenUsed/>
    <w:rsid w:val="004626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Owned and leased hotels</c:v>
                </c:pt>
              </c:strCache>
            </c:strRef>
          </c:tx>
          <c:spPr>
            <a:solidFill>
              <a:schemeClr val="tx1">
                <a:lumMod val="65000"/>
                <a:lumOff val="35000"/>
              </a:schemeClr>
            </a:solidFill>
            <a:ln>
              <a:noFill/>
            </a:ln>
          </c:spPr>
          <c:invertIfNegative val="0"/>
          <c:dLbls>
            <c:dLbl>
              <c:idx val="0"/>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0-F7EE-481B-8459-AF3BAC9531E0}"/>
                </c:ext>
              </c:extLst>
            </c:dLbl>
            <c:dLbl>
              <c:idx val="1"/>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1-F7EE-481B-8459-AF3BAC9531E0}"/>
                </c:ext>
              </c:extLst>
            </c:dLbl>
            <c:dLbl>
              <c:idx val="2"/>
              <c:numFmt formatCode="#,##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2-F7EE-481B-8459-AF3BAC9531E0}"/>
                </c:ext>
              </c:extLst>
            </c:dLbl>
            <c:dLbl>
              <c:idx val="3"/>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3-F7EE-481B-8459-AF3BAC9531E0}"/>
                </c:ext>
              </c:extLst>
            </c:dLbl>
            <c:dLbl>
              <c:idx val="4"/>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4-F7EE-481B-8459-AF3BAC9531E0}"/>
                </c:ext>
              </c:extLst>
            </c:dLbl>
            <c:dLbl>
              <c:idx val="5"/>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5-F7EE-481B-8459-AF3BAC9531E0}"/>
                </c:ext>
              </c:extLst>
            </c:dLbl>
            <c:dLbl>
              <c:idx val="6"/>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6-F7EE-481B-8459-AF3BAC9531E0}"/>
                </c:ext>
              </c:extLst>
            </c:dLbl>
            <c:dLbl>
              <c:idx val="7"/>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7-F7EE-481B-8459-AF3BAC9531E0}"/>
                </c:ext>
              </c:extLst>
            </c:dLbl>
            <c:dLbl>
              <c:idx val="8"/>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8-F7EE-481B-8459-AF3BAC9531E0}"/>
                </c:ext>
              </c:extLst>
            </c:dLbl>
            <c:dLbl>
              <c:idx val="9"/>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9-F7EE-481B-8459-AF3BAC9531E0}"/>
                </c:ext>
              </c:extLst>
            </c:dLbl>
            <c:dLbl>
              <c:idx val="10"/>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A-F7EE-481B-8459-AF3BAC9531E0}"/>
                </c:ext>
              </c:extLst>
            </c:dLbl>
            <c:dLbl>
              <c:idx val="11"/>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B-F7EE-481B-8459-AF3BAC9531E0}"/>
                </c:ext>
              </c:extLst>
            </c:dLbl>
            <c:dLbl>
              <c:idx val="12"/>
              <c:numFmt formatCode="#,##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C-F7EE-481B-8459-AF3BAC9531E0}"/>
                </c:ext>
              </c:extLst>
            </c:dLbl>
            <c:spPr>
              <a:noFill/>
              <a:ln>
                <a:noFill/>
              </a:ln>
              <a:effectLst/>
            </c:spPr>
            <c:showLegendKey val="0"/>
            <c:showVal val="1"/>
            <c:showCatName val="0"/>
            <c:showSerName val="0"/>
            <c:showPercent val="0"/>
            <c:showBubbleSize val="0"/>
            <c:showLeaderLines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15:showLeaderLines val="0"/>
              </c:ext>
            </c:extLst>
          </c:dLbls>
          <c:cat>
            <c:strRef>
              <c:f>Sheet1!$A$2:$A$14</c:f>
              <c:strCache>
                <c:ptCount val="13"/>
                <c:pt idx="0">
                  <c:v>2009</c:v>
                </c:pt>
                <c:pt idx="1">
                  <c:v>2010</c:v>
                </c:pt>
                <c:pt idx="2">
                  <c:v>2011</c:v>
                </c:pt>
                <c:pt idx="3">
                  <c:v>2012</c:v>
                </c:pt>
                <c:pt idx="4">
                  <c:v>2013</c:v>
                </c:pt>
                <c:pt idx="5">
                  <c:v>2014</c:v>
                </c:pt>
                <c:pt idx="6">
                  <c:v>2015</c:v>
                </c:pt>
                <c:pt idx="7">
                  <c:v>2016</c:v>
                </c:pt>
                <c:pt idx="8">
                  <c:v>2017*</c:v>
                </c:pt>
                <c:pt idx="9">
                  <c:v>2018</c:v>
                </c:pt>
                <c:pt idx="10">
                  <c:v>2019</c:v>
                </c:pt>
                <c:pt idx="11">
                  <c:v>2020</c:v>
                </c:pt>
                <c:pt idx="12">
                  <c:v>2021</c:v>
                </c:pt>
              </c:strCache>
            </c:strRef>
          </c:cat>
          <c:val>
            <c:numRef>
              <c:f>Sheet1!$B$2:$B$14</c:f>
              <c:numCache>
                <c:formatCode>General</c:formatCode>
                <c:ptCount val="13"/>
                <c:pt idx="0">
                  <c:v>3.54</c:v>
                </c:pt>
                <c:pt idx="1">
                  <c:v>3.67</c:v>
                </c:pt>
                <c:pt idx="2">
                  <c:v>3.9</c:v>
                </c:pt>
                <c:pt idx="3">
                  <c:v>3.98</c:v>
                </c:pt>
                <c:pt idx="4">
                  <c:v>4.05</c:v>
                </c:pt>
                <c:pt idx="5">
                  <c:v>4.24</c:v>
                </c:pt>
                <c:pt idx="6">
                  <c:v>4.2300000000000004</c:v>
                </c:pt>
                <c:pt idx="7">
                  <c:v>4.13</c:v>
                </c:pt>
                <c:pt idx="8">
                  <c:v>1.45</c:v>
                </c:pt>
                <c:pt idx="9">
                  <c:v>1.48</c:v>
                </c:pt>
                <c:pt idx="10">
                  <c:v>1.42</c:v>
                </c:pt>
                <c:pt idx="11">
                  <c:v>0.42</c:v>
                </c:pt>
                <c:pt idx="12">
                  <c:v>0.6</c:v>
                </c:pt>
              </c:numCache>
            </c:numRef>
          </c:val>
          <c:extLst>
            <c:ext xmlns:c16="http://schemas.microsoft.com/office/drawing/2014/chart" uri="{C3380CC4-5D6E-409C-BE32-E72D297353CC}">
              <c16:uniqueId val="{0000000D-F7EE-481B-8459-AF3BAC9531E0}"/>
            </c:ext>
          </c:extLst>
        </c:ser>
        <c:ser>
          <c:idx val="1"/>
          <c:order val="1"/>
          <c:tx>
            <c:strRef>
              <c:f>Sheet1!$C$1</c:f>
              <c:strCache>
                <c:ptCount val="1"/>
                <c:pt idx="0">
                  <c:v>Other revenues from managed and franchised properties</c:v>
                </c:pt>
              </c:strCache>
            </c:strRef>
          </c:tx>
          <c:spPr>
            <a:solidFill>
              <a:schemeClr val="bg1">
                <a:lumMod val="50000"/>
              </a:schemeClr>
            </a:solidFill>
            <a:ln>
              <a:noFill/>
            </a:ln>
          </c:spPr>
          <c:invertIfNegative val="0"/>
          <c:dLbls>
            <c:dLbl>
              <c:idx val="0"/>
              <c:numFmt formatCode="#,##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E-F7EE-481B-8459-AF3BAC9531E0}"/>
                </c:ext>
              </c:extLst>
            </c:dLbl>
            <c:dLbl>
              <c:idx val="1"/>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F-F7EE-481B-8459-AF3BAC9531E0}"/>
                </c:ext>
              </c:extLst>
            </c:dLbl>
            <c:dLbl>
              <c:idx val="2"/>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0-F7EE-481B-8459-AF3BAC9531E0}"/>
                </c:ext>
              </c:extLst>
            </c:dLbl>
            <c:dLbl>
              <c:idx val="3"/>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1-F7EE-481B-8459-AF3BAC9531E0}"/>
                </c:ext>
              </c:extLst>
            </c:dLbl>
            <c:dLbl>
              <c:idx val="4"/>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2-F7EE-481B-8459-AF3BAC9531E0}"/>
                </c:ext>
              </c:extLst>
            </c:dLbl>
            <c:dLbl>
              <c:idx val="5"/>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3-F7EE-481B-8459-AF3BAC9531E0}"/>
                </c:ext>
              </c:extLst>
            </c:dLbl>
            <c:dLbl>
              <c:idx val="6"/>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4-F7EE-481B-8459-AF3BAC9531E0}"/>
                </c:ext>
              </c:extLst>
            </c:dLbl>
            <c:dLbl>
              <c:idx val="7"/>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5-F7EE-481B-8459-AF3BAC9531E0}"/>
                </c:ext>
              </c:extLst>
            </c:dLbl>
            <c:dLbl>
              <c:idx val="8"/>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6-F7EE-481B-8459-AF3BAC9531E0}"/>
                </c:ext>
              </c:extLst>
            </c:dLbl>
            <c:dLbl>
              <c:idx val="9"/>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7-F7EE-481B-8459-AF3BAC9531E0}"/>
                </c:ext>
              </c:extLst>
            </c:dLbl>
            <c:dLbl>
              <c:idx val="10"/>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8-F7EE-481B-8459-AF3BAC9531E0}"/>
                </c:ext>
              </c:extLst>
            </c:dLbl>
            <c:dLbl>
              <c:idx val="11"/>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9-F7EE-481B-8459-AF3BAC9531E0}"/>
                </c:ext>
              </c:extLst>
            </c:dLbl>
            <c:dLbl>
              <c:idx val="12"/>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A-F7EE-481B-8459-AF3BAC9531E0}"/>
                </c:ext>
              </c:extLst>
            </c:dLbl>
            <c:spPr>
              <a:noFill/>
              <a:ln>
                <a:noFill/>
              </a:ln>
              <a:effectLst/>
            </c:spPr>
            <c:showLegendKey val="0"/>
            <c:showVal val="1"/>
            <c:showCatName val="0"/>
            <c:showSerName val="0"/>
            <c:showPercent val="0"/>
            <c:showBubbleSize val="0"/>
            <c:showLeaderLines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15:showLeaderLines val="0"/>
              </c:ext>
            </c:extLst>
          </c:dLbls>
          <c:cat>
            <c:strRef>
              <c:f>Sheet1!$A$2:$A$14</c:f>
              <c:strCache>
                <c:ptCount val="13"/>
                <c:pt idx="0">
                  <c:v>2009</c:v>
                </c:pt>
                <c:pt idx="1">
                  <c:v>2010</c:v>
                </c:pt>
                <c:pt idx="2">
                  <c:v>2011</c:v>
                </c:pt>
                <c:pt idx="3">
                  <c:v>2012</c:v>
                </c:pt>
                <c:pt idx="4">
                  <c:v>2013</c:v>
                </c:pt>
                <c:pt idx="5">
                  <c:v>2014</c:v>
                </c:pt>
                <c:pt idx="6">
                  <c:v>2015</c:v>
                </c:pt>
                <c:pt idx="7">
                  <c:v>2016</c:v>
                </c:pt>
                <c:pt idx="8">
                  <c:v>2017*</c:v>
                </c:pt>
                <c:pt idx="9">
                  <c:v>2018</c:v>
                </c:pt>
                <c:pt idx="10">
                  <c:v>2019</c:v>
                </c:pt>
                <c:pt idx="11">
                  <c:v>2020</c:v>
                </c:pt>
                <c:pt idx="12">
                  <c:v>2021</c:v>
                </c:pt>
              </c:strCache>
            </c:strRef>
          </c:cat>
          <c:val>
            <c:numRef>
              <c:f>Sheet1!$C$2:$C$14</c:f>
              <c:numCache>
                <c:formatCode>General</c:formatCode>
                <c:ptCount val="13"/>
                <c:pt idx="0">
                  <c:v>2.4</c:v>
                </c:pt>
                <c:pt idx="1">
                  <c:v>2.64</c:v>
                </c:pt>
                <c:pt idx="2">
                  <c:v>2.93</c:v>
                </c:pt>
                <c:pt idx="3">
                  <c:v>3.12</c:v>
                </c:pt>
                <c:pt idx="4">
                  <c:v>3.41</c:v>
                </c:pt>
                <c:pt idx="5">
                  <c:v>3.69</c:v>
                </c:pt>
                <c:pt idx="6">
                  <c:v>4.13</c:v>
                </c:pt>
                <c:pt idx="7">
                  <c:v>4.45</c:v>
                </c:pt>
                <c:pt idx="8">
                  <c:v>5.65</c:v>
                </c:pt>
                <c:pt idx="9">
                  <c:v>5.24</c:v>
                </c:pt>
                <c:pt idx="10">
                  <c:v>5.69</c:v>
                </c:pt>
                <c:pt idx="11">
                  <c:v>2.71</c:v>
                </c:pt>
                <c:pt idx="12">
                  <c:v>3.34</c:v>
                </c:pt>
              </c:numCache>
            </c:numRef>
          </c:val>
          <c:extLst>
            <c:ext xmlns:c16="http://schemas.microsoft.com/office/drawing/2014/chart" uri="{C3380CC4-5D6E-409C-BE32-E72D297353CC}">
              <c16:uniqueId val="{0000001B-F7EE-481B-8459-AF3BAC9531E0}"/>
            </c:ext>
          </c:extLst>
        </c:ser>
        <c:ser>
          <c:idx val="2"/>
          <c:order val="2"/>
          <c:tx>
            <c:strRef>
              <c:f>Sheet1!$D$1</c:f>
              <c:strCache>
                <c:ptCount val="1"/>
                <c:pt idx="0">
                  <c:v>Management and franchise fees and other</c:v>
                </c:pt>
              </c:strCache>
            </c:strRef>
          </c:tx>
          <c:spPr>
            <a:solidFill>
              <a:srgbClr val="BABABA"/>
            </a:solidFill>
            <a:ln>
              <a:solidFill>
                <a:srgbClr val="BABABA"/>
              </a:solidFill>
            </a:ln>
          </c:spPr>
          <c:invertIfNegative val="0"/>
          <c:dLbls>
            <c:dLbl>
              <c:idx val="0"/>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C-F7EE-481B-8459-AF3BAC9531E0}"/>
                </c:ext>
              </c:extLst>
            </c:dLbl>
            <c:dLbl>
              <c:idx val="1"/>
              <c:numFmt formatCode="#,##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D-F7EE-481B-8459-AF3BAC9531E0}"/>
                </c:ext>
              </c:extLst>
            </c:dLbl>
            <c:dLbl>
              <c:idx val="2"/>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E-F7EE-481B-8459-AF3BAC9531E0}"/>
                </c:ext>
              </c:extLst>
            </c:dLbl>
            <c:dLbl>
              <c:idx val="3"/>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F-F7EE-481B-8459-AF3BAC9531E0}"/>
                </c:ext>
              </c:extLst>
            </c:dLbl>
            <c:dLbl>
              <c:idx val="4"/>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0-F7EE-481B-8459-AF3BAC9531E0}"/>
                </c:ext>
              </c:extLst>
            </c:dLbl>
            <c:dLbl>
              <c:idx val="5"/>
              <c:numFmt formatCode="#,##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1-F7EE-481B-8459-AF3BAC9531E0}"/>
                </c:ext>
              </c:extLst>
            </c:dLbl>
            <c:dLbl>
              <c:idx val="6"/>
              <c:numFmt formatCode="#,##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2-F7EE-481B-8459-AF3BAC9531E0}"/>
                </c:ext>
              </c:extLst>
            </c:dLbl>
            <c:dLbl>
              <c:idx val="7"/>
              <c:numFmt formatCode="#,##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3-F7EE-481B-8459-AF3BAC9531E0}"/>
                </c:ext>
              </c:extLst>
            </c:dLbl>
            <c:dLbl>
              <c:idx val="8"/>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4-F7EE-481B-8459-AF3BAC9531E0}"/>
                </c:ext>
              </c:extLst>
            </c:dLbl>
            <c:dLbl>
              <c:idx val="9"/>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5-F7EE-481B-8459-AF3BAC9531E0}"/>
                </c:ext>
              </c:extLst>
            </c:dLbl>
            <c:dLbl>
              <c:idx val="10"/>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6-F7EE-481B-8459-AF3BAC9531E0}"/>
                </c:ext>
              </c:extLst>
            </c:dLbl>
            <c:dLbl>
              <c:idx val="11"/>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7-F7EE-481B-8459-AF3BAC9531E0}"/>
                </c:ext>
              </c:extLst>
            </c:dLbl>
            <c:dLbl>
              <c:idx val="12"/>
              <c:numFmt formatCode="#,##0.00" sourceLinked="0"/>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8-F7EE-481B-8459-AF3BAC9531E0}"/>
                </c:ext>
              </c:extLst>
            </c:dLbl>
            <c:spPr>
              <a:noFill/>
              <a:ln>
                <a:noFill/>
              </a:ln>
              <a:effectLst/>
            </c:spPr>
            <c:showLegendKey val="0"/>
            <c:showVal val="1"/>
            <c:showCatName val="0"/>
            <c:showSerName val="0"/>
            <c:showPercent val="0"/>
            <c:showBubbleSize val="0"/>
            <c:showLeaderLines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15:showLeaderLines val="0"/>
              </c:ext>
            </c:extLst>
          </c:dLbls>
          <c:cat>
            <c:strRef>
              <c:f>Sheet1!$A$2:$A$14</c:f>
              <c:strCache>
                <c:ptCount val="13"/>
                <c:pt idx="0">
                  <c:v>2009</c:v>
                </c:pt>
                <c:pt idx="1">
                  <c:v>2010</c:v>
                </c:pt>
                <c:pt idx="2">
                  <c:v>2011</c:v>
                </c:pt>
                <c:pt idx="3">
                  <c:v>2012</c:v>
                </c:pt>
                <c:pt idx="4">
                  <c:v>2013</c:v>
                </c:pt>
                <c:pt idx="5">
                  <c:v>2014</c:v>
                </c:pt>
                <c:pt idx="6">
                  <c:v>2015</c:v>
                </c:pt>
                <c:pt idx="7">
                  <c:v>2016</c:v>
                </c:pt>
                <c:pt idx="8">
                  <c:v>2017*</c:v>
                </c:pt>
                <c:pt idx="9">
                  <c:v>2018</c:v>
                </c:pt>
                <c:pt idx="10">
                  <c:v>2019</c:v>
                </c:pt>
                <c:pt idx="11">
                  <c:v>2020</c:v>
                </c:pt>
                <c:pt idx="12">
                  <c:v>2021</c:v>
                </c:pt>
              </c:strCache>
            </c:strRef>
          </c:cat>
          <c:val>
            <c:numRef>
              <c:f>Sheet1!$D$2:$D$14</c:f>
              <c:numCache>
                <c:formatCode>General</c:formatCode>
                <c:ptCount val="13"/>
                <c:pt idx="0">
                  <c:v>0.81</c:v>
                </c:pt>
                <c:pt idx="1">
                  <c:v>0.9</c:v>
                </c:pt>
                <c:pt idx="2">
                  <c:v>1.01</c:v>
                </c:pt>
                <c:pt idx="3">
                  <c:v>1.0900000000000001</c:v>
                </c:pt>
                <c:pt idx="4">
                  <c:v>1.18</c:v>
                </c:pt>
                <c:pt idx="5">
                  <c:v>1.4</c:v>
                </c:pt>
                <c:pt idx="6">
                  <c:v>1.6</c:v>
                </c:pt>
                <c:pt idx="7">
                  <c:v>1.7</c:v>
                </c:pt>
                <c:pt idx="8">
                  <c:v>2.0499999999999998</c:v>
                </c:pt>
                <c:pt idx="9">
                  <c:v>2.27</c:v>
                </c:pt>
                <c:pt idx="10">
                  <c:v>2.34</c:v>
                </c:pt>
                <c:pt idx="11">
                  <c:v>1.18</c:v>
                </c:pt>
                <c:pt idx="12">
                  <c:v>1.85</c:v>
                </c:pt>
              </c:numCache>
            </c:numRef>
          </c:val>
          <c:extLst>
            <c:ext xmlns:c16="http://schemas.microsoft.com/office/drawing/2014/chart" uri="{C3380CC4-5D6E-409C-BE32-E72D297353CC}">
              <c16:uniqueId val="{00000029-F7EE-481B-8459-AF3BAC9531E0}"/>
            </c:ext>
          </c:extLst>
        </c:ser>
        <c:ser>
          <c:idx val="3"/>
          <c:order val="3"/>
          <c:tx>
            <c:strRef>
              <c:f>Sheet1!$E$1</c:f>
              <c:strCache>
                <c:ptCount val="1"/>
                <c:pt idx="0">
                  <c:v>Timeshare</c:v>
                </c:pt>
              </c:strCache>
            </c:strRef>
          </c:tx>
          <c:spPr>
            <a:solidFill>
              <a:srgbClr val="A60B0B"/>
            </a:solidFill>
            <a:ln>
              <a:solidFill>
                <a:srgbClr val="A60B0B"/>
              </a:solidFill>
            </a:ln>
          </c:spPr>
          <c:invertIfNegative val="0"/>
          <c:dLbls>
            <c:dLbl>
              <c:idx val="0"/>
              <c:numFmt formatCode="#,##0.00" sourceLinked="0"/>
              <c:spPr>
                <a:solidFill>
                  <a:schemeClr val="bg2"/>
                </a:solidFill>
                <a:ln>
                  <a:noFill/>
                </a:ln>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A-F7EE-481B-8459-AF3BAC9531E0}"/>
                </c:ext>
              </c:extLst>
            </c:dLbl>
            <c:dLbl>
              <c:idx val="1"/>
              <c:numFmt formatCode="#,##0.00" sourceLinked="0"/>
              <c:spPr>
                <a:solidFill>
                  <a:schemeClr val="bg2"/>
                </a:solidFill>
                <a:ln>
                  <a:noFill/>
                </a:ln>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B-F7EE-481B-8459-AF3BAC9531E0}"/>
                </c:ext>
              </c:extLst>
            </c:dLbl>
            <c:dLbl>
              <c:idx val="2"/>
              <c:numFmt formatCode="#,##0.00" sourceLinked="0"/>
              <c:spPr>
                <a:solidFill>
                  <a:schemeClr val="bg2"/>
                </a:solidFill>
                <a:ln>
                  <a:noFill/>
                </a:ln>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C-F7EE-481B-8459-AF3BAC9531E0}"/>
                </c:ext>
              </c:extLst>
            </c:dLbl>
            <c:dLbl>
              <c:idx val="3"/>
              <c:numFmt formatCode="#,##0.00" sourceLinked="0"/>
              <c:spPr>
                <a:solidFill>
                  <a:schemeClr val="bg2"/>
                </a:solidFill>
                <a:ln>
                  <a:noFill/>
                </a:ln>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D-F7EE-481B-8459-AF3BAC9531E0}"/>
                </c:ext>
              </c:extLst>
            </c:dLbl>
            <c:dLbl>
              <c:idx val="4"/>
              <c:numFmt formatCode="#,##0.00" sourceLinked="0"/>
              <c:spPr>
                <a:solidFill>
                  <a:schemeClr val="bg2"/>
                </a:solidFill>
                <a:ln>
                  <a:noFill/>
                </a:ln>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E-F7EE-481B-8459-AF3BAC9531E0}"/>
                </c:ext>
              </c:extLst>
            </c:dLbl>
            <c:dLbl>
              <c:idx val="5"/>
              <c:numFmt formatCode="#,##0.00" sourceLinked="0"/>
              <c:spPr>
                <a:solidFill>
                  <a:schemeClr val="bg2"/>
                </a:solidFill>
                <a:ln>
                  <a:noFill/>
                </a:ln>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F-F7EE-481B-8459-AF3BAC9531E0}"/>
                </c:ext>
              </c:extLst>
            </c:dLbl>
            <c:dLbl>
              <c:idx val="6"/>
              <c:numFmt formatCode="#,##0.00" sourceLinked="0"/>
              <c:spPr>
                <a:solidFill>
                  <a:schemeClr val="bg2"/>
                </a:solidFill>
                <a:ln>
                  <a:noFill/>
                </a:ln>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30-F7EE-481B-8459-AF3BAC9531E0}"/>
                </c:ext>
              </c:extLst>
            </c:dLbl>
            <c:dLbl>
              <c:idx val="7"/>
              <c:numFmt formatCode="#,##0.00" sourceLinked="0"/>
              <c:spPr>
                <a:solidFill>
                  <a:schemeClr val="bg2"/>
                </a:solidFill>
                <a:ln>
                  <a:noFill/>
                </a:ln>
              </c:spPr>
              <c:txPr>
                <a:bodyPr/>
                <a:lstStyle/>
                <a:p>
                  <a:pPr>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31-F7EE-481B-8459-AF3BAC9531E0}"/>
                </c:ext>
              </c:extLst>
            </c:dLbl>
            <c:spPr>
              <a:solidFill>
                <a:schemeClr val="bg2"/>
              </a:solidFill>
              <a:ln>
                <a:noFill/>
              </a:ln>
              <a:effectLst/>
            </c:spPr>
            <c:showLegendKey val="0"/>
            <c:showVal val="1"/>
            <c:showCatName val="0"/>
            <c:showSerName val="0"/>
            <c:showPercent val="0"/>
            <c:showBubbleSize val="0"/>
            <c:showLeaderLines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15:showLeaderLines val="0"/>
              </c:ext>
            </c:extLst>
          </c:dLbls>
          <c:cat>
            <c:strRef>
              <c:f>Sheet1!$A$2:$A$14</c:f>
              <c:strCache>
                <c:ptCount val="13"/>
                <c:pt idx="0">
                  <c:v>2009</c:v>
                </c:pt>
                <c:pt idx="1">
                  <c:v>2010</c:v>
                </c:pt>
                <c:pt idx="2">
                  <c:v>2011</c:v>
                </c:pt>
                <c:pt idx="3">
                  <c:v>2012</c:v>
                </c:pt>
                <c:pt idx="4">
                  <c:v>2013</c:v>
                </c:pt>
                <c:pt idx="5">
                  <c:v>2014</c:v>
                </c:pt>
                <c:pt idx="6">
                  <c:v>2015</c:v>
                </c:pt>
                <c:pt idx="7">
                  <c:v>2016</c:v>
                </c:pt>
                <c:pt idx="8">
                  <c:v>2017*</c:v>
                </c:pt>
                <c:pt idx="9">
                  <c:v>2018</c:v>
                </c:pt>
                <c:pt idx="10">
                  <c:v>2019</c:v>
                </c:pt>
                <c:pt idx="11">
                  <c:v>2020</c:v>
                </c:pt>
                <c:pt idx="12">
                  <c:v>2021</c:v>
                </c:pt>
              </c:strCache>
            </c:strRef>
          </c:cat>
          <c:val>
            <c:numRef>
              <c:f>Sheet1!$E$2:$E$9</c:f>
              <c:numCache>
                <c:formatCode>General</c:formatCode>
                <c:ptCount val="8"/>
                <c:pt idx="0">
                  <c:v>0.83</c:v>
                </c:pt>
                <c:pt idx="1">
                  <c:v>0.86</c:v>
                </c:pt>
                <c:pt idx="2">
                  <c:v>0.94</c:v>
                </c:pt>
                <c:pt idx="3">
                  <c:v>1.0900000000000001</c:v>
                </c:pt>
                <c:pt idx="4">
                  <c:v>1.1100000000000001</c:v>
                </c:pt>
                <c:pt idx="5">
                  <c:v>1.17</c:v>
                </c:pt>
                <c:pt idx="6">
                  <c:v>1.31</c:v>
                </c:pt>
                <c:pt idx="7">
                  <c:v>1.39</c:v>
                </c:pt>
              </c:numCache>
            </c:numRef>
          </c:val>
          <c:extLst>
            <c:ext xmlns:c16="http://schemas.microsoft.com/office/drawing/2014/chart" uri="{C3380CC4-5D6E-409C-BE32-E72D297353CC}">
              <c16:uniqueId val="{00000032-F7EE-481B-8459-AF3BAC9531E0}"/>
            </c:ext>
          </c:extLst>
        </c:ser>
        <c:dLbls>
          <c:showLegendKey val="0"/>
          <c:showVal val="0"/>
          <c:showCatName val="0"/>
          <c:showSerName val="0"/>
          <c:showPercent val="0"/>
          <c:showBubbleSize val="0"/>
        </c:dLbls>
        <c:gapWidth val="80"/>
        <c:overlap val="100"/>
        <c:axId val="67451136"/>
        <c:axId val="66437120"/>
      </c:barChart>
      <c:catAx>
        <c:axId val="67451136"/>
        <c:scaling>
          <c:orientation val="minMax"/>
        </c:scaling>
        <c:delete val="0"/>
        <c:axPos val="b"/>
        <c:numFmt formatCode="General" sourceLinked="0"/>
        <c:majorTickMark val="none"/>
        <c:minorTickMark val="none"/>
        <c:tickLblPos val="low"/>
        <c:spPr>
          <a:ln w="25400">
            <a:solidFill>
              <a:srgbClr val="000000"/>
            </a:solidFill>
          </a:ln>
        </c:spPr>
        <c:crossAx val="66437120"/>
        <c:crosses val="autoZero"/>
        <c:auto val="0"/>
        <c:lblAlgn val="ctr"/>
        <c:lblOffset val="100"/>
        <c:noMultiLvlLbl val="0"/>
      </c:catAx>
      <c:valAx>
        <c:axId val="66437120"/>
        <c:scaling>
          <c:orientation val="minMax"/>
          <c:min val="0"/>
        </c:scaling>
        <c:delete val="0"/>
        <c:axPos val="l"/>
        <c:majorGridlines>
          <c:spPr>
            <a:ln w="9525">
              <a:solidFill>
                <a:srgbClr val="2F2F2F"/>
              </a:solidFill>
              <a:prstDash val="dot"/>
            </a:ln>
          </c:spPr>
        </c:majorGridlines>
        <c:title>
          <c:tx>
            <c:rich>
              <a:bodyPr/>
              <a:lstStyle/>
              <a:p>
                <a:pPr>
                  <a:defRPr/>
                </a:pPr>
                <a:r>
                  <a:rPr lang="en-US"/>
                  <a:t>Revenue in billion U.S. dollars</a:t>
                </a:r>
              </a:p>
            </c:rich>
          </c:tx>
          <c:overlay val="0"/>
        </c:title>
        <c:numFmt formatCode="#,##0" sourceLinked="0"/>
        <c:majorTickMark val="none"/>
        <c:minorTickMark val="none"/>
        <c:tickLblPos val="low"/>
        <c:spPr>
          <a:ln>
            <a:noFill/>
          </a:ln>
        </c:spPr>
        <c:crossAx val="67451136"/>
        <c:crosses val="autoZero"/>
        <c:crossBetween val="between"/>
      </c:valAx>
    </c:plotArea>
    <c:legend>
      <c:legendPos val="t"/>
      <c:overlay val="0"/>
    </c:legend>
    <c:plotVisOnly val="1"/>
    <c:dispBlanksAs val="gap"/>
    <c:showDLblsOverMax val="1"/>
  </c:chart>
  <c:txPr>
    <a:bodyPr/>
    <a:lstStyle/>
    <a:p>
      <a:pPr>
        <a:defRPr sz="700" smtId="4294967295"/>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Column1</c:v>
                </c:pt>
              </c:strCache>
            </c:strRef>
          </c:tx>
          <c:spPr>
            <a:solidFill>
              <a:schemeClr val="tx1">
                <a:lumMod val="50000"/>
                <a:lumOff val="50000"/>
              </a:schemeClr>
            </a:solidFill>
            <a:ln>
              <a:solidFill>
                <a:schemeClr val="bg1"/>
              </a:solidFill>
            </a:ln>
          </c:spPr>
          <c:invertIfNegative val="0"/>
          <c:dLbls>
            <c:dLbl>
              <c:idx val="0"/>
              <c:numFmt formatCode="#,##0.0%" sourceLinked="0"/>
              <c:spPr/>
              <c:txPr>
                <a:bodyPr/>
                <a:lstStyle/>
                <a:p>
                  <a:pPr>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0-03FE-466B-B56A-92A6B858917A}"/>
                </c:ext>
              </c:extLst>
            </c:dLbl>
            <c:dLbl>
              <c:idx val="1"/>
              <c:numFmt formatCode="#,##0.0%" sourceLinked="0"/>
              <c:spPr/>
              <c:txPr>
                <a:bodyPr/>
                <a:lstStyle/>
                <a:p>
                  <a:pPr>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1-03FE-466B-B56A-92A6B858917A}"/>
                </c:ext>
              </c:extLst>
            </c:dLbl>
            <c:dLbl>
              <c:idx val="2"/>
              <c:numFmt formatCode="#,##0.0%" sourceLinked="0"/>
              <c:spPr/>
              <c:txPr>
                <a:bodyPr/>
                <a:lstStyle/>
                <a:p>
                  <a:pPr>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2-03FE-466B-B56A-92A6B858917A}"/>
                </c:ext>
              </c:extLst>
            </c:dLbl>
            <c:dLbl>
              <c:idx val="3"/>
              <c:numFmt formatCode="#,##0.0%" sourceLinked="0"/>
              <c:spPr/>
              <c:txPr>
                <a:bodyPr/>
                <a:lstStyle/>
                <a:p>
                  <a:pPr>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3-03FE-466B-B56A-92A6B858917A}"/>
                </c:ext>
              </c:extLst>
            </c:dLbl>
            <c:dLbl>
              <c:idx val="4"/>
              <c:numFmt formatCode="#,##0%" sourceLinked="0"/>
              <c:spPr/>
              <c:txPr>
                <a:bodyPr/>
                <a:lstStyle/>
                <a:p>
                  <a:pPr>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4-03FE-466B-B56A-92A6B858917A}"/>
                </c:ext>
              </c:extLst>
            </c:dLbl>
            <c:dLbl>
              <c:idx val="5"/>
              <c:numFmt formatCode="#,##0.0%" sourceLinked="0"/>
              <c:spPr/>
              <c:txPr>
                <a:bodyPr/>
                <a:lstStyle/>
                <a:p>
                  <a:pPr>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5-03FE-466B-B56A-92A6B858917A}"/>
                </c:ext>
              </c:extLst>
            </c:dLbl>
            <c:dLbl>
              <c:idx val="6"/>
              <c:numFmt formatCode="#,##0.0%" sourceLinked="0"/>
              <c:spPr/>
              <c:txPr>
                <a:bodyPr/>
                <a:lstStyle/>
                <a:p>
                  <a:pPr>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6-03FE-466B-B56A-92A6B858917A}"/>
                </c:ext>
              </c:extLst>
            </c:dLbl>
            <c:dLbl>
              <c:idx val="7"/>
              <c:numFmt formatCode="#,##0.0%" sourceLinked="0"/>
              <c:spPr/>
              <c:txPr>
                <a:bodyPr/>
                <a:lstStyle/>
                <a:p>
                  <a:pPr>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7-03FE-466B-B56A-92A6B858917A}"/>
                </c:ext>
              </c:extLst>
            </c:dLbl>
            <c:dLbl>
              <c:idx val="8"/>
              <c:numFmt formatCode="#,##0.0%" sourceLinked="0"/>
              <c:spPr/>
              <c:txPr>
                <a:bodyPr/>
                <a:lstStyle/>
                <a:p>
                  <a:pPr>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8-03FE-466B-B56A-92A6B858917A}"/>
                </c:ext>
              </c:extLst>
            </c:dLbl>
            <c:dLbl>
              <c:idx val="9"/>
              <c:numFmt formatCode="#,##0.0%" sourceLinked="0"/>
              <c:spPr/>
              <c:txPr>
                <a:bodyPr/>
                <a:lstStyle/>
                <a:p>
                  <a:pPr>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9-03FE-466B-B56A-92A6B858917A}"/>
                </c:ext>
              </c:extLst>
            </c:dLbl>
            <c:spPr>
              <a:noFill/>
              <a:ln>
                <a:noFill/>
              </a:ln>
              <a:effectLst/>
            </c:spPr>
            <c:showLegendKey val="0"/>
            <c:showVal val="1"/>
            <c:showCatName val="0"/>
            <c:showSerName val="0"/>
            <c:showPercent val="0"/>
            <c:showBubbleSize val="0"/>
            <c:showLeaderLines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15:showLeaderLines val="0"/>
              </c:ext>
            </c:extLst>
          </c:dLbls>
          <c:cat>
            <c:strRef>
              <c:f>Sheet1!$A$2:$A$11</c:f>
              <c:strCache>
                <c:ptCount val="10"/>
                <c:pt idx="0">
                  <c:v>2012</c:v>
                </c:pt>
                <c:pt idx="1">
                  <c:v>2013</c:v>
                </c:pt>
                <c:pt idx="2">
                  <c:v>2014</c:v>
                </c:pt>
                <c:pt idx="3">
                  <c:v>2015</c:v>
                </c:pt>
                <c:pt idx="4">
                  <c:v>2016</c:v>
                </c:pt>
                <c:pt idx="5">
                  <c:v>2017*</c:v>
                </c:pt>
                <c:pt idx="6">
                  <c:v>2018</c:v>
                </c:pt>
                <c:pt idx="7">
                  <c:v>2019</c:v>
                </c:pt>
                <c:pt idx="8">
                  <c:v>2020</c:v>
                </c:pt>
                <c:pt idx="9">
                  <c:v>2021</c:v>
                </c:pt>
              </c:strCache>
            </c:strRef>
          </c:cat>
          <c:val>
            <c:numRef>
              <c:f>Sheet1!$B$2:$B$11</c:f>
              <c:numCache>
                <c:formatCode>General</c:formatCode>
                <c:ptCount val="10"/>
                <c:pt idx="0">
                  <c:v>0.71099999999999997</c:v>
                </c:pt>
                <c:pt idx="1">
                  <c:v>0.72299999999999998</c:v>
                </c:pt>
                <c:pt idx="2">
                  <c:v>0.746</c:v>
                </c:pt>
                <c:pt idx="3">
                  <c:v>0.754</c:v>
                </c:pt>
                <c:pt idx="4">
                  <c:v>0.75</c:v>
                </c:pt>
                <c:pt idx="5">
                  <c:v>0.755</c:v>
                </c:pt>
                <c:pt idx="6">
                  <c:v>0.75800000000000001</c:v>
                </c:pt>
                <c:pt idx="7">
                  <c:v>0.75700000000000001</c:v>
                </c:pt>
                <c:pt idx="8">
                  <c:v>0.40300000000000002</c:v>
                </c:pt>
                <c:pt idx="9">
                  <c:v>0.57199999999999995</c:v>
                </c:pt>
              </c:numCache>
            </c:numRef>
          </c:val>
          <c:extLst>
            <c:ext xmlns:c16="http://schemas.microsoft.com/office/drawing/2014/chart" uri="{C3380CC4-5D6E-409C-BE32-E72D297353CC}">
              <c16:uniqueId val="{0000000A-03FE-466B-B56A-92A6B858917A}"/>
            </c:ext>
          </c:extLst>
        </c:ser>
        <c:dLbls>
          <c:showLegendKey val="0"/>
          <c:showVal val="0"/>
          <c:showCatName val="0"/>
          <c:showSerName val="0"/>
          <c:showPercent val="0"/>
          <c:showBubbleSize val="0"/>
        </c:dLbls>
        <c:gapWidth val="80"/>
        <c:overlap val="-30"/>
        <c:axId val="67451136"/>
        <c:axId val="66437120"/>
      </c:barChart>
      <c:catAx>
        <c:axId val="67451136"/>
        <c:scaling>
          <c:orientation val="minMax"/>
        </c:scaling>
        <c:delete val="0"/>
        <c:axPos val="b"/>
        <c:numFmt formatCode="General" sourceLinked="0"/>
        <c:majorTickMark val="none"/>
        <c:minorTickMark val="none"/>
        <c:tickLblPos val="low"/>
        <c:spPr>
          <a:ln w="25400">
            <a:solidFill>
              <a:srgbClr val="000000"/>
            </a:solidFill>
          </a:ln>
        </c:spPr>
        <c:crossAx val="66437120"/>
        <c:crosses val="autoZero"/>
        <c:auto val="0"/>
        <c:lblAlgn val="ctr"/>
        <c:lblOffset val="100"/>
        <c:noMultiLvlLbl val="0"/>
      </c:catAx>
      <c:valAx>
        <c:axId val="66437120"/>
        <c:scaling>
          <c:orientation val="minMax"/>
          <c:min val="0"/>
        </c:scaling>
        <c:delete val="0"/>
        <c:axPos val="l"/>
        <c:majorGridlines>
          <c:spPr>
            <a:ln w="9525">
              <a:solidFill>
                <a:srgbClr val="2F2F2F"/>
              </a:solidFill>
              <a:prstDash val="dot"/>
            </a:ln>
          </c:spPr>
        </c:majorGridlines>
        <c:title>
          <c:tx>
            <c:rich>
              <a:bodyPr/>
              <a:lstStyle/>
              <a:p>
                <a:pPr>
                  <a:defRPr/>
                </a:pPr>
                <a:r>
                  <a:rPr lang="en-US"/>
                  <a:t>Occupancy rate</a:t>
                </a:r>
              </a:p>
            </c:rich>
          </c:tx>
          <c:overlay val="0"/>
        </c:title>
        <c:numFmt formatCode="#,##0%" sourceLinked="0"/>
        <c:majorTickMark val="none"/>
        <c:minorTickMark val="none"/>
        <c:tickLblPos val="low"/>
        <c:spPr>
          <a:ln>
            <a:noFill/>
          </a:ln>
        </c:spPr>
        <c:crossAx val="67451136"/>
        <c:crosses val="autoZero"/>
        <c:crossBetween val="between"/>
      </c:valAx>
    </c:plotArea>
    <c:plotVisOnly val="1"/>
    <c:dispBlanksAs val="gap"/>
    <c:showDLblsOverMax val="1"/>
  </c:chart>
  <c:txPr>
    <a:bodyPr/>
    <a:lstStyle/>
    <a:p>
      <a:pPr>
        <a:defRPr sz="700" smtId="4294967295"/>
      </a:pPr>
      <a:endParaRPr lang="en-US"/>
    </a:p>
  </c:txPr>
  <c:externalData r:id="rId1">
    <c:autoUpdate val="0"/>
  </c:externalData>
</c:chartSpac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8861</Words>
  <Characters>50510</Characters>
  <Application>Microsoft Office Word</Application>
  <DocSecurity>0</DocSecurity>
  <Lines>420</Lines>
  <Paragraphs>118</Paragraphs>
  <ScaleCrop>false</ScaleCrop>
  <Company/>
  <LinksUpToDate>false</LinksUpToDate>
  <CharactersWithSpaces>59253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admin</dc:creator>
  <cp:keywords/>
  <dc:description/>
  <cp:lastModifiedBy>W BT</cp:lastModifiedBy>
  <cp:revision>11</cp:revision>
  <dcterms:created xsi:type="dcterms:W3CDTF">2022-04-29T11:45:00Z</dcterms:created>
  <dcterms:modified xsi:type="dcterms:W3CDTF">2022-05-01T12:12:00Z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dc7538be-bcd6-3be4-b1f3-3329b185610b</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7th edition</vt:lpwstr>
  </property>
  <property fmtid="{D5CDD505-2E9C-101B-9397-08002B2CF9AE}" pid="7" name="Mendeley Recent Style Id 1_1">
    <vt:lpwstr>http://www.zotero.org/styles/american-sociological-association</vt:lpwstr>
  </property>
  <property fmtid="{D5CDD505-2E9C-101B-9397-08002B2CF9AE}" pid="8" name="Mendeley Recent Style Name 1_1">
    <vt:lpwstr>American Sociological Association</vt:lpwstr>
  </property>
  <property fmtid="{D5CDD505-2E9C-101B-9397-08002B2CF9AE}" pid="9" name="Mendeley Recent Style Id 2_1">
    <vt:lpwstr>http://www.zotero.org/styles/chicago-author-date</vt:lpwstr>
  </property>
  <property fmtid="{D5CDD505-2E9C-101B-9397-08002B2CF9AE}" pid="10" name="Mendeley Recent Style Name 2_1">
    <vt:lpwstr>Chicago Manual of Style 17th edition (author-date)</vt:lpwstr>
  </property>
  <property fmtid="{D5CDD505-2E9C-101B-9397-08002B2CF9AE}" pid="11" name="Mendeley Recent Style Id 3_1">
    <vt:lpwstr>http://www.zotero.org/styles/chicago-fullnote-bibliography</vt:lpwstr>
  </property>
  <property fmtid="{D5CDD505-2E9C-101B-9397-08002B2CF9AE}" pid="12" name="Mendeley Recent Style Name 3_1">
    <vt:lpwstr>Chicago Manual of Style 17th edition (full note)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http://www.zotero.org/styles/harvard-coventry-university</vt:lpwstr>
  </property>
  <property fmtid="{D5CDD505-2E9C-101B-9397-08002B2CF9AE}" pid="16" name="Mendeley Recent Style Name 5_1">
    <vt:lpwstr>Coventry University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http://www.zotero.org/styles/harvard-university-of-leeds</vt:lpwstr>
  </property>
  <property fmtid="{D5CDD505-2E9C-101B-9397-08002B2CF9AE}" pid="22" name="Mendeley Recent Style Name 8_1">
    <vt:lpwstr>University of Leeds - Harvard</vt:lpwstr>
  </property>
  <property fmtid="{D5CDD505-2E9C-101B-9397-08002B2CF9AE}" pid="23" name="Mendeley Recent Style Id 9_1">
    <vt:lpwstr>http://www.zotero.org/styles/harvard-university-of-westminster</vt:lpwstr>
  </property>
  <property fmtid="{D5CDD505-2E9C-101B-9397-08002B2CF9AE}" pid="24" name="Mendeley Recent Style Name 9_1">
    <vt:lpwstr>University of Westminster - Harvard</vt:lpwstr>
  </property>
</Properties>
</file>