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96155" w14:textId="16548A88" w:rsidR="007334BA" w:rsidRPr="007334BA" w:rsidRDefault="007334BA" w:rsidP="002C48C2">
      <w:pPr>
        <w:spacing w:line="360" w:lineRule="auto"/>
        <w:jc w:val="center"/>
        <w:rPr>
          <w:rFonts w:ascii="Arial" w:hAnsi="Arial" w:cs="Arial"/>
        </w:rPr>
      </w:pPr>
      <w:r w:rsidRPr="007334BA">
        <w:rPr>
          <w:rFonts w:ascii="Arial" w:hAnsi="Arial" w:cs="Arial"/>
          <w:b/>
          <w:bCs/>
        </w:rPr>
        <w:t>A critical evaluation and the identification of next teaching and learning steps focusing on a case study of an individual learner or a group of learners, based on an observed critical incident.</w:t>
      </w:r>
      <w:r w:rsidR="004B417D">
        <w:rPr>
          <w:rFonts w:ascii="Arial" w:hAnsi="Arial" w:cs="Arial"/>
          <w:b/>
          <w:bCs/>
        </w:rPr>
        <w:t xml:space="preserve"> (3999)</w:t>
      </w:r>
    </w:p>
    <w:p w14:paraId="27B7DD76" w14:textId="743B8178" w:rsidR="007334BA" w:rsidRPr="007334BA" w:rsidRDefault="007334BA" w:rsidP="002C48C2">
      <w:pPr>
        <w:spacing w:line="360" w:lineRule="auto"/>
        <w:jc w:val="center"/>
        <w:rPr>
          <w:rFonts w:ascii="Arial" w:hAnsi="Arial" w:cs="Arial"/>
        </w:rPr>
      </w:pPr>
    </w:p>
    <w:p w14:paraId="53B7BAB4" w14:textId="77777777" w:rsidR="007334BA" w:rsidRPr="007334BA" w:rsidRDefault="007334BA" w:rsidP="002C48C2">
      <w:pPr>
        <w:spacing w:line="360" w:lineRule="auto"/>
        <w:rPr>
          <w:rFonts w:ascii="Arial" w:hAnsi="Arial" w:cs="Arial"/>
        </w:rPr>
      </w:pPr>
      <w:r w:rsidRPr="007334BA">
        <w:rPr>
          <w:rFonts w:ascii="Arial" w:hAnsi="Arial" w:cs="Arial"/>
          <w:b/>
          <w:bCs/>
          <w:u w:val="single"/>
        </w:rPr>
        <w:t>Introduction</w:t>
      </w:r>
      <w:r w:rsidRPr="007334BA">
        <w:rPr>
          <w:rFonts w:ascii="Arial" w:hAnsi="Arial" w:cs="Arial"/>
        </w:rPr>
        <w:t> </w:t>
      </w:r>
    </w:p>
    <w:p w14:paraId="4A826621" w14:textId="77777777" w:rsidR="007334BA" w:rsidRPr="007334BA" w:rsidRDefault="007334BA" w:rsidP="002C48C2">
      <w:pPr>
        <w:spacing w:line="360" w:lineRule="auto"/>
        <w:rPr>
          <w:rFonts w:ascii="Arial" w:hAnsi="Arial" w:cs="Arial"/>
        </w:rPr>
      </w:pPr>
      <w:r w:rsidRPr="007334BA">
        <w:rPr>
          <w:rFonts w:ascii="Arial" w:hAnsi="Arial" w:cs="Arial"/>
        </w:rPr>
        <w:t>Analysis of critical incidents is an approach to teacher professional development. Teachers' reflections on critical incidents (CIs) in the classroom have been used successfully to promote teachers' knowledge of teaching and expose new understandings (Badia et al., 2021). The following assignment will consist of a critical evaluation of an observed incident within a classroom setting. According to Brookfield a critical incident in the context of education is any “vividly remembered event which is unplanned and unanticipated” (Brookfield, 1990, p. 84). Likewise, Tripp’s (1993) approach to learning through what he calls "critical incidents" arises from observations of what happens in classrooms. A critical incident does not have to be a serious or dangerous event; rather, the term "critical" should be interpreted as relevant or significant. To consider something a critical incident is a valued judgement we make, and the basis for that decision is the significance we place on the incident's meaning (Tripp,2011; p.8). An incident may initially appear to be typical rather than critical, but analysis is ultimately what makes it critical (Tripp, 2011, p.25). </w:t>
      </w:r>
    </w:p>
    <w:p w14:paraId="0794D88F" w14:textId="77777777" w:rsidR="007334BA" w:rsidRPr="007334BA" w:rsidRDefault="007334BA" w:rsidP="002C48C2">
      <w:pPr>
        <w:spacing w:line="360" w:lineRule="auto"/>
        <w:rPr>
          <w:rFonts w:ascii="Arial" w:hAnsi="Arial" w:cs="Arial"/>
        </w:rPr>
      </w:pPr>
      <w:r w:rsidRPr="007334BA">
        <w:rPr>
          <w:rFonts w:ascii="Arial" w:hAnsi="Arial" w:cs="Arial"/>
        </w:rPr>
        <w:t>Tripp (2011, p.25) divides the process of forming and evaluating a CI into two main stages and several steps; First, the researcher observes and notes a phenomenon in a classroom setting that has the potential to become a CI. The second stage entails determining why the CI occurred; teachers/researchers can accomplish this by connecting the incident to credible, academic theory (Tripp, 2011, pp.25-26). As a result of the analysis, teachers can implement a plan of action into their teaching practices. Tripp (2011) contends that teachers develop more from reflecting on these everyday experiences than if they were to pass without consideration. Reflective practice is a key competency in teaching and learning. </w:t>
      </w:r>
    </w:p>
    <w:p w14:paraId="11715D85" w14:textId="77777777" w:rsidR="00E36435" w:rsidRDefault="007334BA" w:rsidP="002C48C2">
      <w:pPr>
        <w:spacing w:line="360" w:lineRule="auto"/>
        <w:rPr>
          <w:rFonts w:ascii="Arial" w:hAnsi="Arial" w:cs="Arial"/>
        </w:rPr>
      </w:pPr>
      <w:r w:rsidRPr="007334BA">
        <w:rPr>
          <w:rFonts w:ascii="Arial" w:hAnsi="Arial" w:cs="Arial"/>
        </w:rPr>
        <w:t xml:space="preserve">This essay will include a detailed analysis, evaluation, and reflection on a CI that occurred during a professional teaching experience. The CI in question is classroom disengagement and its impact on learning. The observation stage required watching a video of a recorded classroom lesson in the immersive room, and identifying potential critical incidents, as demonstrated in the appendices section.  The section that follows will outline theoretical concepts related to reflective practice and how they relate to the teaching profession. An in-depth description of the case study, emphasizing the classroom context and CI. Following, the literature review will then aim to highlight some key areas to better understand the significance of the incident in question. Reflective practice in the classroom is critical for </w:t>
      </w:r>
      <w:r w:rsidRPr="007334BA">
        <w:rPr>
          <w:rFonts w:ascii="Arial" w:hAnsi="Arial" w:cs="Arial"/>
        </w:rPr>
        <w:lastRenderedPageBreak/>
        <w:t>determining next steps for future teaching and learning methods. The main purpose of analysing a CI is to identify effective practices of teaching, a teacher can implement to develop professionally. Moreover, it also aims to pinpoint the ineffective practices (Joshi, 2018).  </w:t>
      </w:r>
    </w:p>
    <w:p w14:paraId="0101C6EA" w14:textId="77777777" w:rsidR="00E36435" w:rsidRDefault="00E36435" w:rsidP="002C48C2">
      <w:pPr>
        <w:spacing w:line="360" w:lineRule="auto"/>
        <w:rPr>
          <w:rFonts w:ascii="Arial" w:hAnsi="Arial" w:cs="Arial"/>
        </w:rPr>
      </w:pPr>
    </w:p>
    <w:p w14:paraId="05041031" w14:textId="127AF0B7" w:rsidR="007334BA" w:rsidRPr="007334BA" w:rsidRDefault="007334BA" w:rsidP="002C48C2">
      <w:pPr>
        <w:spacing w:line="360" w:lineRule="auto"/>
        <w:rPr>
          <w:rFonts w:ascii="Arial" w:hAnsi="Arial" w:cs="Arial"/>
        </w:rPr>
      </w:pPr>
      <w:r w:rsidRPr="007334BA">
        <w:rPr>
          <w:rFonts w:ascii="Arial" w:hAnsi="Arial" w:cs="Arial"/>
          <w:b/>
          <w:bCs/>
          <w:u w:val="single"/>
        </w:rPr>
        <w:t>Role of critical reflection</w:t>
      </w:r>
      <w:r w:rsidRPr="007334BA">
        <w:rPr>
          <w:rFonts w:ascii="Arial" w:hAnsi="Arial" w:cs="Arial"/>
        </w:rPr>
        <w:t> </w:t>
      </w:r>
    </w:p>
    <w:p w14:paraId="07EDC94C" w14:textId="77777777" w:rsidR="007334BA" w:rsidRPr="007334BA" w:rsidRDefault="007334BA" w:rsidP="002C48C2">
      <w:pPr>
        <w:spacing w:line="360" w:lineRule="auto"/>
        <w:rPr>
          <w:rFonts w:ascii="Arial" w:hAnsi="Arial" w:cs="Arial"/>
        </w:rPr>
      </w:pPr>
      <w:r w:rsidRPr="007334BA">
        <w:rPr>
          <w:rFonts w:ascii="Arial" w:hAnsi="Arial" w:cs="Arial"/>
        </w:rPr>
        <w:t>Reflective practice can provide important insights into how personal beliefs and life experiences act as a lens or filter for framing and understanding past experiences (Geng et al., 2019). The concept of CIs in teaching practice originates from John Dewey's belief that teachers' learning, and advancement should be viewed as a cycle of experience and reflection. Reflective practice is a process of self-examination and self-evaluation that effective educators undertake regularly to improve their professional practices (</w:t>
      </w:r>
      <w:proofErr w:type="spellStart"/>
      <w:r w:rsidRPr="007334BA">
        <w:rPr>
          <w:rFonts w:ascii="Arial" w:hAnsi="Arial" w:cs="Arial"/>
        </w:rPr>
        <w:t>Shandomo</w:t>
      </w:r>
      <w:proofErr w:type="spellEnd"/>
      <w:r w:rsidRPr="007334BA">
        <w:rPr>
          <w:rFonts w:ascii="Arial" w:hAnsi="Arial" w:cs="Arial"/>
        </w:rPr>
        <w:t>, 2010, p. 103). Likewise, Finlay (2008) states reflective practice is learning from experience to develop new insights of self and practice. Reflection is a systematic reviewing process for all teachers that allows you to make connections from one experience to the next, ensuring your students make maximum progress. Brookfield (2004) argues that teachers incur a continual risk of making poor decisions and judgements without reflection. This can be further supported by Valli (1992), who asserted that the capacity for transformation is confined to individuals who lack reflection. </w:t>
      </w:r>
    </w:p>
    <w:p w14:paraId="48502381" w14:textId="77777777" w:rsidR="007334BA" w:rsidRPr="007334BA" w:rsidRDefault="007334BA" w:rsidP="002C48C2">
      <w:pPr>
        <w:spacing w:line="360" w:lineRule="auto"/>
        <w:rPr>
          <w:rFonts w:ascii="Arial" w:hAnsi="Arial" w:cs="Arial"/>
        </w:rPr>
      </w:pPr>
      <w:r w:rsidRPr="007334BA">
        <w:rPr>
          <w:rFonts w:ascii="Arial" w:hAnsi="Arial" w:cs="Arial"/>
        </w:rPr>
        <w:t>Tripp, Dewey, and Schön emphasised the importance of reflecting on significant events in professional practice, for the development of professional judgement (</w:t>
      </w:r>
      <w:proofErr w:type="spellStart"/>
      <w:r w:rsidRPr="007334BA">
        <w:rPr>
          <w:rFonts w:ascii="Arial" w:hAnsi="Arial" w:cs="Arial"/>
        </w:rPr>
        <w:t>Bruster</w:t>
      </w:r>
      <w:proofErr w:type="spellEnd"/>
      <w:r w:rsidRPr="007334BA">
        <w:rPr>
          <w:rFonts w:ascii="Arial" w:hAnsi="Arial" w:cs="Arial"/>
        </w:rPr>
        <w:t xml:space="preserve"> and Peterson, 2013). John Dewey (1933) emphasised reflective thought as a crucial part of a cycle that allowed individuals to learn from experience. Dewey stated that teachers should create and implement lessons based on their observations of others and their own experiences. Similarly, to Dewey, </w:t>
      </w:r>
      <w:proofErr w:type="spellStart"/>
      <w:r w:rsidRPr="007334BA">
        <w:rPr>
          <w:rFonts w:ascii="Arial" w:hAnsi="Arial" w:cs="Arial"/>
        </w:rPr>
        <w:t>Schön’s</w:t>
      </w:r>
      <w:proofErr w:type="spellEnd"/>
      <w:r w:rsidRPr="007334BA">
        <w:rPr>
          <w:rFonts w:ascii="Arial" w:hAnsi="Arial" w:cs="Arial"/>
        </w:rPr>
        <w:t xml:space="preserve"> (1983) approach to reflection distinguishes between reflection-in-action and reflection-on-action (Cambridge Assessment International Education,2014). Suggesting that "reflecting-in-action," professionals reflect on unexpected experiences and conduct "experiments" that result in a new understanding of the experience (Finlay, 2008). This method of reflective practice would be carried out during a lesson therefore the incident is dealt with in the learning environment by experimenting.  Reflection-on-action involves reflecting on how practice can be developed after the lesson has been taught (Finlay, 2008; </w:t>
      </w:r>
      <w:proofErr w:type="spellStart"/>
      <w:r w:rsidRPr="007334BA">
        <w:rPr>
          <w:rFonts w:ascii="Arial" w:hAnsi="Arial" w:cs="Arial"/>
        </w:rPr>
        <w:t>Schön</w:t>
      </w:r>
      <w:proofErr w:type="spellEnd"/>
      <w:r w:rsidRPr="007334BA">
        <w:rPr>
          <w:rFonts w:ascii="Arial" w:hAnsi="Arial" w:cs="Arial"/>
        </w:rPr>
        <w:t xml:space="preserve">, 2016). Several theorists have developed critical reflection models that teachers can use which all share the same objective; to maximize learning outcomes for both the teacher and the students. Kolb’s Learning cycle (1984) consists of a four-stage reflective model that aims to conclude ideas from an experience and educational research to help us improve. </w:t>
      </w:r>
      <w:r w:rsidRPr="007334BA">
        <w:rPr>
          <w:rFonts w:ascii="Arial" w:hAnsi="Arial" w:cs="Arial"/>
        </w:rPr>
        <w:lastRenderedPageBreak/>
        <w:t>Similarly, to Kolb, Gibbs’s reflective cycle (1998) is based on a six-stage approach to help individuals reflect after the experience. However, this model is broken down further to encourage the teacher to reflect on their thoughts and feelings to improve (Cambridge Assessment International Education ,2014). Using this method of reflection in teaching practice allows educators to develop a diagnostic approach to recognising, understanding, and explaining the justifications of professional practice by utilising academic theory and profession-specific knowledge (Tripp, 2011). </w:t>
      </w:r>
    </w:p>
    <w:p w14:paraId="456EDCDC" w14:textId="77777777" w:rsidR="007334BA" w:rsidRDefault="007334BA" w:rsidP="002C48C2">
      <w:pPr>
        <w:spacing w:line="360" w:lineRule="auto"/>
        <w:rPr>
          <w:rFonts w:ascii="Arial" w:hAnsi="Arial" w:cs="Arial"/>
        </w:rPr>
      </w:pPr>
      <w:r w:rsidRPr="007334BA">
        <w:rPr>
          <w:rFonts w:ascii="Arial" w:hAnsi="Arial" w:cs="Arial"/>
        </w:rPr>
        <w:t>Preparing teachers to be reflective practitioners has become a common concept in teacher education programs (</w:t>
      </w:r>
      <w:proofErr w:type="spellStart"/>
      <w:r w:rsidRPr="007334BA">
        <w:rPr>
          <w:rFonts w:ascii="Arial" w:hAnsi="Arial" w:cs="Arial"/>
        </w:rPr>
        <w:t>Bruster</w:t>
      </w:r>
      <w:proofErr w:type="spellEnd"/>
      <w:r w:rsidRPr="007334BA">
        <w:rPr>
          <w:rFonts w:ascii="Arial" w:hAnsi="Arial" w:cs="Arial"/>
        </w:rPr>
        <w:t xml:space="preserve"> and Peterson, 2013). In gaining a QTS in Wales critical reflection is essential due to its importance within the Professional Learning Passports (PLP). The PLP influences the ongoing critical reflection and learning of the teacher and prompts further professional growth (Education Wales, 2019, p.50). Professional Standards for Teaching and Leadership, systematically inform professional learning and motivate teachers to be self-critical and reflect on their practices to further improve their techniques (Education Wales, 2019; Department for Education</w:t>
      </w:r>
      <w:r w:rsidRPr="007334BA">
        <w:rPr>
          <w:rFonts w:ascii="Arial" w:hAnsi="Arial" w:cs="Arial"/>
          <w:i/>
          <w:iCs/>
        </w:rPr>
        <w:t xml:space="preserve">, </w:t>
      </w:r>
      <w:r w:rsidRPr="007334BA">
        <w:rPr>
          <w:rFonts w:ascii="Arial" w:hAnsi="Arial" w:cs="Arial"/>
        </w:rPr>
        <w:t>2016). </w:t>
      </w:r>
    </w:p>
    <w:p w14:paraId="732EF17A" w14:textId="77777777" w:rsidR="00E36435" w:rsidRPr="007334BA" w:rsidRDefault="00E36435" w:rsidP="002C48C2">
      <w:pPr>
        <w:spacing w:line="360" w:lineRule="auto"/>
        <w:rPr>
          <w:rFonts w:ascii="Arial" w:hAnsi="Arial" w:cs="Arial"/>
        </w:rPr>
      </w:pPr>
    </w:p>
    <w:p w14:paraId="491BCB53" w14:textId="77777777" w:rsidR="007334BA" w:rsidRPr="007334BA" w:rsidRDefault="007334BA" w:rsidP="002C48C2">
      <w:pPr>
        <w:spacing w:line="360" w:lineRule="auto"/>
        <w:rPr>
          <w:rFonts w:ascii="Arial" w:hAnsi="Arial" w:cs="Arial"/>
        </w:rPr>
      </w:pPr>
      <w:r w:rsidRPr="007334BA">
        <w:rPr>
          <w:rFonts w:ascii="Arial" w:hAnsi="Arial" w:cs="Arial"/>
          <w:b/>
          <w:bCs/>
          <w:u w:val="single"/>
        </w:rPr>
        <w:t>Observation School and classroom context </w:t>
      </w:r>
      <w:r w:rsidRPr="007334BA">
        <w:rPr>
          <w:rFonts w:ascii="Arial" w:hAnsi="Arial" w:cs="Arial"/>
        </w:rPr>
        <w:t> </w:t>
      </w:r>
    </w:p>
    <w:p w14:paraId="4A53FC1A" w14:textId="77777777" w:rsidR="007334BA" w:rsidRPr="007334BA" w:rsidRDefault="007334BA" w:rsidP="002C48C2">
      <w:pPr>
        <w:spacing w:line="360" w:lineRule="auto"/>
        <w:rPr>
          <w:rFonts w:ascii="Arial" w:hAnsi="Arial" w:cs="Arial"/>
        </w:rPr>
      </w:pPr>
      <w:r w:rsidRPr="007334BA">
        <w:rPr>
          <w:rFonts w:ascii="Arial" w:hAnsi="Arial" w:cs="Arial"/>
        </w:rPr>
        <w:t>To follow the British Educational Research Association’s [BERA] (2018) guidelines, during this research, the staff, pupils, and school observed will remain anonymous throughout. BERA guidelines indicate that researchers should acknowledge the right to privacy of both institutions and individual participants, as well as their rights to confidentiality and anonymity.  </w:t>
      </w:r>
    </w:p>
    <w:p w14:paraId="12FB6031" w14:textId="77777777" w:rsidR="007334BA" w:rsidRDefault="007334BA" w:rsidP="002C48C2">
      <w:pPr>
        <w:spacing w:line="360" w:lineRule="auto"/>
        <w:rPr>
          <w:rFonts w:ascii="Arial" w:hAnsi="Arial" w:cs="Arial"/>
        </w:rPr>
      </w:pPr>
      <w:r w:rsidRPr="007334BA">
        <w:rPr>
          <w:rFonts w:ascii="Arial" w:hAnsi="Arial" w:cs="Arial"/>
        </w:rPr>
        <w:t>The allocated observation took place in a Welsh medium primary school located on the Eastern side of Swansea. The school has 482 mixed-gender pupils between the ages of three and eleven years old, including 70 part-time nursery pupils (Estyn, 2018). However, in 2022 the Welsh government updated report since the coronavirus pandemic shows 513 pupils (Welsh Government, 2022). There are 17 classes, including two nursery classes and one mixed-age class (Estyn, 2018). Ten percent of pupils in this school come from Welsh-speaking homes and very few are from ethnic minority backgrounds. This school classifies 22% of their learners to have additional learning needs (ALN); which is similar to the Welsh national percentage (WNA) of 21%. However, very few have a statement of special educational needs (SEN) (Estyn, 2018). Over three years, around 7% of pupils were eligible for free school meals (FSM). This is significantly lower than the national average of 18% (Estyn, 2018). In contrast, the Welsh Government reports shows a rise of 9.5% in 2022 (Welsh Government, 2022).  </w:t>
      </w:r>
    </w:p>
    <w:p w14:paraId="18681373" w14:textId="77777777" w:rsidR="00E36435" w:rsidRPr="007334BA" w:rsidRDefault="00E36435" w:rsidP="002C48C2">
      <w:pPr>
        <w:spacing w:line="360" w:lineRule="auto"/>
        <w:rPr>
          <w:rFonts w:ascii="Arial" w:hAnsi="Arial" w:cs="Arial"/>
        </w:rPr>
      </w:pPr>
    </w:p>
    <w:p w14:paraId="7B57061B" w14:textId="0F0B4DB3" w:rsidR="00E36435" w:rsidRPr="007334BA" w:rsidRDefault="007334BA" w:rsidP="002C48C2">
      <w:pPr>
        <w:spacing w:line="360" w:lineRule="auto"/>
        <w:rPr>
          <w:rFonts w:ascii="Arial" w:hAnsi="Arial" w:cs="Arial"/>
        </w:rPr>
      </w:pPr>
      <w:r w:rsidRPr="007334BA">
        <w:rPr>
          <w:rFonts w:ascii="Arial" w:hAnsi="Arial" w:cs="Arial"/>
          <w:b/>
          <w:bCs/>
          <w:u w:val="single"/>
        </w:rPr>
        <w:t>Critical incident overview </w:t>
      </w:r>
      <w:r w:rsidRPr="007334BA">
        <w:rPr>
          <w:rFonts w:ascii="Arial" w:hAnsi="Arial" w:cs="Arial"/>
        </w:rPr>
        <w:t> </w:t>
      </w:r>
    </w:p>
    <w:p w14:paraId="0AEBF5B0" w14:textId="77777777" w:rsidR="007334BA" w:rsidRPr="007334BA" w:rsidRDefault="007334BA" w:rsidP="002C48C2">
      <w:pPr>
        <w:spacing w:line="360" w:lineRule="auto"/>
        <w:rPr>
          <w:rFonts w:ascii="Arial" w:hAnsi="Arial" w:cs="Arial"/>
        </w:rPr>
      </w:pPr>
      <w:r w:rsidRPr="007334BA">
        <w:rPr>
          <w:rFonts w:ascii="Arial" w:hAnsi="Arial" w:cs="Arial"/>
        </w:rPr>
        <w:t>The chosen critical incident for this assignment was observed by watching a year 3 class lesson on an immersive video. This video highlighted a variety of potential incidents that could be used for additional reflection for future teaching practice, outlined in appendix A. It was a Monday morning and the number of pupils in attendance were 18 of mixed ability. The lesson in practice was Mathematics and numeracy focusing on money. </w:t>
      </w:r>
    </w:p>
    <w:p w14:paraId="193D249A" w14:textId="77777777" w:rsidR="007334BA" w:rsidRPr="007334BA" w:rsidRDefault="007334BA" w:rsidP="002C48C2">
      <w:pPr>
        <w:spacing w:line="360" w:lineRule="auto"/>
        <w:rPr>
          <w:rFonts w:ascii="Arial" w:hAnsi="Arial" w:cs="Arial"/>
        </w:rPr>
      </w:pPr>
      <w:r w:rsidRPr="007334BA">
        <w:rPr>
          <w:rFonts w:ascii="Arial" w:hAnsi="Arial" w:cs="Arial"/>
        </w:rPr>
        <w:t xml:space="preserve">To put the incident in context all the students were seated on their allocated tables. Four groups within the class were differentiated into ability groups. The lower ability in the front of the classroom; the higher ability central to the back of the classroom. Firstly, the teacher starts the lesson by presenting that morning we are going to be looking at money. A pupil at the front of the class, seated facing the wrong way with their legs crossed on the chair ‘yawned’. The teacher asked the pupil to turn around and put her feet under the table. The teacher questions and tells the pupils to think about what pieces of money exist? Some of the pupils put their hands up to answer the question, however, the teacher tells the pupils to put their hands down and to discuss the question with a partner. Three pupils within the class didn’t have a partner to turn to and discuss the question and therefore became disengaged. Pupil X facing the other way to the peers on the table, crosses their arms and starts rocking back and forth on the chair while looking around the class; this indicates that this child has become withdrawn and disengaged. Two other pupils at different tables also became disengaged in this discussion with the pupils on their tables, by turning around and putting their backs to the group or staring into space. A pupil on the lower ability table answered the question saying, “ten pounds”. The teacher replied no we are looking at coins first. The same pupil responds by saying “ten pence”. A different pupil replies with the answer ten pence, the teacher replies ‘no we have already had that, you should be listening’. The teacher continues to question about different amounts of coins. A different pupil on the lower ability table answers with “five pounds”. The teacher responds with ‘no I don’t want notes I want </w:t>
      </w:r>
      <w:proofErr w:type="gramStart"/>
      <w:r w:rsidRPr="007334BA">
        <w:rPr>
          <w:rFonts w:ascii="Arial" w:hAnsi="Arial" w:cs="Arial"/>
        </w:rPr>
        <w:t>coins’</w:t>
      </w:r>
      <w:proofErr w:type="gramEnd"/>
      <w:r w:rsidRPr="007334BA">
        <w:rPr>
          <w:rFonts w:ascii="Arial" w:hAnsi="Arial" w:cs="Arial"/>
        </w:rPr>
        <w:t>. The teacher questioned the whole class; then sat at the front of the class with the lower ability group and began splitting the amounts into hundreds, tens, and units to support them. However, the rest of the class in higher ability groups completed the task and gave their answer to the question. Therefore, became disengaged with one pupil putting her head on the table; whilst the lower group needed more time and support to an answer. </w:t>
      </w:r>
    </w:p>
    <w:p w14:paraId="59B1DC3E" w14:textId="77777777" w:rsidR="007334BA" w:rsidRPr="007334BA" w:rsidRDefault="007334BA" w:rsidP="002C48C2">
      <w:pPr>
        <w:spacing w:line="360" w:lineRule="auto"/>
        <w:rPr>
          <w:rFonts w:ascii="Arial" w:hAnsi="Arial" w:cs="Arial"/>
        </w:rPr>
      </w:pPr>
      <w:r w:rsidRPr="007334BA">
        <w:rPr>
          <w:rFonts w:ascii="Arial" w:hAnsi="Arial" w:cs="Arial"/>
        </w:rPr>
        <w:t xml:space="preserve">My chosen aspect of my observation to analyse is child X who became disengaged when the class was asked to discuss a question with partners. To reiterate pupil A facing his back towards his peers, crossing his arms, and rocking back and forth on his chair while looking </w:t>
      </w:r>
      <w:r w:rsidRPr="007334BA">
        <w:rPr>
          <w:rFonts w:ascii="Arial" w:hAnsi="Arial" w:cs="Arial"/>
        </w:rPr>
        <w:lastRenderedPageBreak/>
        <w:t>around the class. This indicates that this child has become withdrawn and disengaged. In addition to this disengagement was a recurring theme throughout the lesson. To improve future practice, this will be analysed and reflected on in the literature review section using relevant, academic learning theories.   </w:t>
      </w:r>
    </w:p>
    <w:p w14:paraId="175B2E7D" w14:textId="77777777" w:rsidR="007334BA" w:rsidRDefault="007334BA" w:rsidP="002C48C2">
      <w:pPr>
        <w:spacing w:line="360" w:lineRule="auto"/>
        <w:rPr>
          <w:rFonts w:ascii="Arial" w:hAnsi="Arial" w:cs="Arial"/>
        </w:rPr>
      </w:pPr>
      <w:r w:rsidRPr="007334BA">
        <w:rPr>
          <w:rFonts w:ascii="Arial" w:hAnsi="Arial" w:cs="Arial"/>
        </w:rPr>
        <w:t>In connection with the reformed Curriculum for Wales proposed in 2020 by Donaldson (2015), he identified four purposes of education that together, outline what education should provide for Wales to strive for success. The observed incident can be interlinked as disengagement caused by social isolation resulting in a lack of motivation and hindering their ability to become ‘ambitious capable learners’. According to Donaldson (2015, p.29), an ambitious learner is someone ‘ready to learn’, it could be argued that this pupil was ready to learn however lost engagement caused by the social isolation. Furthermore, the CI also impacted on achieving the purpose of being a ‘healthy and confident individual’ as social isolation can contribute to feelings of emotional distress (Donaldson, 2015). A lack of social support can lead to a loss of confidence and self-worth. </w:t>
      </w:r>
    </w:p>
    <w:p w14:paraId="5F332973" w14:textId="77777777" w:rsidR="00E36435" w:rsidRPr="007334BA" w:rsidRDefault="00E36435" w:rsidP="002C48C2">
      <w:pPr>
        <w:spacing w:line="360" w:lineRule="auto"/>
        <w:rPr>
          <w:rFonts w:ascii="Arial" w:hAnsi="Arial" w:cs="Arial"/>
        </w:rPr>
      </w:pPr>
    </w:p>
    <w:p w14:paraId="20131D78" w14:textId="6BBEE815" w:rsidR="007334BA" w:rsidRPr="007334BA" w:rsidRDefault="007334BA" w:rsidP="002C48C2">
      <w:pPr>
        <w:spacing w:line="360" w:lineRule="auto"/>
        <w:rPr>
          <w:rFonts w:ascii="Arial" w:hAnsi="Arial" w:cs="Arial"/>
        </w:rPr>
      </w:pPr>
      <w:r w:rsidRPr="007334BA">
        <w:rPr>
          <w:rFonts w:ascii="Arial" w:hAnsi="Arial" w:cs="Arial"/>
        </w:rPr>
        <w:t> </w:t>
      </w:r>
      <w:r w:rsidRPr="007334BA">
        <w:rPr>
          <w:rFonts w:ascii="Arial" w:hAnsi="Arial" w:cs="Arial"/>
          <w:b/>
          <w:bCs/>
          <w:u w:val="single"/>
        </w:rPr>
        <w:t>Literature Review </w:t>
      </w:r>
      <w:r w:rsidRPr="007334BA">
        <w:rPr>
          <w:rFonts w:ascii="Arial" w:hAnsi="Arial" w:cs="Arial"/>
        </w:rPr>
        <w:t> </w:t>
      </w:r>
    </w:p>
    <w:p w14:paraId="6D6133D7" w14:textId="6B4069CA" w:rsidR="00E36435" w:rsidRPr="007334BA" w:rsidRDefault="007334BA" w:rsidP="002C48C2">
      <w:pPr>
        <w:spacing w:line="360" w:lineRule="auto"/>
        <w:rPr>
          <w:rFonts w:ascii="Arial" w:hAnsi="Arial" w:cs="Arial"/>
        </w:rPr>
      </w:pPr>
      <w:r w:rsidRPr="007334BA">
        <w:rPr>
          <w:rFonts w:ascii="Arial" w:hAnsi="Arial" w:cs="Arial"/>
          <w:lang w:val="en"/>
        </w:rPr>
        <w:t>The critical incidents outlined above generates a number of avenues of research</w:t>
      </w:r>
      <w:r w:rsidRPr="007334BA">
        <w:rPr>
          <w:rFonts w:ascii="Arial" w:hAnsi="Arial" w:cs="Arial"/>
        </w:rPr>
        <w:t> </w:t>
      </w:r>
      <w:r w:rsidRPr="007334BA">
        <w:rPr>
          <w:rFonts w:ascii="Arial" w:hAnsi="Arial" w:cs="Arial"/>
        </w:rPr>
        <w:br/>
      </w:r>
      <w:r w:rsidRPr="007334BA">
        <w:rPr>
          <w:rFonts w:ascii="Arial" w:hAnsi="Arial" w:cs="Arial"/>
          <w:lang w:val="en"/>
        </w:rPr>
        <w:t>key to further developing teaching and research practice. The following review will focus on constructivist theories surrounding disengagement within the classroom and how to support this. </w:t>
      </w:r>
      <w:r w:rsidRPr="007334BA">
        <w:rPr>
          <w:rFonts w:ascii="Arial" w:hAnsi="Arial" w:cs="Arial"/>
        </w:rPr>
        <w:t> </w:t>
      </w:r>
    </w:p>
    <w:p w14:paraId="763A26ED" w14:textId="77777777" w:rsidR="007334BA" w:rsidRPr="007334BA" w:rsidRDefault="007334BA" w:rsidP="002C48C2">
      <w:pPr>
        <w:spacing w:line="360" w:lineRule="auto"/>
        <w:rPr>
          <w:rFonts w:ascii="Arial" w:hAnsi="Arial" w:cs="Arial"/>
        </w:rPr>
      </w:pPr>
      <w:r w:rsidRPr="007334BA">
        <w:rPr>
          <w:rFonts w:ascii="Arial" w:hAnsi="Arial" w:cs="Arial"/>
          <w:lang w:val="en"/>
        </w:rPr>
        <w:t xml:space="preserve">The concept of disengagement in school represents a concern for public discourse on education, as a possible antidote to declining academic motivation and achievement (Fredricks, Blumenfeld, and Paris 2004; Reichenberg, </w:t>
      </w:r>
      <w:proofErr w:type="gramStart"/>
      <w:r w:rsidRPr="007334BA">
        <w:rPr>
          <w:rFonts w:ascii="Arial" w:hAnsi="Arial" w:cs="Arial"/>
          <w:lang w:val="en"/>
        </w:rPr>
        <w:t>2018 )</w:t>
      </w:r>
      <w:proofErr w:type="gramEnd"/>
      <w:r w:rsidRPr="007334BA">
        <w:rPr>
          <w:rFonts w:ascii="Arial" w:hAnsi="Arial" w:cs="Arial"/>
          <w:lang w:val="en"/>
        </w:rPr>
        <w:t xml:space="preserve">. Kahn (1990) refers to disengagement as “simultaneous withdrawal and </w:t>
      </w:r>
      <w:proofErr w:type="spellStart"/>
      <w:r w:rsidRPr="007334BA">
        <w:rPr>
          <w:rFonts w:ascii="Arial" w:hAnsi="Arial" w:cs="Arial"/>
          <w:lang w:val="en"/>
        </w:rPr>
        <w:t>defence</w:t>
      </w:r>
      <w:proofErr w:type="spellEnd"/>
      <w:r w:rsidRPr="007334BA">
        <w:rPr>
          <w:rFonts w:ascii="Arial" w:hAnsi="Arial" w:cs="Arial"/>
          <w:lang w:val="en"/>
        </w:rPr>
        <w:t xml:space="preserve"> of a person’s preferred self in </w:t>
      </w:r>
      <w:proofErr w:type="spellStart"/>
      <w:r w:rsidRPr="007334BA">
        <w:rPr>
          <w:rFonts w:ascii="Arial" w:hAnsi="Arial" w:cs="Arial"/>
          <w:lang w:val="en"/>
        </w:rPr>
        <w:t>behaviours</w:t>
      </w:r>
      <w:proofErr w:type="spellEnd"/>
      <w:r w:rsidRPr="007334BA">
        <w:rPr>
          <w:rFonts w:ascii="Arial" w:hAnsi="Arial" w:cs="Arial"/>
          <w:lang w:val="en"/>
        </w:rPr>
        <w:t xml:space="preserve"> that promote a lack of connections, physical, cognitive, emotional absence, and passive, incomplete role performances”.  According to educational researchers, there are three types of disengagement (Fredricks, Blumenfeld, and Paris 2004). Students' observable actions, such as swinging on a chair, can help distinguish </w:t>
      </w:r>
      <w:proofErr w:type="spellStart"/>
      <w:r w:rsidRPr="007334BA">
        <w:rPr>
          <w:rFonts w:ascii="Arial" w:hAnsi="Arial" w:cs="Arial"/>
          <w:lang w:val="en"/>
        </w:rPr>
        <w:t>behavioural</w:t>
      </w:r>
      <w:proofErr w:type="spellEnd"/>
      <w:r w:rsidRPr="007334BA">
        <w:rPr>
          <w:rFonts w:ascii="Arial" w:hAnsi="Arial" w:cs="Arial"/>
          <w:lang w:val="en"/>
        </w:rPr>
        <w:t xml:space="preserve"> disengagement. Students' attitudes towards school in terms of thinking about football in class are referred to as cognitive disengagement. Emotional disengagement refers to students' negative feelings about school, such as a poor relationship with their teacher (Reichenberg, 2018). In contrast Johnson et al., (2001) argues a student can be behaviorally disengaged while remaining cognitively and emotionally engaged. </w:t>
      </w:r>
      <w:proofErr w:type="spellStart"/>
      <w:r w:rsidRPr="007334BA">
        <w:rPr>
          <w:rFonts w:ascii="Arial" w:hAnsi="Arial" w:cs="Arial"/>
          <w:lang w:val="en"/>
        </w:rPr>
        <w:t>Behavioural</w:t>
      </w:r>
      <w:proofErr w:type="spellEnd"/>
      <w:r w:rsidRPr="007334BA">
        <w:rPr>
          <w:rFonts w:ascii="Arial" w:hAnsi="Arial" w:cs="Arial"/>
          <w:lang w:val="en"/>
        </w:rPr>
        <w:t xml:space="preserve"> disengagement may be a coping mechanism that is required to support a pupil or otherwise reflects students' challenging situations (Thuen &amp; Bru, 2004).</w:t>
      </w:r>
      <w:r w:rsidRPr="007334BA">
        <w:rPr>
          <w:rFonts w:ascii="Arial" w:hAnsi="Arial" w:cs="Arial"/>
        </w:rPr>
        <w:t> </w:t>
      </w:r>
    </w:p>
    <w:p w14:paraId="2FF447F6" w14:textId="77777777" w:rsidR="007334BA" w:rsidRPr="007334BA" w:rsidRDefault="007334BA" w:rsidP="002C48C2">
      <w:pPr>
        <w:spacing w:line="360" w:lineRule="auto"/>
        <w:rPr>
          <w:rFonts w:ascii="Arial" w:hAnsi="Arial" w:cs="Arial"/>
        </w:rPr>
      </w:pPr>
      <w:r w:rsidRPr="007334BA">
        <w:rPr>
          <w:rFonts w:ascii="Arial" w:hAnsi="Arial" w:cs="Arial"/>
        </w:rPr>
        <w:lastRenderedPageBreak/>
        <w:t>The act of performing a task for its own intrinsic reward instead of a detachable benefit is known as intrinsic motivation. When someone is driven by intrinsic motivation, they find an activity inherently interesting and act out of enjoyment or challenge rather than in response to outside demands, incentives, or goods (Ryan and Deci, 2000, pp. 56). When students find personal satisfaction in their learning, they are less likely to experience disengagement or a lack of interest (Ryan and Deci, 2000). However, Intrinsic motivation can be inconsistent as what motivates one student may not motivate another; this may depend on certain subjects or activities (Di Domenico &amp; Ryan, 2017). </w:t>
      </w:r>
    </w:p>
    <w:p w14:paraId="49797791" w14:textId="77777777" w:rsidR="007334BA" w:rsidRPr="007334BA" w:rsidRDefault="007334BA" w:rsidP="002C48C2">
      <w:pPr>
        <w:spacing w:line="360" w:lineRule="auto"/>
        <w:rPr>
          <w:rFonts w:ascii="Arial" w:hAnsi="Arial" w:cs="Arial"/>
        </w:rPr>
      </w:pPr>
      <w:r w:rsidRPr="007334BA">
        <w:rPr>
          <w:rFonts w:ascii="Arial" w:hAnsi="Arial" w:cs="Arial"/>
        </w:rPr>
        <w:t xml:space="preserve"> An important factor in a student's learning and growth is motivation. One aspect of a teacher's pedagogy is to cultivate in their pupils an intrinsic motivation to learn new things (Valerio, 2012). </w:t>
      </w:r>
      <w:proofErr w:type="spellStart"/>
      <w:r w:rsidRPr="007334BA">
        <w:rPr>
          <w:rFonts w:ascii="Arial" w:hAnsi="Arial" w:cs="Arial"/>
        </w:rPr>
        <w:t>Instrinic</w:t>
      </w:r>
      <w:proofErr w:type="spellEnd"/>
      <w:r w:rsidRPr="007334BA">
        <w:rPr>
          <w:rFonts w:ascii="Arial" w:hAnsi="Arial" w:cs="Arial"/>
        </w:rPr>
        <w:t xml:space="preserve"> motivation allows a desire for competence by selecting themes or topics giving students a feeling of control over their work and making new information, abilities, and understandings visible (Scott, 2010). Disengagement can be prevented by this sense of accomplishment by reducing feelings of inadequacy. Kaur and Noman (2020) convey that using students as partners to learn creates favourable learning environments that support students' participation in the learning process. In this instance, the student may have lost intrinsic motivation for the task if there's no partner in practice. </w:t>
      </w:r>
    </w:p>
    <w:p w14:paraId="53ECCF4A" w14:textId="77777777" w:rsidR="007334BA" w:rsidRDefault="007334BA" w:rsidP="002C48C2">
      <w:pPr>
        <w:spacing w:line="360" w:lineRule="auto"/>
        <w:rPr>
          <w:rFonts w:ascii="Arial" w:hAnsi="Arial" w:cs="Arial"/>
        </w:rPr>
      </w:pPr>
      <w:r w:rsidRPr="007334BA">
        <w:rPr>
          <w:rFonts w:ascii="Arial" w:hAnsi="Arial" w:cs="Arial"/>
        </w:rPr>
        <w:t>Extrinsic motivation is a concept that applies to any activity carried out to achieve a distinct goal such as stickers or point systems (Ryan and Deci, 2000). Therefore, intrinsic motivation stands in contrast to extrinsic motivation and refers to engaging in an activity purely for its benefit, irrespective of its potential benefits (Ryan and Deci, 2000). However, when extrinsic incentives are used incorrectly, they can convey the idea that ability should be valued more highly than effort (Valerio, 2012). Extrinsic motivation must be managed to support intrinsic motivation. However, Di Domenico &amp; Ryan (2017) argue that experimental studies demonstrate that extrinsic rewards and incentives can undermine and reduce intrinsic motivation. This can be achieved by rewarding students for taking on new challenges, exhibiting curiosity during lessons, or finishing assignments for the enjoyment of learning something new (Valerio, 2012).  </w:t>
      </w:r>
    </w:p>
    <w:p w14:paraId="64A8A1CA" w14:textId="77777777" w:rsidR="00E36435" w:rsidRPr="007334BA" w:rsidRDefault="00E36435" w:rsidP="002C48C2">
      <w:pPr>
        <w:spacing w:line="360" w:lineRule="auto"/>
        <w:rPr>
          <w:rFonts w:ascii="Arial" w:hAnsi="Arial" w:cs="Arial"/>
        </w:rPr>
      </w:pPr>
    </w:p>
    <w:p w14:paraId="3ED92D03" w14:textId="77777777" w:rsidR="007334BA" w:rsidRPr="007334BA" w:rsidRDefault="007334BA" w:rsidP="002C48C2">
      <w:pPr>
        <w:spacing w:line="360" w:lineRule="auto"/>
        <w:rPr>
          <w:rFonts w:ascii="Arial" w:hAnsi="Arial" w:cs="Arial"/>
        </w:rPr>
      </w:pPr>
      <w:r w:rsidRPr="007334BA">
        <w:rPr>
          <w:rFonts w:ascii="Arial" w:hAnsi="Arial" w:cs="Arial"/>
          <w:b/>
          <w:bCs/>
          <w:u w:val="single"/>
        </w:rPr>
        <w:t>Zone of Proximal Development (ZPD)</w:t>
      </w:r>
      <w:r w:rsidRPr="007334BA">
        <w:rPr>
          <w:rFonts w:ascii="Arial" w:hAnsi="Arial" w:cs="Arial"/>
        </w:rPr>
        <w:t> </w:t>
      </w:r>
    </w:p>
    <w:p w14:paraId="2CA0B1D8" w14:textId="77777777" w:rsidR="007334BA" w:rsidRPr="007334BA" w:rsidRDefault="007334BA" w:rsidP="002C48C2">
      <w:pPr>
        <w:spacing w:line="360" w:lineRule="auto"/>
        <w:rPr>
          <w:rFonts w:ascii="Arial" w:hAnsi="Arial" w:cs="Arial"/>
        </w:rPr>
      </w:pPr>
      <w:r w:rsidRPr="007334BA">
        <w:rPr>
          <w:rFonts w:ascii="Arial" w:hAnsi="Arial" w:cs="Arial"/>
        </w:rPr>
        <w:t xml:space="preserve">A constructivist approach to discovery learning uses intrinsic motivation to create an enjoyable, self-directed learning environment. However, this approach can also result in a sub-optimal cognitive load, which hinders learning. To avoid this, learners must be in the Zone of Proximal Development (ZPD) (Ferguson, et al. 2022). The cognitive load theory (CLT) by </w:t>
      </w:r>
      <w:proofErr w:type="spellStart"/>
      <w:r w:rsidRPr="007334BA">
        <w:rPr>
          <w:rFonts w:ascii="Arial" w:hAnsi="Arial" w:cs="Arial"/>
        </w:rPr>
        <w:t>Sweller</w:t>
      </w:r>
      <w:proofErr w:type="spellEnd"/>
      <w:r w:rsidRPr="007334BA">
        <w:rPr>
          <w:rFonts w:ascii="Arial" w:hAnsi="Arial" w:cs="Arial"/>
        </w:rPr>
        <w:t xml:space="preserve"> 1998 proposes that our working memory can only hold a limited amount of </w:t>
      </w:r>
      <w:r w:rsidRPr="007334BA">
        <w:rPr>
          <w:rFonts w:ascii="Arial" w:hAnsi="Arial" w:cs="Arial"/>
        </w:rPr>
        <w:lastRenderedPageBreak/>
        <w:t>information at any given time and, that instructional methods should avoid overloading to maximise learning (</w:t>
      </w:r>
      <w:proofErr w:type="spellStart"/>
      <w:r w:rsidRPr="007334BA">
        <w:rPr>
          <w:rFonts w:ascii="Arial" w:hAnsi="Arial" w:cs="Arial"/>
        </w:rPr>
        <w:t>Shibil</w:t>
      </w:r>
      <w:proofErr w:type="spellEnd"/>
      <w:r w:rsidRPr="007334BA">
        <w:rPr>
          <w:rFonts w:ascii="Arial" w:hAnsi="Arial" w:cs="Arial"/>
        </w:rPr>
        <w:t xml:space="preserve"> and West, 2018). The Intrinsic cognitive load involved in a task is the cognitive effort and difficulty of the material required by a person to perform this task; this will vary for each individual as it is influenced by prior knowledge of the topic (</w:t>
      </w:r>
      <w:proofErr w:type="spellStart"/>
      <w:r w:rsidRPr="007334BA">
        <w:rPr>
          <w:rFonts w:ascii="Arial" w:hAnsi="Arial" w:cs="Arial"/>
        </w:rPr>
        <w:t>Shibil</w:t>
      </w:r>
      <w:proofErr w:type="spellEnd"/>
      <w:r w:rsidRPr="007334BA">
        <w:rPr>
          <w:rFonts w:ascii="Arial" w:hAnsi="Arial" w:cs="Arial"/>
        </w:rPr>
        <w:t xml:space="preserve"> and West, 2018). </w:t>
      </w:r>
    </w:p>
    <w:p w14:paraId="2BD37892" w14:textId="77777777" w:rsidR="007334BA" w:rsidRPr="007334BA" w:rsidRDefault="007334BA" w:rsidP="002C48C2">
      <w:pPr>
        <w:spacing w:line="360" w:lineRule="auto"/>
        <w:rPr>
          <w:rFonts w:ascii="Arial" w:hAnsi="Arial" w:cs="Arial"/>
        </w:rPr>
      </w:pPr>
      <w:r w:rsidRPr="007334BA">
        <w:rPr>
          <w:rFonts w:ascii="Arial" w:hAnsi="Arial" w:cs="Arial"/>
        </w:rPr>
        <w:t xml:space="preserve">A theory of learning and development constructed by Lev Vygotsky is the Zone of Proximal Development (ZPD). ZPD is defined as the difference between what a student can accomplish on their own and, what they can accomplish under the guidance of an adult or in collaboration with more capable peers (Ferguson, et al. 2022). Learning within the child’s developmental level known as the ‘actual developmental level’ which defines functions that have already matured; characterizing mental development retrospectively (Vygotsky’s, 1997). The zone of proximal development defines those functions that have not yet matured but are in the process of maturation, as a ‘level of potential development’ therefore cannot be solved independently but only with assistance; characterizing mental development prospectively (Vygotsky’s, 1997). Vygotsky (1997) emphasises the significance of the proximal development stage, indicating that if the task at centre of ZPD is too simple or difficult for the child to understand without adult guidance or peer collaboration, the student may become disengaged and unmotivated, which will prevent learning. </w:t>
      </w:r>
      <w:proofErr w:type="spellStart"/>
      <w:r w:rsidRPr="007334BA">
        <w:rPr>
          <w:rFonts w:ascii="Arial" w:hAnsi="Arial" w:cs="Arial"/>
        </w:rPr>
        <w:t>Chaiklin</w:t>
      </w:r>
      <w:proofErr w:type="spellEnd"/>
      <w:r w:rsidRPr="007334BA">
        <w:rPr>
          <w:rFonts w:ascii="Arial" w:hAnsi="Arial" w:cs="Arial"/>
        </w:rPr>
        <w:t xml:space="preserve"> (2003) contends that identifying a student's precise ZPD can be subjective and difficult, as there is a ZPD for every subject matter. It is also argued that the ZPD fails to account for the wide range of individual learners' abilities and needs. </w:t>
      </w:r>
    </w:p>
    <w:p w14:paraId="6AC54F5B" w14:textId="77777777" w:rsidR="007334BA" w:rsidRPr="007334BA" w:rsidRDefault="007334BA" w:rsidP="002C48C2">
      <w:pPr>
        <w:spacing w:line="360" w:lineRule="auto"/>
        <w:rPr>
          <w:rFonts w:ascii="Arial" w:hAnsi="Arial" w:cs="Arial"/>
        </w:rPr>
      </w:pPr>
      <w:r w:rsidRPr="007334BA">
        <w:rPr>
          <w:rFonts w:ascii="Arial" w:hAnsi="Arial" w:cs="Arial"/>
        </w:rPr>
        <w:t xml:space="preserve">According to the learner's ZPD, scaffolding is a teaching method developed by Vygotsky that offers individualized support to help them become independent learners (Van Der </w:t>
      </w:r>
      <w:proofErr w:type="spellStart"/>
      <w:r w:rsidRPr="007334BA">
        <w:rPr>
          <w:rFonts w:ascii="Arial" w:hAnsi="Arial" w:cs="Arial"/>
        </w:rPr>
        <w:t>Stuyf</w:t>
      </w:r>
      <w:proofErr w:type="spellEnd"/>
      <w:r w:rsidRPr="007334BA">
        <w:rPr>
          <w:rFonts w:ascii="Arial" w:hAnsi="Arial" w:cs="Arial"/>
        </w:rPr>
        <w:t>, 2002). However, providing the necessary support and scaffolding to meet a student's ZPD may be challenging to give each student the personalized attention they need (</w:t>
      </w:r>
      <w:proofErr w:type="spellStart"/>
      <w:r w:rsidRPr="007334BA">
        <w:rPr>
          <w:rFonts w:ascii="Arial" w:hAnsi="Arial" w:cs="Arial"/>
        </w:rPr>
        <w:t>Chaiklin</w:t>
      </w:r>
      <w:proofErr w:type="spellEnd"/>
      <w:r w:rsidRPr="007334BA">
        <w:rPr>
          <w:rFonts w:ascii="Arial" w:hAnsi="Arial" w:cs="Arial"/>
        </w:rPr>
        <w:t>, 2003). Students' motivation increases as they gain a sense of accomplishment from completing the task. It is important to ensure that tasks are neither too difficult nor too easy, to reduce learner frustration and allow the learner to develop self-confidence (Valerio,2012). Depending on the learner's proficiency at the time, it can be made easier by providing guidance when needed, or it can be made more difficult by providing additional challenges (Ferguson, et al. 2022). </w:t>
      </w:r>
    </w:p>
    <w:p w14:paraId="2E82397D" w14:textId="77777777" w:rsidR="007334BA" w:rsidRDefault="007334BA" w:rsidP="002C48C2">
      <w:pPr>
        <w:spacing w:line="360" w:lineRule="auto"/>
        <w:rPr>
          <w:rFonts w:ascii="Arial" w:hAnsi="Arial" w:cs="Arial"/>
        </w:rPr>
      </w:pPr>
      <w:r w:rsidRPr="007334BA">
        <w:rPr>
          <w:rFonts w:ascii="Arial" w:hAnsi="Arial" w:cs="Arial"/>
        </w:rPr>
        <w:t xml:space="preserve">In summary, intrinsic motivation and the ZPD are both essential components of constructivism. The ZPD emphasises the importance of social interaction and guidance in the learning process, whereas intrinsic motivation drives learners to actively engage with and explore the material (Ferguson, et al. 2022). In relation to the CI, the pupil lost their intrinsic </w:t>
      </w:r>
      <w:r w:rsidRPr="007334BA">
        <w:rPr>
          <w:rFonts w:ascii="Arial" w:hAnsi="Arial" w:cs="Arial"/>
        </w:rPr>
        <w:lastRenderedPageBreak/>
        <w:t>motivation due to no partner for social interaction leading to disengagement. This suggests a missed opportunity for guided interaction and learning from a more capable peer (Ferguson, et al. 2022). This can be addressed using the ZPD to provide appropriate support and collaboration opportunities to re-engage the individual. </w:t>
      </w:r>
    </w:p>
    <w:p w14:paraId="094C0979" w14:textId="77777777" w:rsidR="00E36435" w:rsidRPr="007334BA" w:rsidRDefault="00E36435" w:rsidP="002C48C2">
      <w:pPr>
        <w:spacing w:line="360" w:lineRule="auto"/>
        <w:rPr>
          <w:rFonts w:ascii="Arial" w:hAnsi="Arial" w:cs="Arial"/>
        </w:rPr>
      </w:pPr>
    </w:p>
    <w:p w14:paraId="54E44BBF" w14:textId="77777777" w:rsidR="007334BA" w:rsidRPr="007334BA" w:rsidRDefault="007334BA" w:rsidP="002C48C2">
      <w:pPr>
        <w:spacing w:line="360" w:lineRule="auto"/>
        <w:rPr>
          <w:rFonts w:ascii="Arial" w:hAnsi="Arial" w:cs="Arial"/>
        </w:rPr>
      </w:pPr>
      <w:r w:rsidRPr="007334BA">
        <w:rPr>
          <w:rFonts w:ascii="Arial" w:hAnsi="Arial" w:cs="Arial"/>
          <w:b/>
          <w:bCs/>
          <w:u w:val="single"/>
        </w:rPr>
        <w:t xml:space="preserve">Teaching, learning methods and recommendations </w:t>
      </w:r>
      <w:r w:rsidRPr="007334BA">
        <w:rPr>
          <w:rFonts w:ascii="Arial" w:hAnsi="Arial" w:cs="Arial"/>
        </w:rPr>
        <w:t> </w:t>
      </w:r>
    </w:p>
    <w:p w14:paraId="553AC856" w14:textId="77777777" w:rsidR="007334BA" w:rsidRPr="007334BA" w:rsidRDefault="007334BA" w:rsidP="002C48C2">
      <w:pPr>
        <w:spacing w:line="360" w:lineRule="auto"/>
        <w:rPr>
          <w:rFonts w:ascii="Arial" w:hAnsi="Arial" w:cs="Arial"/>
        </w:rPr>
      </w:pPr>
      <w:r w:rsidRPr="007334BA">
        <w:rPr>
          <w:rFonts w:ascii="Arial" w:hAnsi="Arial" w:cs="Arial"/>
        </w:rPr>
        <w:t>In this section, I will reflect on and evaluate my critical incident and discuss potential teaching and learning methods that would further develop practice. Disengagement in teaching and learning requires a thoughtful and adaptable approach. Students may become disengaged for a variety of reasons, and it is critical to employ a variety of methods and recommendations to help re-engage them. </w:t>
      </w:r>
    </w:p>
    <w:p w14:paraId="4B245EF0" w14:textId="77777777" w:rsidR="007334BA" w:rsidRPr="007334BA" w:rsidRDefault="007334BA" w:rsidP="002C48C2">
      <w:pPr>
        <w:spacing w:line="360" w:lineRule="auto"/>
        <w:rPr>
          <w:rFonts w:ascii="Arial" w:hAnsi="Arial" w:cs="Arial"/>
        </w:rPr>
      </w:pPr>
      <w:r w:rsidRPr="007334BA">
        <w:rPr>
          <w:rFonts w:ascii="Arial" w:hAnsi="Arial" w:cs="Arial"/>
        </w:rPr>
        <w:t>Following the classroom-based incident I feel ‘Think-Pair-Share' (TPS) is an effective method of active teaching to encourage engagement. The CI outlines a pupil who became disengaged by a decline in intrinsic motivation due to no social interaction and guidance. The literature shows using students as partners to learn creates favourable learning environments that support students' participation in the learning process (Kaur and Noman, 2020). The teacher did adopt the method of TPS during the lesson by asking the peers to discuss a question with a partner. To evaluate, the teacher did not specify that pupils without a partner should find or join others. This resulted in a decline in academic motivation, achievement as well as behavioural disengagement by swinging on the chair (Fredricks, Blumenfeld, and Paris 2004). TPS is an active learning strategy that intends to promote engagement, by students usually turn to their classmates and discussing the task. TPS is a beneficial method for encouraging social interaction with others, active engagement, and increased participation (</w:t>
      </w:r>
      <w:proofErr w:type="spellStart"/>
      <w:r w:rsidRPr="007334BA">
        <w:rPr>
          <w:rFonts w:ascii="Arial" w:hAnsi="Arial" w:cs="Arial"/>
        </w:rPr>
        <w:t>Kothiyal</w:t>
      </w:r>
      <w:proofErr w:type="spellEnd"/>
      <w:r w:rsidRPr="007334BA">
        <w:rPr>
          <w:rFonts w:ascii="Arial" w:hAnsi="Arial" w:cs="Arial"/>
        </w:rPr>
        <w:t xml:space="preserve"> et al., 2013). For future teaching practice, I would ensure that each pupil has someone to discuss with to avoid the loss of intrinsic motivation and development of learning. Referring to Donaldson’s (2015) reformed curriculum it is important to ensure every individual is a ‘healthy and confident individual’, in this instance a lack of social support can lead to a loss of confidence. Moreover, a significant benefit of using the TPS method is that it provides teachers with immediate feedback on the quality of student understanding. This feedback can be used by students and instructors to modify their learning and teaching (</w:t>
      </w:r>
      <w:proofErr w:type="spellStart"/>
      <w:r w:rsidRPr="007334BA">
        <w:rPr>
          <w:rFonts w:ascii="Arial" w:hAnsi="Arial" w:cs="Arial"/>
        </w:rPr>
        <w:t>Kothiyal</w:t>
      </w:r>
      <w:proofErr w:type="spellEnd"/>
      <w:r w:rsidRPr="007334BA">
        <w:rPr>
          <w:rFonts w:ascii="Arial" w:hAnsi="Arial" w:cs="Arial"/>
        </w:rPr>
        <w:t xml:space="preserve"> et al., 2013). </w:t>
      </w:r>
    </w:p>
    <w:p w14:paraId="4D5AF2E8" w14:textId="77777777" w:rsidR="007334BA" w:rsidRPr="007334BA" w:rsidRDefault="007334BA" w:rsidP="002C48C2">
      <w:pPr>
        <w:spacing w:line="360" w:lineRule="auto"/>
        <w:rPr>
          <w:rFonts w:ascii="Arial" w:hAnsi="Arial" w:cs="Arial"/>
        </w:rPr>
      </w:pPr>
      <w:r w:rsidRPr="007334BA">
        <w:rPr>
          <w:rFonts w:ascii="Arial" w:hAnsi="Arial" w:cs="Arial"/>
        </w:rPr>
        <w:t xml:space="preserve">Differentiation, I believe, would be an effective strategy to use reflecting from classroom-based incidents to ensure that the learner is in their ZPD. Vygotsky (1997) asserts that if the ZPD task is too easy or too complex for the child to understand without assistance from an adult or peers, the student may become disengaged. Differentiation provides learners with a </w:t>
      </w:r>
      <w:r w:rsidRPr="007334BA">
        <w:rPr>
          <w:rFonts w:ascii="Arial" w:hAnsi="Arial" w:cs="Arial"/>
        </w:rPr>
        <w:lastRenderedPageBreak/>
        <w:t>personalised learning environment by recognising and accommodating the diversity of students' learning needs and preferences (</w:t>
      </w:r>
      <w:proofErr w:type="spellStart"/>
      <w:r w:rsidRPr="007334BA">
        <w:rPr>
          <w:rFonts w:ascii="Arial" w:hAnsi="Arial" w:cs="Arial"/>
        </w:rPr>
        <w:t>Schiffl</w:t>
      </w:r>
      <w:proofErr w:type="spellEnd"/>
      <w:r w:rsidRPr="007334BA">
        <w:rPr>
          <w:rFonts w:ascii="Arial" w:hAnsi="Arial" w:cs="Arial"/>
        </w:rPr>
        <w:t xml:space="preserve"> and Baumgartner, 2022). The constructivist theory of learning recognises that pupils learn best when teaching is tailored to their specific needs and abilities (</w:t>
      </w:r>
      <w:proofErr w:type="spellStart"/>
      <w:r w:rsidRPr="007334BA">
        <w:rPr>
          <w:rFonts w:ascii="Arial" w:hAnsi="Arial" w:cs="Arial"/>
        </w:rPr>
        <w:t>Shibil</w:t>
      </w:r>
      <w:proofErr w:type="spellEnd"/>
      <w:r w:rsidRPr="007334BA">
        <w:rPr>
          <w:rFonts w:ascii="Arial" w:hAnsi="Arial" w:cs="Arial"/>
        </w:rPr>
        <w:t xml:space="preserve"> and West, 2018). </w:t>
      </w:r>
    </w:p>
    <w:p w14:paraId="35258054" w14:textId="77777777" w:rsidR="007334BA" w:rsidRPr="007334BA" w:rsidRDefault="007334BA" w:rsidP="002C48C2">
      <w:pPr>
        <w:spacing w:line="360" w:lineRule="auto"/>
        <w:rPr>
          <w:rFonts w:ascii="Arial" w:hAnsi="Arial" w:cs="Arial"/>
        </w:rPr>
      </w:pPr>
      <w:r w:rsidRPr="007334BA">
        <w:rPr>
          <w:rFonts w:ascii="Arial" w:hAnsi="Arial" w:cs="Arial"/>
        </w:rPr>
        <w:t xml:space="preserve">In the incidence of the CI, the pupils were grouped by their abilities, however, the teacher did not differentiate the questions or tasks given to these groups. During the lesson, the lower-ability group required support from the teacher. The higher ability groups (including pupil X, outlined in CI), on the other hand, completed the questions rapidly, indicating that the task in the </w:t>
      </w:r>
      <w:proofErr w:type="spellStart"/>
      <w:r w:rsidRPr="007334BA">
        <w:rPr>
          <w:rFonts w:ascii="Arial" w:hAnsi="Arial" w:cs="Arial"/>
        </w:rPr>
        <w:t>center</w:t>
      </w:r>
      <w:proofErr w:type="spellEnd"/>
      <w:r w:rsidRPr="007334BA">
        <w:rPr>
          <w:rFonts w:ascii="Arial" w:hAnsi="Arial" w:cs="Arial"/>
        </w:rPr>
        <w:t xml:space="preserve"> of their ZPD is too simple (Vygotsky, 1997). This also results in a decline in intrinsic motivation which hinders learning. For future teaching practice differentiation is a beneficial adaptation of teaching to individual differences (</w:t>
      </w:r>
      <w:proofErr w:type="spellStart"/>
      <w:r w:rsidRPr="007334BA">
        <w:rPr>
          <w:rFonts w:ascii="Arial" w:hAnsi="Arial" w:cs="Arial"/>
        </w:rPr>
        <w:t>Schiffl</w:t>
      </w:r>
      <w:proofErr w:type="spellEnd"/>
      <w:r w:rsidRPr="007334BA">
        <w:rPr>
          <w:rFonts w:ascii="Arial" w:hAnsi="Arial" w:cs="Arial"/>
        </w:rPr>
        <w:t xml:space="preserve"> and Baumgartner, 2022). In future practice, the teacher could differentiate task that corresponds with each ability group.  </w:t>
      </w:r>
    </w:p>
    <w:p w14:paraId="7AB8EC61" w14:textId="77777777" w:rsidR="007334BA" w:rsidRPr="007334BA" w:rsidRDefault="007334BA" w:rsidP="002C48C2">
      <w:pPr>
        <w:spacing w:line="360" w:lineRule="auto"/>
        <w:rPr>
          <w:rFonts w:ascii="Arial" w:hAnsi="Arial" w:cs="Arial"/>
        </w:rPr>
      </w:pPr>
      <w:r w:rsidRPr="007334BA">
        <w:rPr>
          <w:rFonts w:ascii="Arial" w:hAnsi="Arial" w:cs="Arial"/>
        </w:rPr>
        <w:t>One teaching method of differentiation in teaching is ‘scaffolding’. Scaffolding enables the achievement of goals that would not otherwise be possible (</w:t>
      </w:r>
      <w:proofErr w:type="spellStart"/>
      <w:r w:rsidRPr="007334BA">
        <w:rPr>
          <w:rFonts w:ascii="Arial" w:hAnsi="Arial" w:cs="Arial"/>
        </w:rPr>
        <w:t>Schiffl</w:t>
      </w:r>
      <w:proofErr w:type="spellEnd"/>
      <w:r w:rsidRPr="007334BA">
        <w:rPr>
          <w:rFonts w:ascii="Arial" w:hAnsi="Arial" w:cs="Arial"/>
        </w:rPr>
        <w:t xml:space="preserve"> and Baumgartner, 2022). According to the learner's ZPD, scaffolding is a teaching method developed by Vygotsky, that offers individualized support to progress through tasks that are slightly above their current skill level to become independent learners (</w:t>
      </w:r>
      <w:proofErr w:type="spellStart"/>
      <w:r w:rsidRPr="007334BA">
        <w:rPr>
          <w:rFonts w:ascii="Arial" w:hAnsi="Arial" w:cs="Arial"/>
        </w:rPr>
        <w:t>Schiffl</w:t>
      </w:r>
      <w:proofErr w:type="spellEnd"/>
      <w:r w:rsidRPr="007334BA">
        <w:rPr>
          <w:rFonts w:ascii="Arial" w:hAnsi="Arial" w:cs="Arial"/>
        </w:rPr>
        <w:t xml:space="preserve"> and Baumgartner, 2022; Van Der </w:t>
      </w:r>
      <w:proofErr w:type="spellStart"/>
      <w:r w:rsidRPr="007334BA">
        <w:rPr>
          <w:rFonts w:ascii="Arial" w:hAnsi="Arial" w:cs="Arial"/>
        </w:rPr>
        <w:t>Stuyf</w:t>
      </w:r>
      <w:proofErr w:type="spellEnd"/>
      <w:r w:rsidRPr="007334BA">
        <w:rPr>
          <w:rFonts w:ascii="Arial" w:hAnsi="Arial" w:cs="Arial"/>
        </w:rPr>
        <w:t>, 2002). There are two different categories of scaffolds firstly known as “hard scaffolds” such as clue cards which can be made before a lesson to support expected difficulties within a task. Secondly “Soft Scaffolds” constitute specific situation assistance that can be provided by the teacher or peers (</w:t>
      </w:r>
      <w:proofErr w:type="spellStart"/>
      <w:r w:rsidRPr="007334BA">
        <w:rPr>
          <w:rFonts w:ascii="Arial" w:hAnsi="Arial" w:cs="Arial"/>
        </w:rPr>
        <w:t>Schiffl</w:t>
      </w:r>
      <w:proofErr w:type="spellEnd"/>
      <w:r w:rsidRPr="007334BA">
        <w:rPr>
          <w:rFonts w:ascii="Arial" w:hAnsi="Arial" w:cs="Arial"/>
        </w:rPr>
        <w:t xml:space="preserve"> and Baumgartner, 2022). Scaffolding has the advantage of helping to structure and facilitate the learning process by reducing complexity and focusing on important aspects of assignments. </w:t>
      </w:r>
    </w:p>
    <w:p w14:paraId="23514B96" w14:textId="77777777" w:rsidR="007334BA" w:rsidRPr="007334BA" w:rsidRDefault="007334BA" w:rsidP="002C48C2">
      <w:pPr>
        <w:spacing w:line="360" w:lineRule="auto"/>
        <w:rPr>
          <w:rFonts w:ascii="Arial" w:hAnsi="Arial" w:cs="Arial"/>
        </w:rPr>
      </w:pPr>
      <w:r w:rsidRPr="007334BA">
        <w:rPr>
          <w:rFonts w:ascii="Arial" w:hAnsi="Arial" w:cs="Arial"/>
        </w:rPr>
        <w:t> </w:t>
      </w:r>
    </w:p>
    <w:p w14:paraId="00CD8732" w14:textId="77777777" w:rsidR="007334BA" w:rsidRPr="007334BA" w:rsidRDefault="007334BA" w:rsidP="002C48C2">
      <w:pPr>
        <w:spacing w:line="360" w:lineRule="auto"/>
        <w:rPr>
          <w:rFonts w:ascii="Arial" w:hAnsi="Arial" w:cs="Arial"/>
        </w:rPr>
      </w:pPr>
      <w:r w:rsidRPr="007334BA">
        <w:rPr>
          <w:rFonts w:ascii="Arial" w:hAnsi="Arial" w:cs="Arial"/>
          <w:b/>
          <w:bCs/>
          <w:u w:val="single"/>
        </w:rPr>
        <w:t>Conclusion</w:t>
      </w:r>
      <w:r w:rsidRPr="007334BA">
        <w:rPr>
          <w:rFonts w:ascii="Arial" w:hAnsi="Arial" w:cs="Arial"/>
        </w:rPr>
        <w:t> </w:t>
      </w:r>
    </w:p>
    <w:p w14:paraId="67C84A80" w14:textId="77777777" w:rsidR="007334BA" w:rsidRPr="007334BA" w:rsidRDefault="007334BA" w:rsidP="002C48C2">
      <w:pPr>
        <w:spacing w:line="360" w:lineRule="auto"/>
        <w:rPr>
          <w:rFonts w:ascii="Arial" w:hAnsi="Arial" w:cs="Arial"/>
        </w:rPr>
      </w:pPr>
      <w:r w:rsidRPr="007334BA">
        <w:rPr>
          <w:rFonts w:ascii="Arial" w:hAnsi="Arial" w:cs="Arial"/>
        </w:rPr>
        <w:t xml:space="preserve">To conclude, this essay emphasises the importance of reflective practice key competencies in teaching and learning for professional development. A critical incident was observed in a classroom setting and utilized using Tripp’s (2011) ‘critical incident methodology’. Several theorists including </w:t>
      </w:r>
      <w:proofErr w:type="spellStart"/>
      <w:r w:rsidRPr="007334BA">
        <w:rPr>
          <w:rFonts w:ascii="Arial" w:hAnsi="Arial" w:cs="Arial"/>
        </w:rPr>
        <w:t>Schön</w:t>
      </w:r>
      <w:proofErr w:type="spellEnd"/>
      <w:r w:rsidRPr="007334BA">
        <w:rPr>
          <w:rFonts w:ascii="Arial" w:hAnsi="Arial" w:cs="Arial"/>
        </w:rPr>
        <w:t>, Kolb, and Gibbs’s critical reflection models were also mentioned. A fundamental aspect of professional growth and development for teachers is to reflect and analyse incidents, enabling maximum learning outcomes for both teachers and learners. As a future teacher, reflection is an essential skill to become an effective teacher and to meet the requirements of the professional standards for teaching and leadership for Wales (Education Wales, 2019). </w:t>
      </w:r>
    </w:p>
    <w:p w14:paraId="09DEF954" w14:textId="77777777" w:rsidR="007334BA" w:rsidRPr="007334BA" w:rsidRDefault="007334BA" w:rsidP="002C48C2">
      <w:pPr>
        <w:spacing w:line="360" w:lineRule="auto"/>
        <w:rPr>
          <w:rFonts w:ascii="Arial" w:hAnsi="Arial" w:cs="Arial"/>
        </w:rPr>
      </w:pPr>
      <w:r w:rsidRPr="007334BA">
        <w:rPr>
          <w:rFonts w:ascii="Arial" w:hAnsi="Arial" w:cs="Arial"/>
        </w:rPr>
        <w:lastRenderedPageBreak/>
        <w:t xml:space="preserve">The observed critical incident outlined disengagement, which was analysed and reflected on using academic literature, emphasising various arguments surrounding the concept of disengagement and the impact of social interaction. The findings show that disengagement can be linked to constructivist theories of intrinsic motivation and the Zone of Proximal Development (ZPD) developed by Vygotsky. For future practice of teaching and learning, possible engagement methods highlighted were active learning through the method of TPS and, differentiation in relation to the method of scaffolding. This essay has enhanced my understanding of how and why pupils may become disengaged in class. Intrinsic motivation drives learners to actively engage with and explore the material; while it important to consider a pupil ZPD, </w:t>
      </w:r>
      <w:proofErr w:type="spellStart"/>
      <w:r w:rsidRPr="007334BA">
        <w:rPr>
          <w:rFonts w:ascii="Arial" w:hAnsi="Arial" w:cs="Arial"/>
        </w:rPr>
        <w:t>emphasing</w:t>
      </w:r>
      <w:proofErr w:type="spellEnd"/>
      <w:r w:rsidRPr="007334BA">
        <w:rPr>
          <w:rFonts w:ascii="Arial" w:hAnsi="Arial" w:cs="Arial"/>
        </w:rPr>
        <w:t xml:space="preserve"> the importance of social interaction, and guidance in the learning process which can be achieved through differentiation. </w:t>
      </w:r>
    </w:p>
    <w:p w14:paraId="4A0FCEE0" w14:textId="77777777" w:rsidR="007334BA" w:rsidRPr="007334BA" w:rsidRDefault="007334BA" w:rsidP="007334BA">
      <w:r w:rsidRPr="007334BA">
        <w:t> </w:t>
      </w:r>
    </w:p>
    <w:p w14:paraId="5B804C87" w14:textId="77777777" w:rsidR="007334BA" w:rsidRPr="007334BA" w:rsidRDefault="007334BA" w:rsidP="007334BA">
      <w:r w:rsidRPr="007334BA">
        <w:t> </w:t>
      </w:r>
    </w:p>
    <w:p w14:paraId="6404B91F" w14:textId="77777777" w:rsidR="007334BA" w:rsidRPr="007334BA" w:rsidRDefault="007334BA" w:rsidP="007334BA">
      <w:r w:rsidRPr="007334BA">
        <w:t> </w:t>
      </w:r>
    </w:p>
    <w:p w14:paraId="243ED18D" w14:textId="77777777" w:rsidR="007334BA" w:rsidRPr="007334BA" w:rsidRDefault="007334BA" w:rsidP="007334BA">
      <w:r w:rsidRPr="007334BA">
        <w:t> </w:t>
      </w:r>
    </w:p>
    <w:p w14:paraId="18F9C84B" w14:textId="77777777" w:rsidR="007334BA" w:rsidRPr="007334BA" w:rsidRDefault="007334BA" w:rsidP="007334BA">
      <w:r w:rsidRPr="007334BA">
        <w:t> </w:t>
      </w:r>
    </w:p>
    <w:p w14:paraId="4185B652" w14:textId="77777777" w:rsidR="007334BA" w:rsidRPr="007334BA" w:rsidRDefault="007334BA" w:rsidP="007334BA">
      <w:r w:rsidRPr="007334BA">
        <w:t> </w:t>
      </w:r>
    </w:p>
    <w:p w14:paraId="41B02FCC" w14:textId="77777777" w:rsidR="007334BA" w:rsidRPr="007334BA" w:rsidRDefault="007334BA" w:rsidP="007334BA">
      <w:r w:rsidRPr="007334BA">
        <w:t> </w:t>
      </w:r>
    </w:p>
    <w:p w14:paraId="1F266DF1" w14:textId="77777777" w:rsidR="007334BA" w:rsidRPr="007334BA" w:rsidRDefault="007334BA" w:rsidP="007334BA">
      <w:r w:rsidRPr="007334BA">
        <w:t> </w:t>
      </w:r>
    </w:p>
    <w:p w14:paraId="20547F4F" w14:textId="77777777" w:rsidR="007334BA" w:rsidRPr="007334BA" w:rsidRDefault="007334BA" w:rsidP="007334BA">
      <w:r w:rsidRPr="007334BA">
        <w:t> </w:t>
      </w:r>
    </w:p>
    <w:p w14:paraId="64A4BB7C" w14:textId="77777777" w:rsidR="007334BA" w:rsidRPr="007334BA" w:rsidRDefault="007334BA" w:rsidP="007334BA">
      <w:r w:rsidRPr="007334BA">
        <w:t> </w:t>
      </w:r>
    </w:p>
    <w:p w14:paraId="1EB97052" w14:textId="77777777" w:rsidR="007334BA" w:rsidRPr="007334BA" w:rsidRDefault="007334BA" w:rsidP="007334BA">
      <w:r w:rsidRPr="007334BA">
        <w:t> </w:t>
      </w:r>
    </w:p>
    <w:p w14:paraId="4B16BF52" w14:textId="77777777" w:rsidR="007334BA" w:rsidRPr="007334BA" w:rsidRDefault="007334BA" w:rsidP="007334BA">
      <w:r w:rsidRPr="007334BA">
        <w:t> </w:t>
      </w:r>
    </w:p>
    <w:p w14:paraId="42B69C35" w14:textId="77777777" w:rsidR="007334BA" w:rsidRPr="007334BA" w:rsidRDefault="007334BA" w:rsidP="007334BA">
      <w:r w:rsidRPr="007334BA">
        <w:t> </w:t>
      </w:r>
    </w:p>
    <w:p w14:paraId="72937AE9" w14:textId="77777777" w:rsidR="007334BA" w:rsidRPr="007334BA" w:rsidRDefault="007334BA" w:rsidP="007334BA">
      <w:r w:rsidRPr="007334BA">
        <w:t> </w:t>
      </w:r>
    </w:p>
    <w:p w14:paraId="1EDF3ECC" w14:textId="77777777" w:rsidR="007334BA" w:rsidRPr="007334BA" w:rsidRDefault="007334BA" w:rsidP="007334BA">
      <w:r w:rsidRPr="007334BA">
        <w:t> </w:t>
      </w:r>
    </w:p>
    <w:p w14:paraId="7578DF37" w14:textId="77777777" w:rsidR="007334BA" w:rsidRDefault="007334BA" w:rsidP="007334BA">
      <w:r w:rsidRPr="007334BA">
        <w:t> </w:t>
      </w:r>
    </w:p>
    <w:p w14:paraId="6C1A5A21" w14:textId="77777777" w:rsidR="00E74323" w:rsidRDefault="00E74323" w:rsidP="007334BA"/>
    <w:p w14:paraId="12E1BD6B" w14:textId="77777777" w:rsidR="00E74323" w:rsidRDefault="00E74323" w:rsidP="007334BA"/>
    <w:p w14:paraId="3A385679" w14:textId="77777777" w:rsidR="00E74323" w:rsidRPr="007334BA" w:rsidRDefault="00E74323" w:rsidP="007334BA"/>
    <w:p w14:paraId="39182948" w14:textId="77777777" w:rsidR="007334BA" w:rsidRPr="007334BA" w:rsidRDefault="007334BA" w:rsidP="007334BA">
      <w:r w:rsidRPr="007334BA">
        <w:t> </w:t>
      </w:r>
    </w:p>
    <w:p w14:paraId="6EF48300" w14:textId="77777777" w:rsidR="007334BA" w:rsidRPr="007334BA" w:rsidRDefault="007334BA" w:rsidP="007334BA">
      <w:r w:rsidRPr="007334BA">
        <w:t> </w:t>
      </w:r>
    </w:p>
    <w:p w14:paraId="35527AA8" w14:textId="77777777" w:rsidR="007334BA" w:rsidRPr="007334BA" w:rsidRDefault="007334BA" w:rsidP="00E74323">
      <w:pPr>
        <w:spacing w:line="360" w:lineRule="auto"/>
        <w:rPr>
          <w:rFonts w:ascii="Arial" w:hAnsi="Arial" w:cs="Arial"/>
        </w:rPr>
      </w:pPr>
      <w:r w:rsidRPr="007334BA">
        <w:rPr>
          <w:rFonts w:ascii="Arial" w:hAnsi="Arial" w:cs="Arial"/>
          <w:b/>
          <w:bCs/>
          <w:u w:val="single"/>
        </w:rPr>
        <w:lastRenderedPageBreak/>
        <w:t>References</w:t>
      </w:r>
      <w:r w:rsidRPr="007334BA">
        <w:rPr>
          <w:rFonts w:ascii="Arial" w:hAnsi="Arial" w:cs="Arial"/>
        </w:rPr>
        <w:t> </w:t>
      </w:r>
    </w:p>
    <w:p w14:paraId="3DA2E474" w14:textId="220CDE19" w:rsidR="00E74323" w:rsidRPr="007334BA" w:rsidRDefault="00E74323" w:rsidP="00E74323">
      <w:pPr>
        <w:spacing w:line="360" w:lineRule="auto"/>
        <w:rPr>
          <w:rFonts w:ascii="Arial" w:hAnsi="Arial" w:cs="Arial"/>
        </w:rPr>
      </w:pPr>
      <w:r w:rsidRPr="007334BA">
        <w:rPr>
          <w:rFonts w:ascii="Arial" w:hAnsi="Arial" w:cs="Arial"/>
        </w:rPr>
        <w:t xml:space="preserve">Badia, A., Becerril, L. and Gómez, M. (2021) ‘Four types of teachers’ voices on critical incidents in teaching’, </w:t>
      </w:r>
      <w:r w:rsidRPr="007334BA">
        <w:rPr>
          <w:rFonts w:ascii="Arial" w:hAnsi="Arial" w:cs="Arial"/>
          <w:i/>
          <w:iCs/>
        </w:rPr>
        <w:t>Teacher Development</w:t>
      </w:r>
      <w:r w:rsidRPr="007334BA">
        <w:rPr>
          <w:rFonts w:ascii="Arial" w:hAnsi="Arial" w:cs="Arial"/>
        </w:rPr>
        <w:t>, 25(2), pp. 120–135. Available at: https://www.tandfonline.com/doi/abs/10.1080/13664530.2021.1882549 </w:t>
      </w:r>
    </w:p>
    <w:p w14:paraId="2D22FB00" w14:textId="77777777" w:rsidR="00E74323" w:rsidRPr="007334BA" w:rsidRDefault="00E74323" w:rsidP="00E74323">
      <w:pPr>
        <w:spacing w:line="360" w:lineRule="auto"/>
        <w:rPr>
          <w:rFonts w:ascii="Arial" w:hAnsi="Arial" w:cs="Arial"/>
        </w:rPr>
      </w:pPr>
      <w:r w:rsidRPr="007334BA">
        <w:rPr>
          <w:rFonts w:ascii="Arial" w:hAnsi="Arial" w:cs="Arial"/>
        </w:rPr>
        <w:t xml:space="preserve">British Educational Research Association [BERA] (2018) </w:t>
      </w:r>
      <w:r w:rsidRPr="007334BA">
        <w:rPr>
          <w:rFonts w:ascii="Arial" w:hAnsi="Arial" w:cs="Arial"/>
          <w:i/>
          <w:iCs/>
        </w:rPr>
        <w:t>Ethical Guidelines for Educational Research,</w:t>
      </w:r>
      <w:r w:rsidRPr="007334BA">
        <w:rPr>
          <w:rFonts w:ascii="Arial" w:hAnsi="Arial" w:cs="Arial"/>
        </w:rPr>
        <w:t xml:space="preserve"> fourth edition, London. Available at: </w:t>
      </w:r>
      <w:hyperlink r:id="rId5" w:tgtFrame="_blank" w:history="1">
        <w:r w:rsidRPr="007334BA">
          <w:rPr>
            <w:rStyle w:val="Hyperlink"/>
            <w:rFonts w:ascii="Arial" w:hAnsi="Arial" w:cs="Arial"/>
            <w:color w:val="auto"/>
          </w:rPr>
          <w:t>file:///Users/gwenthomas/Downloads/BERA-Ethical-Guidelines-for-Educational-Research_4thEdn_2018.pdf</w:t>
        </w:r>
      </w:hyperlink>
      <w:r w:rsidRPr="007334BA">
        <w:rPr>
          <w:rFonts w:ascii="Arial" w:hAnsi="Arial" w:cs="Arial"/>
        </w:rPr>
        <w:t xml:space="preserve"> (Accessed: 27 October 2023). </w:t>
      </w:r>
    </w:p>
    <w:p w14:paraId="32040611" w14:textId="77777777" w:rsidR="00E74323" w:rsidRPr="007334BA" w:rsidRDefault="00E74323" w:rsidP="00E74323">
      <w:pPr>
        <w:spacing w:line="360" w:lineRule="auto"/>
        <w:rPr>
          <w:rFonts w:ascii="Arial" w:hAnsi="Arial" w:cs="Arial"/>
        </w:rPr>
      </w:pPr>
      <w:r w:rsidRPr="007334BA">
        <w:rPr>
          <w:rFonts w:ascii="Arial" w:hAnsi="Arial" w:cs="Arial"/>
        </w:rPr>
        <w:t xml:space="preserve">Brookfield, S. (1995) The getting of wisdom: What critically reflective teaching is and why it’s important. Becoming a critically reflective teacher, 1-28. Available at: </w:t>
      </w:r>
      <w:hyperlink r:id="rId6" w:tgtFrame="_blank" w:history="1">
        <w:r w:rsidRPr="007334BA">
          <w:rPr>
            <w:rStyle w:val="Hyperlink"/>
            <w:rFonts w:ascii="Arial" w:hAnsi="Arial" w:cs="Arial"/>
            <w:color w:val="auto"/>
          </w:rPr>
          <w:t>https://static1.squarespace.com/static/51acea8be4b02783f894c272/t/53628f3be4b0bddd58665b76/1398968123150/Brookfield-Getting+Wisdom.pdf</w:t>
        </w:r>
      </w:hyperlink>
      <w:r w:rsidRPr="007334BA">
        <w:rPr>
          <w:rFonts w:ascii="Arial" w:hAnsi="Arial" w:cs="Arial"/>
        </w:rPr>
        <w:t xml:space="preserve">  </w:t>
      </w:r>
    </w:p>
    <w:p w14:paraId="5F699690" w14:textId="77777777" w:rsidR="00E74323" w:rsidRPr="007334BA" w:rsidRDefault="00E74323" w:rsidP="00E74323">
      <w:pPr>
        <w:spacing w:line="360" w:lineRule="auto"/>
        <w:rPr>
          <w:rFonts w:ascii="Arial" w:hAnsi="Arial" w:cs="Arial"/>
        </w:rPr>
      </w:pPr>
      <w:r w:rsidRPr="007334BA">
        <w:rPr>
          <w:rFonts w:ascii="Arial" w:hAnsi="Arial" w:cs="Arial"/>
        </w:rPr>
        <w:t xml:space="preserve">Brookfield, S. D. (1990) The </w:t>
      </w:r>
      <w:proofErr w:type="spellStart"/>
      <w:r w:rsidRPr="007334BA">
        <w:rPr>
          <w:rFonts w:ascii="Arial" w:hAnsi="Arial" w:cs="Arial"/>
        </w:rPr>
        <w:t>Skillful</w:t>
      </w:r>
      <w:proofErr w:type="spellEnd"/>
      <w:r w:rsidRPr="007334BA">
        <w:rPr>
          <w:rFonts w:ascii="Arial" w:hAnsi="Arial" w:cs="Arial"/>
        </w:rPr>
        <w:t xml:space="preserve"> teacher. San Francisco: Jossey Bass. </w:t>
      </w:r>
    </w:p>
    <w:p w14:paraId="70C1EABA" w14:textId="77777777" w:rsidR="00E74323" w:rsidRPr="007334BA" w:rsidRDefault="00E74323" w:rsidP="00E74323">
      <w:pPr>
        <w:spacing w:line="360" w:lineRule="auto"/>
        <w:rPr>
          <w:rFonts w:ascii="Arial" w:hAnsi="Arial" w:cs="Arial"/>
        </w:rPr>
      </w:pPr>
      <w:proofErr w:type="spellStart"/>
      <w:r w:rsidRPr="007334BA">
        <w:rPr>
          <w:rFonts w:ascii="Arial" w:hAnsi="Arial" w:cs="Arial"/>
        </w:rPr>
        <w:t>Bruster</w:t>
      </w:r>
      <w:proofErr w:type="spellEnd"/>
      <w:r w:rsidRPr="007334BA">
        <w:rPr>
          <w:rFonts w:ascii="Arial" w:hAnsi="Arial" w:cs="Arial"/>
        </w:rPr>
        <w:t xml:space="preserve">, B.G. and Peterson, B.R. (2013) ‘Using critical incidents in teaching to promote reflective practice’, </w:t>
      </w:r>
      <w:r w:rsidRPr="007334BA">
        <w:rPr>
          <w:rFonts w:ascii="Arial" w:hAnsi="Arial" w:cs="Arial"/>
          <w:i/>
          <w:iCs/>
        </w:rPr>
        <w:t>Reflective Practice</w:t>
      </w:r>
      <w:r w:rsidRPr="007334BA">
        <w:rPr>
          <w:rFonts w:ascii="Arial" w:hAnsi="Arial" w:cs="Arial"/>
        </w:rPr>
        <w:t xml:space="preserve">, 14(2), pp. 170–182. Available at: </w:t>
      </w:r>
      <w:hyperlink r:id="rId7" w:tgtFrame="_blank" w:history="1">
        <w:r w:rsidRPr="007334BA">
          <w:rPr>
            <w:rStyle w:val="Hyperlink"/>
            <w:rFonts w:ascii="Arial" w:hAnsi="Arial" w:cs="Arial"/>
            <w:color w:val="auto"/>
          </w:rPr>
          <w:t>https://doi.org/10.1080/14623943.2012.732945</w:t>
        </w:r>
      </w:hyperlink>
      <w:r w:rsidRPr="007334BA">
        <w:rPr>
          <w:rFonts w:ascii="Arial" w:hAnsi="Arial" w:cs="Arial"/>
        </w:rPr>
        <w:t> </w:t>
      </w:r>
    </w:p>
    <w:p w14:paraId="5A56C84C" w14:textId="77777777" w:rsidR="00E74323" w:rsidRPr="007334BA" w:rsidRDefault="00E74323" w:rsidP="00E74323">
      <w:pPr>
        <w:spacing w:line="360" w:lineRule="auto"/>
        <w:rPr>
          <w:rFonts w:ascii="Arial" w:hAnsi="Arial" w:cs="Arial"/>
        </w:rPr>
      </w:pPr>
      <w:r w:rsidRPr="007334BA">
        <w:rPr>
          <w:rFonts w:ascii="Arial" w:hAnsi="Arial" w:cs="Arial"/>
        </w:rPr>
        <w:t>Cambridge Assessment International Education (2014) G</w:t>
      </w:r>
      <w:r w:rsidRPr="007334BA">
        <w:rPr>
          <w:rFonts w:ascii="Arial" w:hAnsi="Arial" w:cs="Arial"/>
          <w:i/>
          <w:iCs/>
        </w:rPr>
        <w:t xml:space="preserve">etting started with reflective practice. </w:t>
      </w:r>
      <w:r w:rsidRPr="007334BA">
        <w:rPr>
          <w:rFonts w:ascii="Arial" w:hAnsi="Arial" w:cs="Arial"/>
        </w:rPr>
        <w:t xml:space="preserve">Available at: </w:t>
      </w:r>
      <w:hyperlink r:id="rId8" w:tgtFrame="_blank" w:history="1">
        <w:r w:rsidRPr="007334BA">
          <w:rPr>
            <w:rStyle w:val="Hyperlink"/>
            <w:rFonts w:ascii="Arial" w:hAnsi="Arial" w:cs="Arial"/>
            <w:color w:val="auto"/>
          </w:rPr>
          <w:t>https://www.cambridge-community.org.uk/professional-development/gswrp/index.html</w:t>
        </w:r>
      </w:hyperlink>
      <w:r w:rsidRPr="007334BA">
        <w:rPr>
          <w:rFonts w:ascii="Arial" w:hAnsi="Arial" w:cs="Arial"/>
        </w:rPr>
        <w:t xml:space="preserve"> (Accessed: 25 October 2023). </w:t>
      </w:r>
    </w:p>
    <w:p w14:paraId="4E4EE6A6" w14:textId="77777777" w:rsidR="00E74323" w:rsidRPr="007334BA" w:rsidRDefault="00E74323" w:rsidP="00E74323">
      <w:pPr>
        <w:spacing w:line="360" w:lineRule="auto"/>
        <w:rPr>
          <w:rFonts w:ascii="Arial" w:hAnsi="Arial" w:cs="Arial"/>
        </w:rPr>
      </w:pPr>
      <w:proofErr w:type="spellStart"/>
      <w:r w:rsidRPr="007334BA">
        <w:rPr>
          <w:rFonts w:ascii="Arial" w:hAnsi="Arial" w:cs="Arial"/>
        </w:rPr>
        <w:t>Chaiklin</w:t>
      </w:r>
      <w:proofErr w:type="spellEnd"/>
      <w:r w:rsidRPr="007334BA">
        <w:rPr>
          <w:rFonts w:ascii="Arial" w:hAnsi="Arial" w:cs="Arial"/>
        </w:rPr>
        <w:t xml:space="preserve">, S. (2003) The zone of proximal development in Vygotsky’s analysis of learning and instruction. </w:t>
      </w:r>
      <w:r w:rsidRPr="007334BA">
        <w:rPr>
          <w:rFonts w:ascii="Arial" w:hAnsi="Arial" w:cs="Arial"/>
          <w:i/>
          <w:iCs/>
        </w:rPr>
        <w:t>Vygotsky’s educational theory in cultural context</w:t>
      </w:r>
      <w:r w:rsidRPr="007334BA">
        <w:rPr>
          <w:rFonts w:ascii="Arial" w:hAnsi="Arial" w:cs="Arial"/>
        </w:rPr>
        <w:t xml:space="preserve">, </w:t>
      </w:r>
      <w:r w:rsidRPr="007334BA">
        <w:rPr>
          <w:rFonts w:ascii="Arial" w:hAnsi="Arial" w:cs="Arial"/>
          <w:i/>
          <w:iCs/>
        </w:rPr>
        <w:t>1</w:t>
      </w:r>
      <w:r w:rsidRPr="007334BA">
        <w:rPr>
          <w:rFonts w:ascii="Arial" w:hAnsi="Arial" w:cs="Arial"/>
        </w:rPr>
        <w:t>(2), pp.39-64. </w:t>
      </w:r>
    </w:p>
    <w:p w14:paraId="43F33C61" w14:textId="77777777" w:rsidR="00E74323" w:rsidRPr="007334BA" w:rsidRDefault="00E74323" w:rsidP="00E74323">
      <w:pPr>
        <w:spacing w:line="360" w:lineRule="auto"/>
        <w:rPr>
          <w:rFonts w:ascii="Arial" w:hAnsi="Arial" w:cs="Arial"/>
        </w:rPr>
      </w:pPr>
      <w:r w:rsidRPr="007334BA">
        <w:rPr>
          <w:rFonts w:ascii="Arial" w:hAnsi="Arial" w:cs="Arial"/>
        </w:rPr>
        <w:t xml:space="preserve">Department for Education (2016) </w:t>
      </w:r>
      <w:r w:rsidRPr="007334BA">
        <w:rPr>
          <w:rFonts w:ascii="Arial" w:hAnsi="Arial" w:cs="Arial"/>
          <w:i/>
          <w:iCs/>
        </w:rPr>
        <w:t>Standard for teachers’ professional development</w:t>
      </w:r>
      <w:r w:rsidRPr="007334BA">
        <w:rPr>
          <w:rFonts w:ascii="Arial" w:hAnsi="Arial" w:cs="Arial"/>
        </w:rPr>
        <w:t xml:space="preserve">. Available at: </w:t>
      </w:r>
      <w:hyperlink r:id="rId9" w:tgtFrame="_blank" w:history="1">
        <w:r w:rsidRPr="007334BA">
          <w:rPr>
            <w:rStyle w:val="Hyperlink"/>
            <w:rFonts w:ascii="Arial" w:hAnsi="Arial" w:cs="Arial"/>
            <w:color w:val="auto"/>
          </w:rPr>
          <w:t>https://assets.publishing.service.gov.uk/media/5a750b16ed915d5c54465143/160712_-_PD_Expert_Group_Guidance.pdf</w:t>
        </w:r>
      </w:hyperlink>
      <w:r w:rsidRPr="007334BA">
        <w:rPr>
          <w:rFonts w:ascii="Arial" w:hAnsi="Arial" w:cs="Arial"/>
        </w:rPr>
        <w:t xml:space="preserve"> (Accessed: 27 October 2023). </w:t>
      </w:r>
    </w:p>
    <w:p w14:paraId="6560396A" w14:textId="77777777" w:rsidR="00E74323" w:rsidRPr="007334BA" w:rsidRDefault="00E74323" w:rsidP="00E74323">
      <w:pPr>
        <w:spacing w:line="360" w:lineRule="auto"/>
        <w:rPr>
          <w:rFonts w:ascii="Arial" w:hAnsi="Arial" w:cs="Arial"/>
        </w:rPr>
      </w:pPr>
      <w:r w:rsidRPr="007334BA">
        <w:rPr>
          <w:rFonts w:ascii="Arial" w:hAnsi="Arial" w:cs="Arial"/>
        </w:rPr>
        <w:t xml:space="preserve">Di Domenico, S.I. and Ryan, R.M. (2017) The emerging neuroscience of intrinsic motivation: A new frontier in self-determination research. </w:t>
      </w:r>
      <w:r w:rsidRPr="007334BA">
        <w:rPr>
          <w:rFonts w:ascii="Arial" w:hAnsi="Arial" w:cs="Arial"/>
          <w:i/>
          <w:iCs/>
        </w:rPr>
        <w:t>Frontiers in human neuroscience</w:t>
      </w:r>
      <w:r w:rsidRPr="007334BA">
        <w:rPr>
          <w:rFonts w:ascii="Arial" w:hAnsi="Arial" w:cs="Arial"/>
        </w:rPr>
        <w:t xml:space="preserve">, </w:t>
      </w:r>
      <w:r w:rsidRPr="007334BA">
        <w:rPr>
          <w:rFonts w:ascii="Arial" w:hAnsi="Arial" w:cs="Arial"/>
          <w:i/>
          <w:iCs/>
        </w:rPr>
        <w:t>11</w:t>
      </w:r>
      <w:r w:rsidRPr="007334BA">
        <w:rPr>
          <w:rFonts w:ascii="Arial" w:hAnsi="Arial" w:cs="Arial"/>
        </w:rPr>
        <w:t>, p.145. </w:t>
      </w:r>
    </w:p>
    <w:p w14:paraId="37879217" w14:textId="77777777" w:rsidR="00E74323" w:rsidRPr="007334BA" w:rsidRDefault="00E74323" w:rsidP="00E74323">
      <w:pPr>
        <w:spacing w:line="360" w:lineRule="auto"/>
        <w:rPr>
          <w:rFonts w:ascii="Arial" w:hAnsi="Arial" w:cs="Arial"/>
        </w:rPr>
      </w:pPr>
      <w:r w:rsidRPr="007334BA">
        <w:rPr>
          <w:rFonts w:ascii="Arial" w:hAnsi="Arial" w:cs="Arial"/>
        </w:rPr>
        <w:t>Donaldson G, (2015) Successful Futures Independent Review of Curriculum and Assessment Arrangements in Wales. </w:t>
      </w:r>
    </w:p>
    <w:p w14:paraId="66FC5C7D" w14:textId="77777777" w:rsidR="00E74323" w:rsidRPr="007334BA" w:rsidRDefault="00E74323" w:rsidP="00E74323">
      <w:pPr>
        <w:spacing w:line="360" w:lineRule="auto"/>
        <w:rPr>
          <w:rFonts w:ascii="Arial" w:hAnsi="Arial" w:cs="Arial"/>
        </w:rPr>
      </w:pPr>
      <w:r w:rsidRPr="007334BA">
        <w:rPr>
          <w:rFonts w:ascii="Arial" w:hAnsi="Arial" w:cs="Arial"/>
        </w:rPr>
        <w:t xml:space="preserve">Education Wales (2019) </w:t>
      </w:r>
      <w:r w:rsidRPr="007334BA">
        <w:rPr>
          <w:rFonts w:ascii="Arial" w:hAnsi="Arial" w:cs="Arial"/>
          <w:i/>
          <w:iCs/>
        </w:rPr>
        <w:t xml:space="preserve">Professional Standards for Teaching and Leadership. </w:t>
      </w:r>
      <w:r w:rsidRPr="007334BA">
        <w:rPr>
          <w:rFonts w:ascii="Arial" w:hAnsi="Arial" w:cs="Arial"/>
        </w:rPr>
        <w:t>Wales: Welsh Government. </w:t>
      </w:r>
    </w:p>
    <w:p w14:paraId="7A7502F8" w14:textId="77777777" w:rsidR="00E74323" w:rsidRPr="007334BA" w:rsidRDefault="00E74323" w:rsidP="00E74323">
      <w:pPr>
        <w:spacing w:line="360" w:lineRule="auto"/>
        <w:rPr>
          <w:rFonts w:ascii="Arial" w:hAnsi="Arial" w:cs="Arial"/>
        </w:rPr>
      </w:pPr>
      <w:r w:rsidRPr="007334BA">
        <w:rPr>
          <w:rFonts w:ascii="Arial" w:hAnsi="Arial" w:cs="Arial"/>
        </w:rPr>
        <w:t xml:space="preserve">Estyn (2018) A report on Ysgol </w:t>
      </w:r>
      <w:proofErr w:type="spellStart"/>
      <w:r w:rsidRPr="007334BA">
        <w:rPr>
          <w:rFonts w:ascii="Arial" w:hAnsi="Arial" w:cs="Arial"/>
        </w:rPr>
        <w:t>Gynradd</w:t>
      </w:r>
      <w:proofErr w:type="spellEnd"/>
      <w:r w:rsidRPr="007334BA">
        <w:rPr>
          <w:rFonts w:ascii="Arial" w:hAnsi="Arial" w:cs="Arial"/>
        </w:rPr>
        <w:t xml:space="preserve"> </w:t>
      </w:r>
      <w:proofErr w:type="spellStart"/>
      <w:r w:rsidRPr="007334BA">
        <w:rPr>
          <w:rFonts w:ascii="Arial" w:hAnsi="Arial" w:cs="Arial"/>
        </w:rPr>
        <w:t>Gymraeg</w:t>
      </w:r>
      <w:proofErr w:type="spellEnd"/>
      <w:r w:rsidRPr="007334BA">
        <w:rPr>
          <w:rFonts w:ascii="Arial" w:hAnsi="Arial" w:cs="Arial"/>
        </w:rPr>
        <w:t xml:space="preserve"> </w:t>
      </w:r>
      <w:proofErr w:type="spellStart"/>
      <w:r w:rsidRPr="007334BA">
        <w:rPr>
          <w:rFonts w:ascii="Arial" w:hAnsi="Arial" w:cs="Arial"/>
        </w:rPr>
        <w:t>Lôn</w:t>
      </w:r>
      <w:proofErr w:type="spellEnd"/>
      <w:r w:rsidRPr="007334BA">
        <w:rPr>
          <w:rFonts w:ascii="Arial" w:hAnsi="Arial" w:cs="Arial"/>
        </w:rPr>
        <w:t xml:space="preserve"> Las. Swansea: Estyn, Her Majesty’s Inspectorate for Education and Training in Wales. Available at: </w:t>
      </w:r>
      <w:hyperlink r:id="rId10" w:tgtFrame="_blank" w:history="1">
        <w:r w:rsidRPr="007334BA">
          <w:rPr>
            <w:rStyle w:val="Hyperlink"/>
            <w:rFonts w:ascii="Arial" w:hAnsi="Arial" w:cs="Arial"/>
            <w:color w:val="auto"/>
          </w:rPr>
          <w:t>https://www.estyn.gov.wales/system/files/2021-08/Inspection%20report%20Ysgol%20Gynradd%20Gymraeg%20Lonlas%202018.pdf</w:t>
        </w:r>
      </w:hyperlink>
      <w:r w:rsidRPr="007334BA">
        <w:rPr>
          <w:rFonts w:ascii="Arial" w:hAnsi="Arial" w:cs="Arial"/>
        </w:rPr>
        <w:t> </w:t>
      </w:r>
    </w:p>
    <w:p w14:paraId="75FFE2F2" w14:textId="77777777" w:rsidR="00E74323" w:rsidRPr="007334BA" w:rsidRDefault="00E74323" w:rsidP="00E74323">
      <w:pPr>
        <w:spacing w:line="360" w:lineRule="auto"/>
        <w:rPr>
          <w:rFonts w:ascii="Arial" w:hAnsi="Arial" w:cs="Arial"/>
        </w:rPr>
      </w:pPr>
      <w:r w:rsidRPr="007334BA">
        <w:rPr>
          <w:rFonts w:ascii="Arial" w:hAnsi="Arial" w:cs="Arial"/>
        </w:rPr>
        <w:t xml:space="preserve">Ferguson, C., Van Den Broek, E.L. and Van Oostendorp, H. (2022) </w:t>
      </w:r>
      <w:r w:rsidRPr="007334BA">
        <w:rPr>
          <w:rFonts w:ascii="Arial" w:hAnsi="Arial" w:cs="Arial"/>
          <w:i/>
          <w:iCs/>
        </w:rPr>
        <w:t>AI-Induced Guidance: Preserving the Optimal Zone of Proximal Development</w:t>
      </w:r>
      <w:r w:rsidRPr="007334BA">
        <w:rPr>
          <w:rFonts w:ascii="Arial" w:hAnsi="Arial" w:cs="Arial"/>
        </w:rPr>
        <w:t>. Computers and Education: Artificial Intelligence. </w:t>
      </w:r>
    </w:p>
    <w:p w14:paraId="74B24BAE" w14:textId="77777777" w:rsidR="00E74323" w:rsidRPr="007334BA" w:rsidRDefault="00E74323" w:rsidP="00E74323">
      <w:pPr>
        <w:spacing w:line="360" w:lineRule="auto"/>
        <w:rPr>
          <w:rFonts w:ascii="Arial" w:hAnsi="Arial" w:cs="Arial"/>
        </w:rPr>
      </w:pPr>
      <w:r w:rsidRPr="007334BA">
        <w:rPr>
          <w:rFonts w:ascii="Arial" w:hAnsi="Arial" w:cs="Arial"/>
        </w:rPr>
        <w:t>Finlay, L. (2008) Reflecting on ‘Reflective practice’. Practice-based Professional Learning Paper 52, The Open University. Available at:</w:t>
      </w:r>
      <w:hyperlink r:id="rId11" w:tgtFrame="_blank" w:history="1">
        <w:r w:rsidRPr="007334BA">
          <w:rPr>
            <w:rStyle w:val="Hyperlink"/>
            <w:rFonts w:ascii="Arial" w:hAnsi="Arial" w:cs="Arial"/>
            <w:color w:val="auto"/>
          </w:rPr>
          <w:t xml:space="preserve"> </w:t>
        </w:r>
      </w:hyperlink>
      <w:hyperlink r:id="rId12" w:tgtFrame="_blank" w:history="1">
        <w:r w:rsidRPr="007334BA">
          <w:rPr>
            <w:rStyle w:val="Hyperlink"/>
            <w:rFonts w:ascii="Arial" w:hAnsi="Arial" w:cs="Arial"/>
            <w:color w:val="auto"/>
          </w:rPr>
          <w:t>https://oro.open.ac.uk/68945/1/Finlay-%282008%29-Reflecting-on-reflective-practice-PBPL-paper-52.pdf</w:t>
        </w:r>
      </w:hyperlink>
      <w:r w:rsidRPr="007334BA">
        <w:rPr>
          <w:rFonts w:ascii="Arial" w:hAnsi="Arial" w:cs="Arial"/>
        </w:rPr>
        <w:t>)  </w:t>
      </w:r>
    </w:p>
    <w:p w14:paraId="770E5675" w14:textId="77777777" w:rsidR="00E74323" w:rsidRPr="007334BA" w:rsidRDefault="00E74323" w:rsidP="00E74323">
      <w:pPr>
        <w:spacing w:line="360" w:lineRule="auto"/>
        <w:rPr>
          <w:rFonts w:ascii="Arial" w:hAnsi="Arial" w:cs="Arial"/>
        </w:rPr>
      </w:pPr>
      <w:r w:rsidRPr="007334BA">
        <w:rPr>
          <w:rFonts w:ascii="Arial" w:hAnsi="Arial" w:cs="Arial"/>
          <w:lang w:val="en"/>
        </w:rPr>
        <w:t xml:space="preserve">Fredricks, J.A., Blumenfeld, P.C. and Paris, A.H. (2004) </w:t>
      </w:r>
      <w:r w:rsidRPr="007334BA">
        <w:rPr>
          <w:rFonts w:ascii="Arial" w:hAnsi="Arial" w:cs="Arial"/>
          <w:i/>
          <w:iCs/>
          <w:lang w:val="en"/>
        </w:rPr>
        <w:t>School engagement: Potential of the concept, state of the evidence.</w:t>
      </w:r>
      <w:r w:rsidRPr="007334BA">
        <w:rPr>
          <w:rFonts w:ascii="Arial" w:hAnsi="Arial" w:cs="Arial"/>
          <w:lang w:val="en"/>
        </w:rPr>
        <w:t xml:space="preserve"> Review of educational research, pp. 59-109</w:t>
      </w:r>
      <w:r w:rsidRPr="007334BA">
        <w:rPr>
          <w:rFonts w:ascii="Arial" w:hAnsi="Arial" w:cs="Arial"/>
          <w:i/>
          <w:iCs/>
          <w:lang w:val="en"/>
        </w:rPr>
        <w:t>.</w:t>
      </w:r>
      <w:r w:rsidRPr="007334BA">
        <w:rPr>
          <w:rFonts w:ascii="Arial" w:hAnsi="Arial" w:cs="Arial"/>
        </w:rPr>
        <w:t> </w:t>
      </w:r>
    </w:p>
    <w:p w14:paraId="7C17B745" w14:textId="77777777" w:rsidR="00E74323" w:rsidRPr="007334BA" w:rsidRDefault="00E74323" w:rsidP="00E74323">
      <w:pPr>
        <w:spacing w:line="360" w:lineRule="auto"/>
        <w:rPr>
          <w:rFonts w:ascii="Arial" w:hAnsi="Arial" w:cs="Arial"/>
        </w:rPr>
      </w:pPr>
      <w:r w:rsidRPr="007334BA">
        <w:rPr>
          <w:rFonts w:ascii="Arial" w:hAnsi="Arial" w:cs="Arial"/>
        </w:rPr>
        <w:t>Geng, G., Smith, P., Black, S., Budd, Y. and Disney, L. (2019) Reflective practice in teaching. Springer Nature Singapore Pte Ltd.  </w:t>
      </w:r>
    </w:p>
    <w:p w14:paraId="34DEBA25" w14:textId="77777777" w:rsidR="00E74323" w:rsidRPr="007334BA" w:rsidRDefault="00E74323" w:rsidP="00E74323">
      <w:pPr>
        <w:spacing w:line="360" w:lineRule="auto"/>
        <w:rPr>
          <w:rFonts w:ascii="Arial" w:hAnsi="Arial" w:cs="Arial"/>
        </w:rPr>
      </w:pPr>
      <w:r w:rsidRPr="007334BA">
        <w:rPr>
          <w:rFonts w:ascii="Arial" w:hAnsi="Arial" w:cs="Arial"/>
        </w:rPr>
        <w:t>Immersive Learning Space Primary Classroom (2023) [</w:t>
      </w:r>
      <w:proofErr w:type="spellStart"/>
      <w:r w:rsidRPr="007334BA">
        <w:rPr>
          <w:rFonts w:ascii="Arial" w:hAnsi="Arial" w:cs="Arial"/>
        </w:rPr>
        <w:t>Youtube</w:t>
      </w:r>
      <w:proofErr w:type="spellEnd"/>
      <w:r w:rsidRPr="007334BA">
        <w:rPr>
          <w:rFonts w:ascii="Arial" w:hAnsi="Arial" w:cs="Arial"/>
        </w:rPr>
        <w:t>]. </w:t>
      </w:r>
      <w:hyperlink r:id="rId13" w:tgtFrame="_blank" w:history="1">
        <w:r w:rsidRPr="007334BA">
          <w:rPr>
            <w:rStyle w:val="Hyperlink"/>
            <w:rFonts w:ascii="Arial" w:hAnsi="Arial" w:cs="Arial"/>
            <w:color w:val="auto"/>
          </w:rPr>
          <w:t>https://www.youtube.com/watch?v=QRtVqJq20Ao</w:t>
        </w:r>
      </w:hyperlink>
      <w:r w:rsidRPr="007334BA">
        <w:rPr>
          <w:rFonts w:ascii="Arial" w:hAnsi="Arial" w:cs="Arial"/>
        </w:rPr>
        <w:t xml:space="preserve"> (</w:t>
      </w:r>
      <w:proofErr w:type="gramStart"/>
      <w:r w:rsidRPr="007334BA">
        <w:rPr>
          <w:rFonts w:ascii="Arial" w:hAnsi="Arial" w:cs="Arial"/>
        </w:rPr>
        <w:t>Accessed :</w:t>
      </w:r>
      <w:proofErr w:type="gramEnd"/>
      <w:r w:rsidRPr="007334BA">
        <w:rPr>
          <w:rFonts w:ascii="Arial" w:hAnsi="Arial" w:cs="Arial"/>
        </w:rPr>
        <w:t xml:space="preserve"> 2 October 2023) </w:t>
      </w:r>
    </w:p>
    <w:p w14:paraId="5F97DC74" w14:textId="77777777" w:rsidR="00E74323" w:rsidRPr="007334BA" w:rsidRDefault="00E74323" w:rsidP="00E74323">
      <w:pPr>
        <w:spacing w:line="360" w:lineRule="auto"/>
        <w:rPr>
          <w:rFonts w:ascii="Arial" w:hAnsi="Arial" w:cs="Arial"/>
        </w:rPr>
      </w:pPr>
      <w:r w:rsidRPr="007334BA">
        <w:rPr>
          <w:rFonts w:ascii="Arial" w:hAnsi="Arial" w:cs="Arial"/>
          <w:lang w:val="en"/>
        </w:rPr>
        <w:t xml:space="preserve">Johnson, M.K., Crosnoe, R. and Elder Jr, G.H. (2001) </w:t>
      </w:r>
      <w:r w:rsidRPr="007334BA">
        <w:rPr>
          <w:rFonts w:ascii="Arial" w:hAnsi="Arial" w:cs="Arial"/>
          <w:i/>
          <w:iCs/>
          <w:lang w:val="en"/>
        </w:rPr>
        <w:t>Students' attachment and academic engagement: The role of race and ethnicity.</w:t>
      </w:r>
      <w:r w:rsidRPr="007334BA">
        <w:rPr>
          <w:rFonts w:ascii="Arial" w:hAnsi="Arial" w:cs="Arial"/>
          <w:lang w:val="en"/>
        </w:rPr>
        <w:t xml:space="preserve"> Sociology of education, pp.318-340.</w:t>
      </w:r>
      <w:r w:rsidRPr="007334BA">
        <w:rPr>
          <w:rFonts w:ascii="Arial" w:hAnsi="Arial" w:cs="Arial"/>
        </w:rPr>
        <w:t> </w:t>
      </w:r>
    </w:p>
    <w:p w14:paraId="5FF14520" w14:textId="77777777" w:rsidR="00E74323" w:rsidRPr="007334BA" w:rsidRDefault="00E74323" w:rsidP="00E74323">
      <w:pPr>
        <w:spacing w:line="360" w:lineRule="auto"/>
        <w:rPr>
          <w:rFonts w:ascii="Arial" w:hAnsi="Arial" w:cs="Arial"/>
        </w:rPr>
      </w:pPr>
      <w:r w:rsidRPr="007334BA">
        <w:rPr>
          <w:rFonts w:ascii="Arial" w:hAnsi="Arial" w:cs="Arial"/>
        </w:rPr>
        <w:t xml:space="preserve">Joshi, K.R. (2018) ‘Critical incidents for teachers’ professional development’, Journal of NELTA </w:t>
      </w:r>
      <w:proofErr w:type="spellStart"/>
      <w:r w:rsidRPr="007334BA">
        <w:rPr>
          <w:rFonts w:ascii="Arial" w:hAnsi="Arial" w:cs="Arial"/>
        </w:rPr>
        <w:t>Surkhet</w:t>
      </w:r>
      <w:proofErr w:type="spellEnd"/>
      <w:r w:rsidRPr="007334BA">
        <w:rPr>
          <w:rFonts w:ascii="Arial" w:hAnsi="Arial" w:cs="Arial"/>
        </w:rPr>
        <w:t>, 5, pp. 82–88.  </w:t>
      </w:r>
    </w:p>
    <w:p w14:paraId="45F5C78C" w14:textId="77777777" w:rsidR="00E74323" w:rsidRPr="007334BA" w:rsidRDefault="00E74323" w:rsidP="00E74323">
      <w:pPr>
        <w:spacing w:line="360" w:lineRule="auto"/>
        <w:rPr>
          <w:rFonts w:ascii="Arial" w:hAnsi="Arial" w:cs="Arial"/>
        </w:rPr>
      </w:pPr>
      <w:r w:rsidRPr="007334BA">
        <w:rPr>
          <w:rFonts w:ascii="Arial" w:hAnsi="Arial" w:cs="Arial"/>
          <w:lang w:val="en"/>
        </w:rPr>
        <w:t xml:space="preserve">Kahn, W.A. (1990) </w:t>
      </w:r>
      <w:r w:rsidRPr="007334BA">
        <w:rPr>
          <w:rFonts w:ascii="Arial" w:hAnsi="Arial" w:cs="Arial"/>
          <w:i/>
          <w:iCs/>
          <w:lang w:val="en"/>
        </w:rPr>
        <w:t xml:space="preserve">Psychological conditions of personal engagement and disengagement at work. </w:t>
      </w:r>
      <w:r w:rsidRPr="007334BA">
        <w:rPr>
          <w:rFonts w:ascii="Arial" w:hAnsi="Arial" w:cs="Arial"/>
          <w:lang w:val="en"/>
        </w:rPr>
        <w:t>Academy of management journal, pp.692-724.</w:t>
      </w:r>
      <w:r w:rsidRPr="007334BA">
        <w:rPr>
          <w:rFonts w:ascii="Arial" w:hAnsi="Arial" w:cs="Arial"/>
        </w:rPr>
        <w:t> </w:t>
      </w:r>
    </w:p>
    <w:p w14:paraId="00F5276C" w14:textId="77777777" w:rsidR="00E74323" w:rsidRPr="007334BA" w:rsidRDefault="00E74323" w:rsidP="00E74323">
      <w:pPr>
        <w:spacing w:line="360" w:lineRule="auto"/>
        <w:rPr>
          <w:rFonts w:ascii="Arial" w:hAnsi="Arial" w:cs="Arial"/>
        </w:rPr>
      </w:pPr>
      <w:r w:rsidRPr="007334BA">
        <w:rPr>
          <w:rFonts w:ascii="Arial" w:hAnsi="Arial" w:cs="Arial"/>
        </w:rPr>
        <w:t xml:space="preserve">Kaur, A. and Noman, M. (2020) </w:t>
      </w:r>
      <w:r w:rsidRPr="007334BA">
        <w:rPr>
          <w:rFonts w:ascii="Arial" w:hAnsi="Arial" w:cs="Arial"/>
          <w:i/>
          <w:iCs/>
        </w:rPr>
        <w:t>Investigating students’ experiences of Students as Partners (</w:t>
      </w:r>
      <w:proofErr w:type="spellStart"/>
      <w:r w:rsidRPr="007334BA">
        <w:rPr>
          <w:rFonts w:ascii="Arial" w:hAnsi="Arial" w:cs="Arial"/>
          <w:i/>
          <w:iCs/>
        </w:rPr>
        <w:t>SaP</w:t>
      </w:r>
      <w:proofErr w:type="spellEnd"/>
      <w:r w:rsidRPr="007334BA">
        <w:rPr>
          <w:rFonts w:ascii="Arial" w:hAnsi="Arial" w:cs="Arial"/>
          <w:i/>
          <w:iCs/>
        </w:rPr>
        <w:t>) for basic need fulfilment: A self-determination theory perspective</w:t>
      </w:r>
      <w:r w:rsidRPr="007334BA">
        <w:rPr>
          <w:rFonts w:ascii="Arial" w:hAnsi="Arial" w:cs="Arial"/>
        </w:rPr>
        <w:t>. Journal of University Teaching &amp; Learning Practice, 17(1), p.8. </w:t>
      </w:r>
    </w:p>
    <w:p w14:paraId="57F5FA61" w14:textId="77777777" w:rsidR="00E74323" w:rsidRPr="007334BA" w:rsidRDefault="00E74323" w:rsidP="00E74323">
      <w:pPr>
        <w:spacing w:line="360" w:lineRule="auto"/>
        <w:rPr>
          <w:rFonts w:ascii="Arial" w:hAnsi="Arial" w:cs="Arial"/>
        </w:rPr>
      </w:pPr>
      <w:proofErr w:type="spellStart"/>
      <w:r w:rsidRPr="007334BA">
        <w:rPr>
          <w:rFonts w:ascii="Arial" w:hAnsi="Arial" w:cs="Arial"/>
        </w:rPr>
        <w:t>Kothiyal</w:t>
      </w:r>
      <w:proofErr w:type="spellEnd"/>
      <w:r w:rsidRPr="007334BA">
        <w:rPr>
          <w:rFonts w:ascii="Arial" w:hAnsi="Arial" w:cs="Arial"/>
        </w:rPr>
        <w:t xml:space="preserve">, A. </w:t>
      </w:r>
      <w:r w:rsidRPr="007334BA">
        <w:rPr>
          <w:rFonts w:ascii="Arial" w:hAnsi="Arial" w:cs="Arial"/>
          <w:i/>
          <w:iCs/>
        </w:rPr>
        <w:t>et al.</w:t>
      </w:r>
      <w:r w:rsidRPr="007334BA">
        <w:rPr>
          <w:rFonts w:ascii="Arial" w:hAnsi="Arial" w:cs="Arial"/>
        </w:rPr>
        <w:t xml:space="preserve"> (2013) ‘Effect of think-pair-share in a large CS1 class’, </w:t>
      </w:r>
      <w:r w:rsidRPr="007334BA">
        <w:rPr>
          <w:rFonts w:ascii="Arial" w:hAnsi="Arial" w:cs="Arial"/>
          <w:i/>
          <w:iCs/>
        </w:rPr>
        <w:t xml:space="preserve">Proceedings of the ninth annual international ACM conference on </w:t>
      </w:r>
      <w:proofErr w:type="gramStart"/>
      <w:r w:rsidRPr="007334BA">
        <w:rPr>
          <w:rFonts w:ascii="Arial" w:hAnsi="Arial" w:cs="Arial"/>
          <w:i/>
          <w:iCs/>
        </w:rPr>
        <w:t>International</w:t>
      </w:r>
      <w:proofErr w:type="gramEnd"/>
      <w:r w:rsidRPr="007334BA">
        <w:rPr>
          <w:rFonts w:ascii="Arial" w:hAnsi="Arial" w:cs="Arial"/>
          <w:i/>
          <w:iCs/>
        </w:rPr>
        <w:t xml:space="preserve"> computing education research</w:t>
      </w:r>
      <w:r w:rsidRPr="007334BA">
        <w:rPr>
          <w:rFonts w:ascii="Arial" w:hAnsi="Arial" w:cs="Arial"/>
        </w:rPr>
        <w:t>.  </w:t>
      </w:r>
    </w:p>
    <w:p w14:paraId="12933229" w14:textId="77777777" w:rsidR="00E74323" w:rsidRPr="007334BA" w:rsidRDefault="00E74323" w:rsidP="00E74323">
      <w:pPr>
        <w:spacing w:line="360" w:lineRule="auto"/>
        <w:rPr>
          <w:rFonts w:ascii="Arial" w:hAnsi="Arial" w:cs="Arial"/>
        </w:rPr>
      </w:pPr>
      <w:r w:rsidRPr="007334BA">
        <w:rPr>
          <w:rFonts w:ascii="Arial" w:hAnsi="Arial" w:cs="Arial"/>
          <w:lang w:val="en"/>
        </w:rPr>
        <w:t xml:space="preserve">Reichenberg, O. (2018) </w:t>
      </w:r>
      <w:r w:rsidRPr="007334BA">
        <w:rPr>
          <w:rFonts w:ascii="Arial" w:hAnsi="Arial" w:cs="Arial"/>
          <w:i/>
          <w:iCs/>
          <w:lang w:val="en"/>
        </w:rPr>
        <w:t xml:space="preserve">Student </w:t>
      </w:r>
      <w:proofErr w:type="spellStart"/>
      <w:r w:rsidRPr="007334BA">
        <w:rPr>
          <w:rFonts w:ascii="Arial" w:hAnsi="Arial" w:cs="Arial"/>
          <w:i/>
          <w:iCs/>
          <w:lang w:val="en"/>
        </w:rPr>
        <w:t>behavioural</w:t>
      </w:r>
      <w:proofErr w:type="spellEnd"/>
      <w:r w:rsidRPr="007334BA">
        <w:rPr>
          <w:rFonts w:ascii="Arial" w:hAnsi="Arial" w:cs="Arial"/>
          <w:i/>
          <w:iCs/>
          <w:lang w:val="en"/>
        </w:rPr>
        <w:t xml:space="preserve"> disengagement, peer encouragement and the school curriculum: A mechanism approach.</w:t>
      </w:r>
      <w:r w:rsidRPr="007334BA">
        <w:rPr>
          <w:rFonts w:ascii="Arial" w:hAnsi="Arial" w:cs="Arial"/>
          <w:lang w:val="en"/>
        </w:rPr>
        <w:t xml:space="preserve"> Educational Studies,</w:t>
      </w:r>
      <w:r w:rsidRPr="007334BA">
        <w:rPr>
          <w:rFonts w:ascii="Arial" w:hAnsi="Arial" w:cs="Arial"/>
          <w:i/>
          <w:iCs/>
          <w:lang w:val="en"/>
        </w:rPr>
        <w:t> </w:t>
      </w:r>
      <w:r w:rsidRPr="007334BA">
        <w:rPr>
          <w:rFonts w:ascii="Arial" w:hAnsi="Arial" w:cs="Arial"/>
          <w:lang w:val="en"/>
        </w:rPr>
        <w:t>pp.147-166.</w:t>
      </w:r>
      <w:r w:rsidRPr="007334BA">
        <w:rPr>
          <w:rFonts w:ascii="Arial" w:hAnsi="Arial" w:cs="Arial"/>
        </w:rPr>
        <w:t> </w:t>
      </w:r>
    </w:p>
    <w:p w14:paraId="33F80272" w14:textId="77777777" w:rsidR="00E74323" w:rsidRPr="007334BA" w:rsidRDefault="00E74323" w:rsidP="00E74323">
      <w:pPr>
        <w:spacing w:line="360" w:lineRule="auto"/>
        <w:rPr>
          <w:rFonts w:ascii="Arial" w:hAnsi="Arial" w:cs="Arial"/>
        </w:rPr>
      </w:pPr>
      <w:r w:rsidRPr="007334BA">
        <w:rPr>
          <w:rFonts w:ascii="Arial" w:hAnsi="Arial" w:cs="Arial"/>
        </w:rPr>
        <w:t xml:space="preserve">Ryan, R.M. and Deci, E.L. (2000) </w:t>
      </w:r>
      <w:r w:rsidRPr="007334BA">
        <w:rPr>
          <w:rFonts w:ascii="Arial" w:hAnsi="Arial" w:cs="Arial"/>
          <w:i/>
          <w:iCs/>
        </w:rPr>
        <w:t>Intrinsic and extrinsic motivations: Classic definitions and new directions.</w:t>
      </w:r>
      <w:r w:rsidRPr="007334BA">
        <w:rPr>
          <w:rFonts w:ascii="Arial" w:hAnsi="Arial" w:cs="Arial"/>
        </w:rPr>
        <w:t xml:space="preserve"> Contemporary educational psychology, 25(1), pp.54-67. </w:t>
      </w:r>
    </w:p>
    <w:p w14:paraId="4C82A80E" w14:textId="77777777" w:rsidR="00E74323" w:rsidRPr="007334BA" w:rsidRDefault="00E74323" w:rsidP="00E74323">
      <w:pPr>
        <w:spacing w:line="360" w:lineRule="auto"/>
        <w:rPr>
          <w:rFonts w:ascii="Arial" w:hAnsi="Arial" w:cs="Arial"/>
        </w:rPr>
      </w:pPr>
      <w:proofErr w:type="spellStart"/>
      <w:r w:rsidRPr="007334BA">
        <w:rPr>
          <w:rFonts w:ascii="Arial" w:hAnsi="Arial" w:cs="Arial"/>
        </w:rPr>
        <w:t>Schiffl</w:t>
      </w:r>
      <w:proofErr w:type="spellEnd"/>
      <w:r w:rsidRPr="007334BA">
        <w:rPr>
          <w:rFonts w:ascii="Arial" w:hAnsi="Arial" w:cs="Arial"/>
        </w:rPr>
        <w:t>, I. and Baumgartner-Hirscher, N. (2022) 2 Differentiation and scaffolding. </w:t>
      </w:r>
      <w:r w:rsidRPr="007334BA">
        <w:rPr>
          <w:rFonts w:ascii="Arial" w:hAnsi="Arial" w:cs="Arial"/>
          <w:i/>
          <w:iCs/>
        </w:rPr>
        <w:t>Differentiation in Inquiry-based Learning.</w:t>
      </w:r>
      <w:r w:rsidRPr="007334BA">
        <w:rPr>
          <w:rFonts w:ascii="Arial" w:hAnsi="Arial" w:cs="Arial"/>
        </w:rPr>
        <w:t> </w:t>
      </w:r>
    </w:p>
    <w:p w14:paraId="4B75F65B" w14:textId="77777777" w:rsidR="00E74323" w:rsidRPr="007334BA" w:rsidRDefault="00E74323" w:rsidP="00E74323">
      <w:pPr>
        <w:spacing w:line="360" w:lineRule="auto"/>
        <w:rPr>
          <w:rFonts w:ascii="Arial" w:hAnsi="Arial" w:cs="Arial"/>
        </w:rPr>
      </w:pPr>
      <w:r w:rsidRPr="007334BA">
        <w:rPr>
          <w:rFonts w:ascii="Arial" w:hAnsi="Arial" w:cs="Arial"/>
        </w:rPr>
        <w:lastRenderedPageBreak/>
        <w:t>Schön, D.A. (1992) The Reflective Practitioner: How Professionals Think in Action (1st ed.). Routledge. Available at:</w:t>
      </w:r>
      <w:hyperlink r:id="rId14" w:tgtFrame="_blank" w:history="1">
        <w:r w:rsidRPr="007334BA">
          <w:rPr>
            <w:rStyle w:val="Hyperlink"/>
            <w:rFonts w:ascii="Arial" w:hAnsi="Arial" w:cs="Arial"/>
            <w:color w:val="auto"/>
          </w:rPr>
          <w:t xml:space="preserve"> </w:t>
        </w:r>
      </w:hyperlink>
      <w:hyperlink r:id="rId15" w:tgtFrame="_blank" w:history="1">
        <w:r w:rsidRPr="007334BA">
          <w:rPr>
            <w:rStyle w:val="Hyperlink"/>
            <w:rFonts w:ascii="Arial" w:hAnsi="Arial" w:cs="Arial"/>
            <w:color w:val="auto"/>
          </w:rPr>
          <w:t>https://doi.org/10.4324/9781315237473</w:t>
        </w:r>
      </w:hyperlink>
      <w:r w:rsidRPr="007334BA">
        <w:rPr>
          <w:rFonts w:ascii="Arial" w:hAnsi="Arial" w:cs="Arial"/>
        </w:rPr>
        <w:t> </w:t>
      </w:r>
    </w:p>
    <w:p w14:paraId="0778CFAA" w14:textId="77777777" w:rsidR="00E74323" w:rsidRPr="007334BA" w:rsidRDefault="00E74323" w:rsidP="00E74323">
      <w:pPr>
        <w:spacing w:line="360" w:lineRule="auto"/>
        <w:rPr>
          <w:rFonts w:ascii="Arial" w:hAnsi="Arial" w:cs="Arial"/>
        </w:rPr>
      </w:pPr>
      <w:r w:rsidRPr="007334BA">
        <w:rPr>
          <w:rFonts w:ascii="Arial" w:hAnsi="Arial" w:cs="Arial"/>
        </w:rPr>
        <w:t xml:space="preserve">Scott, C. (2010) </w:t>
      </w:r>
      <w:r w:rsidRPr="007334BA">
        <w:rPr>
          <w:rFonts w:ascii="Arial" w:hAnsi="Arial" w:cs="Arial"/>
          <w:i/>
          <w:iCs/>
        </w:rPr>
        <w:t>Classes are communities of learning.</w:t>
      </w:r>
      <w:r w:rsidRPr="007334BA">
        <w:rPr>
          <w:rFonts w:ascii="Arial" w:hAnsi="Arial" w:cs="Arial"/>
        </w:rPr>
        <w:t xml:space="preserve"> Professional Educator, 9(3), pp.14-16. </w:t>
      </w:r>
    </w:p>
    <w:p w14:paraId="40C34EA0" w14:textId="77777777" w:rsidR="00E74323" w:rsidRPr="007334BA" w:rsidRDefault="00E74323" w:rsidP="00E74323">
      <w:pPr>
        <w:spacing w:line="360" w:lineRule="auto"/>
        <w:rPr>
          <w:rFonts w:ascii="Arial" w:hAnsi="Arial" w:cs="Arial"/>
        </w:rPr>
      </w:pPr>
      <w:proofErr w:type="spellStart"/>
      <w:r w:rsidRPr="007334BA">
        <w:rPr>
          <w:rFonts w:ascii="Arial" w:hAnsi="Arial" w:cs="Arial"/>
        </w:rPr>
        <w:t>Shandomo</w:t>
      </w:r>
      <w:proofErr w:type="spellEnd"/>
      <w:r w:rsidRPr="007334BA">
        <w:rPr>
          <w:rFonts w:ascii="Arial" w:hAnsi="Arial" w:cs="Arial"/>
        </w:rPr>
        <w:t>, H.M. (2010) The role of critical reflection in teacher education. </w:t>
      </w:r>
      <w:r w:rsidRPr="007334BA">
        <w:rPr>
          <w:rFonts w:ascii="Arial" w:hAnsi="Arial" w:cs="Arial"/>
          <w:i/>
          <w:iCs/>
        </w:rPr>
        <w:t>School-University Partnerships</w:t>
      </w:r>
      <w:r w:rsidRPr="007334BA">
        <w:rPr>
          <w:rFonts w:ascii="Arial" w:hAnsi="Arial" w:cs="Arial"/>
        </w:rPr>
        <w:t>, </w:t>
      </w:r>
      <w:r w:rsidRPr="007334BA">
        <w:rPr>
          <w:rFonts w:ascii="Arial" w:hAnsi="Arial" w:cs="Arial"/>
          <w:i/>
          <w:iCs/>
        </w:rPr>
        <w:t>4</w:t>
      </w:r>
      <w:r w:rsidRPr="007334BA">
        <w:rPr>
          <w:rFonts w:ascii="Arial" w:hAnsi="Arial" w:cs="Arial"/>
        </w:rPr>
        <w:t xml:space="preserve">(1), pp.101-113. Available at: </w:t>
      </w:r>
      <w:hyperlink r:id="rId16" w:tgtFrame="_blank" w:history="1">
        <w:r w:rsidRPr="007334BA">
          <w:rPr>
            <w:rStyle w:val="Hyperlink"/>
            <w:rFonts w:ascii="Arial" w:hAnsi="Arial" w:cs="Arial"/>
            <w:color w:val="auto"/>
          </w:rPr>
          <w:t>https://files.eric.ed.gov/fulltext/EJ915885.pdf</w:t>
        </w:r>
      </w:hyperlink>
      <w:r w:rsidRPr="007334BA">
        <w:rPr>
          <w:rFonts w:ascii="Arial" w:hAnsi="Arial" w:cs="Arial"/>
        </w:rPr>
        <w:t> </w:t>
      </w:r>
    </w:p>
    <w:p w14:paraId="1FAC2DDD" w14:textId="77777777" w:rsidR="00E74323" w:rsidRPr="007334BA" w:rsidRDefault="00E74323" w:rsidP="00E74323">
      <w:pPr>
        <w:spacing w:line="360" w:lineRule="auto"/>
        <w:rPr>
          <w:rFonts w:ascii="Arial" w:hAnsi="Arial" w:cs="Arial"/>
        </w:rPr>
      </w:pPr>
      <w:proofErr w:type="spellStart"/>
      <w:r w:rsidRPr="007334BA">
        <w:rPr>
          <w:rFonts w:ascii="Arial" w:hAnsi="Arial" w:cs="Arial"/>
        </w:rPr>
        <w:t>Shibil</w:t>
      </w:r>
      <w:proofErr w:type="spellEnd"/>
      <w:r w:rsidRPr="007334BA">
        <w:rPr>
          <w:rFonts w:ascii="Arial" w:hAnsi="Arial" w:cs="Arial"/>
        </w:rPr>
        <w:t>, D. and West, R. (2018) ‘Cognitive load theory and its application in the classroom’, Chartered college of teaching. Available at: https://www.med.uvm.edu/docs/cognitive-load-theory-and-its-application-in-the-classroom/teaching-academy-documents/cognitive-load-theory-and-its-application-in-the-classroom.pdf?sfvrsn=d2044a75_0 (Accessed: 1 November 2023). </w:t>
      </w:r>
    </w:p>
    <w:p w14:paraId="2B6833AE" w14:textId="77777777" w:rsidR="00E74323" w:rsidRPr="007334BA" w:rsidRDefault="00E74323" w:rsidP="00E74323">
      <w:pPr>
        <w:spacing w:line="360" w:lineRule="auto"/>
        <w:rPr>
          <w:rFonts w:ascii="Arial" w:hAnsi="Arial" w:cs="Arial"/>
        </w:rPr>
      </w:pPr>
      <w:r w:rsidRPr="007334BA">
        <w:rPr>
          <w:rFonts w:ascii="Arial" w:hAnsi="Arial" w:cs="Arial"/>
          <w:lang w:val="en"/>
        </w:rPr>
        <w:t xml:space="preserve">Thuen, E. and Bru, E. (2004) </w:t>
      </w:r>
      <w:r w:rsidRPr="007334BA">
        <w:rPr>
          <w:rFonts w:ascii="Arial" w:hAnsi="Arial" w:cs="Arial"/>
          <w:i/>
          <w:iCs/>
          <w:lang w:val="en"/>
        </w:rPr>
        <w:t xml:space="preserve">Coping styles and emotional and </w:t>
      </w:r>
      <w:proofErr w:type="spellStart"/>
      <w:r w:rsidRPr="007334BA">
        <w:rPr>
          <w:rFonts w:ascii="Arial" w:hAnsi="Arial" w:cs="Arial"/>
          <w:i/>
          <w:iCs/>
          <w:lang w:val="en"/>
        </w:rPr>
        <w:t>behavioural</w:t>
      </w:r>
      <w:proofErr w:type="spellEnd"/>
      <w:r w:rsidRPr="007334BA">
        <w:rPr>
          <w:rFonts w:ascii="Arial" w:hAnsi="Arial" w:cs="Arial"/>
          <w:i/>
          <w:iCs/>
          <w:lang w:val="en"/>
        </w:rPr>
        <w:t xml:space="preserve"> problems among Norwegian grade 9 students. </w:t>
      </w:r>
      <w:r w:rsidRPr="007334BA">
        <w:rPr>
          <w:rFonts w:ascii="Arial" w:hAnsi="Arial" w:cs="Arial"/>
          <w:lang w:val="en"/>
        </w:rPr>
        <w:t>Scandinavian Journal of Educational Research, pp.493-510.</w:t>
      </w:r>
      <w:r w:rsidRPr="007334BA">
        <w:rPr>
          <w:rFonts w:ascii="Arial" w:hAnsi="Arial" w:cs="Arial"/>
        </w:rPr>
        <w:t> </w:t>
      </w:r>
    </w:p>
    <w:p w14:paraId="57935D1F" w14:textId="77777777" w:rsidR="00E74323" w:rsidRPr="007334BA" w:rsidRDefault="00E74323" w:rsidP="00E74323">
      <w:pPr>
        <w:spacing w:line="360" w:lineRule="auto"/>
        <w:rPr>
          <w:rFonts w:ascii="Arial" w:hAnsi="Arial" w:cs="Arial"/>
        </w:rPr>
      </w:pPr>
      <w:r w:rsidRPr="007334BA">
        <w:rPr>
          <w:rFonts w:ascii="Arial" w:hAnsi="Arial" w:cs="Arial"/>
        </w:rPr>
        <w:t>Tripp, D. (1993) Critical Incidents in Teaching: Developing Professional Judgement. London: Routledge. </w:t>
      </w:r>
    </w:p>
    <w:p w14:paraId="4B684FF8" w14:textId="77777777" w:rsidR="00E74323" w:rsidRPr="007334BA" w:rsidRDefault="00E74323" w:rsidP="00E74323">
      <w:pPr>
        <w:spacing w:line="360" w:lineRule="auto"/>
        <w:rPr>
          <w:rFonts w:ascii="Arial" w:hAnsi="Arial" w:cs="Arial"/>
        </w:rPr>
      </w:pPr>
      <w:r w:rsidRPr="007334BA">
        <w:rPr>
          <w:rFonts w:ascii="Arial" w:hAnsi="Arial" w:cs="Arial"/>
        </w:rPr>
        <w:t>Tripp, D. (2011) Critical Incidents in Teaching (Classic Edition): Developing professional judgement (1st ed.). Routledge. Available at:</w:t>
      </w:r>
      <w:hyperlink r:id="rId17" w:tgtFrame="_blank" w:history="1">
        <w:r w:rsidRPr="007334BA">
          <w:rPr>
            <w:rStyle w:val="Hyperlink"/>
            <w:rFonts w:ascii="Arial" w:hAnsi="Arial" w:cs="Arial"/>
            <w:color w:val="auto"/>
          </w:rPr>
          <w:t xml:space="preserve"> </w:t>
        </w:r>
      </w:hyperlink>
      <w:hyperlink r:id="rId18" w:tgtFrame="_blank" w:history="1">
        <w:r w:rsidRPr="007334BA">
          <w:rPr>
            <w:rStyle w:val="Hyperlink"/>
            <w:rFonts w:ascii="Arial" w:hAnsi="Arial" w:cs="Arial"/>
            <w:color w:val="auto"/>
          </w:rPr>
          <w:t>https://doi.org/10.4324/9780203802014</w:t>
        </w:r>
      </w:hyperlink>
      <w:r w:rsidRPr="007334BA">
        <w:rPr>
          <w:rFonts w:ascii="Arial" w:hAnsi="Arial" w:cs="Arial"/>
        </w:rPr>
        <w:t> </w:t>
      </w:r>
    </w:p>
    <w:p w14:paraId="7BD0B189" w14:textId="77777777" w:rsidR="00E74323" w:rsidRPr="007334BA" w:rsidRDefault="00E74323" w:rsidP="00E74323">
      <w:pPr>
        <w:spacing w:line="360" w:lineRule="auto"/>
        <w:rPr>
          <w:rFonts w:ascii="Arial" w:hAnsi="Arial" w:cs="Arial"/>
        </w:rPr>
      </w:pPr>
      <w:r w:rsidRPr="007334BA">
        <w:rPr>
          <w:rFonts w:ascii="Arial" w:hAnsi="Arial" w:cs="Arial"/>
        </w:rPr>
        <w:t xml:space="preserve">Valerio, K. (2012) </w:t>
      </w:r>
      <w:r w:rsidRPr="007334BA">
        <w:rPr>
          <w:rFonts w:ascii="Arial" w:hAnsi="Arial" w:cs="Arial"/>
          <w:i/>
          <w:iCs/>
        </w:rPr>
        <w:t>Intrinsic motivation in the classroom</w:t>
      </w:r>
      <w:r w:rsidRPr="007334BA">
        <w:rPr>
          <w:rFonts w:ascii="Arial" w:hAnsi="Arial" w:cs="Arial"/>
        </w:rPr>
        <w:t>. Journal of Student Engagement: Education Matters, 2(1) pp.30-35. </w:t>
      </w:r>
    </w:p>
    <w:p w14:paraId="1037C9D0" w14:textId="77777777" w:rsidR="00E74323" w:rsidRPr="007334BA" w:rsidRDefault="00E74323" w:rsidP="00E74323">
      <w:pPr>
        <w:spacing w:line="360" w:lineRule="auto"/>
        <w:rPr>
          <w:rFonts w:ascii="Arial" w:hAnsi="Arial" w:cs="Arial"/>
        </w:rPr>
      </w:pPr>
      <w:r w:rsidRPr="007334BA">
        <w:rPr>
          <w:rFonts w:ascii="Arial" w:hAnsi="Arial" w:cs="Arial"/>
        </w:rPr>
        <w:t xml:space="preserve">Valli, L. (1992) </w:t>
      </w:r>
      <w:r w:rsidRPr="007334BA">
        <w:rPr>
          <w:rFonts w:ascii="Arial" w:hAnsi="Arial" w:cs="Arial"/>
          <w:i/>
          <w:iCs/>
        </w:rPr>
        <w:t>Reflective teacher education: Cases and critiques</w:t>
      </w:r>
      <w:r w:rsidRPr="007334BA">
        <w:rPr>
          <w:rFonts w:ascii="Arial" w:hAnsi="Arial" w:cs="Arial"/>
        </w:rPr>
        <w:t>. Suny Press. </w:t>
      </w:r>
    </w:p>
    <w:p w14:paraId="4745D98C" w14:textId="77777777" w:rsidR="00E74323" w:rsidRPr="007334BA" w:rsidRDefault="00E74323" w:rsidP="00E74323">
      <w:pPr>
        <w:spacing w:line="360" w:lineRule="auto"/>
        <w:rPr>
          <w:rFonts w:ascii="Arial" w:hAnsi="Arial" w:cs="Arial"/>
        </w:rPr>
      </w:pPr>
      <w:r w:rsidRPr="007334BA">
        <w:rPr>
          <w:rFonts w:ascii="Arial" w:hAnsi="Arial" w:cs="Arial"/>
        </w:rPr>
        <w:t xml:space="preserve">Van Der </w:t>
      </w:r>
      <w:proofErr w:type="spellStart"/>
      <w:r w:rsidRPr="007334BA">
        <w:rPr>
          <w:rFonts w:ascii="Arial" w:hAnsi="Arial" w:cs="Arial"/>
        </w:rPr>
        <w:t>Stuyf</w:t>
      </w:r>
      <w:proofErr w:type="spellEnd"/>
      <w:r w:rsidRPr="007334BA">
        <w:rPr>
          <w:rFonts w:ascii="Arial" w:hAnsi="Arial" w:cs="Arial"/>
        </w:rPr>
        <w:t xml:space="preserve">, R.R. (2002) </w:t>
      </w:r>
      <w:r w:rsidRPr="007334BA">
        <w:rPr>
          <w:rFonts w:ascii="Arial" w:hAnsi="Arial" w:cs="Arial"/>
          <w:i/>
          <w:iCs/>
        </w:rPr>
        <w:t>Scaffolding as a teaching strategy.</w:t>
      </w:r>
      <w:r w:rsidRPr="007334BA">
        <w:rPr>
          <w:rFonts w:ascii="Arial" w:hAnsi="Arial" w:cs="Arial"/>
        </w:rPr>
        <w:t xml:space="preserve"> Adolescent learning and development, 52(3), pp.5-18. </w:t>
      </w:r>
    </w:p>
    <w:p w14:paraId="5DB7B769" w14:textId="77777777" w:rsidR="00E74323" w:rsidRPr="007334BA" w:rsidRDefault="00E74323" w:rsidP="00E74323">
      <w:pPr>
        <w:spacing w:line="360" w:lineRule="auto"/>
        <w:rPr>
          <w:rFonts w:ascii="Arial" w:hAnsi="Arial" w:cs="Arial"/>
        </w:rPr>
      </w:pPr>
      <w:r w:rsidRPr="007334BA">
        <w:rPr>
          <w:rFonts w:ascii="Arial" w:hAnsi="Arial" w:cs="Arial"/>
        </w:rPr>
        <w:t xml:space="preserve">Vygotsky, L. (1997) ‘Interaction between learning and development’, in Gauvain, M. and Cole, M. </w:t>
      </w:r>
      <w:r w:rsidRPr="007334BA">
        <w:rPr>
          <w:rFonts w:ascii="Arial" w:hAnsi="Arial" w:cs="Arial"/>
          <w:i/>
          <w:iCs/>
        </w:rPr>
        <w:t xml:space="preserve">Readings on the development of children. </w:t>
      </w:r>
      <w:r w:rsidRPr="007334BA">
        <w:rPr>
          <w:rFonts w:ascii="Arial" w:hAnsi="Arial" w:cs="Arial"/>
        </w:rPr>
        <w:t>New York: W. H. Freeman and Company. </w:t>
      </w:r>
    </w:p>
    <w:p w14:paraId="6C041208" w14:textId="77777777" w:rsidR="00E74323" w:rsidRPr="007334BA" w:rsidRDefault="00E74323" w:rsidP="00E74323">
      <w:pPr>
        <w:spacing w:line="360" w:lineRule="auto"/>
        <w:rPr>
          <w:rFonts w:ascii="Arial" w:hAnsi="Arial" w:cs="Arial"/>
        </w:rPr>
      </w:pPr>
      <w:r w:rsidRPr="007334BA">
        <w:rPr>
          <w:rFonts w:ascii="Arial" w:hAnsi="Arial" w:cs="Arial"/>
        </w:rPr>
        <w:t>Welsh Government (2022)</w:t>
      </w:r>
      <w:r w:rsidRPr="007334BA">
        <w:rPr>
          <w:rFonts w:ascii="Arial" w:hAnsi="Arial" w:cs="Arial"/>
          <w:i/>
          <w:iCs/>
        </w:rPr>
        <w:t xml:space="preserve"> My Local Schools.</w:t>
      </w:r>
      <w:r w:rsidRPr="007334BA">
        <w:rPr>
          <w:rFonts w:ascii="Arial" w:hAnsi="Arial" w:cs="Arial"/>
        </w:rPr>
        <w:t xml:space="preserve"> Ysgol </w:t>
      </w:r>
      <w:proofErr w:type="spellStart"/>
      <w:r w:rsidRPr="007334BA">
        <w:rPr>
          <w:rFonts w:ascii="Arial" w:hAnsi="Arial" w:cs="Arial"/>
        </w:rPr>
        <w:t>Gymraeg</w:t>
      </w:r>
      <w:proofErr w:type="spellEnd"/>
      <w:r w:rsidRPr="007334BA">
        <w:rPr>
          <w:rFonts w:ascii="Arial" w:hAnsi="Arial" w:cs="Arial"/>
        </w:rPr>
        <w:t xml:space="preserve"> Lon Las. Available at:  </w:t>
      </w:r>
      <w:hyperlink r:id="rId19" w:tgtFrame="_blank" w:history="1">
        <w:r w:rsidRPr="007334BA">
          <w:rPr>
            <w:rStyle w:val="Hyperlink"/>
            <w:rFonts w:ascii="Arial" w:hAnsi="Arial" w:cs="Arial"/>
            <w:color w:val="auto"/>
          </w:rPr>
          <w:t>https://mylocalschool.gov.wales/School/6702036?lang=en</w:t>
        </w:r>
      </w:hyperlink>
      <w:r w:rsidRPr="007334BA">
        <w:rPr>
          <w:rFonts w:ascii="Arial" w:hAnsi="Arial" w:cs="Arial"/>
        </w:rPr>
        <w:t>  </w:t>
      </w:r>
    </w:p>
    <w:p w14:paraId="5D94324D" w14:textId="77777777" w:rsidR="007334BA" w:rsidRPr="007334BA" w:rsidRDefault="007334BA" w:rsidP="00E74323">
      <w:pPr>
        <w:spacing w:line="360" w:lineRule="auto"/>
        <w:rPr>
          <w:rFonts w:ascii="Arial" w:hAnsi="Arial" w:cs="Arial"/>
        </w:rPr>
      </w:pPr>
      <w:r w:rsidRPr="007334BA">
        <w:rPr>
          <w:rFonts w:ascii="Arial" w:hAnsi="Arial" w:cs="Arial"/>
        </w:rPr>
        <w:t> </w:t>
      </w:r>
    </w:p>
    <w:p w14:paraId="195A8FD6" w14:textId="77777777" w:rsidR="007334BA" w:rsidRPr="007334BA" w:rsidRDefault="007334BA" w:rsidP="00E74323">
      <w:pPr>
        <w:spacing w:line="360" w:lineRule="auto"/>
        <w:rPr>
          <w:rFonts w:ascii="Arial" w:hAnsi="Arial" w:cs="Arial"/>
        </w:rPr>
      </w:pPr>
      <w:r w:rsidRPr="007334BA">
        <w:rPr>
          <w:rFonts w:ascii="Arial" w:hAnsi="Arial" w:cs="Arial"/>
        </w:rPr>
        <w:t> </w:t>
      </w:r>
    </w:p>
    <w:p w14:paraId="424CD2BE" w14:textId="77777777" w:rsidR="007334BA" w:rsidRPr="007334BA" w:rsidRDefault="007334BA" w:rsidP="007334BA">
      <w:r w:rsidRPr="007334BA">
        <w:t> </w:t>
      </w:r>
    </w:p>
    <w:p w14:paraId="183DA03D" w14:textId="77777777" w:rsidR="007334BA" w:rsidRPr="007334BA" w:rsidRDefault="007334BA" w:rsidP="007334BA">
      <w:r w:rsidRPr="007334BA">
        <w:rPr>
          <w:b/>
          <w:bCs/>
        </w:rPr>
        <w:lastRenderedPageBreak/>
        <w:t>Appendix A</w:t>
      </w:r>
      <w:r w:rsidRPr="007334BA">
        <w:t> </w:t>
      </w:r>
    </w:p>
    <w:p w14:paraId="0F38F624" w14:textId="77777777" w:rsidR="007334BA" w:rsidRPr="007334BA" w:rsidRDefault="007334BA" w:rsidP="007334BA">
      <w:r w:rsidRPr="007334B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10"/>
      </w:tblGrid>
      <w:tr w:rsidR="007334BA" w:rsidRPr="007334BA" w14:paraId="2C7F0D0B" w14:textId="77777777" w:rsidTr="007334BA">
        <w:trPr>
          <w:trHeight w:val="300"/>
        </w:trPr>
        <w:tc>
          <w:tcPr>
            <w:tcW w:w="8910" w:type="dxa"/>
            <w:tcBorders>
              <w:top w:val="single" w:sz="6" w:space="0" w:color="auto"/>
              <w:left w:val="single" w:sz="6" w:space="0" w:color="auto"/>
              <w:bottom w:val="single" w:sz="6" w:space="0" w:color="auto"/>
              <w:right w:val="single" w:sz="6" w:space="0" w:color="auto"/>
            </w:tcBorders>
            <w:shd w:val="clear" w:color="auto" w:fill="auto"/>
            <w:hideMark/>
          </w:tcPr>
          <w:p w14:paraId="17477C7A" w14:textId="77777777" w:rsidR="007334BA" w:rsidRPr="007334BA" w:rsidRDefault="007334BA" w:rsidP="007334BA">
            <w:pPr>
              <w:divId w:val="1455446915"/>
              <w:rPr>
                <w:rFonts w:ascii="Arial" w:hAnsi="Arial" w:cs="Arial"/>
              </w:rPr>
            </w:pPr>
            <w:r w:rsidRPr="007334BA">
              <w:rPr>
                <w:rFonts w:ascii="Arial" w:hAnsi="Arial" w:cs="Arial"/>
                <w:b/>
                <w:bCs/>
              </w:rPr>
              <w:t xml:space="preserve">Date and time, year group:  </w:t>
            </w:r>
            <w:r w:rsidRPr="007334BA">
              <w:rPr>
                <w:rFonts w:ascii="Arial" w:hAnsi="Arial" w:cs="Arial"/>
              </w:rPr>
              <w:t>Monday Morning. Year 3.  </w:t>
            </w:r>
          </w:p>
        </w:tc>
      </w:tr>
      <w:tr w:rsidR="007334BA" w:rsidRPr="007334BA" w14:paraId="2059CFD3" w14:textId="77777777" w:rsidTr="007334BA">
        <w:trPr>
          <w:trHeight w:val="2565"/>
        </w:trPr>
        <w:tc>
          <w:tcPr>
            <w:tcW w:w="8910" w:type="dxa"/>
            <w:tcBorders>
              <w:top w:val="single" w:sz="6" w:space="0" w:color="auto"/>
              <w:left w:val="single" w:sz="6" w:space="0" w:color="auto"/>
              <w:bottom w:val="single" w:sz="6" w:space="0" w:color="auto"/>
              <w:right w:val="single" w:sz="6" w:space="0" w:color="auto"/>
            </w:tcBorders>
            <w:shd w:val="clear" w:color="auto" w:fill="auto"/>
            <w:hideMark/>
          </w:tcPr>
          <w:p w14:paraId="212425BB" w14:textId="77777777" w:rsidR="007334BA" w:rsidRPr="007334BA" w:rsidRDefault="007334BA" w:rsidP="007334BA">
            <w:pPr>
              <w:rPr>
                <w:rFonts w:ascii="Arial" w:hAnsi="Arial" w:cs="Arial"/>
              </w:rPr>
            </w:pPr>
            <w:r w:rsidRPr="007334BA">
              <w:rPr>
                <w:rFonts w:ascii="Arial" w:hAnsi="Arial" w:cs="Arial"/>
                <w:b/>
                <w:bCs/>
              </w:rPr>
              <w:t>Where and When:</w:t>
            </w:r>
            <w:r w:rsidRPr="007334BA">
              <w:rPr>
                <w:rFonts w:ascii="Arial" w:hAnsi="Arial" w:cs="Arial"/>
              </w:rPr>
              <w:t xml:space="preserve"> Context of the observation – subject/AOLE, general classroom context </w:t>
            </w:r>
          </w:p>
          <w:p w14:paraId="02C83C65" w14:textId="77777777" w:rsidR="007334BA" w:rsidRPr="007334BA" w:rsidRDefault="007334BA" w:rsidP="007334BA">
            <w:pPr>
              <w:rPr>
                <w:rFonts w:ascii="Arial" w:hAnsi="Arial" w:cs="Arial"/>
              </w:rPr>
            </w:pPr>
            <w:r w:rsidRPr="007334BA">
              <w:rPr>
                <w:rFonts w:ascii="Arial" w:hAnsi="Arial" w:cs="Arial"/>
              </w:rPr>
              <w:t> </w:t>
            </w:r>
          </w:p>
          <w:p w14:paraId="56C1B0C7" w14:textId="77777777" w:rsidR="007334BA" w:rsidRPr="007334BA" w:rsidRDefault="007334BA" w:rsidP="007334BA">
            <w:pPr>
              <w:rPr>
                <w:rFonts w:ascii="Arial" w:hAnsi="Arial" w:cs="Arial"/>
              </w:rPr>
            </w:pPr>
            <w:r w:rsidRPr="007334BA">
              <w:rPr>
                <w:rFonts w:ascii="Arial" w:hAnsi="Arial" w:cs="Arial"/>
              </w:rPr>
              <w:t>AOLE: Mathematics and Numeracy lesson – Topic of discussion was Money.  </w:t>
            </w:r>
          </w:p>
          <w:p w14:paraId="5FA7A413" w14:textId="77777777" w:rsidR="007334BA" w:rsidRPr="007334BA" w:rsidRDefault="007334BA" w:rsidP="007334BA">
            <w:pPr>
              <w:rPr>
                <w:rFonts w:ascii="Arial" w:hAnsi="Arial" w:cs="Arial"/>
              </w:rPr>
            </w:pPr>
            <w:r w:rsidRPr="007334BA">
              <w:rPr>
                <w:rFonts w:ascii="Arial" w:hAnsi="Arial" w:cs="Arial"/>
              </w:rPr>
              <w:t>Number of pupils in attendance were 18 of mixed ability. The class were differentiated between lower, middle and higher abilities. </w:t>
            </w:r>
          </w:p>
          <w:p w14:paraId="3D4E5F51" w14:textId="77777777" w:rsidR="007334BA" w:rsidRPr="007334BA" w:rsidRDefault="007334BA" w:rsidP="007334BA">
            <w:pPr>
              <w:rPr>
                <w:rFonts w:ascii="Arial" w:hAnsi="Arial" w:cs="Arial"/>
              </w:rPr>
            </w:pPr>
            <w:r w:rsidRPr="007334BA">
              <w:rPr>
                <w:rFonts w:ascii="Arial" w:hAnsi="Arial" w:cs="Arial"/>
              </w:rPr>
              <w:t> </w:t>
            </w:r>
          </w:p>
          <w:p w14:paraId="02AB8E48" w14:textId="77777777" w:rsidR="007334BA" w:rsidRPr="007334BA" w:rsidRDefault="007334BA" w:rsidP="007334BA">
            <w:pPr>
              <w:rPr>
                <w:rFonts w:ascii="Arial" w:hAnsi="Arial" w:cs="Arial"/>
              </w:rPr>
            </w:pPr>
            <w:r w:rsidRPr="007334BA">
              <w:rPr>
                <w:rFonts w:ascii="Arial" w:hAnsi="Arial" w:cs="Arial"/>
              </w:rPr>
              <w:t>All students were seated on their allocated tables between four groups, the lower ability in front of the classroom; higher ability central to the back of the classroom. </w:t>
            </w:r>
          </w:p>
          <w:p w14:paraId="0A7E0A32" w14:textId="77777777" w:rsidR="007334BA" w:rsidRPr="007334BA" w:rsidRDefault="007334BA" w:rsidP="007334BA">
            <w:pPr>
              <w:rPr>
                <w:rFonts w:ascii="Arial" w:hAnsi="Arial" w:cs="Arial"/>
              </w:rPr>
            </w:pPr>
            <w:r w:rsidRPr="007334BA">
              <w:rPr>
                <w:rFonts w:ascii="Arial" w:hAnsi="Arial" w:cs="Arial"/>
              </w:rPr>
              <w:t>  </w:t>
            </w:r>
          </w:p>
        </w:tc>
      </w:tr>
      <w:tr w:rsidR="007334BA" w:rsidRPr="007334BA" w14:paraId="6305153B" w14:textId="77777777" w:rsidTr="007334BA">
        <w:trPr>
          <w:trHeight w:val="300"/>
        </w:trPr>
        <w:tc>
          <w:tcPr>
            <w:tcW w:w="8910" w:type="dxa"/>
            <w:tcBorders>
              <w:top w:val="single" w:sz="6" w:space="0" w:color="auto"/>
              <w:left w:val="single" w:sz="6" w:space="0" w:color="auto"/>
              <w:bottom w:val="single" w:sz="6" w:space="0" w:color="auto"/>
              <w:right w:val="single" w:sz="6" w:space="0" w:color="auto"/>
            </w:tcBorders>
            <w:shd w:val="clear" w:color="auto" w:fill="auto"/>
            <w:hideMark/>
          </w:tcPr>
          <w:p w14:paraId="308689D7" w14:textId="77777777" w:rsidR="007334BA" w:rsidRPr="007334BA" w:rsidRDefault="007334BA" w:rsidP="007334BA">
            <w:pPr>
              <w:rPr>
                <w:rFonts w:ascii="Arial" w:hAnsi="Arial" w:cs="Arial"/>
              </w:rPr>
            </w:pPr>
            <w:r w:rsidRPr="007334BA">
              <w:rPr>
                <w:rFonts w:ascii="Arial" w:hAnsi="Arial" w:cs="Arial"/>
                <w:b/>
                <w:bCs/>
                <w:lang w:val="en-US"/>
              </w:rPr>
              <w:t xml:space="preserve">What happened: </w:t>
            </w:r>
            <w:r w:rsidRPr="007334BA">
              <w:rPr>
                <w:rFonts w:ascii="Arial" w:hAnsi="Arial" w:cs="Arial"/>
                <w:lang w:val="en-US"/>
              </w:rPr>
              <w:t>a detailed description of the critical incident</w:t>
            </w:r>
            <w:r w:rsidRPr="007334BA">
              <w:rPr>
                <w:rFonts w:ascii="Arial" w:hAnsi="Arial" w:cs="Arial"/>
              </w:rPr>
              <w:t> </w:t>
            </w:r>
          </w:p>
          <w:p w14:paraId="3462D08A" w14:textId="77777777" w:rsidR="007334BA" w:rsidRPr="007334BA" w:rsidRDefault="007334BA" w:rsidP="007334BA">
            <w:pPr>
              <w:rPr>
                <w:rFonts w:ascii="Arial" w:hAnsi="Arial" w:cs="Arial"/>
              </w:rPr>
            </w:pPr>
            <w:r w:rsidRPr="007334BA">
              <w:rPr>
                <w:rFonts w:ascii="Arial" w:hAnsi="Arial" w:cs="Arial"/>
                <w:lang w:val="en-US"/>
              </w:rPr>
              <w:t> </w:t>
            </w:r>
            <w:r w:rsidRPr="007334BA">
              <w:rPr>
                <w:rFonts w:ascii="Arial" w:hAnsi="Arial" w:cs="Arial"/>
              </w:rPr>
              <w:t> </w:t>
            </w:r>
          </w:p>
          <w:p w14:paraId="4DE70EA5" w14:textId="77777777" w:rsidR="007334BA" w:rsidRPr="007334BA" w:rsidRDefault="007334BA" w:rsidP="007334BA">
            <w:pPr>
              <w:rPr>
                <w:rFonts w:ascii="Arial" w:hAnsi="Arial" w:cs="Arial"/>
              </w:rPr>
            </w:pPr>
            <w:r w:rsidRPr="007334BA">
              <w:rPr>
                <w:rFonts w:ascii="Arial" w:hAnsi="Arial" w:cs="Arial"/>
              </w:rPr>
              <w:t>Firstly, the teacher starts the lesson by presenting that this morning we are going to be looking at money. A pupil at the front of the class seated facing the wrong way with their legs crossed on the chair yawned; the teacher asked the pupil to turn around and put her feet under the table this gives the impression that the pupil is disengaged before the lesson has started. The teacher questions and tells the pupils to think about what pieces of money exist? Some of the pupils put their hands up to answer the question however the teacher tells the pupils to put their hands down and to discuss the question with a partner. Three pupils within the class don’t have a partner to turn to and discuss the question, and therefore become disengaged. Pupil A facing the other way to the pupils on pupil A table, crosses their arms and starts rocking back and forth on the chair while looking around the class; this indicates that this child has become withdrawn and disengaged. Two other pupils at different tables also became disengaged from this discussion with the pupils on their tables by turning around and putting their backs to the group or staring into space.   </w:t>
            </w:r>
          </w:p>
          <w:p w14:paraId="34299D3B" w14:textId="77777777" w:rsidR="007334BA" w:rsidRPr="007334BA" w:rsidRDefault="007334BA" w:rsidP="007334BA">
            <w:pPr>
              <w:rPr>
                <w:rFonts w:ascii="Arial" w:hAnsi="Arial" w:cs="Arial"/>
              </w:rPr>
            </w:pPr>
            <w:r w:rsidRPr="007334BA">
              <w:rPr>
                <w:rFonts w:ascii="Arial" w:hAnsi="Arial" w:cs="Arial"/>
              </w:rPr>
              <w:t>  </w:t>
            </w:r>
          </w:p>
          <w:p w14:paraId="3B81B4F4" w14:textId="77777777" w:rsidR="007334BA" w:rsidRPr="007334BA" w:rsidRDefault="007334BA" w:rsidP="007334BA">
            <w:pPr>
              <w:rPr>
                <w:rFonts w:ascii="Arial" w:hAnsi="Arial" w:cs="Arial"/>
              </w:rPr>
            </w:pPr>
            <w:r w:rsidRPr="007334BA">
              <w:rPr>
                <w:rFonts w:ascii="Arial" w:hAnsi="Arial" w:cs="Arial"/>
              </w:rPr>
              <w:t xml:space="preserve">While the other children discuss in pairs naming different pieces of money the teacher then gives a 10-second warning and returns their attention by clapping and using the command ‘stop’. The teacher proceeded to question a pupil to answer the existing question the response was “five pence”.  A second pupil responded with “one pound” and another responded with “twenty pence”. The teacher then asks the class to repeat after her “five pence, one pound, and twenty pence” to enforce repetition. A pupil on the lower ability table answered the question saying, “ten pounds”. The teacher replies no we are looking at coins first. The same pupil responds by saying “ten pence”. A different pupil replies with the answer ten pence, the teacher replies no we have already had that, you should be listening. The teacher continues to question different amounts of coins. A different pupil on the lower ability table answers with “five pounds”. The teacher responds with no I don’t want notes I want coins. The pupils continue to respond with different coin amounts. The teacher then enforces repetition by listing in order the different coins that are available together as a class. The teacher says its Monday morning can we have some more </w:t>
            </w:r>
            <w:r w:rsidRPr="007334BA">
              <w:rPr>
                <w:rFonts w:ascii="Arial" w:hAnsi="Arial" w:cs="Arial"/>
              </w:rPr>
              <w:lastRenderedPageBreak/>
              <w:t>enthusiasm, the children continue to list the coins again with more energy. The teacher then praises the class by responding ‘That’s better, thank you very much’.  </w:t>
            </w:r>
          </w:p>
          <w:p w14:paraId="7A07CA48" w14:textId="77777777" w:rsidR="007334BA" w:rsidRPr="007334BA" w:rsidRDefault="007334BA" w:rsidP="007334BA">
            <w:pPr>
              <w:rPr>
                <w:rFonts w:ascii="Arial" w:hAnsi="Arial" w:cs="Arial"/>
              </w:rPr>
            </w:pPr>
            <w:r w:rsidRPr="007334BA">
              <w:rPr>
                <w:rFonts w:ascii="Arial" w:hAnsi="Arial" w:cs="Arial"/>
              </w:rPr>
              <w:t>  </w:t>
            </w:r>
          </w:p>
          <w:p w14:paraId="17E81D9A" w14:textId="77777777" w:rsidR="007334BA" w:rsidRPr="007334BA" w:rsidRDefault="007334BA" w:rsidP="007334BA">
            <w:pPr>
              <w:rPr>
                <w:rFonts w:ascii="Arial" w:hAnsi="Arial" w:cs="Arial"/>
              </w:rPr>
            </w:pPr>
            <w:r w:rsidRPr="007334BA">
              <w:rPr>
                <w:rFonts w:ascii="Arial" w:hAnsi="Arial" w:cs="Arial"/>
              </w:rPr>
              <w:t>The teacher distributed money fans as a resource to scaffold and support learning. Everyone was asked to show fifty pence on their fans. The teacher continued this exercise asking for different amounts of money. A pupil in the lower ability group was having difficulty as the teacher counted down from ten. The teacher then said to the class ‘If you don’t know it's fine Miss X can help you’. The teacher then supported this pupil. This activity highlighted the lower ability class required support from the teacher in contrast to higher ability pupils answering quickly.  </w:t>
            </w:r>
          </w:p>
          <w:p w14:paraId="3EC450B9" w14:textId="77777777" w:rsidR="007334BA" w:rsidRPr="007334BA" w:rsidRDefault="007334BA" w:rsidP="007334BA">
            <w:pPr>
              <w:rPr>
                <w:rFonts w:ascii="Arial" w:hAnsi="Arial" w:cs="Arial"/>
              </w:rPr>
            </w:pPr>
            <w:r w:rsidRPr="007334BA">
              <w:rPr>
                <w:rFonts w:ascii="Arial" w:hAnsi="Arial" w:cs="Arial"/>
              </w:rPr>
              <w:t>  </w:t>
            </w:r>
          </w:p>
          <w:p w14:paraId="0C599064" w14:textId="77777777" w:rsidR="007334BA" w:rsidRPr="007334BA" w:rsidRDefault="007334BA" w:rsidP="007334BA">
            <w:pPr>
              <w:rPr>
                <w:rFonts w:ascii="Arial" w:hAnsi="Arial" w:cs="Arial"/>
              </w:rPr>
            </w:pPr>
            <w:r w:rsidRPr="007334BA">
              <w:rPr>
                <w:rFonts w:ascii="Arial" w:hAnsi="Arial" w:cs="Arial"/>
              </w:rPr>
              <w:t>The teacher questioned the whole class; then sat at the front of the class with the lower ability group and began splitting the amounts into hundreds, tens, and units to support them. However, the rest of the class in higher ability groups completed the task and gave their answer to the question and therefore became disengaged with one pupil putting her head on the table; whilst the lower group needed more time and support to an answer.  </w:t>
            </w:r>
          </w:p>
        </w:tc>
      </w:tr>
      <w:tr w:rsidR="007334BA" w:rsidRPr="007334BA" w14:paraId="455FBBF8" w14:textId="77777777" w:rsidTr="007334BA">
        <w:trPr>
          <w:trHeight w:val="300"/>
        </w:trPr>
        <w:tc>
          <w:tcPr>
            <w:tcW w:w="8910" w:type="dxa"/>
            <w:tcBorders>
              <w:top w:val="single" w:sz="6" w:space="0" w:color="auto"/>
              <w:left w:val="single" w:sz="6" w:space="0" w:color="auto"/>
              <w:bottom w:val="single" w:sz="6" w:space="0" w:color="auto"/>
              <w:right w:val="single" w:sz="6" w:space="0" w:color="auto"/>
            </w:tcBorders>
            <w:shd w:val="clear" w:color="auto" w:fill="auto"/>
            <w:hideMark/>
          </w:tcPr>
          <w:p w14:paraId="550C6E85" w14:textId="77777777" w:rsidR="007334BA" w:rsidRPr="007334BA" w:rsidRDefault="007334BA" w:rsidP="007334BA">
            <w:pPr>
              <w:rPr>
                <w:rFonts w:ascii="Arial" w:hAnsi="Arial" w:cs="Arial"/>
              </w:rPr>
            </w:pPr>
            <w:r w:rsidRPr="007334BA">
              <w:rPr>
                <w:rFonts w:ascii="Arial" w:hAnsi="Arial" w:cs="Arial"/>
                <w:b/>
                <w:bCs/>
                <w:lang w:val="en-US"/>
              </w:rPr>
              <w:t xml:space="preserve">Areas of possible exploration: </w:t>
            </w:r>
            <w:r w:rsidRPr="007334BA">
              <w:rPr>
                <w:rFonts w:ascii="Arial" w:hAnsi="Arial" w:cs="Arial"/>
                <w:lang w:val="en-US"/>
              </w:rPr>
              <w:t>what you think could be” under the hood” in these incidents? What avenues of research could you consider?</w:t>
            </w:r>
            <w:r w:rsidRPr="007334BA">
              <w:rPr>
                <w:rFonts w:ascii="Arial" w:hAnsi="Arial" w:cs="Arial"/>
              </w:rPr>
              <w:t> </w:t>
            </w:r>
          </w:p>
          <w:p w14:paraId="58F8C858" w14:textId="77777777" w:rsidR="007334BA" w:rsidRPr="007334BA" w:rsidRDefault="007334BA" w:rsidP="007334BA">
            <w:pPr>
              <w:rPr>
                <w:rFonts w:ascii="Arial" w:hAnsi="Arial" w:cs="Arial"/>
              </w:rPr>
            </w:pPr>
            <w:r w:rsidRPr="007334BA">
              <w:rPr>
                <w:rFonts w:ascii="Arial" w:hAnsi="Arial" w:cs="Arial"/>
              </w:rPr>
              <w:t> </w:t>
            </w:r>
          </w:p>
          <w:p w14:paraId="5B2AC49D" w14:textId="77777777" w:rsidR="007334BA" w:rsidRPr="007334BA" w:rsidRDefault="007334BA" w:rsidP="007334BA">
            <w:pPr>
              <w:numPr>
                <w:ilvl w:val="0"/>
                <w:numId w:val="1"/>
              </w:numPr>
              <w:rPr>
                <w:rFonts w:ascii="Arial" w:hAnsi="Arial" w:cs="Arial"/>
              </w:rPr>
            </w:pPr>
            <w:r w:rsidRPr="007334BA">
              <w:rPr>
                <w:rFonts w:ascii="Arial" w:hAnsi="Arial" w:cs="Arial"/>
                <w:lang w:val="en-US"/>
              </w:rPr>
              <w:t>Using techniques to scaffold and support different learning needs – discussing with a partner/ teacher</w:t>
            </w:r>
            <w:r w:rsidRPr="007334BA">
              <w:rPr>
                <w:rFonts w:ascii="Arial" w:hAnsi="Arial" w:cs="Arial"/>
              </w:rPr>
              <w:t> </w:t>
            </w:r>
          </w:p>
          <w:p w14:paraId="12C5A36A" w14:textId="77777777" w:rsidR="007334BA" w:rsidRPr="007334BA" w:rsidRDefault="007334BA" w:rsidP="007334BA">
            <w:pPr>
              <w:numPr>
                <w:ilvl w:val="0"/>
                <w:numId w:val="1"/>
              </w:numPr>
              <w:rPr>
                <w:rFonts w:ascii="Arial" w:hAnsi="Arial" w:cs="Arial"/>
              </w:rPr>
            </w:pPr>
            <w:r w:rsidRPr="007334BA">
              <w:rPr>
                <w:rFonts w:ascii="Arial" w:hAnsi="Arial" w:cs="Arial"/>
                <w:lang w:val="en-US"/>
              </w:rPr>
              <w:t>Differentiating work for groups of different abilities</w:t>
            </w:r>
            <w:r w:rsidRPr="007334BA">
              <w:rPr>
                <w:rFonts w:ascii="Arial" w:hAnsi="Arial" w:cs="Arial"/>
              </w:rPr>
              <w:t> </w:t>
            </w:r>
          </w:p>
          <w:p w14:paraId="431ACDF5" w14:textId="77777777" w:rsidR="007334BA" w:rsidRPr="007334BA" w:rsidRDefault="007334BA" w:rsidP="007334BA">
            <w:pPr>
              <w:numPr>
                <w:ilvl w:val="0"/>
                <w:numId w:val="1"/>
              </w:numPr>
              <w:rPr>
                <w:rFonts w:ascii="Arial" w:hAnsi="Arial" w:cs="Arial"/>
              </w:rPr>
            </w:pPr>
            <w:r w:rsidRPr="007334BA">
              <w:rPr>
                <w:rFonts w:ascii="Arial" w:hAnsi="Arial" w:cs="Arial"/>
                <w:lang w:val="en-US"/>
              </w:rPr>
              <w:t>Disengagement strategies – lack of understanding, uninterested, or behavior issues?  Task too difficult or not challenging enough? </w:t>
            </w:r>
            <w:r w:rsidRPr="007334BA">
              <w:rPr>
                <w:rFonts w:ascii="Arial" w:hAnsi="Arial" w:cs="Arial"/>
              </w:rPr>
              <w:t> </w:t>
            </w:r>
          </w:p>
          <w:p w14:paraId="765C0F89" w14:textId="77777777" w:rsidR="007334BA" w:rsidRPr="007334BA" w:rsidRDefault="007334BA" w:rsidP="007334BA">
            <w:pPr>
              <w:numPr>
                <w:ilvl w:val="0"/>
                <w:numId w:val="1"/>
              </w:numPr>
              <w:rPr>
                <w:rFonts w:ascii="Arial" w:hAnsi="Arial" w:cs="Arial"/>
              </w:rPr>
            </w:pPr>
            <w:r w:rsidRPr="007334BA">
              <w:rPr>
                <w:rFonts w:ascii="Arial" w:hAnsi="Arial" w:cs="Arial"/>
                <w:lang w:val="en-US"/>
              </w:rPr>
              <w:t>Repetition and its positive support on learning </w:t>
            </w:r>
            <w:r w:rsidRPr="007334BA">
              <w:rPr>
                <w:rFonts w:ascii="Arial" w:hAnsi="Arial" w:cs="Arial"/>
              </w:rPr>
              <w:t> </w:t>
            </w:r>
          </w:p>
          <w:p w14:paraId="44CCEB50" w14:textId="77777777" w:rsidR="007334BA" w:rsidRPr="007334BA" w:rsidRDefault="007334BA" w:rsidP="007334BA">
            <w:pPr>
              <w:numPr>
                <w:ilvl w:val="0"/>
                <w:numId w:val="1"/>
              </w:numPr>
              <w:rPr>
                <w:rFonts w:ascii="Arial" w:hAnsi="Arial" w:cs="Arial"/>
              </w:rPr>
            </w:pPr>
            <w:r w:rsidRPr="007334BA">
              <w:rPr>
                <w:rFonts w:ascii="Arial" w:hAnsi="Arial" w:cs="Arial"/>
                <w:lang w:val="en-US"/>
              </w:rPr>
              <w:t>Classroom management </w:t>
            </w:r>
            <w:r w:rsidRPr="007334BA">
              <w:rPr>
                <w:rFonts w:ascii="Arial" w:hAnsi="Arial" w:cs="Arial"/>
              </w:rPr>
              <w:t> </w:t>
            </w:r>
          </w:p>
          <w:p w14:paraId="046C2F50" w14:textId="77777777" w:rsidR="007334BA" w:rsidRPr="007334BA" w:rsidRDefault="007334BA" w:rsidP="007334BA">
            <w:pPr>
              <w:rPr>
                <w:rFonts w:ascii="Arial" w:hAnsi="Arial" w:cs="Arial"/>
              </w:rPr>
            </w:pPr>
            <w:r w:rsidRPr="007334BA">
              <w:rPr>
                <w:rFonts w:ascii="Arial" w:hAnsi="Arial" w:cs="Arial"/>
              </w:rPr>
              <w:t>  </w:t>
            </w:r>
          </w:p>
        </w:tc>
      </w:tr>
      <w:tr w:rsidR="007334BA" w:rsidRPr="007334BA" w14:paraId="4C10EE36" w14:textId="77777777" w:rsidTr="007334BA">
        <w:trPr>
          <w:trHeight w:val="300"/>
        </w:trPr>
        <w:tc>
          <w:tcPr>
            <w:tcW w:w="8910" w:type="dxa"/>
            <w:tcBorders>
              <w:top w:val="single" w:sz="6" w:space="0" w:color="auto"/>
              <w:left w:val="single" w:sz="6" w:space="0" w:color="auto"/>
              <w:bottom w:val="single" w:sz="6" w:space="0" w:color="auto"/>
              <w:right w:val="single" w:sz="6" w:space="0" w:color="auto"/>
            </w:tcBorders>
            <w:shd w:val="clear" w:color="auto" w:fill="auto"/>
            <w:hideMark/>
          </w:tcPr>
          <w:p w14:paraId="04BB03DF" w14:textId="77777777" w:rsidR="007334BA" w:rsidRPr="007334BA" w:rsidRDefault="007334BA" w:rsidP="007334BA">
            <w:pPr>
              <w:rPr>
                <w:rFonts w:ascii="Arial" w:hAnsi="Arial" w:cs="Arial"/>
              </w:rPr>
            </w:pPr>
            <w:r w:rsidRPr="007334BA">
              <w:rPr>
                <w:rFonts w:ascii="Arial" w:hAnsi="Arial" w:cs="Arial"/>
                <w:b/>
                <w:bCs/>
                <w:lang w:val="en-US"/>
              </w:rPr>
              <w:t xml:space="preserve">Notes: </w:t>
            </w:r>
            <w:r w:rsidRPr="007334BA">
              <w:rPr>
                <w:rFonts w:ascii="Arial" w:hAnsi="Arial" w:cs="Arial"/>
                <w:lang w:val="en-US"/>
              </w:rPr>
              <w:t>any details you can note (is it a busy environment, is it after lunch, are there lots of distractions, are directions made explicit - the more you can refer to the better here)</w:t>
            </w:r>
            <w:r w:rsidRPr="007334BA">
              <w:rPr>
                <w:rFonts w:ascii="Arial" w:hAnsi="Arial" w:cs="Arial"/>
              </w:rPr>
              <w:t> </w:t>
            </w:r>
          </w:p>
          <w:p w14:paraId="15902F45" w14:textId="77777777" w:rsidR="007334BA" w:rsidRPr="007334BA" w:rsidRDefault="007334BA" w:rsidP="007334BA">
            <w:pPr>
              <w:rPr>
                <w:rFonts w:ascii="Arial" w:hAnsi="Arial" w:cs="Arial"/>
              </w:rPr>
            </w:pPr>
            <w:r w:rsidRPr="007334BA">
              <w:rPr>
                <w:rFonts w:ascii="Arial" w:hAnsi="Arial" w:cs="Arial"/>
              </w:rPr>
              <w:t>  </w:t>
            </w:r>
          </w:p>
          <w:p w14:paraId="577238D1" w14:textId="77777777" w:rsidR="007334BA" w:rsidRPr="007334BA" w:rsidRDefault="007334BA" w:rsidP="007334BA">
            <w:pPr>
              <w:rPr>
                <w:rFonts w:ascii="Arial" w:hAnsi="Arial" w:cs="Arial"/>
              </w:rPr>
            </w:pPr>
            <w:r w:rsidRPr="007334BA">
              <w:rPr>
                <w:rFonts w:ascii="Arial" w:hAnsi="Arial" w:cs="Arial"/>
              </w:rPr>
              <w:t>The classroom environment was calm, and the children weren’t disruptive.   </w:t>
            </w:r>
          </w:p>
          <w:p w14:paraId="53FA8018" w14:textId="77777777" w:rsidR="007334BA" w:rsidRPr="007334BA" w:rsidRDefault="007334BA" w:rsidP="007334BA">
            <w:pPr>
              <w:rPr>
                <w:rFonts w:ascii="Arial" w:hAnsi="Arial" w:cs="Arial"/>
              </w:rPr>
            </w:pPr>
            <w:r w:rsidRPr="007334BA">
              <w:rPr>
                <w:rFonts w:ascii="Arial" w:hAnsi="Arial" w:cs="Arial"/>
              </w:rPr>
              <w:t>The teacher should’ve got the whiteboards out beforehand to avoid stopping during the lesson and losing the pupil's attention. The lower ability group required extra support therefore a TA in this lesson would have been beneficial to the class. This would have allowed the teacher to have more of a focus on the whole class and give them more of a challenge to keep them engaged. I felt the class was held back by the needed support of the lower-ability group. </w:t>
            </w:r>
          </w:p>
        </w:tc>
      </w:tr>
    </w:tbl>
    <w:p w14:paraId="408F711F" w14:textId="77777777" w:rsidR="007334BA" w:rsidRPr="007334BA" w:rsidRDefault="007334BA" w:rsidP="007334BA">
      <w:r w:rsidRPr="007334BA">
        <w:t> </w:t>
      </w:r>
    </w:p>
    <w:p w14:paraId="5E5A2761" w14:textId="360723DE" w:rsidR="00145501" w:rsidRDefault="007334BA">
      <w:r w:rsidRPr="007334BA">
        <w:t> </w:t>
      </w:r>
    </w:p>
    <w:sectPr w:rsidR="001455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67759"/>
    <w:multiLevelType w:val="multilevel"/>
    <w:tmpl w:val="B26A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7092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150"/>
    <w:rsid w:val="00007150"/>
    <w:rsid w:val="00145501"/>
    <w:rsid w:val="00247540"/>
    <w:rsid w:val="002C48C2"/>
    <w:rsid w:val="00323F1F"/>
    <w:rsid w:val="004B417D"/>
    <w:rsid w:val="007334BA"/>
    <w:rsid w:val="00795725"/>
    <w:rsid w:val="008F1304"/>
    <w:rsid w:val="0091231E"/>
    <w:rsid w:val="009E7316"/>
    <w:rsid w:val="00E36435"/>
    <w:rsid w:val="00E74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0C015"/>
  <w15:chartTrackingRefBased/>
  <w15:docId w15:val="{8093DF03-4177-45B7-B33B-4911C6FF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34BA"/>
    <w:rPr>
      <w:color w:val="0563C1" w:themeColor="hyperlink"/>
      <w:u w:val="single"/>
    </w:rPr>
  </w:style>
  <w:style w:type="character" w:styleId="UnresolvedMention">
    <w:name w:val="Unresolved Mention"/>
    <w:basedOn w:val="DefaultParagraphFont"/>
    <w:uiPriority w:val="99"/>
    <w:semiHidden/>
    <w:unhideWhenUsed/>
    <w:rsid w:val="00733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115973">
      <w:bodyDiv w:val="1"/>
      <w:marLeft w:val="0"/>
      <w:marRight w:val="0"/>
      <w:marTop w:val="0"/>
      <w:marBottom w:val="0"/>
      <w:divBdr>
        <w:top w:val="none" w:sz="0" w:space="0" w:color="auto"/>
        <w:left w:val="none" w:sz="0" w:space="0" w:color="auto"/>
        <w:bottom w:val="none" w:sz="0" w:space="0" w:color="auto"/>
        <w:right w:val="none" w:sz="0" w:space="0" w:color="auto"/>
      </w:divBdr>
      <w:divsChild>
        <w:div w:id="251398187">
          <w:marLeft w:val="0"/>
          <w:marRight w:val="0"/>
          <w:marTop w:val="0"/>
          <w:marBottom w:val="0"/>
          <w:divBdr>
            <w:top w:val="none" w:sz="0" w:space="0" w:color="auto"/>
            <w:left w:val="none" w:sz="0" w:space="0" w:color="auto"/>
            <w:bottom w:val="none" w:sz="0" w:space="0" w:color="auto"/>
            <w:right w:val="none" w:sz="0" w:space="0" w:color="auto"/>
          </w:divBdr>
        </w:div>
        <w:div w:id="1748068458">
          <w:marLeft w:val="0"/>
          <w:marRight w:val="0"/>
          <w:marTop w:val="0"/>
          <w:marBottom w:val="0"/>
          <w:divBdr>
            <w:top w:val="none" w:sz="0" w:space="0" w:color="auto"/>
            <w:left w:val="none" w:sz="0" w:space="0" w:color="auto"/>
            <w:bottom w:val="none" w:sz="0" w:space="0" w:color="auto"/>
            <w:right w:val="none" w:sz="0" w:space="0" w:color="auto"/>
          </w:divBdr>
        </w:div>
        <w:div w:id="1162500748">
          <w:marLeft w:val="0"/>
          <w:marRight w:val="0"/>
          <w:marTop w:val="0"/>
          <w:marBottom w:val="0"/>
          <w:divBdr>
            <w:top w:val="none" w:sz="0" w:space="0" w:color="auto"/>
            <w:left w:val="none" w:sz="0" w:space="0" w:color="auto"/>
            <w:bottom w:val="none" w:sz="0" w:space="0" w:color="auto"/>
            <w:right w:val="none" w:sz="0" w:space="0" w:color="auto"/>
          </w:divBdr>
        </w:div>
        <w:div w:id="1379626161">
          <w:marLeft w:val="0"/>
          <w:marRight w:val="0"/>
          <w:marTop w:val="0"/>
          <w:marBottom w:val="0"/>
          <w:divBdr>
            <w:top w:val="none" w:sz="0" w:space="0" w:color="auto"/>
            <w:left w:val="none" w:sz="0" w:space="0" w:color="auto"/>
            <w:bottom w:val="none" w:sz="0" w:space="0" w:color="auto"/>
            <w:right w:val="none" w:sz="0" w:space="0" w:color="auto"/>
          </w:divBdr>
        </w:div>
        <w:div w:id="2041930439">
          <w:marLeft w:val="0"/>
          <w:marRight w:val="0"/>
          <w:marTop w:val="0"/>
          <w:marBottom w:val="0"/>
          <w:divBdr>
            <w:top w:val="none" w:sz="0" w:space="0" w:color="auto"/>
            <w:left w:val="none" w:sz="0" w:space="0" w:color="auto"/>
            <w:bottom w:val="none" w:sz="0" w:space="0" w:color="auto"/>
            <w:right w:val="none" w:sz="0" w:space="0" w:color="auto"/>
          </w:divBdr>
        </w:div>
        <w:div w:id="409692329">
          <w:marLeft w:val="0"/>
          <w:marRight w:val="0"/>
          <w:marTop w:val="0"/>
          <w:marBottom w:val="0"/>
          <w:divBdr>
            <w:top w:val="none" w:sz="0" w:space="0" w:color="auto"/>
            <w:left w:val="none" w:sz="0" w:space="0" w:color="auto"/>
            <w:bottom w:val="none" w:sz="0" w:space="0" w:color="auto"/>
            <w:right w:val="none" w:sz="0" w:space="0" w:color="auto"/>
          </w:divBdr>
        </w:div>
        <w:div w:id="1051268832">
          <w:marLeft w:val="0"/>
          <w:marRight w:val="0"/>
          <w:marTop w:val="0"/>
          <w:marBottom w:val="0"/>
          <w:divBdr>
            <w:top w:val="none" w:sz="0" w:space="0" w:color="auto"/>
            <w:left w:val="none" w:sz="0" w:space="0" w:color="auto"/>
            <w:bottom w:val="none" w:sz="0" w:space="0" w:color="auto"/>
            <w:right w:val="none" w:sz="0" w:space="0" w:color="auto"/>
          </w:divBdr>
        </w:div>
        <w:div w:id="419446130">
          <w:marLeft w:val="0"/>
          <w:marRight w:val="0"/>
          <w:marTop w:val="0"/>
          <w:marBottom w:val="0"/>
          <w:divBdr>
            <w:top w:val="none" w:sz="0" w:space="0" w:color="auto"/>
            <w:left w:val="none" w:sz="0" w:space="0" w:color="auto"/>
            <w:bottom w:val="none" w:sz="0" w:space="0" w:color="auto"/>
            <w:right w:val="none" w:sz="0" w:space="0" w:color="auto"/>
          </w:divBdr>
        </w:div>
        <w:div w:id="1291982070">
          <w:marLeft w:val="0"/>
          <w:marRight w:val="0"/>
          <w:marTop w:val="0"/>
          <w:marBottom w:val="0"/>
          <w:divBdr>
            <w:top w:val="none" w:sz="0" w:space="0" w:color="auto"/>
            <w:left w:val="none" w:sz="0" w:space="0" w:color="auto"/>
            <w:bottom w:val="none" w:sz="0" w:space="0" w:color="auto"/>
            <w:right w:val="none" w:sz="0" w:space="0" w:color="auto"/>
          </w:divBdr>
        </w:div>
        <w:div w:id="507911199">
          <w:marLeft w:val="0"/>
          <w:marRight w:val="0"/>
          <w:marTop w:val="0"/>
          <w:marBottom w:val="0"/>
          <w:divBdr>
            <w:top w:val="none" w:sz="0" w:space="0" w:color="auto"/>
            <w:left w:val="none" w:sz="0" w:space="0" w:color="auto"/>
            <w:bottom w:val="none" w:sz="0" w:space="0" w:color="auto"/>
            <w:right w:val="none" w:sz="0" w:space="0" w:color="auto"/>
          </w:divBdr>
        </w:div>
        <w:div w:id="1357119695">
          <w:marLeft w:val="0"/>
          <w:marRight w:val="0"/>
          <w:marTop w:val="0"/>
          <w:marBottom w:val="0"/>
          <w:divBdr>
            <w:top w:val="none" w:sz="0" w:space="0" w:color="auto"/>
            <w:left w:val="none" w:sz="0" w:space="0" w:color="auto"/>
            <w:bottom w:val="none" w:sz="0" w:space="0" w:color="auto"/>
            <w:right w:val="none" w:sz="0" w:space="0" w:color="auto"/>
          </w:divBdr>
        </w:div>
        <w:div w:id="166871747">
          <w:marLeft w:val="0"/>
          <w:marRight w:val="0"/>
          <w:marTop w:val="0"/>
          <w:marBottom w:val="0"/>
          <w:divBdr>
            <w:top w:val="none" w:sz="0" w:space="0" w:color="auto"/>
            <w:left w:val="none" w:sz="0" w:space="0" w:color="auto"/>
            <w:bottom w:val="none" w:sz="0" w:space="0" w:color="auto"/>
            <w:right w:val="none" w:sz="0" w:space="0" w:color="auto"/>
          </w:divBdr>
        </w:div>
        <w:div w:id="1088309945">
          <w:marLeft w:val="0"/>
          <w:marRight w:val="0"/>
          <w:marTop w:val="0"/>
          <w:marBottom w:val="0"/>
          <w:divBdr>
            <w:top w:val="none" w:sz="0" w:space="0" w:color="auto"/>
            <w:left w:val="none" w:sz="0" w:space="0" w:color="auto"/>
            <w:bottom w:val="none" w:sz="0" w:space="0" w:color="auto"/>
            <w:right w:val="none" w:sz="0" w:space="0" w:color="auto"/>
          </w:divBdr>
        </w:div>
        <w:div w:id="1044255374">
          <w:marLeft w:val="0"/>
          <w:marRight w:val="0"/>
          <w:marTop w:val="0"/>
          <w:marBottom w:val="0"/>
          <w:divBdr>
            <w:top w:val="none" w:sz="0" w:space="0" w:color="auto"/>
            <w:left w:val="none" w:sz="0" w:space="0" w:color="auto"/>
            <w:bottom w:val="none" w:sz="0" w:space="0" w:color="auto"/>
            <w:right w:val="none" w:sz="0" w:space="0" w:color="auto"/>
          </w:divBdr>
        </w:div>
        <w:div w:id="1774090439">
          <w:marLeft w:val="0"/>
          <w:marRight w:val="0"/>
          <w:marTop w:val="0"/>
          <w:marBottom w:val="0"/>
          <w:divBdr>
            <w:top w:val="none" w:sz="0" w:space="0" w:color="auto"/>
            <w:left w:val="none" w:sz="0" w:space="0" w:color="auto"/>
            <w:bottom w:val="none" w:sz="0" w:space="0" w:color="auto"/>
            <w:right w:val="none" w:sz="0" w:space="0" w:color="auto"/>
          </w:divBdr>
        </w:div>
        <w:div w:id="385224672">
          <w:marLeft w:val="0"/>
          <w:marRight w:val="0"/>
          <w:marTop w:val="0"/>
          <w:marBottom w:val="0"/>
          <w:divBdr>
            <w:top w:val="none" w:sz="0" w:space="0" w:color="auto"/>
            <w:left w:val="none" w:sz="0" w:space="0" w:color="auto"/>
            <w:bottom w:val="none" w:sz="0" w:space="0" w:color="auto"/>
            <w:right w:val="none" w:sz="0" w:space="0" w:color="auto"/>
          </w:divBdr>
        </w:div>
        <w:div w:id="352806425">
          <w:marLeft w:val="0"/>
          <w:marRight w:val="0"/>
          <w:marTop w:val="0"/>
          <w:marBottom w:val="0"/>
          <w:divBdr>
            <w:top w:val="none" w:sz="0" w:space="0" w:color="auto"/>
            <w:left w:val="none" w:sz="0" w:space="0" w:color="auto"/>
            <w:bottom w:val="none" w:sz="0" w:space="0" w:color="auto"/>
            <w:right w:val="none" w:sz="0" w:space="0" w:color="auto"/>
          </w:divBdr>
        </w:div>
        <w:div w:id="2075228225">
          <w:marLeft w:val="0"/>
          <w:marRight w:val="0"/>
          <w:marTop w:val="0"/>
          <w:marBottom w:val="0"/>
          <w:divBdr>
            <w:top w:val="none" w:sz="0" w:space="0" w:color="auto"/>
            <w:left w:val="none" w:sz="0" w:space="0" w:color="auto"/>
            <w:bottom w:val="none" w:sz="0" w:space="0" w:color="auto"/>
            <w:right w:val="none" w:sz="0" w:space="0" w:color="auto"/>
          </w:divBdr>
        </w:div>
        <w:div w:id="1976376089">
          <w:marLeft w:val="0"/>
          <w:marRight w:val="0"/>
          <w:marTop w:val="0"/>
          <w:marBottom w:val="0"/>
          <w:divBdr>
            <w:top w:val="none" w:sz="0" w:space="0" w:color="auto"/>
            <w:left w:val="none" w:sz="0" w:space="0" w:color="auto"/>
            <w:bottom w:val="none" w:sz="0" w:space="0" w:color="auto"/>
            <w:right w:val="none" w:sz="0" w:space="0" w:color="auto"/>
          </w:divBdr>
        </w:div>
        <w:div w:id="531846829">
          <w:marLeft w:val="0"/>
          <w:marRight w:val="0"/>
          <w:marTop w:val="0"/>
          <w:marBottom w:val="0"/>
          <w:divBdr>
            <w:top w:val="none" w:sz="0" w:space="0" w:color="auto"/>
            <w:left w:val="none" w:sz="0" w:space="0" w:color="auto"/>
            <w:bottom w:val="none" w:sz="0" w:space="0" w:color="auto"/>
            <w:right w:val="none" w:sz="0" w:space="0" w:color="auto"/>
          </w:divBdr>
        </w:div>
        <w:div w:id="1301380171">
          <w:marLeft w:val="0"/>
          <w:marRight w:val="0"/>
          <w:marTop w:val="0"/>
          <w:marBottom w:val="0"/>
          <w:divBdr>
            <w:top w:val="none" w:sz="0" w:space="0" w:color="auto"/>
            <w:left w:val="none" w:sz="0" w:space="0" w:color="auto"/>
            <w:bottom w:val="none" w:sz="0" w:space="0" w:color="auto"/>
            <w:right w:val="none" w:sz="0" w:space="0" w:color="auto"/>
          </w:divBdr>
        </w:div>
        <w:div w:id="1801067166">
          <w:marLeft w:val="0"/>
          <w:marRight w:val="0"/>
          <w:marTop w:val="0"/>
          <w:marBottom w:val="0"/>
          <w:divBdr>
            <w:top w:val="none" w:sz="0" w:space="0" w:color="auto"/>
            <w:left w:val="none" w:sz="0" w:space="0" w:color="auto"/>
            <w:bottom w:val="none" w:sz="0" w:space="0" w:color="auto"/>
            <w:right w:val="none" w:sz="0" w:space="0" w:color="auto"/>
          </w:divBdr>
        </w:div>
        <w:div w:id="563416923">
          <w:marLeft w:val="0"/>
          <w:marRight w:val="0"/>
          <w:marTop w:val="0"/>
          <w:marBottom w:val="0"/>
          <w:divBdr>
            <w:top w:val="none" w:sz="0" w:space="0" w:color="auto"/>
            <w:left w:val="none" w:sz="0" w:space="0" w:color="auto"/>
            <w:bottom w:val="none" w:sz="0" w:space="0" w:color="auto"/>
            <w:right w:val="none" w:sz="0" w:space="0" w:color="auto"/>
          </w:divBdr>
        </w:div>
        <w:div w:id="319696487">
          <w:marLeft w:val="0"/>
          <w:marRight w:val="0"/>
          <w:marTop w:val="0"/>
          <w:marBottom w:val="0"/>
          <w:divBdr>
            <w:top w:val="none" w:sz="0" w:space="0" w:color="auto"/>
            <w:left w:val="none" w:sz="0" w:space="0" w:color="auto"/>
            <w:bottom w:val="none" w:sz="0" w:space="0" w:color="auto"/>
            <w:right w:val="none" w:sz="0" w:space="0" w:color="auto"/>
          </w:divBdr>
        </w:div>
        <w:div w:id="955452421">
          <w:marLeft w:val="0"/>
          <w:marRight w:val="0"/>
          <w:marTop w:val="0"/>
          <w:marBottom w:val="0"/>
          <w:divBdr>
            <w:top w:val="none" w:sz="0" w:space="0" w:color="auto"/>
            <w:left w:val="none" w:sz="0" w:space="0" w:color="auto"/>
            <w:bottom w:val="none" w:sz="0" w:space="0" w:color="auto"/>
            <w:right w:val="none" w:sz="0" w:space="0" w:color="auto"/>
          </w:divBdr>
        </w:div>
        <w:div w:id="954680260">
          <w:marLeft w:val="0"/>
          <w:marRight w:val="0"/>
          <w:marTop w:val="0"/>
          <w:marBottom w:val="0"/>
          <w:divBdr>
            <w:top w:val="none" w:sz="0" w:space="0" w:color="auto"/>
            <w:left w:val="none" w:sz="0" w:space="0" w:color="auto"/>
            <w:bottom w:val="none" w:sz="0" w:space="0" w:color="auto"/>
            <w:right w:val="none" w:sz="0" w:space="0" w:color="auto"/>
          </w:divBdr>
        </w:div>
        <w:div w:id="1256287155">
          <w:marLeft w:val="0"/>
          <w:marRight w:val="0"/>
          <w:marTop w:val="0"/>
          <w:marBottom w:val="0"/>
          <w:divBdr>
            <w:top w:val="none" w:sz="0" w:space="0" w:color="auto"/>
            <w:left w:val="none" w:sz="0" w:space="0" w:color="auto"/>
            <w:bottom w:val="none" w:sz="0" w:space="0" w:color="auto"/>
            <w:right w:val="none" w:sz="0" w:space="0" w:color="auto"/>
          </w:divBdr>
        </w:div>
        <w:div w:id="1593472479">
          <w:marLeft w:val="0"/>
          <w:marRight w:val="0"/>
          <w:marTop w:val="0"/>
          <w:marBottom w:val="0"/>
          <w:divBdr>
            <w:top w:val="none" w:sz="0" w:space="0" w:color="auto"/>
            <w:left w:val="none" w:sz="0" w:space="0" w:color="auto"/>
            <w:bottom w:val="none" w:sz="0" w:space="0" w:color="auto"/>
            <w:right w:val="none" w:sz="0" w:space="0" w:color="auto"/>
          </w:divBdr>
        </w:div>
        <w:div w:id="480923621">
          <w:marLeft w:val="0"/>
          <w:marRight w:val="0"/>
          <w:marTop w:val="0"/>
          <w:marBottom w:val="0"/>
          <w:divBdr>
            <w:top w:val="none" w:sz="0" w:space="0" w:color="auto"/>
            <w:left w:val="none" w:sz="0" w:space="0" w:color="auto"/>
            <w:bottom w:val="none" w:sz="0" w:space="0" w:color="auto"/>
            <w:right w:val="none" w:sz="0" w:space="0" w:color="auto"/>
          </w:divBdr>
        </w:div>
        <w:div w:id="881290831">
          <w:marLeft w:val="0"/>
          <w:marRight w:val="0"/>
          <w:marTop w:val="0"/>
          <w:marBottom w:val="0"/>
          <w:divBdr>
            <w:top w:val="none" w:sz="0" w:space="0" w:color="auto"/>
            <w:left w:val="none" w:sz="0" w:space="0" w:color="auto"/>
            <w:bottom w:val="none" w:sz="0" w:space="0" w:color="auto"/>
            <w:right w:val="none" w:sz="0" w:space="0" w:color="auto"/>
          </w:divBdr>
        </w:div>
        <w:div w:id="2023822764">
          <w:marLeft w:val="0"/>
          <w:marRight w:val="0"/>
          <w:marTop w:val="0"/>
          <w:marBottom w:val="0"/>
          <w:divBdr>
            <w:top w:val="none" w:sz="0" w:space="0" w:color="auto"/>
            <w:left w:val="none" w:sz="0" w:space="0" w:color="auto"/>
            <w:bottom w:val="none" w:sz="0" w:space="0" w:color="auto"/>
            <w:right w:val="none" w:sz="0" w:space="0" w:color="auto"/>
          </w:divBdr>
        </w:div>
        <w:div w:id="1859659049">
          <w:marLeft w:val="0"/>
          <w:marRight w:val="0"/>
          <w:marTop w:val="0"/>
          <w:marBottom w:val="0"/>
          <w:divBdr>
            <w:top w:val="none" w:sz="0" w:space="0" w:color="auto"/>
            <w:left w:val="none" w:sz="0" w:space="0" w:color="auto"/>
            <w:bottom w:val="none" w:sz="0" w:space="0" w:color="auto"/>
            <w:right w:val="none" w:sz="0" w:space="0" w:color="auto"/>
          </w:divBdr>
        </w:div>
        <w:div w:id="462038270">
          <w:marLeft w:val="0"/>
          <w:marRight w:val="0"/>
          <w:marTop w:val="0"/>
          <w:marBottom w:val="0"/>
          <w:divBdr>
            <w:top w:val="none" w:sz="0" w:space="0" w:color="auto"/>
            <w:left w:val="none" w:sz="0" w:space="0" w:color="auto"/>
            <w:bottom w:val="none" w:sz="0" w:space="0" w:color="auto"/>
            <w:right w:val="none" w:sz="0" w:space="0" w:color="auto"/>
          </w:divBdr>
        </w:div>
        <w:div w:id="734814802">
          <w:marLeft w:val="0"/>
          <w:marRight w:val="0"/>
          <w:marTop w:val="0"/>
          <w:marBottom w:val="0"/>
          <w:divBdr>
            <w:top w:val="none" w:sz="0" w:space="0" w:color="auto"/>
            <w:left w:val="none" w:sz="0" w:space="0" w:color="auto"/>
            <w:bottom w:val="none" w:sz="0" w:space="0" w:color="auto"/>
            <w:right w:val="none" w:sz="0" w:space="0" w:color="auto"/>
          </w:divBdr>
        </w:div>
        <w:div w:id="377240480">
          <w:marLeft w:val="0"/>
          <w:marRight w:val="0"/>
          <w:marTop w:val="0"/>
          <w:marBottom w:val="0"/>
          <w:divBdr>
            <w:top w:val="none" w:sz="0" w:space="0" w:color="auto"/>
            <w:left w:val="none" w:sz="0" w:space="0" w:color="auto"/>
            <w:bottom w:val="none" w:sz="0" w:space="0" w:color="auto"/>
            <w:right w:val="none" w:sz="0" w:space="0" w:color="auto"/>
          </w:divBdr>
        </w:div>
        <w:div w:id="105198627">
          <w:marLeft w:val="0"/>
          <w:marRight w:val="0"/>
          <w:marTop w:val="0"/>
          <w:marBottom w:val="0"/>
          <w:divBdr>
            <w:top w:val="none" w:sz="0" w:space="0" w:color="auto"/>
            <w:left w:val="none" w:sz="0" w:space="0" w:color="auto"/>
            <w:bottom w:val="none" w:sz="0" w:space="0" w:color="auto"/>
            <w:right w:val="none" w:sz="0" w:space="0" w:color="auto"/>
          </w:divBdr>
        </w:div>
        <w:div w:id="925963884">
          <w:marLeft w:val="0"/>
          <w:marRight w:val="0"/>
          <w:marTop w:val="0"/>
          <w:marBottom w:val="0"/>
          <w:divBdr>
            <w:top w:val="none" w:sz="0" w:space="0" w:color="auto"/>
            <w:left w:val="none" w:sz="0" w:space="0" w:color="auto"/>
            <w:bottom w:val="none" w:sz="0" w:space="0" w:color="auto"/>
            <w:right w:val="none" w:sz="0" w:space="0" w:color="auto"/>
          </w:divBdr>
        </w:div>
        <w:div w:id="979574001">
          <w:marLeft w:val="0"/>
          <w:marRight w:val="0"/>
          <w:marTop w:val="0"/>
          <w:marBottom w:val="0"/>
          <w:divBdr>
            <w:top w:val="none" w:sz="0" w:space="0" w:color="auto"/>
            <w:left w:val="none" w:sz="0" w:space="0" w:color="auto"/>
            <w:bottom w:val="none" w:sz="0" w:space="0" w:color="auto"/>
            <w:right w:val="none" w:sz="0" w:space="0" w:color="auto"/>
          </w:divBdr>
        </w:div>
        <w:div w:id="1229457501">
          <w:marLeft w:val="0"/>
          <w:marRight w:val="0"/>
          <w:marTop w:val="0"/>
          <w:marBottom w:val="0"/>
          <w:divBdr>
            <w:top w:val="none" w:sz="0" w:space="0" w:color="auto"/>
            <w:left w:val="none" w:sz="0" w:space="0" w:color="auto"/>
            <w:bottom w:val="none" w:sz="0" w:space="0" w:color="auto"/>
            <w:right w:val="none" w:sz="0" w:space="0" w:color="auto"/>
          </w:divBdr>
        </w:div>
        <w:div w:id="1519465391">
          <w:marLeft w:val="0"/>
          <w:marRight w:val="0"/>
          <w:marTop w:val="0"/>
          <w:marBottom w:val="0"/>
          <w:divBdr>
            <w:top w:val="none" w:sz="0" w:space="0" w:color="auto"/>
            <w:left w:val="none" w:sz="0" w:space="0" w:color="auto"/>
            <w:bottom w:val="none" w:sz="0" w:space="0" w:color="auto"/>
            <w:right w:val="none" w:sz="0" w:space="0" w:color="auto"/>
          </w:divBdr>
        </w:div>
        <w:div w:id="1211646877">
          <w:marLeft w:val="0"/>
          <w:marRight w:val="0"/>
          <w:marTop w:val="0"/>
          <w:marBottom w:val="0"/>
          <w:divBdr>
            <w:top w:val="none" w:sz="0" w:space="0" w:color="auto"/>
            <w:left w:val="none" w:sz="0" w:space="0" w:color="auto"/>
            <w:bottom w:val="none" w:sz="0" w:space="0" w:color="auto"/>
            <w:right w:val="none" w:sz="0" w:space="0" w:color="auto"/>
          </w:divBdr>
        </w:div>
        <w:div w:id="2088069360">
          <w:marLeft w:val="0"/>
          <w:marRight w:val="0"/>
          <w:marTop w:val="0"/>
          <w:marBottom w:val="0"/>
          <w:divBdr>
            <w:top w:val="none" w:sz="0" w:space="0" w:color="auto"/>
            <w:left w:val="none" w:sz="0" w:space="0" w:color="auto"/>
            <w:bottom w:val="none" w:sz="0" w:space="0" w:color="auto"/>
            <w:right w:val="none" w:sz="0" w:space="0" w:color="auto"/>
          </w:divBdr>
        </w:div>
        <w:div w:id="1672953694">
          <w:marLeft w:val="0"/>
          <w:marRight w:val="0"/>
          <w:marTop w:val="0"/>
          <w:marBottom w:val="0"/>
          <w:divBdr>
            <w:top w:val="none" w:sz="0" w:space="0" w:color="auto"/>
            <w:left w:val="none" w:sz="0" w:space="0" w:color="auto"/>
            <w:bottom w:val="none" w:sz="0" w:space="0" w:color="auto"/>
            <w:right w:val="none" w:sz="0" w:space="0" w:color="auto"/>
          </w:divBdr>
        </w:div>
        <w:div w:id="294605866">
          <w:marLeft w:val="0"/>
          <w:marRight w:val="0"/>
          <w:marTop w:val="0"/>
          <w:marBottom w:val="0"/>
          <w:divBdr>
            <w:top w:val="none" w:sz="0" w:space="0" w:color="auto"/>
            <w:left w:val="none" w:sz="0" w:space="0" w:color="auto"/>
            <w:bottom w:val="none" w:sz="0" w:space="0" w:color="auto"/>
            <w:right w:val="none" w:sz="0" w:space="0" w:color="auto"/>
          </w:divBdr>
        </w:div>
        <w:div w:id="1962766527">
          <w:marLeft w:val="0"/>
          <w:marRight w:val="0"/>
          <w:marTop w:val="0"/>
          <w:marBottom w:val="0"/>
          <w:divBdr>
            <w:top w:val="none" w:sz="0" w:space="0" w:color="auto"/>
            <w:left w:val="none" w:sz="0" w:space="0" w:color="auto"/>
            <w:bottom w:val="none" w:sz="0" w:space="0" w:color="auto"/>
            <w:right w:val="none" w:sz="0" w:space="0" w:color="auto"/>
          </w:divBdr>
        </w:div>
        <w:div w:id="2115130957">
          <w:marLeft w:val="0"/>
          <w:marRight w:val="0"/>
          <w:marTop w:val="0"/>
          <w:marBottom w:val="0"/>
          <w:divBdr>
            <w:top w:val="none" w:sz="0" w:space="0" w:color="auto"/>
            <w:left w:val="none" w:sz="0" w:space="0" w:color="auto"/>
            <w:bottom w:val="none" w:sz="0" w:space="0" w:color="auto"/>
            <w:right w:val="none" w:sz="0" w:space="0" w:color="auto"/>
          </w:divBdr>
        </w:div>
        <w:div w:id="1828133079">
          <w:marLeft w:val="0"/>
          <w:marRight w:val="0"/>
          <w:marTop w:val="0"/>
          <w:marBottom w:val="0"/>
          <w:divBdr>
            <w:top w:val="none" w:sz="0" w:space="0" w:color="auto"/>
            <w:left w:val="none" w:sz="0" w:space="0" w:color="auto"/>
            <w:bottom w:val="none" w:sz="0" w:space="0" w:color="auto"/>
            <w:right w:val="none" w:sz="0" w:space="0" w:color="auto"/>
          </w:divBdr>
        </w:div>
        <w:div w:id="2117555712">
          <w:marLeft w:val="0"/>
          <w:marRight w:val="0"/>
          <w:marTop w:val="0"/>
          <w:marBottom w:val="0"/>
          <w:divBdr>
            <w:top w:val="none" w:sz="0" w:space="0" w:color="auto"/>
            <w:left w:val="none" w:sz="0" w:space="0" w:color="auto"/>
            <w:bottom w:val="none" w:sz="0" w:space="0" w:color="auto"/>
            <w:right w:val="none" w:sz="0" w:space="0" w:color="auto"/>
          </w:divBdr>
        </w:div>
        <w:div w:id="1727102102">
          <w:marLeft w:val="0"/>
          <w:marRight w:val="0"/>
          <w:marTop w:val="0"/>
          <w:marBottom w:val="0"/>
          <w:divBdr>
            <w:top w:val="none" w:sz="0" w:space="0" w:color="auto"/>
            <w:left w:val="none" w:sz="0" w:space="0" w:color="auto"/>
            <w:bottom w:val="none" w:sz="0" w:space="0" w:color="auto"/>
            <w:right w:val="none" w:sz="0" w:space="0" w:color="auto"/>
          </w:divBdr>
        </w:div>
        <w:div w:id="591545748">
          <w:marLeft w:val="0"/>
          <w:marRight w:val="0"/>
          <w:marTop w:val="0"/>
          <w:marBottom w:val="0"/>
          <w:divBdr>
            <w:top w:val="none" w:sz="0" w:space="0" w:color="auto"/>
            <w:left w:val="none" w:sz="0" w:space="0" w:color="auto"/>
            <w:bottom w:val="none" w:sz="0" w:space="0" w:color="auto"/>
            <w:right w:val="none" w:sz="0" w:space="0" w:color="auto"/>
          </w:divBdr>
        </w:div>
        <w:div w:id="1797408759">
          <w:marLeft w:val="0"/>
          <w:marRight w:val="0"/>
          <w:marTop w:val="0"/>
          <w:marBottom w:val="0"/>
          <w:divBdr>
            <w:top w:val="none" w:sz="0" w:space="0" w:color="auto"/>
            <w:left w:val="none" w:sz="0" w:space="0" w:color="auto"/>
            <w:bottom w:val="none" w:sz="0" w:space="0" w:color="auto"/>
            <w:right w:val="none" w:sz="0" w:space="0" w:color="auto"/>
          </w:divBdr>
        </w:div>
        <w:div w:id="1929583643">
          <w:marLeft w:val="0"/>
          <w:marRight w:val="0"/>
          <w:marTop w:val="0"/>
          <w:marBottom w:val="0"/>
          <w:divBdr>
            <w:top w:val="none" w:sz="0" w:space="0" w:color="auto"/>
            <w:left w:val="none" w:sz="0" w:space="0" w:color="auto"/>
            <w:bottom w:val="none" w:sz="0" w:space="0" w:color="auto"/>
            <w:right w:val="none" w:sz="0" w:space="0" w:color="auto"/>
          </w:divBdr>
        </w:div>
        <w:div w:id="1321350167">
          <w:marLeft w:val="0"/>
          <w:marRight w:val="0"/>
          <w:marTop w:val="0"/>
          <w:marBottom w:val="0"/>
          <w:divBdr>
            <w:top w:val="none" w:sz="0" w:space="0" w:color="auto"/>
            <w:left w:val="none" w:sz="0" w:space="0" w:color="auto"/>
            <w:bottom w:val="none" w:sz="0" w:space="0" w:color="auto"/>
            <w:right w:val="none" w:sz="0" w:space="0" w:color="auto"/>
          </w:divBdr>
        </w:div>
        <w:div w:id="2046102351">
          <w:marLeft w:val="0"/>
          <w:marRight w:val="0"/>
          <w:marTop w:val="0"/>
          <w:marBottom w:val="0"/>
          <w:divBdr>
            <w:top w:val="none" w:sz="0" w:space="0" w:color="auto"/>
            <w:left w:val="none" w:sz="0" w:space="0" w:color="auto"/>
            <w:bottom w:val="none" w:sz="0" w:space="0" w:color="auto"/>
            <w:right w:val="none" w:sz="0" w:space="0" w:color="auto"/>
          </w:divBdr>
        </w:div>
        <w:div w:id="1626690533">
          <w:marLeft w:val="0"/>
          <w:marRight w:val="0"/>
          <w:marTop w:val="0"/>
          <w:marBottom w:val="0"/>
          <w:divBdr>
            <w:top w:val="none" w:sz="0" w:space="0" w:color="auto"/>
            <w:left w:val="none" w:sz="0" w:space="0" w:color="auto"/>
            <w:bottom w:val="none" w:sz="0" w:space="0" w:color="auto"/>
            <w:right w:val="none" w:sz="0" w:space="0" w:color="auto"/>
          </w:divBdr>
        </w:div>
        <w:div w:id="509100527">
          <w:marLeft w:val="0"/>
          <w:marRight w:val="0"/>
          <w:marTop w:val="0"/>
          <w:marBottom w:val="0"/>
          <w:divBdr>
            <w:top w:val="none" w:sz="0" w:space="0" w:color="auto"/>
            <w:left w:val="none" w:sz="0" w:space="0" w:color="auto"/>
            <w:bottom w:val="none" w:sz="0" w:space="0" w:color="auto"/>
            <w:right w:val="none" w:sz="0" w:space="0" w:color="auto"/>
          </w:divBdr>
        </w:div>
        <w:div w:id="356856962">
          <w:marLeft w:val="0"/>
          <w:marRight w:val="0"/>
          <w:marTop w:val="0"/>
          <w:marBottom w:val="0"/>
          <w:divBdr>
            <w:top w:val="none" w:sz="0" w:space="0" w:color="auto"/>
            <w:left w:val="none" w:sz="0" w:space="0" w:color="auto"/>
            <w:bottom w:val="none" w:sz="0" w:space="0" w:color="auto"/>
            <w:right w:val="none" w:sz="0" w:space="0" w:color="auto"/>
          </w:divBdr>
        </w:div>
        <w:div w:id="2069037677">
          <w:marLeft w:val="0"/>
          <w:marRight w:val="0"/>
          <w:marTop w:val="0"/>
          <w:marBottom w:val="0"/>
          <w:divBdr>
            <w:top w:val="none" w:sz="0" w:space="0" w:color="auto"/>
            <w:left w:val="none" w:sz="0" w:space="0" w:color="auto"/>
            <w:bottom w:val="none" w:sz="0" w:space="0" w:color="auto"/>
            <w:right w:val="none" w:sz="0" w:space="0" w:color="auto"/>
          </w:divBdr>
        </w:div>
        <w:div w:id="102112493">
          <w:marLeft w:val="0"/>
          <w:marRight w:val="0"/>
          <w:marTop w:val="0"/>
          <w:marBottom w:val="0"/>
          <w:divBdr>
            <w:top w:val="none" w:sz="0" w:space="0" w:color="auto"/>
            <w:left w:val="none" w:sz="0" w:space="0" w:color="auto"/>
            <w:bottom w:val="none" w:sz="0" w:space="0" w:color="auto"/>
            <w:right w:val="none" w:sz="0" w:space="0" w:color="auto"/>
          </w:divBdr>
        </w:div>
        <w:div w:id="986860503">
          <w:marLeft w:val="0"/>
          <w:marRight w:val="0"/>
          <w:marTop w:val="0"/>
          <w:marBottom w:val="0"/>
          <w:divBdr>
            <w:top w:val="none" w:sz="0" w:space="0" w:color="auto"/>
            <w:left w:val="none" w:sz="0" w:space="0" w:color="auto"/>
            <w:bottom w:val="none" w:sz="0" w:space="0" w:color="auto"/>
            <w:right w:val="none" w:sz="0" w:space="0" w:color="auto"/>
          </w:divBdr>
        </w:div>
        <w:div w:id="662897078">
          <w:marLeft w:val="0"/>
          <w:marRight w:val="0"/>
          <w:marTop w:val="0"/>
          <w:marBottom w:val="0"/>
          <w:divBdr>
            <w:top w:val="none" w:sz="0" w:space="0" w:color="auto"/>
            <w:left w:val="none" w:sz="0" w:space="0" w:color="auto"/>
            <w:bottom w:val="none" w:sz="0" w:space="0" w:color="auto"/>
            <w:right w:val="none" w:sz="0" w:space="0" w:color="auto"/>
          </w:divBdr>
        </w:div>
        <w:div w:id="591622335">
          <w:marLeft w:val="0"/>
          <w:marRight w:val="0"/>
          <w:marTop w:val="0"/>
          <w:marBottom w:val="0"/>
          <w:divBdr>
            <w:top w:val="none" w:sz="0" w:space="0" w:color="auto"/>
            <w:left w:val="none" w:sz="0" w:space="0" w:color="auto"/>
            <w:bottom w:val="none" w:sz="0" w:space="0" w:color="auto"/>
            <w:right w:val="none" w:sz="0" w:space="0" w:color="auto"/>
          </w:divBdr>
        </w:div>
        <w:div w:id="1771390766">
          <w:marLeft w:val="0"/>
          <w:marRight w:val="0"/>
          <w:marTop w:val="0"/>
          <w:marBottom w:val="0"/>
          <w:divBdr>
            <w:top w:val="none" w:sz="0" w:space="0" w:color="auto"/>
            <w:left w:val="none" w:sz="0" w:space="0" w:color="auto"/>
            <w:bottom w:val="none" w:sz="0" w:space="0" w:color="auto"/>
            <w:right w:val="none" w:sz="0" w:space="0" w:color="auto"/>
          </w:divBdr>
        </w:div>
        <w:div w:id="1454785734">
          <w:marLeft w:val="0"/>
          <w:marRight w:val="0"/>
          <w:marTop w:val="0"/>
          <w:marBottom w:val="0"/>
          <w:divBdr>
            <w:top w:val="none" w:sz="0" w:space="0" w:color="auto"/>
            <w:left w:val="none" w:sz="0" w:space="0" w:color="auto"/>
            <w:bottom w:val="none" w:sz="0" w:space="0" w:color="auto"/>
            <w:right w:val="none" w:sz="0" w:space="0" w:color="auto"/>
          </w:divBdr>
        </w:div>
        <w:div w:id="61411724">
          <w:marLeft w:val="0"/>
          <w:marRight w:val="0"/>
          <w:marTop w:val="0"/>
          <w:marBottom w:val="0"/>
          <w:divBdr>
            <w:top w:val="none" w:sz="0" w:space="0" w:color="auto"/>
            <w:left w:val="none" w:sz="0" w:space="0" w:color="auto"/>
            <w:bottom w:val="none" w:sz="0" w:space="0" w:color="auto"/>
            <w:right w:val="none" w:sz="0" w:space="0" w:color="auto"/>
          </w:divBdr>
        </w:div>
        <w:div w:id="982154244">
          <w:marLeft w:val="0"/>
          <w:marRight w:val="0"/>
          <w:marTop w:val="0"/>
          <w:marBottom w:val="0"/>
          <w:divBdr>
            <w:top w:val="none" w:sz="0" w:space="0" w:color="auto"/>
            <w:left w:val="none" w:sz="0" w:space="0" w:color="auto"/>
            <w:bottom w:val="none" w:sz="0" w:space="0" w:color="auto"/>
            <w:right w:val="none" w:sz="0" w:space="0" w:color="auto"/>
          </w:divBdr>
        </w:div>
        <w:div w:id="1448086393">
          <w:marLeft w:val="0"/>
          <w:marRight w:val="0"/>
          <w:marTop w:val="0"/>
          <w:marBottom w:val="0"/>
          <w:divBdr>
            <w:top w:val="none" w:sz="0" w:space="0" w:color="auto"/>
            <w:left w:val="none" w:sz="0" w:space="0" w:color="auto"/>
            <w:bottom w:val="none" w:sz="0" w:space="0" w:color="auto"/>
            <w:right w:val="none" w:sz="0" w:space="0" w:color="auto"/>
          </w:divBdr>
        </w:div>
        <w:div w:id="591864107">
          <w:marLeft w:val="0"/>
          <w:marRight w:val="0"/>
          <w:marTop w:val="0"/>
          <w:marBottom w:val="0"/>
          <w:divBdr>
            <w:top w:val="none" w:sz="0" w:space="0" w:color="auto"/>
            <w:left w:val="none" w:sz="0" w:space="0" w:color="auto"/>
            <w:bottom w:val="none" w:sz="0" w:space="0" w:color="auto"/>
            <w:right w:val="none" w:sz="0" w:space="0" w:color="auto"/>
          </w:divBdr>
        </w:div>
        <w:div w:id="204103313">
          <w:marLeft w:val="0"/>
          <w:marRight w:val="0"/>
          <w:marTop w:val="0"/>
          <w:marBottom w:val="0"/>
          <w:divBdr>
            <w:top w:val="none" w:sz="0" w:space="0" w:color="auto"/>
            <w:left w:val="none" w:sz="0" w:space="0" w:color="auto"/>
            <w:bottom w:val="none" w:sz="0" w:space="0" w:color="auto"/>
            <w:right w:val="none" w:sz="0" w:space="0" w:color="auto"/>
          </w:divBdr>
        </w:div>
        <w:div w:id="2095977229">
          <w:marLeft w:val="0"/>
          <w:marRight w:val="0"/>
          <w:marTop w:val="0"/>
          <w:marBottom w:val="0"/>
          <w:divBdr>
            <w:top w:val="none" w:sz="0" w:space="0" w:color="auto"/>
            <w:left w:val="none" w:sz="0" w:space="0" w:color="auto"/>
            <w:bottom w:val="none" w:sz="0" w:space="0" w:color="auto"/>
            <w:right w:val="none" w:sz="0" w:space="0" w:color="auto"/>
          </w:divBdr>
        </w:div>
        <w:div w:id="1754889519">
          <w:marLeft w:val="0"/>
          <w:marRight w:val="0"/>
          <w:marTop w:val="0"/>
          <w:marBottom w:val="0"/>
          <w:divBdr>
            <w:top w:val="none" w:sz="0" w:space="0" w:color="auto"/>
            <w:left w:val="none" w:sz="0" w:space="0" w:color="auto"/>
            <w:bottom w:val="none" w:sz="0" w:space="0" w:color="auto"/>
            <w:right w:val="none" w:sz="0" w:space="0" w:color="auto"/>
          </w:divBdr>
        </w:div>
        <w:div w:id="759451921">
          <w:marLeft w:val="0"/>
          <w:marRight w:val="0"/>
          <w:marTop w:val="0"/>
          <w:marBottom w:val="0"/>
          <w:divBdr>
            <w:top w:val="none" w:sz="0" w:space="0" w:color="auto"/>
            <w:left w:val="none" w:sz="0" w:space="0" w:color="auto"/>
            <w:bottom w:val="none" w:sz="0" w:space="0" w:color="auto"/>
            <w:right w:val="none" w:sz="0" w:space="0" w:color="auto"/>
          </w:divBdr>
        </w:div>
        <w:div w:id="236135618">
          <w:marLeft w:val="0"/>
          <w:marRight w:val="0"/>
          <w:marTop w:val="0"/>
          <w:marBottom w:val="0"/>
          <w:divBdr>
            <w:top w:val="none" w:sz="0" w:space="0" w:color="auto"/>
            <w:left w:val="none" w:sz="0" w:space="0" w:color="auto"/>
            <w:bottom w:val="none" w:sz="0" w:space="0" w:color="auto"/>
            <w:right w:val="none" w:sz="0" w:space="0" w:color="auto"/>
          </w:divBdr>
        </w:div>
        <w:div w:id="1082917157">
          <w:marLeft w:val="0"/>
          <w:marRight w:val="0"/>
          <w:marTop w:val="0"/>
          <w:marBottom w:val="0"/>
          <w:divBdr>
            <w:top w:val="none" w:sz="0" w:space="0" w:color="auto"/>
            <w:left w:val="none" w:sz="0" w:space="0" w:color="auto"/>
            <w:bottom w:val="none" w:sz="0" w:space="0" w:color="auto"/>
            <w:right w:val="none" w:sz="0" w:space="0" w:color="auto"/>
          </w:divBdr>
        </w:div>
        <w:div w:id="2056392506">
          <w:marLeft w:val="0"/>
          <w:marRight w:val="0"/>
          <w:marTop w:val="0"/>
          <w:marBottom w:val="0"/>
          <w:divBdr>
            <w:top w:val="none" w:sz="0" w:space="0" w:color="auto"/>
            <w:left w:val="none" w:sz="0" w:space="0" w:color="auto"/>
            <w:bottom w:val="none" w:sz="0" w:space="0" w:color="auto"/>
            <w:right w:val="none" w:sz="0" w:space="0" w:color="auto"/>
          </w:divBdr>
        </w:div>
        <w:div w:id="724724566">
          <w:marLeft w:val="0"/>
          <w:marRight w:val="0"/>
          <w:marTop w:val="0"/>
          <w:marBottom w:val="0"/>
          <w:divBdr>
            <w:top w:val="none" w:sz="0" w:space="0" w:color="auto"/>
            <w:left w:val="none" w:sz="0" w:space="0" w:color="auto"/>
            <w:bottom w:val="none" w:sz="0" w:space="0" w:color="auto"/>
            <w:right w:val="none" w:sz="0" w:space="0" w:color="auto"/>
          </w:divBdr>
        </w:div>
        <w:div w:id="1960910864">
          <w:marLeft w:val="0"/>
          <w:marRight w:val="0"/>
          <w:marTop w:val="0"/>
          <w:marBottom w:val="0"/>
          <w:divBdr>
            <w:top w:val="none" w:sz="0" w:space="0" w:color="auto"/>
            <w:left w:val="none" w:sz="0" w:space="0" w:color="auto"/>
            <w:bottom w:val="none" w:sz="0" w:space="0" w:color="auto"/>
            <w:right w:val="none" w:sz="0" w:space="0" w:color="auto"/>
          </w:divBdr>
        </w:div>
        <w:div w:id="516894726">
          <w:marLeft w:val="0"/>
          <w:marRight w:val="0"/>
          <w:marTop w:val="0"/>
          <w:marBottom w:val="0"/>
          <w:divBdr>
            <w:top w:val="none" w:sz="0" w:space="0" w:color="auto"/>
            <w:left w:val="none" w:sz="0" w:space="0" w:color="auto"/>
            <w:bottom w:val="none" w:sz="0" w:space="0" w:color="auto"/>
            <w:right w:val="none" w:sz="0" w:space="0" w:color="auto"/>
          </w:divBdr>
        </w:div>
        <w:div w:id="2129351924">
          <w:marLeft w:val="0"/>
          <w:marRight w:val="0"/>
          <w:marTop w:val="0"/>
          <w:marBottom w:val="0"/>
          <w:divBdr>
            <w:top w:val="none" w:sz="0" w:space="0" w:color="auto"/>
            <w:left w:val="none" w:sz="0" w:space="0" w:color="auto"/>
            <w:bottom w:val="none" w:sz="0" w:space="0" w:color="auto"/>
            <w:right w:val="none" w:sz="0" w:space="0" w:color="auto"/>
          </w:divBdr>
        </w:div>
        <w:div w:id="1123111722">
          <w:marLeft w:val="0"/>
          <w:marRight w:val="0"/>
          <w:marTop w:val="0"/>
          <w:marBottom w:val="0"/>
          <w:divBdr>
            <w:top w:val="none" w:sz="0" w:space="0" w:color="auto"/>
            <w:left w:val="none" w:sz="0" w:space="0" w:color="auto"/>
            <w:bottom w:val="none" w:sz="0" w:space="0" w:color="auto"/>
            <w:right w:val="none" w:sz="0" w:space="0" w:color="auto"/>
          </w:divBdr>
        </w:div>
        <w:div w:id="508328647">
          <w:marLeft w:val="0"/>
          <w:marRight w:val="0"/>
          <w:marTop w:val="0"/>
          <w:marBottom w:val="0"/>
          <w:divBdr>
            <w:top w:val="none" w:sz="0" w:space="0" w:color="auto"/>
            <w:left w:val="none" w:sz="0" w:space="0" w:color="auto"/>
            <w:bottom w:val="none" w:sz="0" w:space="0" w:color="auto"/>
            <w:right w:val="none" w:sz="0" w:space="0" w:color="auto"/>
          </w:divBdr>
        </w:div>
        <w:div w:id="1071780100">
          <w:marLeft w:val="0"/>
          <w:marRight w:val="0"/>
          <w:marTop w:val="0"/>
          <w:marBottom w:val="0"/>
          <w:divBdr>
            <w:top w:val="none" w:sz="0" w:space="0" w:color="auto"/>
            <w:left w:val="none" w:sz="0" w:space="0" w:color="auto"/>
            <w:bottom w:val="none" w:sz="0" w:space="0" w:color="auto"/>
            <w:right w:val="none" w:sz="0" w:space="0" w:color="auto"/>
          </w:divBdr>
        </w:div>
        <w:div w:id="1344555429">
          <w:marLeft w:val="0"/>
          <w:marRight w:val="0"/>
          <w:marTop w:val="0"/>
          <w:marBottom w:val="0"/>
          <w:divBdr>
            <w:top w:val="none" w:sz="0" w:space="0" w:color="auto"/>
            <w:left w:val="none" w:sz="0" w:space="0" w:color="auto"/>
            <w:bottom w:val="none" w:sz="0" w:space="0" w:color="auto"/>
            <w:right w:val="none" w:sz="0" w:space="0" w:color="auto"/>
          </w:divBdr>
        </w:div>
        <w:div w:id="1316301939">
          <w:marLeft w:val="0"/>
          <w:marRight w:val="0"/>
          <w:marTop w:val="0"/>
          <w:marBottom w:val="0"/>
          <w:divBdr>
            <w:top w:val="none" w:sz="0" w:space="0" w:color="auto"/>
            <w:left w:val="none" w:sz="0" w:space="0" w:color="auto"/>
            <w:bottom w:val="none" w:sz="0" w:space="0" w:color="auto"/>
            <w:right w:val="none" w:sz="0" w:space="0" w:color="auto"/>
          </w:divBdr>
        </w:div>
        <w:div w:id="1107890151">
          <w:marLeft w:val="0"/>
          <w:marRight w:val="0"/>
          <w:marTop w:val="0"/>
          <w:marBottom w:val="0"/>
          <w:divBdr>
            <w:top w:val="none" w:sz="0" w:space="0" w:color="auto"/>
            <w:left w:val="none" w:sz="0" w:space="0" w:color="auto"/>
            <w:bottom w:val="none" w:sz="0" w:space="0" w:color="auto"/>
            <w:right w:val="none" w:sz="0" w:space="0" w:color="auto"/>
          </w:divBdr>
        </w:div>
        <w:div w:id="274871899">
          <w:marLeft w:val="0"/>
          <w:marRight w:val="0"/>
          <w:marTop w:val="0"/>
          <w:marBottom w:val="0"/>
          <w:divBdr>
            <w:top w:val="none" w:sz="0" w:space="0" w:color="auto"/>
            <w:left w:val="none" w:sz="0" w:space="0" w:color="auto"/>
            <w:bottom w:val="none" w:sz="0" w:space="0" w:color="auto"/>
            <w:right w:val="none" w:sz="0" w:space="0" w:color="auto"/>
          </w:divBdr>
        </w:div>
        <w:div w:id="1687098762">
          <w:marLeft w:val="0"/>
          <w:marRight w:val="0"/>
          <w:marTop w:val="0"/>
          <w:marBottom w:val="0"/>
          <w:divBdr>
            <w:top w:val="none" w:sz="0" w:space="0" w:color="auto"/>
            <w:left w:val="none" w:sz="0" w:space="0" w:color="auto"/>
            <w:bottom w:val="none" w:sz="0" w:space="0" w:color="auto"/>
            <w:right w:val="none" w:sz="0" w:space="0" w:color="auto"/>
          </w:divBdr>
        </w:div>
        <w:div w:id="1373579464">
          <w:marLeft w:val="0"/>
          <w:marRight w:val="0"/>
          <w:marTop w:val="0"/>
          <w:marBottom w:val="0"/>
          <w:divBdr>
            <w:top w:val="none" w:sz="0" w:space="0" w:color="auto"/>
            <w:left w:val="none" w:sz="0" w:space="0" w:color="auto"/>
            <w:bottom w:val="none" w:sz="0" w:space="0" w:color="auto"/>
            <w:right w:val="none" w:sz="0" w:space="0" w:color="auto"/>
          </w:divBdr>
        </w:div>
        <w:div w:id="571548992">
          <w:marLeft w:val="0"/>
          <w:marRight w:val="0"/>
          <w:marTop w:val="0"/>
          <w:marBottom w:val="0"/>
          <w:divBdr>
            <w:top w:val="none" w:sz="0" w:space="0" w:color="auto"/>
            <w:left w:val="none" w:sz="0" w:space="0" w:color="auto"/>
            <w:bottom w:val="none" w:sz="0" w:space="0" w:color="auto"/>
            <w:right w:val="none" w:sz="0" w:space="0" w:color="auto"/>
          </w:divBdr>
        </w:div>
        <w:div w:id="718893316">
          <w:marLeft w:val="0"/>
          <w:marRight w:val="0"/>
          <w:marTop w:val="0"/>
          <w:marBottom w:val="0"/>
          <w:divBdr>
            <w:top w:val="none" w:sz="0" w:space="0" w:color="auto"/>
            <w:left w:val="none" w:sz="0" w:space="0" w:color="auto"/>
            <w:bottom w:val="none" w:sz="0" w:space="0" w:color="auto"/>
            <w:right w:val="none" w:sz="0" w:space="0" w:color="auto"/>
          </w:divBdr>
        </w:div>
        <w:div w:id="1217426853">
          <w:marLeft w:val="0"/>
          <w:marRight w:val="0"/>
          <w:marTop w:val="0"/>
          <w:marBottom w:val="0"/>
          <w:divBdr>
            <w:top w:val="none" w:sz="0" w:space="0" w:color="auto"/>
            <w:left w:val="none" w:sz="0" w:space="0" w:color="auto"/>
            <w:bottom w:val="none" w:sz="0" w:space="0" w:color="auto"/>
            <w:right w:val="none" w:sz="0" w:space="0" w:color="auto"/>
          </w:divBdr>
        </w:div>
        <w:div w:id="1444303565">
          <w:marLeft w:val="0"/>
          <w:marRight w:val="0"/>
          <w:marTop w:val="0"/>
          <w:marBottom w:val="0"/>
          <w:divBdr>
            <w:top w:val="none" w:sz="0" w:space="0" w:color="auto"/>
            <w:left w:val="none" w:sz="0" w:space="0" w:color="auto"/>
            <w:bottom w:val="none" w:sz="0" w:space="0" w:color="auto"/>
            <w:right w:val="none" w:sz="0" w:space="0" w:color="auto"/>
          </w:divBdr>
        </w:div>
        <w:div w:id="659966558">
          <w:marLeft w:val="0"/>
          <w:marRight w:val="0"/>
          <w:marTop w:val="0"/>
          <w:marBottom w:val="0"/>
          <w:divBdr>
            <w:top w:val="none" w:sz="0" w:space="0" w:color="auto"/>
            <w:left w:val="none" w:sz="0" w:space="0" w:color="auto"/>
            <w:bottom w:val="none" w:sz="0" w:space="0" w:color="auto"/>
            <w:right w:val="none" w:sz="0" w:space="0" w:color="auto"/>
          </w:divBdr>
        </w:div>
        <w:div w:id="354036747">
          <w:marLeft w:val="0"/>
          <w:marRight w:val="0"/>
          <w:marTop w:val="0"/>
          <w:marBottom w:val="0"/>
          <w:divBdr>
            <w:top w:val="none" w:sz="0" w:space="0" w:color="auto"/>
            <w:left w:val="none" w:sz="0" w:space="0" w:color="auto"/>
            <w:bottom w:val="none" w:sz="0" w:space="0" w:color="auto"/>
            <w:right w:val="none" w:sz="0" w:space="0" w:color="auto"/>
          </w:divBdr>
        </w:div>
        <w:div w:id="994337108">
          <w:marLeft w:val="0"/>
          <w:marRight w:val="0"/>
          <w:marTop w:val="0"/>
          <w:marBottom w:val="0"/>
          <w:divBdr>
            <w:top w:val="none" w:sz="0" w:space="0" w:color="auto"/>
            <w:left w:val="none" w:sz="0" w:space="0" w:color="auto"/>
            <w:bottom w:val="none" w:sz="0" w:space="0" w:color="auto"/>
            <w:right w:val="none" w:sz="0" w:space="0" w:color="auto"/>
          </w:divBdr>
        </w:div>
        <w:div w:id="1891113426">
          <w:marLeft w:val="0"/>
          <w:marRight w:val="0"/>
          <w:marTop w:val="0"/>
          <w:marBottom w:val="0"/>
          <w:divBdr>
            <w:top w:val="none" w:sz="0" w:space="0" w:color="auto"/>
            <w:left w:val="none" w:sz="0" w:space="0" w:color="auto"/>
            <w:bottom w:val="none" w:sz="0" w:space="0" w:color="auto"/>
            <w:right w:val="none" w:sz="0" w:space="0" w:color="auto"/>
          </w:divBdr>
        </w:div>
        <w:div w:id="527717400">
          <w:marLeft w:val="0"/>
          <w:marRight w:val="0"/>
          <w:marTop w:val="0"/>
          <w:marBottom w:val="0"/>
          <w:divBdr>
            <w:top w:val="none" w:sz="0" w:space="0" w:color="auto"/>
            <w:left w:val="none" w:sz="0" w:space="0" w:color="auto"/>
            <w:bottom w:val="none" w:sz="0" w:space="0" w:color="auto"/>
            <w:right w:val="none" w:sz="0" w:space="0" w:color="auto"/>
          </w:divBdr>
        </w:div>
        <w:div w:id="843475541">
          <w:marLeft w:val="0"/>
          <w:marRight w:val="0"/>
          <w:marTop w:val="0"/>
          <w:marBottom w:val="0"/>
          <w:divBdr>
            <w:top w:val="none" w:sz="0" w:space="0" w:color="auto"/>
            <w:left w:val="none" w:sz="0" w:space="0" w:color="auto"/>
            <w:bottom w:val="none" w:sz="0" w:space="0" w:color="auto"/>
            <w:right w:val="none" w:sz="0" w:space="0" w:color="auto"/>
          </w:divBdr>
        </w:div>
        <w:div w:id="1859654574">
          <w:marLeft w:val="0"/>
          <w:marRight w:val="0"/>
          <w:marTop w:val="0"/>
          <w:marBottom w:val="0"/>
          <w:divBdr>
            <w:top w:val="none" w:sz="0" w:space="0" w:color="auto"/>
            <w:left w:val="none" w:sz="0" w:space="0" w:color="auto"/>
            <w:bottom w:val="none" w:sz="0" w:space="0" w:color="auto"/>
            <w:right w:val="none" w:sz="0" w:space="0" w:color="auto"/>
          </w:divBdr>
        </w:div>
        <w:div w:id="361248726">
          <w:marLeft w:val="0"/>
          <w:marRight w:val="0"/>
          <w:marTop w:val="0"/>
          <w:marBottom w:val="0"/>
          <w:divBdr>
            <w:top w:val="none" w:sz="0" w:space="0" w:color="auto"/>
            <w:left w:val="none" w:sz="0" w:space="0" w:color="auto"/>
            <w:bottom w:val="none" w:sz="0" w:space="0" w:color="auto"/>
            <w:right w:val="none" w:sz="0" w:space="0" w:color="auto"/>
          </w:divBdr>
        </w:div>
        <w:div w:id="559748722">
          <w:marLeft w:val="0"/>
          <w:marRight w:val="0"/>
          <w:marTop w:val="0"/>
          <w:marBottom w:val="0"/>
          <w:divBdr>
            <w:top w:val="none" w:sz="0" w:space="0" w:color="auto"/>
            <w:left w:val="none" w:sz="0" w:space="0" w:color="auto"/>
            <w:bottom w:val="none" w:sz="0" w:space="0" w:color="auto"/>
            <w:right w:val="none" w:sz="0" w:space="0" w:color="auto"/>
          </w:divBdr>
        </w:div>
        <w:div w:id="260799419">
          <w:marLeft w:val="0"/>
          <w:marRight w:val="0"/>
          <w:marTop w:val="0"/>
          <w:marBottom w:val="0"/>
          <w:divBdr>
            <w:top w:val="none" w:sz="0" w:space="0" w:color="auto"/>
            <w:left w:val="none" w:sz="0" w:space="0" w:color="auto"/>
            <w:bottom w:val="none" w:sz="0" w:space="0" w:color="auto"/>
            <w:right w:val="none" w:sz="0" w:space="0" w:color="auto"/>
          </w:divBdr>
        </w:div>
        <w:div w:id="1637100142">
          <w:marLeft w:val="0"/>
          <w:marRight w:val="0"/>
          <w:marTop w:val="0"/>
          <w:marBottom w:val="0"/>
          <w:divBdr>
            <w:top w:val="none" w:sz="0" w:space="0" w:color="auto"/>
            <w:left w:val="none" w:sz="0" w:space="0" w:color="auto"/>
            <w:bottom w:val="none" w:sz="0" w:space="0" w:color="auto"/>
            <w:right w:val="none" w:sz="0" w:space="0" w:color="auto"/>
          </w:divBdr>
        </w:div>
        <w:div w:id="1385836183">
          <w:marLeft w:val="0"/>
          <w:marRight w:val="0"/>
          <w:marTop w:val="0"/>
          <w:marBottom w:val="0"/>
          <w:divBdr>
            <w:top w:val="none" w:sz="0" w:space="0" w:color="auto"/>
            <w:left w:val="none" w:sz="0" w:space="0" w:color="auto"/>
            <w:bottom w:val="none" w:sz="0" w:space="0" w:color="auto"/>
            <w:right w:val="none" w:sz="0" w:space="0" w:color="auto"/>
          </w:divBdr>
        </w:div>
        <w:div w:id="1547371072">
          <w:marLeft w:val="0"/>
          <w:marRight w:val="0"/>
          <w:marTop w:val="0"/>
          <w:marBottom w:val="0"/>
          <w:divBdr>
            <w:top w:val="none" w:sz="0" w:space="0" w:color="auto"/>
            <w:left w:val="none" w:sz="0" w:space="0" w:color="auto"/>
            <w:bottom w:val="none" w:sz="0" w:space="0" w:color="auto"/>
            <w:right w:val="none" w:sz="0" w:space="0" w:color="auto"/>
          </w:divBdr>
        </w:div>
        <w:div w:id="1287128612">
          <w:marLeft w:val="0"/>
          <w:marRight w:val="0"/>
          <w:marTop w:val="0"/>
          <w:marBottom w:val="0"/>
          <w:divBdr>
            <w:top w:val="none" w:sz="0" w:space="0" w:color="auto"/>
            <w:left w:val="none" w:sz="0" w:space="0" w:color="auto"/>
            <w:bottom w:val="none" w:sz="0" w:space="0" w:color="auto"/>
            <w:right w:val="none" w:sz="0" w:space="0" w:color="auto"/>
          </w:divBdr>
        </w:div>
        <w:div w:id="741374204">
          <w:marLeft w:val="0"/>
          <w:marRight w:val="0"/>
          <w:marTop w:val="0"/>
          <w:marBottom w:val="0"/>
          <w:divBdr>
            <w:top w:val="none" w:sz="0" w:space="0" w:color="auto"/>
            <w:left w:val="none" w:sz="0" w:space="0" w:color="auto"/>
            <w:bottom w:val="none" w:sz="0" w:space="0" w:color="auto"/>
            <w:right w:val="none" w:sz="0" w:space="0" w:color="auto"/>
          </w:divBdr>
        </w:div>
        <w:div w:id="1990093253">
          <w:marLeft w:val="0"/>
          <w:marRight w:val="0"/>
          <w:marTop w:val="0"/>
          <w:marBottom w:val="0"/>
          <w:divBdr>
            <w:top w:val="none" w:sz="0" w:space="0" w:color="auto"/>
            <w:left w:val="none" w:sz="0" w:space="0" w:color="auto"/>
            <w:bottom w:val="none" w:sz="0" w:space="0" w:color="auto"/>
            <w:right w:val="none" w:sz="0" w:space="0" w:color="auto"/>
          </w:divBdr>
        </w:div>
        <w:div w:id="1460339558">
          <w:marLeft w:val="0"/>
          <w:marRight w:val="0"/>
          <w:marTop w:val="0"/>
          <w:marBottom w:val="0"/>
          <w:divBdr>
            <w:top w:val="none" w:sz="0" w:space="0" w:color="auto"/>
            <w:left w:val="none" w:sz="0" w:space="0" w:color="auto"/>
            <w:bottom w:val="none" w:sz="0" w:space="0" w:color="auto"/>
            <w:right w:val="none" w:sz="0" w:space="0" w:color="auto"/>
          </w:divBdr>
        </w:div>
        <w:div w:id="1857620052">
          <w:marLeft w:val="0"/>
          <w:marRight w:val="0"/>
          <w:marTop w:val="0"/>
          <w:marBottom w:val="0"/>
          <w:divBdr>
            <w:top w:val="none" w:sz="0" w:space="0" w:color="auto"/>
            <w:left w:val="none" w:sz="0" w:space="0" w:color="auto"/>
            <w:bottom w:val="none" w:sz="0" w:space="0" w:color="auto"/>
            <w:right w:val="none" w:sz="0" w:space="0" w:color="auto"/>
          </w:divBdr>
        </w:div>
        <w:div w:id="91360776">
          <w:marLeft w:val="0"/>
          <w:marRight w:val="0"/>
          <w:marTop w:val="0"/>
          <w:marBottom w:val="0"/>
          <w:divBdr>
            <w:top w:val="none" w:sz="0" w:space="0" w:color="auto"/>
            <w:left w:val="none" w:sz="0" w:space="0" w:color="auto"/>
            <w:bottom w:val="none" w:sz="0" w:space="0" w:color="auto"/>
            <w:right w:val="none" w:sz="0" w:space="0" w:color="auto"/>
          </w:divBdr>
        </w:div>
        <w:div w:id="1451319398">
          <w:marLeft w:val="0"/>
          <w:marRight w:val="0"/>
          <w:marTop w:val="0"/>
          <w:marBottom w:val="0"/>
          <w:divBdr>
            <w:top w:val="none" w:sz="0" w:space="0" w:color="auto"/>
            <w:left w:val="none" w:sz="0" w:space="0" w:color="auto"/>
            <w:bottom w:val="none" w:sz="0" w:space="0" w:color="auto"/>
            <w:right w:val="none" w:sz="0" w:space="0" w:color="auto"/>
          </w:divBdr>
        </w:div>
        <w:div w:id="1412434447">
          <w:marLeft w:val="0"/>
          <w:marRight w:val="0"/>
          <w:marTop w:val="0"/>
          <w:marBottom w:val="0"/>
          <w:divBdr>
            <w:top w:val="none" w:sz="0" w:space="0" w:color="auto"/>
            <w:left w:val="none" w:sz="0" w:space="0" w:color="auto"/>
            <w:bottom w:val="none" w:sz="0" w:space="0" w:color="auto"/>
            <w:right w:val="none" w:sz="0" w:space="0" w:color="auto"/>
          </w:divBdr>
        </w:div>
        <w:div w:id="1831292361">
          <w:marLeft w:val="0"/>
          <w:marRight w:val="0"/>
          <w:marTop w:val="0"/>
          <w:marBottom w:val="0"/>
          <w:divBdr>
            <w:top w:val="none" w:sz="0" w:space="0" w:color="auto"/>
            <w:left w:val="none" w:sz="0" w:space="0" w:color="auto"/>
            <w:bottom w:val="none" w:sz="0" w:space="0" w:color="auto"/>
            <w:right w:val="none" w:sz="0" w:space="0" w:color="auto"/>
          </w:divBdr>
        </w:div>
        <w:div w:id="1081101365">
          <w:marLeft w:val="0"/>
          <w:marRight w:val="0"/>
          <w:marTop w:val="0"/>
          <w:marBottom w:val="0"/>
          <w:divBdr>
            <w:top w:val="none" w:sz="0" w:space="0" w:color="auto"/>
            <w:left w:val="none" w:sz="0" w:space="0" w:color="auto"/>
            <w:bottom w:val="none" w:sz="0" w:space="0" w:color="auto"/>
            <w:right w:val="none" w:sz="0" w:space="0" w:color="auto"/>
          </w:divBdr>
        </w:div>
        <w:div w:id="956837884">
          <w:marLeft w:val="0"/>
          <w:marRight w:val="0"/>
          <w:marTop w:val="0"/>
          <w:marBottom w:val="0"/>
          <w:divBdr>
            <w:top w:val="none" w:sz="0" w:space="0" w:color="auto"/>
            <w:left w:val="none" w:sz="0" w:space="0" w:color="auto"/>
            <w:bottom w:val="none" w:sz="0" w:space="0" w:color="auto"/>
            <w:right w:val="none" w:sz="0" w:space="0" w:color="auto"/>
          </w:divBdr>
        </w:div>
        <w:div w:id="1664580025">
          <w:marLeft w:val="0"/>
          <w:marRight w:val="0"/>
          <w:marTop w:val="0"/>
          <w:marBottom w:val="0"/>
          <w:divBdr>
            <w:top w:val="none" w:sz="0" w:space="0" w:color="auto"/>
            <w:left w:val="none" w:sz="0" w:space="0" w:color="auto"/>
            <w:bottom w:val="none" w:sz="0" w:space="0" w:color="auto"/>
            <w:right w:val="none" w:sz="0" w:space="0" w:color="auto"/>
          </w:divBdr>
        </w:div>
        <w:div w:id="688799432">
          <w:marLeft w:val="0"/>
          <w:marRight w:val="0"/>
          <w:marTop w:val="0"/>
          <w:marBottom w:val="0"/>
          <w:divBdr>
            <w:top w:val="none" w:sz="0" w:space="0" w:color="auto"/>
            <w:left w:val="none" w:sz="0" w:space="0" w:color="auto"/>
            <w:bottom w:val="none" w:sz="0" w:space="0" w:color="auto"/>
            <w:right w:val="none" w:sz="0" w:space="0" w:color="auto"/>
          </w:divBdr>
          <w:divsChild>
            <w:div w:id="1796294038">
              <w:marLeft w:val="-75"/>
              <w:marRight w:val="0"/>
              <w:marTop w:val="30"/>
              <w:marBottom w:val="30"/>
              <w:divBdr>
                <w:top w:val="none" w:sz="0" w:space="0" w:color="auto"/>
                <w:left w:val="none" w:sz="0" w:space="0" w:color="auto"/>
                <w:bottom w:val="none" w:sz="0" w:space="0" w:color="auto"/>
                <w:right w:val="none" w:sz="0" w:space="0" w:color="auto"/>
              </w:divBdr>
              <w:divsChild>
                <w:div w:id="1619021851">
                  <w:marLeft w:val="0"/>
                  <w:marRight w:val="0"/>
                  <w:marTop w:val="0"/>
                  <w:marBottom w:val="0"/>
                  <w:divBdr>
                    <w:top w:val="none" w:sz="0" w:space="0" w:color="auto"/>
                    <w:left w:val="none" w:sz="0" w:space="0" w:color="auto"/>
                    <w:bottom w:val="none" w:sz="0" w:space="0" w:color="auto"/>
                    <w:right w:val="none" w:sz="0" w:space="0" w:color="auto"/>
                  </w:divBdr>
                  <w:divsChild>
                    <w:div w:id="1455446915">
                      <w:marLeft w:val="0"/>
                      <w:marRight w:val="0"/>
                      <w:marTop w:val="0"/>
                      <w:marBottom w:val="0"/>
                      <w:divBdr>
                        <w:top w:val="none" w:sz="0" w:space="0" w:color="auto"/>
                        <w:left w:val="none" w:sz="0" w:space="0" w:color="auto"/>
                        <w:bottom w:val="none" w:sz="0" w:space="0" w:color="auto"/>
                        <w:right w:val="none" w:sz="0" w:space="0" w:color="auto"/>
                      </w:divBdr>
                    </w:div>
                  </w:divsChild>
                </w:div>
                <w:div w:id="1759907681">
                  <w:marLeft w:val="0"/>
                  <w:marRight w:val="0"/>
                  <w:marTop w:val="0"/>
                  <w:marBottom w:val="0"/>
                  <w:divBdr>
                    <w:top w:val="none" w:sz="0" w:space="0" w:color="auto"/>
                    <w:left w:val="none" w:sz="0" w:space="0" w:color="auto"/>
                    <w:bottom w:val="none" w:sz="0" w:space="0" w:color="auto"/>
                    <w:right w:val="none" w:sz="0" w:space="0" w:color="auto"/>
                  </w:divBdr>
                  <w:divsChild>
                    <w:div w:id="1202398260">
                      <w:marLeft w:val="0"/>
                      <w:marRight w:val="0"/>
                      <w:marTop w:val="0"/>
                      <w:marBottom w:val="0"/>
                      <w:divBdr>
                        <w:top w:val="none" w:sz="0" w:space="0" w:color="auto"/>
                        <w:left w:val="none" w:sz="0" w:space="0" w:color="auto"/>
                        <w:bottom w:val="none" w:sz="0" w:space="0" w:color="auto"/>
                        <w:right w:val="none" w:sz="0" w:space="0" w:color="auto"/>
                      </w:divBdr>
                    </w:div>
                    <w:div w:id="1678268295">
                      <w:marLeft w:val="0"/>
                      <w:marRight w:val="0"/>
                      <w:marTop w:val="0"/>
                      <w:marBottom w:val="0"/>
                      <w:divBdr>
                        <w:top w:val="none" w:sz="0" w:space="0" w:color="auto"/>
                        <w:left w:val="none" w:sz="0" w:space="0" w:color="auto"/>
                        <w:bottom w:val="none" w:sz="0" w:space="0" w:color="auto"/>
                        <w:right w:val="none" w:sz="0" w:space="0" w:color="auto"/>
                      </w:divBdr>
                    </w:div>
                    <w:div w:id="2016683018">
                      <w:marLeft w:val="0"/>
                      <w:marRight w:val="0"/>
                      <w:marTop w:val="0"/>
                      <w:marBottom w:val="0"/>
                      <w:divBdr>
                        <w:top w:val="none" w:sz="0" w:space="0" w:color="auto"/>
                        <w:left w:val="none" w:sz="0" w:space="0" w:color="auto"/>
                        <w:bottom w:val="none" w:sz="0" w:space="0" w:color="auto"/>
                        <w:right w:val="none" w:sz="0" w:space="0" w:color="auto"/>
                      </w:divBdr>
                    </w:div>
                    <w:div w:id="919800844">
                      <w:marLeft w:val="0"/>
                      <w:marRight w:val="0"/>
                      <w:marTop w:val="0"/>
                      <w:marBottom w:val="0"/>
                      <w:divBdr>
                        <w:top w:val="none" w:sz="0" w:space="0" w:color="auto"/>
                        <w:left w:val="none" w:sz="0" w:space="0" w:color="auto"/>
                        <w:bottom w:val="none" w:sz="0" w:space="0" w:color="auto"/>
                        <w:right w:val="none" w:sz="0" w:space="0" w:color="auto"/>
                      </w:divBdr>
                    </w:div>
                    <w:div w:id="830831365">
                      <w:marLeft w:val="0"/>
                      <w:marRight w:val="0"/>
                      <w:marTop w:val="0"/>
                      <w:marBottom w:val="0"/>
                      <w:divBdr>
                        <w:top w:val="none" w:sz="0" w:space="0" w:color="auto"/>
                        <w:left w:val="none" w:sz="0" w:space="0" w:color="auto"/>
                        <w:bottom w:val="none" w:sz="0" w:space="0" w:color="auto"/>
                        <w:right w:val="none" w:sz="0" w:space="0" w:color="auto"/>
                      </w:divBdr>
                    </w:div>
                    <w:div w:id="179971002">
                      <w:marLeft w:val="0"/>
                      <w:marRight w:val="0"/>
                      <w:marTop w:val="0"/>
                      <w:marBottom w:val="0"/>
                      <w:divBdr>
                        <w:top w:val="none" w:sz="0" w:space="0" w:color="auto"/>
                        <w:left w:val="none" w:sz="0" w:space="0" w:color="auto"/>
                        <w:bottom w:val="none" w:sz="0" w:space="0" w:color="auto"/>
                        <w:right w:val="none" w:sz="0" w:space="0" w:color="auto"/>
                      </w:divBdr>
                    </w:div>
                    <w:div w:id="397823274">
                      <w:marLeft w:val="0"/>
                      <w:marRight w:val="0"/>
                      <w:marTop w:val="0"/>
                      <w:marBottom w:val="0"/>
                      <w:divBdr>
                        <w:top w:val="none" w:sz="0" w:space="0" w:color="auto"/>
                        <w:left w:val="none" w:sz="0" w:space="0" w:color="auto"/>
                        <w:bottom w:val="none" w:sz="0" w:space="0" w:color="auto"/>
                        <w:right w:val="none" w:sz="0" w:space="0" w:color="auto"/>
                      </w:divBdr>
                    </w:div>
                  </w:divsChild>
                </w:div>
                <w:div w:id="1797410077">
                  <w:marLeft w:val="0"/>
                  <w:marRight w:val="0"/>
                  <w:marTop w:val="0"/>
                  <w:marBottom w:val="0"/>
                  <w:divBdr>
                    <w:top w:val="none" w:sz="0" w:space="0" w:color="auto"/>
                    <w:left w:val="none" w:sz="0" w:space="0" w:color="auto"/>
                    <w:bottom w:val="none" w:sz="0" w:space="0" w:color="auto"/>
                    <w:right w:val="none" w:sz="0" w:space="0" w:color="auto"/>
                  </w:divBdr>
                  <w:divsChild>
                    <w:div w:id="97919561">
                      <w:marLeft w:val="0"/>
                      <w:marRight w:val="0"/>
                      <w:marTop w:val="0"/>
                      <w:marBottom w:val="0"/>
                      <w:divBdr>
                        <w:top w:val="none" w:sz="0" w:space="0" w:color="auto"/>
                        <w:left w:val="none" w:sz="0" w:space="0" w:color="auto"/>
                        <w:bottom w:val="none" w:sz="0" w:space="0" w:color="auto"/>
                        <w:right w:val="none" w:sz="0" w:space="0" w:color="auto"/>
                      </w:divBdr>
                    </w:div>
                    <w:div w:id="1763917858">
                      <w:marLeft w:val="0"/>
                      <w:marRight w:val="0"/>
                      <w:marTop w:val="0"/>
                      <w:marBottom w:val="0"/>
                      <w:divBdr>
                        <w:top w:val="none" w:sz="0" w:space="0" w:color="auto"/>
                        <w:left w:val="none" w:sz="0" w:space="0" w:color="auto"/>
                        <w:bottom w:val="none" w:sz="0" w:space="0" w:color="auto"/>
                        <w:right w:val="none" w:sz="0" w:space="0" w:color="auto"/>
                      </w:divBdr>
                    </w:div>
                    <w:div w:id="1912421620">
                      <w:marLeft w:val="0"/>
                      <w:marRight w:val="0"/>
                      <w:marTop w:val="0"/>
                      <w:marBottom w:val="0"/>
                      <w:divBdr>
                        <w:top w:val="none" w:sz="0" w:space="0" w:color="auto"/>
                        <w:left w:val="none" w:sz="0" w:space="0" w:color="auto"/>
                        <w:bottom w:val="none" w:sz="0" w:space="0" w:color="auto"/>
                        <w:right w:val="none" w:sz="0" w:space="0" w:color="auto"/>
                      </w:divBdr>
                    </w:div>
                    <w:div w:id="94791288">
                      <w:marLeft w:val="0"/>
                      <w:marRight w:val="0"/>
                      <w:marTop w:val="0"/>
                      <w:marBottom w:val="0"/>
                      <w:divBdr>
                        <w:top w:val="none" w:sz="0" w:space="0" w:color="auto"/>
                        <w:left w:val="none" w:sz="0" w:space="0" w:color="auto"/>
                        <w:bottom w:val="none" w:sz="0" w:space="0" w:color="auto"/>
                        <w:right w:val="none" w:sz="0" w:space="0" w:color="auto"/>
                      </w:divBdr>
                    </w:div>
                    <w:div w:id="586960147">
                      <w:marLeft w:val="0"/>
                      <w:marRight w:val="0"/>
                      <w:marTop w:val="0"/>
                      <w:marBottom w:val="0"/>
                      <w:divBdr>
                        <w:top w:val="none" w:sz="0" w:space="0" w:color="auto"/>
                        <w:left w:val="none" w:sz="0" w:space="0" w:color="auto"/>
                        <w:bottom w:val="none" w:sz="0" w:space="0" w:color="auto"/>
                        <w:right w:val="none" w:sz="0" w:space="0" w:color="auto"/>
                      </w:divBdr>
                    </w:div>
                    <w:div w:id="2142923112">
                      <w:marLeft w:val="0"/>
                      <w:marRight w:val="0"/>
                      <w:marTop w:val="0"/>
                      <w:marBottom w:val="0"/>
                      <w:divBdr>
                        <w:top w:val="none" w:sz="0" w:space="0" w:color="auto"/>
                        <w:left w:val="none" w:sz="0" w:space="0" w:color="auto"/>
                        <w:bottom w:val="none" w:sz="0" w:space="0" w:color="auto"/>
                        <w:right w:val="none" w:sz="0" w:space="0" w:color="auto"/>
                      </w:divBdr>
                    </w:div>
                    <w:div w:id="1484853622">
                      <w:marLeft w:val="0"/>
                      <w:marRight w:val="0"/>
                      <w:marTop w:val="0"/>
                      <w:marBottom w:val="0"/>
                      <w:divBdr>
                        <w:top w:val="none" w:sz="0" w:space="0" w:color="auto"/>
                        <w:left w:val="none" w:sz="0" w:space="0" w:color="auto"/>
                        <w:bottom w:val="none" w:sz="0" w:space="0" w:color="auto"/>
                        <w:right w:val="none" w:sz="0" w:space="0" w:color="auto"/>
                      </w:divBdr>
                    </w:div>
                    <w:div w:id="1778064359">
                      <w:marLeft w:val="0"/>
                      <w:marRight w:val="0"/>
                      <w:marTop w:val="0"/>
                      <w:marBottom w:val="0"/>
                      <w:divBdr>
                        <w:top w:val="none" w:sz="0" w:space="0" w:color="auto"/>
                        <w:left w:val="none" w:sz="0" w:space="0" w:color="auto"/>
                        <w:bottom w:val="none" w:sz="0" w:space="0" w:color="auto"/>
                        <w:right w:val="none" w:sz="0" w:space="0" w:color="auto"/>
                      </w:divBdr>
                    </w:div>
                    <w:div w:id="1985038380">
                      <w:marLeft w:val="0"/>
                      <w:marRight w:val="0"/>
                      <w:marTop w:val="0"/>
                      <w:marBottom w:val="0"/>
                      <w:divBdr>
                        <w:top w:val="none" w:sz="0" w:space="0" w:color="auto"/>
                        <w:left w:val="none" w:sz="0" w:space="0" w:color="auto"/>
                        <w:bottom w:val="none" w:sz="0" w:space="0" w:color="auto"/>
                        <w:right w:val="none" w:sz="0" w:space="0" w:color="auto"/>
                      </w:divBdr>
                    </w:div>
                  </w:divsChild>
                </w:div>
                <w:div w:id="184447772">
                  <w:marLeft w:val="0"/>
                  <w:marRight w:val="0"/>
                  <w:marTop w:val="0"/>
                  <w:marBottom w:val="0"/>
                  <w:divBdr>
                    <w:top w:val="none" w:sz="0" w:space="0" w:color="auto"/>
                    <w:left w:val="none" w:sz="0" w:space="0" w:color="auto"/>
                    <w:bottom w:val="none" w:sz="0" w:space="0" w:color="auto"/>
                    <w:right w:val="none" w:sz="0" w:space="0" w:color="auto"/>
                  </w:divBdr>
                  <w:divsChild>
                    <w:div w:id="1593053359">
                      <w:marLeft w:val="0"/>
                      <w:marRight w:val="0"/>
                      <w:marTop w:val="0"/>
                      <w:marBottom w:val="0"/>
                      <w:divBdr>
                        <w:top w:val="none" w:sz="0" w:space="0" w:color="auto"/>
                        <w:left w:val="none" w:sz="0" w:space="0" w:color="auto"/>
                        <w:bottom w:val="none" w:sz="0" w:space="0" w:color="auto"/>
                        <w:right w:val="none" w:sz="0" w:space="0" w:color="auto"/>
                      </w:divBdr>
                    </w:div>
                    <w:div w:id="294260963">
                      <w:marLeft w:val="0"/>
                      <w:marRight w:val="0"/>
                      <w:marTop w:val="0"/>
                      <w:marBottom w:val="0"/>
                      <w:divBdr>
                        <w:top w:val="none" w:sz="0" w:space="0" w:color="auto"/>
                        <w:left w:val="none" w:sz="0" w:space="0" w:color="auto"/>
                        <w:bottom w:val="none" w:sz="0" w:space="0" w:color="auto"/>
                        <w:right w:val="none" w:sz="0" w:space="0" w:color="auto"/>
                      </w:divBdr>
                    </w:div>
                    <w:div w:id="1099371920">
                      <w:marLeft w:val="0"/>
                      <w:marRight w:val="0"/>
                      <w:marTop w:val="0"/>
                      <w:marBottom w:val="0"/>
                      <w:divBdr>
                        <w:top w:val="none" w:sz="0" w:space="0" w:color="auto"/>
                        <w:left w:val="none" w:sz="0" w:space="0" w:color="auto"/>
                        <w:bottom w:val="none" w:sz="0" w:space="0" w:color="auto"/>
                        <w:right w:val="none" w:sz="0" w:space="0" w:color="auto"/>
                      </w:divBdr>
                    </w:div>
                    <w:div w:id="1412853881">
                      <w:marLeft w:val="0"/>
                      <w:marRight w:val="0"/>
                      <w:marTop w:val="0"/>
                      <w:marBottom w:val="0"/>
                      <w:divBdr>
                        <w:top w:val="none" w:sz="0" w:space="0" w:color="auto"/>
                        <w:left w:val="none" w:sz="0" w:space="0" w:color="auto"/>
                        <w:bottom w:val="none" w:sz="0" w:space="0" w:color="auto"/>
                        <w:right w:val="none" w:sz="0" w:space="0" w:color="auto"/>
                      </w:divBdr>
                    </w:div>
                  </w:divsChild>
                </w:div>
                <w:div w:id="2126463770">
                  <w:marLeft w:val="0"/>
                  <w:marRight w:val="0"/>
                  <w:marTop w:val="0"/>
                  <w:marBottom w:val="0"/>
                  <w:divBdr>
                    <w:top w:val="none" w:sz="0" w:space="0" w:color="auto"/>
                    <w:left w:val="none" w:sz="0" w:space="0" w:color="auto"/>
                    <w:bottom w:val="none" w:sz="0" w:space="0" w:color="auto"/>
                    <w:right w:val="none" w:sz="0" w:space="0" w:color="auto"/>
                  </w:divBdr>
                  <w:divsChild>
                    <w:div w:id="853037280">
                      <w:marLeft w:val="0"/>
                      <w:marRight w:val="0"/>
                      <w:marTop w:val="0"/>
                      <w:marBottom w:val="0"/>
                      <w:divBdr>
                        <w:top w:val="none" w:sz="0" w:space="0" w:color="auto"/>
                        <w:left w:val="none" w:sz="0" w:space="0" w:color="auto"/>
                        <w:bottom w:val="none" w:sz="0" w:space="0" w:color="auto"/>
                        <w:right w:val="none" w:sz="0" w:space="0" w:color="auto"/>
                      </w:divBdr>
                    </w:div>
                    <w:div w:id="1413117665">
                      <w:marLeft w:val="0"/>
                      <w:marRight w:val="0"/>
                      <w:marTop w:val="0"/>
                      <w:marBottom w:val="0"/>
                      <w:divBdr>
                        <w:top w:val="none" w:sz="0" w:space="0" w:color="auto"/>
                        <w:left w:val="none" w:sz="0" w:space="0" w:color="auto"/>
                        <w:bottom w:val="none" w:sz="0" w:space="0" w:color="auto"/>
                        <w:right w:val="none" w:sz="0" w:space="0" w:color="auto"/>
                      </w:divBdr>
                    </w:div>
                    <w:div w:id="821507653">
                      <w:marLeft w:val="0"/>
                      <w:marRight w:val="0"/>
                      <w:marTop w:val="0"/>
                      <w:marBottom w:val="0"/>
                      <w:divBdr>
                        <w:top w:val="none" w:sz="0" w:space="0" w:color="auto"/>
                        <w:left w:val="none" w:sz="0" w:space="0" w:color="auto"/>
                        <w:bottom w:val="none" w:sz="0" w:space="0" w:color="auto"/>
                        <w:right w:val="none" w:sz="0" w:space="0" w:color="auto"/>
                      </w:divBdr>
                    </w:div>
                    <w:div w:id="212272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349578">
          <w:marLeft w:val="0"/>
          <w:marRight w:val="0"/>
          <w:marTop w:val="0"/>
          <w:marBottom w:val="0"/>
          <w:divBdr>
            <w:top w:val="none" w:sz="0" w:space="0" w:color="auto"/>
            <w:left w:val="none" w:sz="0" w:space="0" w:color="auto"/>
            <w:bottom w:val="none" w:sz="0" w:space="0" w:color="auto"/>
            <w:right w:val="none" w:sz="0" w:space="0" w:color="auto"/>
          </w:divBdr>
        </w:div>
        <w:div w:id="669723013">
          <w:marLeft w:val="0"/>
          <w:marRight w:val="0"/>
          <w:marTop w:val="0"/>
          <w:marBottom w:val="0"/>
          <w:divBdr>
            <w:top w:val="none" w:sz="0" w:space="0" w:color="auto"/>
            <w:left w:val="none" w:sz="0" w:space="0" w:color="auto"/>
            <w:bottom w:val="none" w:sz="0" w:space="0" w:color="auto"/>
            <w:right w:val="none" w:sz="0" w:space="0" w:color="auto"/>
          </w:divBdr>
        </w:div>
        <w:div w:id="1916435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community.org.uk/professional-development/gswrp/index.html" TargetMode="External"/><Relationship Id="rId13" Type="http://schemas.openxmlformats.org/officeDocument/2006/relationships/hyperlink" Target="https://www.youtube.com/watch?v=QRtVqJq20Ao" TargetMode="External"/><Relationship Id="rId18" Type="http://schemas.openxmlformats.org/officeDocument/2006/relationships/hyperlink" Target="https://doi.org/10.4324/978020380201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80/14623943.2012.732945" TargetMode="External"/><Relationship Id="rId12" Type="http://schemas.openxmlformats.org/officeDocument/2006/relationships/hyperlink" Target="https://oro.open.ac.uk/68945/1/Finlay-%282008%29-Reflecting-on-reflective-practice-PBPL-paper-52.pdf" TargetMode="External"/><Relationship Id="rId17" Type="http://schemas.openxmlformats.org/officeDocument/2006/relationships/hyperlink" Target="NULL" TargetMode="External"/><Relationship Id="rId2" Type="http://schemas.openxmlformats.org/officeDocument/2006/relationships/styles" Target="styles.xml"/><Relationship Id="rId16" Type="http://schemas.openxmlformats.org/officeDocument/2006/relationships/hyperlink" Target="https://files.eric.ed.gov/fulltext/EJ915885.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tatic1.squarespace.com/static/51acea8be4b02783f894c272/t/53628f3be4b0bddd58665b76/1398968123150/Brookfield-Getting+Wisdom.pdf" TargetMode="External"/><Relationship Id="rId11" Type="http://schemas.openxmlformats.org/officeDocument/2006/relationships/hyperlink" Target="NULL" TargetMode="External"/><Relationship Id="rId5" Type="http://schemas.openxmlformats.org/officeDocument/2006/relationships/hyperlink" Target="file:///\\Users\gwenthomas\Downloads\BERA-Ethical-Guidelines-for-Educational-Research_4thEdn_2018.pdf" TargetMode="External"/><Relationship Id="rId15" Type="http://schemas.openxmlformats.org/officeDocument/2006/relationships/hyperlink" Target="https://doi.org/10.4324/9781315237473" TargetMode="External"/><Relationship Id="rId10" Type="http://schemas.openxmlformats.org/officeDocument/2006/relationships/hyperlink" Target="https://www.estyn.gov.wales/system/files/2021-08/Inspection%20report%20Ysgol%20Gynradd%20Gymraeg%20Lonlas%202018.pdf" TargetMode="External"/><Relationship Id="rId19" Type="http://schemas.openxmlformats.org/officeDocument/2006/relationships/hyperlink" Target="https://mylocalschool.gov.wales/School/6702036?lang=en" TargetMode="External"/><Relationship Id="rId4" Type="http://schemas.openxmlformats.org/officeDocument/2006/relationships/webSettings" Target="webSettings.xml"/><Relationship Id="rId9" Type="http://schemas.openxmlformats.org/officeDocument/2006/relationships/hyperlink" Target="https://assets.publishing.service.gov.uk/media/5a750b16ed915d5c54465143/160712_-_PD_Expert_Group_Guidance.pdf" TargetMode="External"/><Relationship Id="rId14" Type="http://schemas.openxmlformats.org/officeDocument/2006/relationships/hyperlink" Target="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5995</Words>
  <Characters>34175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thomas</dc:creator>
  <cp:keywords/>
  <dc:description/>
  <cp:lastModifiedBy>jo thomas</cp:lastModifiedBy>
  <cp:revision>8</cp:revision>
  <dcterms:created xsi:type="dcterms:W3CDTF">2023-11-06T20:24:00Z</dcterms:created>
  <dcterms:modified xsi:type="dcterms:W3CDTF">2023-11-06T20:44:00Z</dcterms:modified>
</cp:coreProperties>
</file>