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8FB3D8A" w14:textId="77777777" w:rsidR="00284CE4" w:rsidRPr="00A930CB" w:rsidRDefault="00284CE4" w:rsidP="00284CE4">
      <w:pPr>
        <w:spacing w:after="165" w:line="360" w:lineRule="auto"/>
        <w:rPr>
          <w:rFonts w:ascii="Tahoma" w:hAnsi="Tahoma" w:cs="Tahoma"/>
          <w:color w:val="000000"/>
          <w:sz w:val="40"/>
          <w:szCs w:val="40"/>
        </w:rPr>
      </w:pPr>
      <w:r>
        <w:rPr>
          <w:b/>
          <w:noProof/>
          <w:lang w:eastAsia="en-GB"/>
        </w:rPr>
        <w:drawing>
          <wp:inline distT="0" distB="0" distL="0" distR="0" wp14:anchorId="7A1AFAD4" wp14:editId="7815A287">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7"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4974B2C5" w14:textId="77777777" w:rsidR="00284CE4" w:rsidRPr="00A930CB" w:rsidRDefault="00284CE4" w:rsidP="00284CE4">
      <w:pPr>
        <w:spacing w:after="165" w:line="360" w:lineRule="auto"/>
        <w:jc w:val="center"/>
        <w:rPr>
          <w:rFonts w:ascii="Tahoma" w:hAnsi="Tahoma" w:cs="Tahoma"/>
          <w:color w:val="000000"/>
          <w:sz w:val="40"/>
          <w:szCs w:val="40"/>
        </w:rPr>
      </w:pPr>
      <w:r>
        <w:rPr>
          <w:rFonts w:ascii="Tahoma" w:hAnsi="Tahoma" w:cs="Tahoma"/>
          <w:color w:val="000000"/>
          <w:sz w:val="40"/>
          <w:szCs w:val="40"/>
        </w:rPr>
        <w:t>BA (Hons) Leadership and Management Skills in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284CE4" w:rsidRPr="00D14017" w14:paraId="4819BD54" w14:textId="77777777" w:rsidTr="003139AA">
        <w:tc>
          <w:tcPr>
            <w:tcW w:w="3438" w:type="dxa"/>
            <w:shd w:val="clear" w:color="auto" w:fill="D9D9D9"/>
          </w:tcPr>
          <w:p w14:paraId="1CFB0F07" w14:textId="77777777" w:rsidR="00284CE4" w:rsidRPr="00D14017" w:rsidRDefault="00284CE4" w:rsidP="003139AA">
            <w:pPr>
              <w:spacing w:before="120" w:after="120" w:line="360" w:lineRule="auto"/>
              <w:rPr>
                <w:rFonts w:ascii="Tahoma" w:hAnsi="Tahoma" w:cs="Tahoma"/>
                <w:sz w:val="28"/>
                <w:szCs w:val="28"/>
              </w:rPr>
            </w:pPr>
            <w:r w:rsidRPr="00D14017">
              <w:rPr>
                <w:rFonts w:ascii="Tahoma" w:hAnsi="Tahoma" w:cs="Tahoma"/>
                <w:sz w:val="28"/>
                <w:szCs w:val="28"/>
              </w:rPr>
              <w:t>Student Name:</w:t>
            </w:r>
          </w:p>
        </w:tc>
        <w:tc>
          <w:tcPr>
            <w:tcW w:w="6055" w:type="dxa"/>
          </w:tcPr>
          <w:p w14:paraId="667C42C0" w14:textId="77777777" w:rsidR="00284CE4" w:rsidRPr="00D14017" w:rsidRDefault="00284CE4" w:rsidP="003139AA">
            <w:pPr>
              <w:spacing w:before="120" w:after="120" w:line="360" w:lineRule="auto"/>
              <w:rPr>
                <w:rFonts w:ascii="Tahoma" w:hAnsi="Tahoma" w:cs="Tahoma"/>
                <w:sz w:val="28"/>
                <w:szCs w:val="28"/>
              </w:rPr>
            </w:pPr>
            <w:r>
              <w:rPr>
                <w:rFonts w:ascii="Tahoma" w:hAnsi="Tahoma" w:cs="Tahoma"/>
                <w:sz w:val="28"/>
                <w:szCs w:val="28"/>
              </w:rPr>
              <w:t>Jessica Rudall</w:t>
            </w:r>
          </w:p>
        </w:tc>
      </w:tr>
      <w:tr w:rsidR="00284CE4" w:rsidRPr="00D14017" w14:paraId="0F51A446" w14:textId="77777777" w:rsidTr="003139AA">
        <w:tc>
          <w:tcPr>
            <w:tcW w:w="3438" w:type="dxa"/>
            <w:shd w:val="clear" w:color="auto" w:fill="D9D9D9"/>
          </w:tcPr>
          <w:p w14:paraId="1E8129D7" w14:textId="77777777" w:rsidR="00284CE4" w:rsidRPr="00D14017" w:rsidRDefault="00284CE4" w:rsidP="003139AA">
            <w:pPr>
              <w:spacing w:before="120" w:after="120" w:line="360" w:lineRule="auto"/>
              <w:rPr>
                <w:rFonts w:ascii="Tahoma" w:hAnsi="Tahoma" w:cs="Tahoma"/>
                <w:sz w:val="28"/>
                <w:szCs w:val="28"/>
              </w:rPr>
            </w:pPr>
            <w:r w:rsidRPr="00D14017">
              <w:rPr>
                <w:rFonts w:ascii="Tahoma" w:hAnsi="Tahoma" w:cs="Tahoma"/>
                <w:sz w:val="28"/>
                <w:szCs w:val="28"/>
              </w:rPr>
              <w:t>Student Number:</w:t>
            </w:r>
          </w:p>
        </w:tc>
        <w:tc>
          <w:tcPr>
            <w:tcW w:w="6055" w:type="dxa"/>
          </w:tcPr>
          <w:p w14:paraId="5C2EED47" w14:textId="77777777" w:rsidR="00284CE4" w:rsidRPr="00D14017" w:rsidRDefault="00284CE4" w:rsidP="003139AA">
            <w:pPr>
              <w:spacing w:before="120" w:after="120" w:line="360" w:lineRule="auto"/>
              <w:rPr>
                <w:rFonts w:ascii="Tahoma" w:hAnsi="Tahoma" w:cs="Tahoma"/>
                <w:sz w:val="28"/>
                <w:szCs w:val="28"/>
              </w:rPr>
            </w:pPr>
            <w:r>
              <w:rPr>
                <w:rFonts w:ascii="Tahoma" w:hAnsi="Tahoma" w:cs="Tahoma"/>
                <w:sz w:val="28"/>
                <w:szCs w:val="28"/>
              </w:rPr>
              <w:t>2308141</w:t>
            </w:r>
          </w:p>
        </w:tc>
      </w:tr>
      <w:tr w:rsidR="00284CE4" w:rsidRPr="00D14017" w14:paraId="783AC1AA" w14:textId="77777777" w:rsidTr="003139AA">
        <w:tc>
          <w:tcPr>
            <w:tcW w:w="3438" w:type="dxa"/>
            <w:shd w:val="clear" w:color="auto" w:fill="D9D9D9"/>
          </w:tcPr>
          <w:p w14:paraId="4A17BEFC" w14:textId="77777777" w:rsidR="00284CE4" w:rsidRPr="00D14017" w:rsidRDefault="00284CE4" w:rsidP="003139AA">
            <w:pPr>
              <w:spacing w:before="120" w:after="120" w:line="360" w:lineRule="auto"/>
              <w:rPr>
                <w:rFonts w:ascii="Tahoma" w:hAnsi="Tahoma" w:cs="Tahoma"/>
                <w:sz w:val="28"/>
                <w:szCs w:val="28"/>
              </w:rPr>
            </w:pPr>
            <w:r w:rsidRPr="00D14017">
              <w:rPr>
                <w:rFonts w:ascii="Tahoma" w:hAnsi="Tahoma" w:cs="Tahoma"/>
                <w:sz w:val="28"/>
                <w:szCs w:val="28"/>
              </w:rPr>
              <w:t>Module No:</w:t>
            </w:r>
          </w:p>
        </w:tc>
        <w:tc>
          <w:tcPr>
            <w:tcW w:w="6055" w:type="dxa"/>
          </w:tcPr>
          <w:p w14:paraId="0C06B42C" w14:textId="1663FDC0" w:rsidR="00284CE4" w:rsidRPr="00D14017" w:rsidRDefault="00284CE4" w:rsidP="003139AA">
            <w:pPr>
              <w:spacing w:before="120" w:after="120" w:line="360" w:lineRule="auto"/>
              <w:rPr>
                <w:rFonts w:ascii="Tahoma" w:hAnsi="Tahoma" w:cs="Tahoma"/>
                <w:color w:val="FF0000"/>
                <w:sz w:val="28"/>
                <w:szCs w:val="28"/>
              </w:rPr>
            </w:pPr>
            <w:r w:rsidRPr="00D14017">
              <w:rPr>
                <w:rFonts w:ascii="Tahoma" w:hAnsi="Tahoma" w:cs="Tahoma"/>
                <w:color w:val="FF0000"/>
                <w:sz w:val="28"/>
                <w:szCs w:val="28"/>
              </w:rPr>
              <w:t>BMSK</w:t>
            </w:r>
            <w:r>
              <w:rPr>
                <w:rFonts w:ascii="Tahoma" w:hAnsi="Tahoma" w:cs="Tahoma"/>
                <w:color w:val="FF0000"/>
                <w:sz w:val="28"/>
                <w:szCs w:val="28"/>
              </w:rPr>
              <w:t>6008</w:t>
            </w:r>
          </w:p>
        </w:tc>
      </w:tr>
      <w:tr w:rsidR="00284CE4" w:rsidRPr="00D14017" w14:paraId="501BDA0C" w14:textId="77777777" w:rsidTr="003139AA">
        <w:trPr>
          <w:trHeight w:val="413"/>
        </w:trPr>
        <w:tc>
          <w:tcPr>
            <w:tcW w:w="3438" w:type="dxa"/>
            <w:shd w:val="clear" w:color="auto" w:fill="D9D9D9"/>
          </w:tcPr>
          <w:p w14:paraId="0124941E" w14:textId="77777777" w:rsidR="00284CE4" w:rsidRPr="00D14017" w:rsidRDefault="00284CE4" w:rsidP="003139AA">
            <w:pPr>
              <w:spacing w:before="120" w:after="120" w:line="360" w:lineRule="auto"/>
              <w:rPr>
                <w:rFonts w:ascii="Tahoma" w:hAnsi="Tahoma" w:cs="Tahoma"/>
                <w:sz w:val="28"/>
                <w:szCs w:val="28"/>
              </w:rPr>
            </w:pPr>
            <w:r w:rsidRPr="00D14017">
              <w:rPr>
                <w:rFonts w:ascii="Tahoma" w:hAnsi="Tahoma" w:cs="Tahoma"/>
                <w:sz w:val="28"/>
                <w:szCs w:val="28"/>
              </w:rPr>
              <w:t>Module Title:</w:t>
            </w:r>
          </w:p>
        </w:tc>
        <w:tc>
          <w:tcPr>
            <w:tcW w:w="6055" w:type="dxa"/>
          </w:tcPr>
          <w:p w14:paraId="7352F207" w14:textId="754F41B5" w:rsidR="00284CE4" w:rsidRPr="00D14017" w:rsidRDefault="00284CE4" w:rsidP="003139AA">
            <w:pPr>
              <w:spacing w:before="120" w:after="120" w:line="360" w:lineRule="auto"/>
              <w:rPr>
                <w:rFonts w:ascii="Tahoma" w:hAnsi="Tahoma" w:cs="Tahoma"/>
                <w:color w:val="FF0000"/>
                <w:sz w:val="28"/>
                <w:szCs w:val="28"/>
              </w:rPr>
            </w:pPr>
            <w:r>
              <w:rPr>
                <w:rFonts w:ascii="Tahoma" w:hAnsi="Tahoma" w:cs="Tahoma"/>
                <w:color w:val="FF0000"/>
                <w:sz w:val="28"/>
                <w:szCs w:val="28"/>
              </w:rPr>
              <w:t>Coaching and Mentoring Skills in the Workplace</w:t>
            </w:r>
          </w:p>
        </w:tc>
      </w:tr>
    </w:tbl>
    <w:p w14:paraId="5788EC21" w14:textId="77777777" w:rsidR="00284CE4" w:rsidRDefault="00284CE4" w:rsidP="00284CE4">
      <w:pPr>
        <w:spacing w:before="120" w:after="120" w:line="360" w:lineRule="auto"/>
        <w:rPr>
          <w:rFonts w:ascii="Tahoma" w:hAnsi="Tahoma" w:cs="Tahoma"/>
          <w:color w:val="000000"/>
          <w:sz w:val="24"/>
          <w:szCs w:val="24"/>
        </w:rPr>
      </w:pPr>
    </w:p>
    <w:p w14:paraId="1A251957" w14:textId="7197B2A8" w:rsidR="00284CE4" w:rsidRDefault="00284CE4">
      <w:pPr>
        <w:rPr>
          <w:rFonts w:ascii="Tahoma" w:hAnsi="Tahoma" w:cs="Tahoma"/>
          <w:color w:val="000000"/>
          <w:sz w:val="24"/>
          <w:szCs w:val="24"/>
        </w:rPr>
      </w:pPr>
    </w:p>
    <w:p w14:paraId="63ADD249" w14:textId="77777777" w:rsidR="00284CE4" w:rsidRDefault="00284CE4">
      <w:pPr>
        <w:rPr>
          <w:rFonts w:ascii="Tahoma" w:hAnsi="Tahoma" w:cs="Tahoma"/>
          <w:color w:val="000000"/>
          <w:sz w:val="24"/>
          <w:szCs w:val="24"/>
        </w:rPr>
      </w:pPr>
      <w:r>
        <w:rPr>
          <w:rFonts w:ascii="Tahoma" w:hAnsi="Tahoma" w:cs="Tahoma"/>
          <w:color w:val="000000"/>
          <w:sz w:val="24"/>
          <w:szCs w:val="24"/>
        </w:rPr>
        <w:br w:type="page"/>
      </w:r>
    </w:p>
    <w:sdt>
      <w:sdtPr>
        <w:id w:val="1906176622"/>
        <w:docPartObj>
          <w:docPartGallery w:val="Table of Contents"/>
          <w:docPartUnique/>
        </w:docPartObj>
      </w:sdtPr>
      <w:sdtEndPr>
        <w:rPr>
          <w:rFonts w:asciiTheme="minorHAnsi" w:eastAsiaTheme="minorHAnsi" w:hAnsiTheme="minorHAnsi" w:cstheme="minorBidi"/>
          <w:b/>
          <w:bCs/>
          <w:color w:val="auto"/>
          <w:sz w:val="22"/>
          <w:szCs w:val="22"/>
          <w:lang w:eastAsia="en-US"/>
        </w:rPr>
      </w:sdtEndPr>
      <w:sdtContent>
        <w:p w14:paraId="1BFE4A3B" w14:textId="67C62D91" w:rsidR="009651E5" w:rsidRDefault="009651E5">
          <w:pPr>
            <w:pStyle w:val="TOCHeading"/>
          </w:pPr>
          <w:r>
            <w:t>Table of Contents</w:t>
          </w:r>
        </w:p>
        <w:p w14:paraId="7F6CE4D6" w14:textId="01F2B453" w:rsidR="009651E5" w:rsidRDefault="009651E5">
          <w:pPr>
            <w:pStyle w:val="TOC1"/>
            <w:tabs>
              <w:tab w:val="right" w:leader="dot" w:pos="9016"/>
            </w:tabs>
            <w:rPr>
              <w:rFonts w:eastAsiaTheme="minorEastAsia"/>
              <w:noProof/>
              <w:kern w:val="2"/>
              <w:sz w:val="24"/>
              <w:szCs w:val="24"/>
              <w:lang w:eastAsia="en-GB"/>
              <w14:ligatures w14:val="standardContextual"/>
            </w:rPr>
          </w:pPr>
          <w:r>
            <w:fldChar w:fldCharType="begin"/>
          </w:r>
          <w:r>
            <w:instrText xml:space="preserve"> TOC \o "1-3" \h \z \u </w:instrText>
          </w:r>
          <w:r>
            <w:fldChar w:fldCharType="separate"/>
          </w:r>
          <w:hyperlink w:anchor="_Toc224731588" w:history="1">
            <w:r w:rsidRPr="00F32B95">
              <w:rPr>
                <w:rStyle w:val="Hyperlink"/>
                <w:rFonts w:ascii="Calibri" w:hAnsi="Calibri" w:cs="Calibri"/>
                <w:noProof/>
              </w:rPr>
              <w:t>1. Introduction</w:t>
            </w:r>
            <w:r>
              <w:rPr>
                <w:noProof/>
                <w:webHidden/>
              </w:rPr>
              <w:tab/>
            </w:r>
            <w:r>
              <w:rPr>
                <w:noProof/>
                <w:webHidden/>
              </w:rPr>
              <w:fldChar w:fldCharType="begin"/>
            </w:r>
            <w:r>
              <w:rPr>
                <w:noProof/>
                <w:webHidden/>
              </w:rPr>
              <w:instrText xml:space="preserve"> PAGEREF _Toc224731588 \h </w:instrText>
            </w:r>
            <w:r>
              <w:rPr>
                <w:noProof/>
                <w:webHidden/>
              </w:rPr>
            </w:r>
            <w:r>
              <w:rPr>
                <w:noProof/>
                <w:webHidden/>
              </w:rPr>
              <w:fldChar w:fldCharType="separate"/>
            </w:r>
            <w:r>
              <w:rPr>
                <w:noProof/>
                <w:webHidden/>
              </w:rPr>
              <w:t>3</w:t>
            </w:r>
            <w:r>
              <w:rPr>
                <w:noProof/>
                <w:webHidden/>
              </w:rPr>
              <w:fldChar w:fldCharType="end"/>
            </w:r>
          </w:hyperlink>
        </w:p>
        <w:p w14:paraId="0F93D1DE" w14:textId="313C798B" w:rsidR="009651E5" w:rsidRDefault="009651E5">
          <w:pPr>
            <w:pStyle w:val="TOC1"/>
            <w:tabs>
              <w:tab w:val="right" w:leader="dot" w:pos="9016"/>
            </w:tabs>
            <w:rPr>
              <w:rFonts w:eastAsiaTheme="minorEastAsia"/>
              <w:noProof/>
              <w:kern w:val="2"/>
              <w:sz w:val="24"/>
              <w:szCs w:val="24"/>
              <w:lang w:eastAsia="en-GB"/>
              <w14:ligatures w14:val="standardContextual"/>
            </w:rPr>
          </w:pPr>
          <w:hyperlink w:anchor="_Toc224731589" w:history="1">
            <w:r w:rsidRPr="00F32B95">
              <w:rPr>
                <w:rStyle w:val="Hyperlink"/>
                <w:rFonts w:ascii="Calibri" w:hAnsi="Calibri" w:cs="Calibri"/>
                <w:noProof/>
              </w:rPr>
              <w:t>2. Coaching and Mentoring in an Organisational Context</w:t>
            </w:r>
            <w:r>
              <w:rPr>
                <w:noProof/>
                <w:webHidden/>
              </w:rPr>
              <w:tab/>
            </w:r>
            <w:r>
              <w:rPr>
                <w:noProof/>
                <w:webHidden/>
              </w:rPr>
              <w:fldChar w:fldCharType="begin"/>
            </w:r>
            <w:r>
              <w:rPr>
                <w:noProof/>
                <w:webHidden/>
              </w:rPr>
              <w:instrText xml:space="preserve"> PAGEREF _Toc224731589 \h </w:instrText>
            </w:r>
            <w:r>
              <w:rPr>
                <w:noProof/>
                <w:webHidden/>
              </w:rPr>
            </w:r>
            <w:r>
              <w:rPr>
                <w:noProof/>
                <w:webHidden/>
              </w:rPr>
              <w:fldChar w:fldCharType="separate"/>
            </w:r>
            <w:r>
              <w:rPr>
                <w:noProof/>
                <w:webHidden/>
              </w:rPr>
              <w:t>4</w:t>
            </w:r>
            <w:r>
              <w:rPr>
                <w:noProof/>
                <w:webHidden/>
              </w:rPr>
              <w:fldChar w:fldCharType="end"/>
            </w:r>
          </w:hyperlink>
        </w:p>
        <w:p w14:paraId="34E6E952" w14:textId="088FE7B9" w:rsidR="009651E5" w:rsidRDefault="009651E5">
          <w:pPr>
            <w:pStyle w:val="TOC2"/>
            <w:tabs>
              <w:tab w:val="right" w:leader="dot" w:pos="9016"/>
            </w:tabs>
            <w:rPr>
              <w:rFonts w:eastAsiaTheme="minorEastAsia"/>
              <w:noProof/>
              <w:kern w:val="2"/>
              <w:sz w:val="24"/>
              <w:szCs w:val="24"/>
              <w:lang w:eastAsia="en-GB"/>
              <w14:ligatures w14:val="standardContextual"/>
            </w:rPr>
          </w:pPr>
          <w:hyperlink w:anchor="_Toc224731590" w:history="1">
            <w:r w:rsidRPr="00F32B95">
              <w:rPr>
                <w:rStyle w:val="Hyperlink"/>
                <w:rFonts w:ascii="Calibri" w:hAnsi="Calibri" w:cs="Calibri"/>
                <w:noProof/>
              </w:rPr>
              <w:t>2.1 Defining Coaching</w:t>
            </w:r>
            <w:r>
              <w:rPr>
                <w:noProof/>
                <w:webHidden/>
              </w:rPr>
              <w:tab/>
            </w:r>
            <w:r>
              <w:rPr>
                <w:noProof/>
                <w:webHidden/>
              </w:rPr>
              <w:fldChar w:fldCharType="begin"/>
            </w:r>
            <w:r>
              <w:rPr>
                <w:noProof/>
                <w:webHidden/>
              </w:rPr>
              <w:instrText xml:space="preserve"> PAGEREF _Toc224731590 \h </w:instrText>
            </w:r>
            <w:r>
              <w:rPr>
                <w:noProof/>
                <w:webHidden/>
              </w:rPr>
            </w:r>
            <w:r>
              <w:rPr>
                <w:noProof/>
                <w:webHidden/>
              </w:rPr>
              <w:fldChar w:fldCharType="separate"/>
            </w:r>
            <w:r>
              <w:rPr>
                <w:noProof/>
                <w:webHidden/>
              </w:rPr>
              <w:t>4</w:t>
            </w:r>
            <w:r>
              <w:rPr>
                <w:noProof/>
                <w:webHidden/>
              </w:rPr>
              <w:fldChar w:fldCharType="end"/>
            </w:r>
          </w:hyperlink>
        </w:p>
        <w:p w14:paraId="1991C70F" w14:textId="48E4208E" w:rsidR="009651E5" w:rsidRDefault="009651E5">
          <w:pPr>
            <w:pStyle w:val="TOC2"/>
            <w:tabs>
              <w:tab w:val="right" w:leader="dot" w:pos="9016"/>
            </w:tabs>
            <w:rPr>
              <w:rFonts w:eastAsiaTheme="minorEastAsia"/>
              <w:noProof/>
              <w:kern w:val="2"/>
              <w:sz w:val="24"/>
              <w:szCs w:val="24"/>
              <w:lang w:eastAsia="en-GB"/>
              <w14:ligatures w14:val="standardContextual"/>
            </w:rPr>
          </w:pPr>
          <w:hyperlink w:anchor="_Toc224731591" w:history="1">
            <w:r w:rsidRPr="00F32B95">
              <w:rPr>
                <w:rStyle w:val="Hyperlink"/>
                <w:rFonts w:ascii="Calibri" w:hAnsi="Calibri" w:cs="Calibri"/>
                <w:noProof/>
              </w:rPr>
              <w:t>2.2 Defining Mentoring</w:t>
            </w:r>
            <w:r>
              <w:rPr>
                <w:noProof/>
                <w:webHidden/>
              </w:rPr>
              <w:tab/>
            </w:r>
            <w:r>
              <w:rPr>
                <w:noProof/>
                <w:webHidden/>
              </w:rPr>
              <w:fldChar w:fldCharType="begin"/>
            </w:r>
            <w:r>
              <w:rPr>
                <w:noProof/>
                <w:webHidden/>
              </w:rPr>
              <w:instrText xml:space="preserve"> PAGEREF _Toc224731591 \h </w:instrText>
            </w:r>
            <w:r>
              <w:rPr>
                <w:noProof/>
                <w:webHidden/>
              </w:rPr>
            </w:r>
            <w:r>
              <w:rPr>
                <w:noProof/>
                <w:webHidden/>
              </w:rPr>
              <w:fldChar w:fldCharType="separate"/>
            </w:r>
            <w:r>
              <w:rPr>
                <w:noProof/>
                <w:webHidden/>
              </w:rPr>
              <w:t>5</w:t>
            </w:r>
            <w:r>
              <w:rPr>
                <w:noProof/>
                <w:webHidden/>
              </w:rPr>
              <w:fldChar w:fldCharType="end"/>
            </w:r>
          </w:hyperlink>
        </w:p>
        <w:p w14:paraId="088E3CE1" w14:textId="0FA772F1" w:rsidR="009651E5" w:rsidRDefault="009651E5">
          <w:pPr>
            <w:pStyle w:val="TOC2"/>
            <w:tabs>
              <w:tab w:val="right" w:leader="dot" w:pos="9016"/>
            </w:tabs>
            <w:rPr>
              <w:rFonts w:eastAsiaTheme="minorEastAsia"/>
              <w:noProof/>
              <w:kern w:val="2"/>
              <w:sz w:val="24"/>
              <w:szCs w:val="24"/>
              <w:lang w:eastAsia="en-GB"/>
              <w14:ligatures w14:val="standardContextual"/>
            </w:rPr>
          </w:pPr>
          <w:hyperlink w:anchor="_Toc224731592" w:history="1">
            <w:r w:rsidRPr="00F32B95">
              <w:rPr>
                <w:rStyle w:val="Hyperlink"/>
                <w:rFonts w:ascii="Calibri" w:hAnsi="Calibri" w:cs="Calibri"/>
                <w:noProof/>
              </w:rPr>
              <w:t>2.3 Similarities between Coaching and Mentoring</w:t>
            </w:r>
            <w:r>
              <w:rPr>
                <w:noProof/>
                <w:webHidden/>
              </w:rPr>
              <w:tab/>
            </w:r>
            <w:r>
              <w:rPr>
                <w:noProof/>
                <w:webHidden/>
              </w:rPr>
              <w:fldChar w:fldCharType="begin"/>
            </w:r>
            <w:r>
              <w:rPr>
                <w:noProof/>
                <w:webHidden/>
              </w:rPr>
              <w:instrText xml:space="preserve"> PAGEREF _Toc224731592 \h </w:instrText>
            </w:r>
            <w:r>
              <w:rPr>
                <w:noProof/>
                <w:webHidden/>
              </w:rPr>
            </w:r>
            <w:r>
              <w:rPr>
                <w:noProof/>
                <w:webHidden/>
              </w:rPr>
              <w:fldChar w:fldCharType="separate"/>
            </w:r>
            <w:r>
              <w:rPr>
                <w:noProof/>
                <w:webHidden/>
              </w:rPr>
              <w:t>6</w:t>
            </w:r>
            <w:r>
              <w:rPr>
                <w:noProof/>
                <w:webHidden/>
              </w:rPr>
              <w:fldChar w:fldCharType="end"/>
            </w:r>
          </w:hyperlink>
        </w:p>
        <w:p w14:paraId="53C24094" w14:textId="35DC25E7" w:rsidR="009651E5" w:rsidRDefault="009651E5">
          <w:pPr>
            <w:pStyle w:val="TOC2"/>
            <w:tabs>
              <w:tab w:val="right" w:leader="dot" w:pos="9016"/>
            </w:tabs>
            <w:rPr>
              <w:rFonts w:eastAsiaTheme="minorEastAsia"/>
              <w:noProof/>
              <w:kern w:val="2"/>
              <w:sz w:val="24"/>
              <w:szCs w:val="24"/>
              <w:lang w:eastAsia="en-GB"/>
              <w14:ligatures w14:val="standardContextual"/>
            </w:rPr>
          </w:pPr>
          <w:hyperlink w:anchor="_Toc224731593" w:history="1">
            <w:r w:rsidRPr="00F32B95">
              <w:rPr>
                <w:rStyle w:val="Hyperlink"/>
                <w:rFonts w:ascii="Calibri" w:hAnsi="Calibri" w:cs="Calibri"/>
                <w:noProof/>
              </w:rPr>
              <w:t>2.4 Differences between Coaching and Mentoring</w:t>
            </w:r>
            <w:r>
              <w:rPr>
                <w:noProof/>
                <w:webHidden/>
              </w:rPr>
              <w:tab/>
            </w:r>
            <w:r>
              <w:rPr>
                <w:noProof/>
                <w:webHidden/>
              </w:rPr>
              <w:fldChar w:fldCharType="begin"/>
            </w:r>
            <w:r>
              <w:rPr>
                <w:noProof/>
                <w:webHidden/>
              </w:rPr>
              <w:instrText xml:space="preserve"> PAGEREF _Toc224731593 \h </w:instrText>
            </w:r>
            <w:r>
              <w:rPr>
                <w:noProof/>
                <w:webHidden/>
              </w:rPr>
            </w:r>
            <w:r>
              <w:rPr>
                <w:noProof/>
                <w:webHidden/>
              </w:rPr>
              <w:fldChar w:fldCharType="separate"/>
            </w:r>
            <w:r>
              <w:rPr>
                <w:noProof/>
                <w:webHidden/>
              </w:rPr>
              <w:t>7</w:t>
            </w:r>
            <w:r>
              <w:rPr>
                <w:noProof/>
                <w:webHidden/>
              </w:rPr>
              <w:fldChar w:fldCharType="end"/>
            </w:r>
          </w:hyperlink>
        </w:p>
        <w:p w14:paraId="5E345A7C" w14:textId="6F651860" w:rsidR="009651E5" w:rsidRDefault="009651E5">
          <w:pPr>
            <w:pStyle w:val="TOC2"/>
            <w:tabs>
              <w:tab w:val="right" w:leader="dot" w:pos="9016"/>
            </w:tabs>
            <w:rPr>
              <w:rFonts w:eastAsiaTheme="minorEastAsia"/>
              <w:noProof/>
              <w:kern w:val="2"/>
              <w:sz w:val="24"/>
              <w:szCs w:val="24"/>
              <w:lang w:eastAsia="en-GB"/>
              <w14:ligatures w14:val="standardContextual"/>
            </w:rPr>
          </w:pPr>
          <w:hyperlink w:anchor="_Toc224731594" w:history="1">
            <w:r w:rsidRPr="00F32B95">
              <w:rPr>
                <w:rStyle w:val="Hyperlink"/>
                <w:rFonts w:ascii="Calibri" w:hAnsi="Calibri" w:cs="Calibri"/>
                <w:noProof/>
              </w:rPr>
              <w:t>2.5 Application Within a Surgical Ward Context</w:t>
            </w:r>
            <w:r>
              <w:rPr>
                <w:noProof/>
                <w:webHidden/>
              </w:rPr>
              <w:tab/>
            </w:r>
            <w:r>
              <w:rPr>
                <w:noProof/>
                <w:webHidden/>
              </w:rPr>
              <w:fldChar w:fldCharType="begin"/>
            </w:r>
            <w:r>
              <w:rPr>
                <w:noProof/>
                <w:webHidden/>
              </w:rPr>
              <w:instrText xml:space="preserve"> PAGEREF _Toc224731594 \h </w:instrText>
            </w:r>
            <w:r>
              <w:rPr>
                <w:noProof/>
                <w:webHidden/>
              </w:rPr>
            </w:r>
            <w:r>
              <w:rPr>
                <w:noProof/>
                <w:webHidden/>
              </w:rPr>
              <w:fldChar w:fldCharType="separate"/>
            </w:r>
            <w:r>
              <w:rPr>
                <w:noProof/>
                <w:webHidden/>
              </w:rPr>
              <w:t>8</w:t>
            </w:r>
            <w:r>
              <w:rPr>
                <w:noProof/>
                <w:webHidden/>
              </w:rPr>
              <w:fldChar w:fldCharType="end"/>
            </w:r>
          </w:hyperlink>
        </w:p>
        <w:p w14:paraId="19803665" w14:textId="043A321F" w:rsidR="009651E5" w:rsidRDefault="009651E5">
          <w:pPr>
            <w:pStyle w:val="TOC2"/>
            <w:tabs>
              <w:tab w:val="right" w:leader="dot" w:pos="9016"/>
            </w:tabs>
            <w:rPr>
              <w:rFonts w:eastAsiaTheme="minorEastAsia"/>
              <w:noProof/>
              <w:kern w:val="2"/>
              <w:sz w:val="24"/>
              <w:szCs w:val="24"/>
              <w:lang w:eastAsia="en-GB"/>
              <w14:ligatures w14:val="standardContextual"/>
            </w:rPr>
          </w:pPr>
          <w:hyperlink w:anchor="_Toc224731595" w:history="1">
            <w:r w:rsidRPr="00F32B95">
              <w:rPr>
                <w:rStyle w:val="Hyperlink"/>
                <w:rFonts w:ascii="Calibri" w:hAnsi="Calibri" w:cs="Calibri"/>
                <w:noProof/>
              </w:rPr>
              <w:t>2.6 Critical Discussion</w:t>
            </w:r>
            <w:r>
              <w:rPr>
                <w:noProof/>
                <w:webHidden/>
              </w:rPr>
              <w:tab/>
            </w:r>
            <w:r>
              <w:rPr>
                <w:noProof/>
                <w:webHidden/>
              </w:rPr>
              <w:fldChar w:fldCharType="begin"/>
            </w:r>
            <w:r>
              <w:rPr>
                <w:noProof/>
                <w:webHidden/>
              </w:rPr>
              <w:instrText xml:space="preserve"> PAGEREF _Toc224731595 \h </w:instrText>
            </w:r>
            <w:r>
              <w:rPr>
                <w:noProof/>
                <w:webHidden/>
              </w:rPr>
            </w:r>
            <w:r>
              <w:rPr>
                <w:noProof/>
                <w:webHidden/>
              </w:rPr>
              <w:fldChar w:fldCharType="separate"/>
            </w:r>
            <w:r>
              <w:rPr>
                <w:noProof/>
                <w:webHidden/>
              </w:rPr>
              <w:t>8</w:t>
            </w:r>
            <w:r>
              <w:rPr>
                <w:noProof/>
                <w:webHidden/>
              </w:rPr>
              <w:fldChar w:fldCharType="end"/>
            </w:r>
          </w:hyperlink>
        </w:p>
        <w:p w14:paraId="66B37105" w14:textId="1B54F07F" w:rsidR="009651E5" w:rsidRDefault="009651E5">
          <w:pPr>
            <w:pStyle w:val="TOC1"/>
            <w:tabs>
              <w:tab w:val="right" w:leader="dot" w:pos="9016"/>
            </w:tabs>
            <w:rPr>
              <w:rFonts w:eastAsiaTheme="minorEastAsia"/>
              <w:noProof/>
              <w:kern w:val="2"/>
              <w:sz w:val="24"/>
              <w:szCs w:val="24"/>
              <w:lang w:eastAsia="en-GB"/>
              <w14:ligatures w14:val="standardContextual"/>
            </w:rPr>
          </w:pPr>
          <w:hyperlink w:anchor="_Toc224731596" w:history="1">
            <w:r w:rsidRPr="00F32B95">
              <w:rPr>
                <w:rStyle w:val="Hyperlink"/>
                <w:rFonts w:ascii="Calibri" w:hAnsi="Calibri" w:cs="Calibri"/>
                <w:noProof/>
              </w:rPr>
              <w:t>3. Skills, Behaviours, Attitudes and Beliefs of an Effective Workplace Mentor</w:t>
            </w:r>
            <w:r>
              <w:rPr>
                <w:noProof/>
                <w:webHidden/>
              </w:rPr>
              <w:tab/>
            </w:r>
            <w:r>
              <w:rPr>
                <w:noProof/>
                <w:webHidden/>
              </w:rPr>
              <w:fldChar w:fldCharType="begin"/>
            </w:r>
            <w:r>
              <w:rPr>
                <w:noProof/>
                <w:webHidden/>
              </w:rPr>
              <w:instrText xml:space="preserve"> PAGEREF _Toc224731596 \h </w:instrText>
            </w:r>
            <w:r>
              <w:rPr>
                <w:noProof/>
                <w:webHidden/>
              </w:rPr>
            </w:r>
            <w:r>
              <w:rPr>
                <w:noProof/>
                <w:webHidden/>
              </w:rPr>
              <w:fldChar w:fldCharType="separate"/>
            </w:r>
            <w:r>
              <w:rPr>
                <w:noProof/>
                <w:webHidden/>
              </w:rPr>
              <w:t>10</w:t>
            </w:r>
            <w:r>
              <w:rPr>
                <w:noProof/>
                <w:webHidden/>
              </w:rPr>
              <w:fldChar w:fldCharType="end"/>
            </w:r>
          </w:hyperlink>
        </w:p>
        <w:p w14:paraId="0D03ACBA" w14:textId="6924F6FC" w:rsidR="009651E5" w:rsidRDefault="009651E5">
          <w:pPr>
            <w:pStyle w:val="TOC2"/>
            <w:tabs>
              <w:tab w:val="right" w:leader="dot" w:pos="9016"/>
            </w:tabs>
            <w:rPr>
              <w:rFonts w:eastAsiaTheme="minorEastAsia"/>
              <w:noProof/>
              <w:kern w:val="2"/>
              <w:sz w:val="24"/>
              <w:szCs w:val="24"/>
              <w:lang w:eastAsia="en-GB"/>
              <w14:ligatures w14:val="standardContextual"/>
            </w:rPr>
          </w:pPr>
          <w:hyperlink w:anchor="_Toc224731597" w:history="1">
            <w:r w:rsidRPr="00F32B95">
              <w:rPr>
                <w:rStyle w:val="Hyperlink"/>
                <w:rFonts w:ascii="Calibri" w:hAnsi="Calibri" w:cs="Calibri"/>
                <w:noProof/>
              </w:rPr>
              <w:t>3.1 Skills, Behaviours, Attitudes and Beliefs Required</w:t>
            </w:r>
            <w:r>
              <w:rPr>
                <w:noProof/>
                <w:webHidden/>
              </w:rPr>
              <w:tab/>
            </w:r>
            <w:r>
              <w:rPr>
                <w:noProof/>
                <w:webHidden/>
              </w:rPr>
              <w:fldChar w:fldCharType="begin"/>
            </w:r>
            <w:r>
              <w:rPr>
                <w:noProof/>
                <w:webHidden/>
              </w:rPr>
              <w:instrText xml:space="preserve"> PAGEREF _Toc224731597 \h </w:instrText>
            </w:r>
            <w:r>
              <w:rPr>
                <w:noProof/>
                <w:webHidden/>
              </w:rPr>
            </w:r>
            <w:r>
              <w:rPr>
                <w:noProof/>
                <w:webHidden/>
              </w:rPr>
              <w:fldChar w:fldCharType="separate"/>
            </w:r>
            <w:r>
              <w:rPr>
                <w:noProof/>
                <w:webHidden/>
              </w:rPr>
              <w:t>10</w:t>
            </w:r>
            <w:r>
              <w:rPr>
                <w:noProof/>
                <w:webHidden/>
              </w:rPr>
              <w:fldChar w:fldCharType="end"/>
            </w:r>
          </w:hyperlink>
        </w:p>
        <w:p w14:paraId="6106223A" w14:textId="6618C0F7" w:rsidR="009651E5" w:rsidRDefault="009651E5">
          <w:pPr>
            <w:pStyle w:val="TOC1"/>
            <w:tabs>
              <w:tab w:val="right" w:leader="dot" w:pos="9016"/>
            </w:tabs>
            <w:rPr>
              <w:rFonts w:eastAsiaTheme="minorEastAsia"/>
              <w:noProof/>
              <w:kern w:val="2"/>
              <w:sz w:val="24"/>
              <w:szCs w:val="24"/>
              <w:lang w:eastAsia="en-GB"/>
              <w14:ligatures w14:val="standardContextual"/>
            </w:rPr>
          </w:pPr>
          <w:hyperlink w:anchor="_Toc224731598" w:history="1">
            <w:r w:rsidRPr="00F32B95">
              <w:rPr>
                <w:rStyle w:val="Hyperlink"/>
                <w:rFonts w:ascii="Calibri" w:hAnsi="Calibri" w:cs="Calibri"/>
                <w:noProof/>
              </w:rPr>
              <w:t>4. Models and Processes for Effective Mentoring in an Organisational Context</w:t>
            </w:r>
            <w:r>
              <w:rPr>
                <w:noProof/>
                <w:webHidden/>
              </w:rPr>
              <w:tab/>
            </w:r>
            <w:r>
              <w:rPr>
                <w:noProof/>
                <w:webHidden/>
              </w:rPr>
              <w:fldChar w:fldCharType="begin"/>
            </w:r>
            <w:r>
              <w:rPr>
                <w:noProof/>
                <w:webHidden/>
              </w:rPr>
              <w:instrText xml:space="preserve"> PAGEREF _Toc224731598 \h </w:instrText>
            </w:r>
            <w:r>
              <w:rPr>
                <w:noProof/>
                <w:webHidden/>
              </w:rPr>
            </w:r>
            <w:r>
              <w:rPr>
                <w:noProof/>
                <w:webHidden/>
              </w:rPr>
              <w:fldChar w:fldCharType="separate"/>
            </w:r>
            <w:r>
              <w:rPr>
                <w:noProof/>
                <w:webHidden/>
              </w:rPr>
              <w:t>13</w:t>
            </w:r>
            <w:r>
              <w:rPr>
                <w:noProof/>
                <w:webHidden/>
              </w:rPr>
              <w:fldChar w:fldCharType="end"/>
            </w:r>
          </w:hyperlink>
        </w:p>
        <w:p w14:paraId="435BEFED" w14:textId="149580AF" w:rsidR="009651E5" w:rsidRDefault="009651E5">
          <w:pPr>
            <w:pStyle w:val="TOC2"/>
            <w:tabs>
              <w:tab w:val="right" w:leader="dot" w:pos="9016"/>
            </w:tabs>
            <w:rPr>
              <w:rFonts w:eastAsiaTheme="minorEastAsia"/>
              <w:noProof/>
              <w:kern w:val="2"/>
              <w:sz w:val="24"/>
              <w:szCs w:val="24"/>
              <w:lang w:eastAsia="en-GB"/>
              <w14:ligatures w14:val="standardContextual"/>
            </w:rPr>
          </w:pPr>
          <w:hyperlink w:anchor="_Toc224731599" w:history="1">
            <w:r w:rsidRPr="00F32B95">
              <w:rPr>
                <w:rStyle w:val="Hyperlink"/>
                <w:rFonts w:ascii="Calibri" w:hAnsi="Calibri" w:cs="Calibri"/>
                <w:noProof/>
              </w:rPr>
              <w:t>4.1 The GROW Model as a Structured Mentoring Framework</w:t>
            </w:r>
            <w:r>
              <w:rPr>
                <w:noProof/>
                <w:webHidden/>
              </w:rPr>
              <w:tab/>
            </w:r>
            <w:r>
              <w:rPr>
                <w:noProof/>
                <w:webHidden/>
              </w:rPr>
              <w:fldChar w:fldCharType="begin"/>
            </w:r>
            <w:r>
              <w:rPr>
                <w:noProof/>
                <w:webHidden/>
              </w:rPr>
              <w:instrText xml:space="preserve"> PAGEREF _Toc224731599 \h </w:instrText>
            </w:r>
            <w:r>
              <w:rPr>
                <w:noProof/>
                <w:webHidden/>
              </w:rPr>
            </w:r>
            <w:r>
              <w:rPr>
                <w:noProof/>
                <w:webHidden/>
              </w:rPr>
              <w:fldChar w:fldCharType="separate"/>
            </w:r>
            <w:r>
              <w:rPr>
                <w:noProof/>
                <w:webHidden/>
              </w:rPr>
              <w:t>13</w:t>
            </w:r>
            <w:r>
              <w:rPr>
                <w:noProof/>
                <w:webHidden/>
              </w:rPr>
              <w:fldChar w:fldCharType="end"/>
            </w:r>
          </w:hyperlink>
        </w:p>
        <w:p w14:paraId="39101D4E" w14:textId="4B58D9D4" w:rsidR="009651E5" w:rsidRDefault="009651E5">
          <w:pPr>
            <w:pStyle w:val="TOC2"/>
            <w:tabs>
              <w:tab w:val="right" w:leader="dot" w:pos="9016"/>
            </w:tabs>
            <w:rPr>
              <w:rFonts w:eastAsiaTheme="minorEastAsia"/>
              <w:noProof/>
              <w:kern w:val="2"/>
              <w:sz w:val="24"/>
              <w:szCs w:val="24"/>
              <w:lang w:eastAsia="en-GB"/>
              <w14:ligatures w14:val="standardContextual"/>
            </w:rPr>
          </w:pPr>
          <w:hyperlink w:anchor="_Toc224731600" w:history="1">
            <w:r w:rsidRPr="00F32B95">
              <w:rPr>
                <w:rStyle w:val="Hyperlink"/>
                <w:rFonts w:ascii="Calibri" w:hAnsi="Calibri" w:cs="Calibri"/>
                <w:noProof/>
              </w:rPr>
              <w:t>4.2 The OSCAR Model as a Developmental and Systemic Mentoring Framework</w:t>
            </w:r>
            <w:r>
              <w:rPr>
                <w:noProof/>
                <w:webHidden/>
              </w:rPr>
              <w:tab/>
            </w:r>
            <w:r>
              <w:rPr>
                <w:noProof/>
                <w:webHidden/>
              </w:rPr>
              <w:fldChar w:fldCharType="begin"/>
            </w:r>
            <w:r>
              <w:rPr>
                <w:noProof/>
                <w:webHidden/>
              </w:rPr>
              <w:instrText xml:space="preserve"> PAGEREF _Toc224731600 \h </w:instrText>
            </w:r>
            <w:r>
              <w:rPr>
                <w:noProof/>
                <w:webHidden/>
              </w:rPr>
            </w:r>
            <w:r>
              <w:rPr>
                <w:noProof/>
                <w:webHidden/>
              </w:rPr>
              <w:fldChar w:fldCharType="separate"/>
            </w:r>
            <w:r>
              <w:rPr>
                <w:noProof/>
                <w:webHidden/>
              </w:rPr>
              <w:t>15</w:t>
            </w:r>
            <w:r>
              <w:rPr>
                <w:noProof/>
                <w:webHidden/>
              </w:rPr>
              <w:fldChar w:fldCharType="end"/>
            </w:r>
          </w:hyperlink>
        </w:p>
        <w:p w14:paraId="3A411ABE" w14:textId="4460AC9D" w:rsidR="009651E5" w:rsidRDefault="009651E5">
          <w:pPr>
            <w:pStyle w:val="TOC2"/>
            <w:tabs>
              <w:tab w:val="right" w:leader="dot" w:pos="9016"/>
            </w:tabs>
            <w:rPr>
              <w:rFonts w:eastAsiaTheme="minorEastAsia"/>
              <w:noProof/>
              <w:kern w:val="2"/>
              <w:sz w:val="24"/>
              <w:szCs w:val="24"/>
              <w:lang w:eastAsia="en-GB"/>
              <w14:ligatures w14:val="standardContextual"/>
            </w:rPr>
          </w:pPr>
          <w:hyperlink w:anchor="_Toc224731601" w:history="1">
            <w:r w:rsidRPr="00F32B95">
              <w:rPr>
                <w:rStyle w:val="Hyperlink"/>
                <w:rFonts w:ascii="Calibri" w:hAnsi="Calibri" w:cs="Calibri"/>
                <w:noProof/>
              </w:rPr>
              <w:t>4.3 Knowles’ Adult Learning Theory as a Foundation for Mentoring Practice</w:t>
            </w:r>
            <w:r>
              <w:rPr>
                <w:noProof/>
                <w:webHidden/>
              </w:rPr>
              <w:tab/>
            </w:r>
            <w:r>
              <w:rPr>
                <w:noProof/>
                <w:webHidden/>
              </w:rPr>
              <w:fldChar w:fldCharType="begin"/>
            </w:r>
            <w:r>
              <w:rPr>
                <w:noProof/>
                <w:webHidden/>
              </w:rPr>
              <w:instrText xml:space="preserve"> PAGEREF _Toc224731601 \h </w:instrText>
            </w:r>
            <w:r>
              <w:rPr>
                <w:noProof/>
                <w:webHidden/>
              </w:rPr>
            </w:r>
            <w:r>
              <w:rPr>
                <w:noProof/>
                <w:webHidden/>
              </w:rPr>
              <w:fldChar w:fldCharType="separate"/>
            </w:r>
            <w:r>
              <w:rPr>
                <w:noProof/>
                <w:webHidden/>
              </w:rPr>
              <w:t>15</w:t>
            </w:r>
            <w:r>
              <w:rPr>
                <w:noProof/>
                <w:webHidden/>
              </w:rPr>
              <w:fldChar w:fldCharType="end"/>
            </w:r>
          </w:hyperlink>
        </w:p>
        <w:p w14:paraId="6EABC9F4" w14:textId="42C45550" w:rsidR="009651E5" w:rsidRDefault="009651E5">
          <w:pPr>
            <w:pStyle w:val="TOC1"/>
            <w:tabs>
              <w:tab w:val="right" w:leader="dot" w:pos="9016"/>
            </w:tabs>
            <w:rPr>
              <w:rFonts w:eastAsiaTheme="minorEastAsia"/>
              <w:noProof/>
              <w:kern w:val="2"/>
              <w:sz w:val="24"/>
              <w:szCs w:val="24"/>
              <w:lang w:eastAsia="en-GB"/>
              <w14:ligatures w14:val="standardContextual"/>
            </w:rPr>
          </w:pPr>
          <w:hyperlink w:anchor="_Toc224731602" w:history="1">
            <w:r w:rsidRPr="00F32B95">
              <w:rPr>
                <w:rStyle w:val="Hyperlink"/>
                <w:rFonts w:ascii="Calibri" w:hAnsi="Calibri" w:cs="Calibri"/>
                <w:noProof/>
              </w:rPr>
              <w:t>References</w:t>
            </w:r>
            <w:r>
              <w:rPr>
                <w:noProof/>
                <w:webHidden/>
              </w:rPr>
              <w:tab/>
            </w:r>
            <w:r>
              <w:rPr>
                <w:noProof/>
                <w:webHidden/>
              </w:rPr>
              <w:fldChar w:fldCharType="begin"/>
            </w:r>
            <w:r>
              <w:rPr>
                <w:noProof/>
                <w:webHidden/>
              </w:rPr>
              <w:instrText xml:space="preserve"> PAGEREF _Toc224731602 \h </w:instrText>
            </w:r>
            <w:r>
              <w:rPr>
                <w:noProof/>
                <w:webHidden/>
              </w:rPr>
            </w:r>
            <w:r>
              <w:rPr>
                <w:noProof/>
                <w:webHidden/>
              </w:rPr>
              <w:fldChar w:fldCharType="separate"/>
            </w:r>
            <w:r>
              <w:rPr>
                <w:noProof/>
                <w:webHidden/>
              </w:rPr>
              <w:t>19</w:t>
            </w:r>
            <w:r>
              <w:rPr>
                <w:noProof/>
                <w:webHidden/>
              </w:rPr>
              <w:fldChar w:fldCharType="end"/>
            </w:r>
          </w:hyperlink>
        </w:p>
        <w:p w14:paraId="4F6F9B2A" w14:textId="6AA4E453" w:rsidR="009651E5" w:rsidRDefault="009651E5">
          <w:pPr>
            <w:pStyle w:val="TOC1"/>
            <w:tabs>
              <w:tab w:val="right" w:leader="dot" w:pos="9016"/>
            </w:tabs>
            <w:rPr>
              <w:rFonts w:eastAsiaTheme="minorEastAsia"/>
              <w:noProof/>
              <w:kern w:val="2"/>
              <w:sz w:val="24"/>
              <w:szCs w:val="24"/>
              <w:lang w:eastAsia="en-GB"/>
              <w14:ligatures w14:val="standardContextual"/>
            </w:rPr>
          </w:pPr>
          <w:hyperlink w:anchor="_Toc224731603" w:history="1">
            <w:r w:rsidRPr="00F32B95">
              <w:rPr>
                <w:rStyle w:val="Hyperlink"/>
                <w:rFonts w:ascii="Calibri" w:hAnsi="Calibri" w:cs="Calibri"/>
                <w:noProof/>
              </w:rPr>
              <w:t>Appendices</w:t>
            </w:r>
            <w:r>
              <w:rPr>
                <w:noProof/>
                <w:webHidden/>
              </w:rPr>
              <w:tab/>
            </w:r>
            <w:r>
              <w:rPr>
                <w:noProof/>
                <w:webHidden/>
              </w:rPr>
              <w:fldChar w:fldCharType="begin"/>
            </w:r>
            <w:r>
              <w:rPr>
                <w:noProof/>
                <w:webHidden/>
              </w:rPr>
              <w:instrText xml:space="preserve"> PAGEREF _Toc224731603 \h </w:instrText>
            </w:r>
            <w:r>
              <w:rPr>
                <w:noProof/>
                <w:webHidden/>
              </w:rPr>
            </w:r>
            <w:r>
              <w:rPr>
                <w:noProof/>
                <w:webHidden/>
              </w:rPr>
              <w:fldChar w:fldCharType="separate"/>
            </w:r>
            <w:r>
              <w:rPr>
                <w:noProof/>
                <w:webHidden/>
              </w:rPr>
              <w:t>25</w:t>
            </w:r>
            <w:r>
              <w:rPr>
                <w:noProof/>
                <w:webHidden/>
              </w:rPr>
              <w:fldChar w:fldCharType="end"/>
            </w:r>
          </w:hyperlink>
        </w:p>
        <w:p w14:paraId="07A0681D" w14:textId="4A1CFE3A" w:rsidR="009651E5" w:rsidRDefault="009651E5">
          <w:pPr>
            <w:pStyle w:val="TOC2"/>
            <w:tabs>
              <w:tab w:val="right" w:leader="dot" w:pos="9016"/>
            </w:tabs>
            <w:rPr>
              <w:rFonts w:eastAsiaTheme="minorEastAsia"/>
              <w:noProof/>
              <w:kern w:val="2"/>
              <w:sz w:val="24"/>
              <w:szCs w:val="24"/>
              <w:lang w:eastAsia="en-GB"/>
              <w14:ligatures w14:val="standardContextual"/>
            </w:rPr>
          </w:pPr>
          <w:hyperlink w:anchor="_Toc224731604" w:history="1">
            <w:r w:rsidRPr="00F32B95">
              <w:rPr>
                <w:rStyle w:val="Hyperlink"/>
                <w:rFonts w:ascii="Calibri" w:hAnsi="Calibri" w:cs="Calibri"/>
                <w:noProof/>
              </w:rPr>
              <w:t>Appendix A</w:t>
            </w:r>
            <w:r>
              <w:rPr>
                <w:noProof/>
                <w:webHidden/>
              </w:rPr>
              <w:tab/>
            </w:r>
            <w:r>
              <w:rPr>
                <w:noProof/>
                <w:webHidden/>
              </w:rPr>
              <w:fldChar w:fldCharType="begin"/>
            </w:r>
            <w:r>
              <w:rPr>
                <w:noProof/>
                <w:webHidden/>
              </w:rPr>
              <w:instrText xml:space="preserve"> PAGEREF _Toc224731604 \h </w:instrText>
            </w:r>
            <w:r>
              <w:rPr>
                <w:noProof/>
                <w:webHidden/>
              </w:rPr>
            </w:r>
            <w:r>
              <w:rPr>
                <w:noProof/>
                <w:webHidden/>
              </w:rPr>
              <w:fldChar w:fldCharType="separate"/>
            </w:r>
            <w:r>
              <w:rPr>
                <w:noProof/>
                <w:webHidden/>
              </w:rPr>
              <w:t>25</w:t>
            </w:r>
            <w:r>
              <w:rPr>
                <w:noProof/>
                <w:webHidden/>
              </w:rPr>
              <w:fldChar w:fldCharType="end"/>
            </w:r>
          </w:hyperlink>
        </w:p>
        <w:p w14:paraId="2FC6C973" w14:textId="3D0220C0" w:rsidR="009651E5" w:rsidRDefault="009651E5">
          <w:pPr>
            <w:pStyle w:val="TOC2"/>
            <w:tabs>
              <w:tab w:val="right" w:leader="dot" w:pos="9016"/>
            </w:tabs>
            <w:rPr>
              <w:rFonts w:eastAsiaTheme="minorEastAsia"/>
              <w:noProof/>
              <w:kern w:val="2"/>
              <w:sz w:val="24"/>
              <w:szCs w:val="24"/>
              <w:lang w:eastAsia="en-GB"/>
              <w14:ligatures w14:val="standardContextual"/>
            </w:rPr>
          </w:pPr>
          <w:hyperlink w:anchor="_Toc224731605" w:history="1">
            <w:r w:rsidRPr="00F32B95">
              <w:rPr>
                <w:rStyle w:val="Hyperlink"/>
                <w:rFonts w:ascii="Calibri" w:hAnsi="Calibri" w:cs="Calibri"/>
                <w:noProof/>
              </w:rPr>
              <w:t>Appendix B</w:t>
            </w:r>
            <w:r>
              <w:rPr>
                <w:noProof/>
                <w:webHidden/>
              </w:rPr>
              <w:tab/>
            </w:r>
            <w:r>
              <w:rPr>
                <w:noProof/>
                <w:webHidden/>
              </w:rPr>
              <w:fldChar w:fldCharType="begin"/>
            </w:r>
            <w:r>
              <w:rPr>
                <w:noProof/>
                <w:webHidden/>
              </w:rPr>
              <w:instrText xml:space="preserve"> PAGEREF _Toc224731605 \h </w:instrText>
            </w:r>
            <w:r>
              <w:rPr>
                <w:noProof/>
                <w:webHidden/>
              </w:rPr>
            </w:r>
            <w:r>
              <w:rPr>
                <w:noProof/>
                <w:webHidden/>
              </w:rPr>
              <w:fldChar w:fldCharType="separate"/>
            </w:r>
            <w:r>
              <w:rPr>
                <w:noProof/>
                <w:webHidden/>
              </w:rPr>
              <w:t>26</w:t>
            </w:r>
            <w:r>
              <w:rPr>
                <w:noProof/>
                <w:webHidden/>
              </w:rPr>
              <w:fldChar w:fldCharType="end"/>
            </w:r>
          </w:hyperlink>
        </w:p>
        <w:p w14:paraId="782AFAFE" w14:textId="7EEDD81C" w:rsidR="009651E5" w:rsidRDefault="009651E5">
          <w:pPr>
            <w:pStyle w:val="TOC2"/>
            <w:tabs>
              <w:tab w:val="right" w:leader="dot" w:pos="9016"/>
            </w:tabs>
            <w:rPr>
              <w:rFonts w:eastAsiaTheme="minorEastAsia"/>
              <w:noProof/>
              <w:kern w:val="2"/>
              <w:sz w:val="24"/>
              <w:szCs w:val="24"/>
              <w:lang w:eastAsia="en-GB"/>
              <w14:ligatures w14:val="standardContextual"/>
            </w:rPr>
          </w:pPr>
          <w:hyperlink w:anchor="_Toc224731606" w:history="1">
            <w:r w:rsidRPr="00F32B95">
              <w:rPr>
                <w:rStyle w:val="Hyperlink"/>
                <w:rFonts w:ascii="Calibri" w:hAnsi="Calibri" w:cs="Calibri"/>
                <w:noProof/>
              </w:rPr>
              <w:t>Appendix C</w:t>
            </w:r>
            <w:r>
              <w:rPr>
                <w:noProof/>
                <w:webHidden/>
              </w:rPr>
              <w:tab/>
            </w:r>
            <w:r>
              <w:rPr>
                <w:noProof/>
                <w:webHidden/>
              </w:rPr>
              <w:fldChar w:fldCharType="begin"/>
            </w:r>
            <w:r>
              <w:rPr>
                <w:noProof/>
                <w:webHidden/>
              </w:rPr>
              <w:instrText xml:space="preserve"> PAGEREF _Toc224731606 \h </w:instrText>
            </w:r>
            <w:r>
              <w:rPr>
                <w:noProof/>
                <w:webHidden/>
              </w:rPr>
            </w:r>
            <w:r>
              <w:rPr>
                <w:noProof/>
                <w:webHidden/>
              </w:rPr>
              <w:fldChar w:fldCharType="separate"/>
            </w:r>
            <w:r>
              <w:rPr>
                <w:noProof/>
                <w:webHidden/>
              </w:rPr>
              <w:t>27</w:t>
            </w:r>
            <w:r>
              <w:rPr>
                <w:noProof/>
                <w:webHidden/>
              </w:rPr>
              <w:fldChar w:fldCharType="end"/>
            </w:r>
          </w:hyperlink>
        </w:p>
        <w:p w14:paraId="057275FB" w14:textId="0588AFA0" w:rsidR="009651E5" w:rsidRDefault="009651E5">
          <w:r>
            <w:rPr>
              <w:b/>
              <w:bCs/>
            </w:rPr>
            <w:fldChar w:fldCharType="end"/>
          </w:r>
        </w:p>
      </w:sdtContent>
    </w:sdt>
    <w:p w14:paraId="046D5B0E" w14:textId="77777777" w:rsidR="002B1727" w:rsidRDefault="002B1727" w:rsidP="00284CE4">
      <w:pPr>
        <w:rPr>
          <w:rFonts w:ascii="Tahoma" w:hAnsi="Tahoma" w:cs="Tahoma"/>
          <w:color w:val="000000"/>
          <w:sz w:val="24"/>
          <w:szCs w:val="24"/>
        </w:rPr>
      </w:pPr>
    </w:p>
    <w:p w14:paraId="60CB0A33" w14:textId="2515E694" w:rsidR="00284CE4" w:rsidRPr="002F3B19" w:rsidRDefault="002B1727" w:rsidP="002F3B19">
      <w:pPr>
        <w:tabs>
          <w:tab w:val="left" w:pos="7692"/>
        </w:tabs>
        <w:rPr>
          <w:rFonts w:ascii="Tahoma" w:hAnsi="Tahoma" w:cs="Tahoma"/>
          <w:color w:val="000000"/>
          <w:sz w:val="24"/>
          <w:szCs w:val="24"/>
        </w:rPr>
      </w:pPr>
      <w:r>
        <w:rPr>
          <w:rFonts w:ascii="Tahoma" w:hAnsi="Tahoma" w:cs="Tahoma"/>
          <w:color w:val="000000"/>
          <w:sz w:val="24"/>
          <w:szCs w:val="24"/>
        </w:rPr>
        <w:tab/>
      </w:r>
    </w:p>
    <w:p w14:paraId="15502D50" w14:textId="30AAF613" w:rsidR="00284CE4" w:rsidRPr="00284CE4" w:rsidRDefault="00284CE4" w:rsidP="00284CE4">
      <w:pPr>
        <w:rPr>
          <w:rFonts w:ascii="Calibri" w:hAnsi="Calibri" w:cs="Calibri"/>
        </w:rPr>
      </w:pPr>
      <w:r>
        <w:rPr>
          <w:rFonts w:ascii="Calibri" w:hAnsi="Calibri" w:cs="Calibri"/>
        </w:rPr>
        <w:br w:type="page"/>
      </w:r>
    </w:p>
    <w:p w14:paraId="13F5210C" w14:textId="6AA8A327" w:rsidR="00977C47" w:rsidRPr="00284CE4" w:rsidRDefault="004035BA" w:rsidP="00284CE4">
      <w:pPr>
        <w:pStyle w:val="Heading1"/>
        <w:rPr>
          <w:rFonts w:ascii="Calibri" w:hAnsi="Calibri" w:cs="Calibri"/>
        </w:rPr>
      </w:pPr>
      <w:bookmarkStart w:id="0" w:name="_Toc224731588"/>
      <w:r>
        <w:rPr>
          <w:rFonts w:ascii="Calibri" w:hAnsi="Calibri" w:cs="Calibri"/>
        </w:rPr>
        <w:lastRenderedPageBreak/>
        <w:t xml:space="preserve">1. </w:t>
      </w:r>
      <w:r w:rsidR="00284CE4" w:rsidRPr="00284CE4">
        <w:rPr>
          <w:rFonts w:ascii="Calibri" w:hAnsi="Calibri" w:cs="Calibri"/>
        </w:rPr>
        <w:t>Introduction</w:t>
      </w:r>
      <w:bookmarkEnd w:id="0"/>
    </w:p>
    <w:p w14:paraId="6B1B01F6" w14:textId="77777777" w:rsidR="009C2B2C" w:rsidRDefault="009C2B2C">
      <w:pPr>
        <w:spacing w:line="360" w:lineRule="auto"/>
      </w:pPr>
      <w:r>
        <w:rPr>
          <w:rFonts w:ascii="Calibri" w:hAnsi="Calibri" w:cs="Calibri"/>
          <w:sz w:val="24"/>
          <w:szCs w:val="24"/>
        </w:rPr>
        <w:t xml:space="preserve">Coaching and mentoring have become increasingly significant developmental interventions within modern organisations, particularly in complex and high-pressure environments such as healthcare. The NHS faces workforce challenges including staff shortages, burnout, skill-mix pressures and rising patient acuity, increasing the need for development strategies that enhance staff performance and wellbeing. Coaching and mentoring are frequently promoted as methods to enhance professional capability, leadership capacity and staff retention. Despite their widespread use, the terms </w:t>
      </w:r>
      <w:r>
        <w:rPr>
          <w:rFonts w:ascii="Calibri" w:hAnsi="Calibri" w:cs="Calibri"/>
          <w:i/>
          <w:iCs/>
          <w:sz w:val="24"/>
          <w:szCs w:val="24"/>
        </w:rPr>
        <w:t>coaching</w:t>
      </w:r>
      <w:r>
        <w:rPr>
          <w:rFonts w:ascii="Calibri" w:hAnsi="Calibri" w:cs="Calibri"/>
          <w:sz w:val="24"/>
          <w:szCs w:val="24"/>
        </w:rPr>
        <w:t xml:space="preserve"> and </w:t>
      </w:r>
      <w:r>
        <w:rPr>
          <w:rFonts w:ascii="Calibri" w:hAnsi="Calibri" w:cs="Calibri"/>
          <w:i/>
          <w:iCs/>
          <w:sz w:val="24"/>
          <w:szCs w:val="24"/>
        </w:rPr>
        <w:t>mentoring</w:t>
      </w:r>
      <w:r>
        <w:rPr>
          <w:rFonts w:ascii="Calibri" w:hAnsi="Calibri" w:cs="Calibri"/>
          <w:sz w:val="24"/>
          <w:szCs w:val="24"/>
        </w:rPr>
        <w:t xml:space="preserve"> are often used with little differentiation in practice, leading to conceptual confusion and inconsistent application within organisations. Within the NHS, particularly surgical wards, staff routinely face challenges that require not only technical competence but also resilience, adaptability and critical thinking; in this context, coaching and mentoring can support talent development, leadership and wellbeing.</w:t>
      </w:r>
    </w:p>
    <w:p w14:paraId="0897B350" w14:textId="77777777" w:rsidR="00533B1A" w:rsidRDefault="00533B1A">
      <w:pPr>
        <w:spacing w:line="360" w:lineRule="auto"/>
      </w:pPr>
      <w:r>
        <w:rPr>
          <w:rFonts w:ascii="Calibri" w:hAnsi="Calibri" w:cs="Calibri"/>
          <w:color w:val="000000"/>
          <w:sz w:val="24"/>
          <w:szCs w:val="24"/>
        </w:rPr>
        <w:t>This report examines a surgical ward in an NHS hospital. Surgical wards require rapid decision making, multidisciplinary collaboration, adherence to regulation, and a consistent emphasis on patient safety. Staff must continue to develop clinical competence, resilience and professional judgement; when clearly understood and implemented, coaching and mentoring can support these developmental needs while aligning individual growth with organisational goals.</w:t>
      </w:r>
    </w:p>
    <w:p w14:paraId="08BBB0A4" w14:textId="77777777" w:rsidR="00173F37" w:rsidRDefault="00173F37" w:rsidP="00EC47F1">
      <w:pPr>
        <w:spacing w:line="360" w:lineRule="auto"/>
        <w:rPr>
          <w:rFonts w:ascii="Calibri" w:hAnsi="Calibri" w:cs="Calibri"/>
          <w:sz w:val="24"/>
          <w:szCs w:val="24"/>
        </w:rPr>
      </w:pPr>
      <w:r>
        <w:rPr>
          <w:rFonts w:ascii="Calibri" w:hAnsi="Calibri" w:cs="Calibri"/>
          <w:sz w:val="24"/>
          <w:szCs w:val="24"/>
        </w:rPr>
        <w:t xml:space="preserve">The report aims to explain the similarities and differences between coaching and mentoring within an organisational context, using academic literature and practical healthcare examples. The report critically evaluates the knowledge, skills, attitudes, and behaviours required of an effective workplace mentor, acknowledging differing perspectives within the literature and evaluating their relevance to a surgical ward environment. It will also include critical assessment of a recognised mentoring model or process suitable for formal workplace mentoring, comparing it with alternative approaches and examining the roles of contracting, supervision, and evaluation in ensuring ethical and effective practice. </w:t>
      </w:r>
    </w:p>
    <w:p w14:paraId="23743D80" w14:textId="77777777" w:rsidR="00173F37" w:rsidRDefault="00173F37" w:rsidP="007114E3">
      <w:pPr>
        <w:spacing w:line="360" w:lineRule="auto"/>
        <w:rPr>
          <w:rFonts w:ascii="Calibri" w:hAnsi="Calibri" w:cs="Calibri"/>
          <w:sz w:val="24"/>
          <w:szCs w:val="24"/>
        </w:rPr>
      </w:pPr>
      <w:r>
        <w:rPr>
          <w:rFonts w:ascii="Calibri" w:hAnsi="Calibri" w:cs="Calibri"/>
          <w:sz w:val="24"/>
          <w:szCs w:val="24"/>
        </w:rPr>
        <w:t xml:space="preserve">This report presents a logical, evidence-based analysis of the impact of coaching and mentoring on individual, team, and organisational effectiveness within the NHS. It highlights the potential benefits and the practical considerations involved in implementing coaching </w:t>
      </w:r>
      <w:r>
        <w:rPr>
          <w:rFonts w:ascii="Calibri" w:hAnsi="Calibri" w:cs="Calibri"/>
          <w:sz w:val="24"/>
          <w:szCs w:val="24"/>
        </w:rPr>
        <w:lastRenderedPageBreak/>
        <w:t xml:space="preserve">and mentoring strategies within a surgical ward, ensuring that theoretical concepts are effectively integrated with professional practice. </w:t>
      </w:r>
    </w:p>
    <w:p w14:paraId="324CF7DC" w14:textId="6CF97776" w:rsidR="00D82240" w:rsidRPr="004035BA" w:rsidRDefault="00D82240" w:rsidP="00D82240">
      <w:pPr>
        <w:pStyle w:val="Heading1"/>
        <w:rPr>
          <w:rFonts w:ascii="Calibri" w:hAnsi="Calibri" w:cs="Calibri"/>
        </w:rPr>
      </w:pPr>
      <w:bookmarkStart w:id="1" w:name="_Toc224731589"/>
      <w:r w:rsidRPr="004035BA">
        <w:rPr>
          <w:rFonts w:ascii="Calibri" w:hAnsi="Calibri" w:cs="Calibri"/>
        </w:rPr>
        <w:t>2. Coaching and Mentoring in an Organisational Context</w:t>
      </w:r>
      <w:bookmarkEnd w:id="1"/>
    </w:p>
    <w:p w14:paraId="7632378A" w14:textId="4DA748E7" w:rsidR="00A635A5" w:rsidRPr="00A635A5" w:rsidRDefault="00A635A5" w:rsidP="00A635A5">
      <w:pPr>
        <w:pStyle w:val="Heading2"/>
        <w:rPr>
          <w:rFonts w:ascii="Calibri" w:hAnsi="Calibri" w:cs="Calibri"/>
        </w:rPr>
      </w:pPr>
      <w:bookmarkStart w:id="2" w:name="_Toc224731590"/>
      <w:r w:rsidRPr="00A635A5">
        <w:rPr>
          <w:rFonts w:ascii="Calibri" w:hAnsi="Calibri" w:cs="Calibri"/>
        </w:rPr>
        <w:t>2.1 Defining Coaching</w:t>
      </w:r>
      <w:bookmarkEnd w:id="2"/>
    </w:p>
    <w:p w14:paraId="24E71E6D" w14:textId="4E548B1F" w:rsidR="002F4738" w:rsidRDefault="00B85CE0" w:rsidP="008011F0">
      <w:pPr>
        <w:spacing w:line="360" w:lineRule="auto"/>
        <w:rPr>
          <w:rFonts w:ascii="Calibri" w:hAnsi="Calibri" w:cs="Calibri"/>
          <w:sz w:val="24"/>
          <w:szCs w:val="24"/>
        </w:rPr>
      </w:pPr>
      <w:r>
        <w:rPr>
          <w:rFonts w:ascii="Calibri" w:hAnsi="Calibri" w:cs="Calibri"/>
          <w:sz w:val="24"/>
          <w:szCs w:val="24"/>
        </w:rPr>
        <w:t>Coaching is</w:t>
      </w:r>
      <w:r w:rsidR="00115955">
        <w:rPr>
          <w:rFonts w:ascii="Calibri" w:hAnsi="Calibri" w:cs="Calibri"/>
          <w:sz w:val="24"/>
          <w:szCs w:val="24"/>
        </w:rPr>
        <w:t xml:space="preserve"> recognised as</w:t>
      </w:r>
      <w:r>
        <w:rPr>
          <w:rFonts w:ascii="Calibri" w:hAnsi="Calibri" w:cs="Calibri"/>
          <w:sz w:val="24"/>
          <w:szCs w:val="24"/>
        </w:rPr>
        <w:t xml:space="preserve"> a structured </w:t>
      </w:r>
      <w:r w:rsidR="00115955">
        <w:rPr>
          <w:rFonts w:ascii="Calibri" w:hAnsi="Calibri" w:cs="Calibri"/>
          <w:sz w:val="24"/>
          <w:szCs w:val="24"/>
        </w:rPr>
        <w:t xml:space="preserve">developmental approach </w:t>
      </w:r>
      <w:r>
        <w:rPr>
          <w:rFonts w:ascii="Calibri" w:hAnsi="Calibri" w:cs="Calibri"/>
          <w:sz w:val="24"/>
          <w:szCs w:val="24"/>
        </w:rPr>
        <w:t xml:space="preserve">used to improve performance, learning, and effectiveness in the workplace. </w:t>
      </w:r>
      <w:r w:rsidR="00A536B8">
        <w:rPr>
          <w:rFonts w:ascii="Calibri" w:hAnsi="Calibri" w:cs="Calibri"/>
          <w:sz w:val="24"/>
          <w:szCs w:val="24"/>
        </w:rPr>
        <w:t>Whitmore (2017) defines coaching as “unlocking people’s potential to maximise their own performance</w:t>
      </w:r>
      <w:r w:rsidR="009B680C">
        <w:rPr>
          <w:rFonts w:ascii="Calibri" w:hAnsi="Calibri" w:cs="Calibri"/>
          <w:sz w:val="24"/>
          <w:szCs w:val="24"/>
        </w:rPr>
        <w:t xml:space="preserve">,” which emphasises facilitation rather than instruction. </w:t>
      </w:r>
      <w:r w:rsidR="005573A8">
        <w:rPr>
          <w:rFonts w:ascii="Calibri" w:hAnsi="Calibri" w:cs="Calibri"/>
          <w:sz w:val="24"/>
          <w:szCs w:val="24"/>
        </w:rPr>
        <w:t xml:space="preserve">This approach is non-directive and aligns with humanistic learning theory, promoting self-awareness and intrinsic motivation. </w:t>
      </w:r>
      <w:r w:rsidR="002F4738">
        <w:rPr>
          <w:rFonts w:ascii="Calibri" w:hAnsi="Calibri" w:cs="Calibri"/>
          <w:sz w:val="24"/>
          <w:szCs w:val="24"/>
        </w:rPr>
        <w:t xml:space="preserve">However, while this </w:t>
      </w:r>
      <w:r w:rsidR="00412248">
        <w:rPr>
          <w:rFonts w:ascii="Calibri" w:hAnsi="Calibri" w:cs="Calibri"/>
          <w:sz w:val="24"/>
          <w:szCs w:val="24"/>
        </w:rPr>
        <w:t xml:space="preserve">model encourages autonomy, it can be argued that </w:t>
      </w:r>
      <w:r w:rsidR="00AD4ECB">
        <w:rPr>
          <w:rFonts w:ascii="Calibri" w:hAnsi="Calibri" w:cs="Calibri"/>
          <w:sz w:val="24"/>
          <w:szCs w:val="24"/>
        </w:rPr>
        <w:t>it may be less effective in high-risk clinical environments such as the NHS</w:t>
      </w:r>
      <w:r w:rsidR="00053ACC">
        <w:rPr>
          <w:rFonts w:ascii="Calibri" w:hAnsi="Calibri" w:cs="Calibri"/>
          <w:sz w:val="24"/>
          <w:szCs w:val="24"/>
        </w:rPr>
        <w:t xml:space="preserve">. </w:t>
      </w:r>
      <w:r w:rsidR="00F70241">
        <w:rPr>
          <w:rFonts w:ascii="Calibri" w:hAnsi="Calibri" w:cs="Calibri"/>
          <w:sz w:val="24"/>
          <w:szCs w:val="24"/>
        </w:rPr>
        <w:t xml:space="preserve">Passmore (2015) highlights that coaching is structured, goal-focused, and centred around performance, which suggests a more realistic </w:t>
      </w:r>
      <w:r w:rsidR="007D51D3">
        <w:rPr>
          <w:rFonts w:ascii="Calibri" w:hAnsi="Calibri" w:cs="Calibri"/>
          <w:sz w:val="24"/>
          <w:szCs w:val="24"/>
        </w:rPr>
        <w:t xml:space="preserve">approach that balances reflection with measurable outcomes. This indicates ongoing tension between developmental coaching and performance drives coaching within healthcare settings. </w:t>
      </w:r>
    </w:p>
    <w:p w14:paraId="72934FC8" w14:textId="5DCAD101" w:rsidR="0024404F" w:rsidRPr="00C45BEB" w:rsidRDefault="00254461" w:rsidP="0024404F">
      <w:pPr>
        <w:spacing w:line="360" w:lineRule="auto"/>
        <w:rPr>
          <w:rFonts w:ascii="Calibri" w:hAnsi="Calibri" w:cs="Calibri"/>
          <w:color w:val="EE0000"/>
          <w:sz w:val="24"/>
          <w:szCs w:val="24"/>
        </w:rPr>
      </w:pPr>
      <w:r>
        <w:rPr>
          <w:rFonts w:ascii="Calibri" w:hAnsi="Calibri" w:cs="Calibri"/>
          <w:sz w:val="24"/>
          <w:szCs w:val="24"/>
        </w:rPr>
        <w:t>According to Cox</w:t>
      </w:r>
      <w:r w:rsidR="00CE6388">
        <w:rPr>
          <w:rFonts w:ascii="Calibri" w:hAnsi="Calibri" w:cs="Calibri"/>
          <w:sz w:val="24"/>
          <w:szCs w:val="24"/>
        </w:rPr>
        <w:t xml:space="preserve"> </w:t>
      </w:r>
      <w:r w:rsidR="00CE6388">
        <w:rPr>
          <w:rFonts w:ascii="Calibri" w:hAnsi="Calibri" w:cs="Calibri"/>
          <w:i/>
          <w:iCs/>
          <w:sz w:val="24"/>
          <w:szCs w:val="24"/>
        </w:rPr>
        <w:t xml:space="preserve">et al. </w:t>
      </w:r>
      <w:r w:rsidR="00CE6388">
        <w:rPr>
          <w:rFonts w:ascii="Calibri" w:hAnsi="Calibri" w:cs="Calibri"/>
          <w:sz w:val="24"/>
          <w:szCs w:val="24"/>
        </w:rPr>
        <w:t xml:space="preserve">(2018), </w:t>
      </w:r>
      <w:r w:rsidR="004E79FC">
        <w:rPr>
          <w:rFonts w:ascii="Calibri" w:hAnsi="Calibri" w:cs="Calibri"/>
          <w:sz w:val="24"/>
          <w:szCs w:val="24"/>
        </w:rPr>
        <w:t xml:space="preserve">coaching is defined as a focused, time-limited process that </w:t>
      </w:r>
      <w:r w:rsidR="00583296">
        <w:rPr>
          <w:rFonts w:ascii="Calibri" w:hAnsi="Calibri" w:cs="Calibri"/>
          <w:sz w:val="24"/>
          <w:szCs w:val="24"/>
        </w:rPr>
        <w:t xml:space="preserve">supports individuals to develop skills or improve their performance. </w:t>
      </w:r>
      <w:r w:rsidR="00787D83">
        <w:rPr>
          <w:rFonts w:ascii="Calibri" w:hAnsi="Calibri" w:cs="Calibri"/>
          <w:sz w:val="24"/>
          <w:szCs w:val="24"/>
        </w:rPr>
        <w:t xml:space="preserve">This </w:t>
      </w:r>
      <w:r w:rsidR="008011F0">
        <w:rPr>
          <w:rFonts w:ascii="Calibri" w:hAnsi="Calibri" w:cs="Calibri"/>
          <w:sz w:val="24"/>
          <w:szCs w:val="24"/>
        </w:rPr>
        <w:t xml:space="preserve">demonstrates </w:t>
      </w:r>
      <w:r w:rsidR="00245E5F">
        <w:rPr>
          <w:rFonts w:ascii="Calibri" w:hAnsi="Calibri" w:cs="Calibri"/>
          <w:sz w:val="24"/>
          <w:szCs w:val="24"/>
        </w:rPr>
        <w:t>a move from directive management to</w:t>
      </w:r>
      <w:r w:rsidR="00986639">
        <w:rPr>
          <w:rFonts w:ascii="Calibri" w:hAnsi="Calibri" w:cs="Calibri"/>
          <w:sz w:val="24"/>
          <w:szCs w:val="24"/>
        </w:rPr>
        <w:t xml:space="preserve"> a supportive leadership approach that enables employee empowerment. </w:t>
      </w:r>
      <w:r w:rsidR="00EC3FA9">
        <w:rPr>
          <w:rFonts w:ascii="Calibri" w:hAnsi="Calibri" w:cs="Calibri"/>
          <w:sz w:val="24"/>
          <w:szCs w:val="24"/>
        </w:rPr>
        <w:t xml:space="preserve">This approach is significantly relevant in modern healthcare organisations like the NHS, where leadership models </w:t>
      </w:r>
      <w:r w:rsidR="00C45BEB">
        <w:rPr>
          <w:rFonts w:ascii="Calibri" w:hAnsi="Calibri" w:cs="Calibri"/>
          <w:sz w:val="24"/>
          <w:szCs w:val="24"/>
        </w:rPr>
        <w:t>emphasise staff empowerment and shared decision making. Grant (2014) supports this view</w:t>
      </w:r>
      <w:r w:rsidR="00EF0734">
        <w:rPr>
          <w:rFonts w:ascii="Calibri" w:hAnsi="Calibri" w:cs="Calibri"/>
          <w:sz w:val="24"/>
          <w:szCs w:val="24"/>
        </w:rPr>
        <w:t>, arguing that coaching enhances self-regulation, resilience, and problem solving</w:t>
      </w:r>
      <w:r w:rsidR="0024404F">
        <w:rPr>
          <w:rFonts w:ascii="Calibri" w:hAnsi="Calibri" w:cs="Calibri"/>
          <w:sz w:val="24"/>
          <w:szCs w:val="24"/>
        </w:rPr>
        <w:t xml:space="preserve">. </w:t>
      </w:r>
      <w:r w:rsidR="0024404F" w:rsidRPr="007C4CBA">
        <w:rPr>
          <w:rFonts w:ascii="Calibri" w:hAnsi="Calibri" w:cs="Calibri"/>
          <w:sz w:val="24"/>
          <w:szCs w:val="24"/>
        </w:rPr>
        <w:t xml:space="preserve">Youssef </w:t>
      </w:r>
      <w:proofErr w:type="spellStart"/>
      <w:r w:rsidR="0024404F" w:rsidRPr="007C4CBA">
        <w:rPr>
          <w:rFonts w:ascii="Calibri" w:hAnsi="Calibri" w:cs="Calibri"/>
          <w:sz w:val="24"/>
          <w:szCs w:val="24"/>
        </w:rPr>
        <w:t>Jouali</w:t>
      </w:r>
      <w:proofErr w:type="spellEnd"/>
      <w:r w:rsidR="0024404F">
        <w:rPr>
          <w:rFonts w:ascii="Calibri" w:hAnsi="Calibri" w:cs="Calibri"/>
          <w:sz w:val="24"/>
          <w:szCs w:val="24"/>
        </w:rPr>
        <w:t xml:space="preserve"> </w:t>
      </w:r>
      <w:r w:rsidR="0024404F">
        <w:rPr>
          <w:rFonts w:ascii="Calibri" w:hAnsi="Calibri" w:cs="Calibri"/>
          <w:i/>
          <w:iCs/>
          <w:sz w:val="24"/>
          <w:szCs w:val="24"/>
        </w:rPr>
        <w:t>et al.</w:t>
      </w:r>
      <w:r w:rsidR="0024404F">
        <w:rPr>
          <w:rFonts w:ascii="Calibri" w:hAnsi="Calibri" w:cs="Calibri"/>
          <w:sz w:val="24"/>
          <w:szCs w:val="24"/>
        </w:rPr>
        <w:t xml:space="preserve"> (2024)</w:t>
      </w:r>
      <w:r w:rsidR="00D93F41">
        <w:rPr>
          <w:rFonts w:ascii="Calibri" w:hAnsi="Calibri" w:cs="Calibri"/>
          <w:sz w:val="24"/>
          <w:szCs w:val="24"/>
        </w:rPr>
        <w:t xml:space="preserve"> agrees that these competencies are essential in high-pressure clinical environments. </w:t>
      </w:r>
      <w:r w:rsidR="00B5472B">
        <w:rPr>
          <w:rFonts w:ascii="Calibri" w:hAnsi="Calibri" w:cs="Calibri"/>
          <w:sz w:val="24"/>
          <w:szCs w:val="24"/>
        </w:rPr>
        <w:t>However, the effectiveness of coaching in healthcare can be influenced by organisational constraints</w:t>
      </w:r>
      <w:r w:rsidR="00D74962">
        <w:rPr>
          <w:rFonts w:ascii="Calibri" w:hAnsi="Calibri" w:cs="Calibri"/>
          <w:sz w:val="24"/>
          <w:szCs w:val="24"/>
        </w:rPr>
        <w:t>, which include staff shortages, workload pressures, and limited time for reflection</w:t>
      </w:r>
      <w:r w:rsidR="005A47B8">
        <w:rPr>
          <w:rFonts w:ascii="Calibri" w:hAnsi="Calibri" w:cs="Calibri"/>
          <w:sz w:val="24"/>
          <w:szCs w:val="24"/>
        </w:rPr>
        <w:t xml:space="preserve"> (Carter </w:t>
      </w:r>
      <w:r w:rsidR="005A47B8">
        <w:rPr>
          <w:rFonts w:ascii="Calibri" w:hAnsi="Calibri" w:cs="Calibri"/>
          <w:i/>
          <w:iCs/>
          <w:sz w:val="24"/>
          <w:szCs w:val="24"/>
        </w:rPr>
        <w:t>et al.</w:t>
      </w:r>
      <w:r w:rsidR="005A47B8">
        <w:rPr>
          <w:rFonts w:ascii="Calibri" w:hAnsi="Calibri" w:cs="Calibri"/>
          <w:sz w:val="24"/>
          <w:szCs w:val="24"/>
        </w:rPr>
        <w:t>, 2025)</w:t>
      </w:r>
      <w:r w:rsidR="00D74962">
        <w:rPr>
          <w:rFonts w:ascii="Calibri" w:hAnsi="Calibri" w:cs="Calibri"/>
          <w:sz w:val="24"/>
          <w:szCs w:val="24"/>
        </w:rPr>
        <w:t xml:space="preserve">. </w:t>
      </w:r>
      <w:r w:rsidR="005A47B8">
        <w:rPr>
          <w:rFonts w:ascii="Calibri" w:hAnsi="Calibri" w:cs="Calibri"/>
          <w:sz w:val="24"/>
          <w:szCs w:val="24"/>
        </w:rPr>
        <w:t>These structural barriers may reduce opportunities for</w:t>
      </w:r>
      <w:r w:rsidR="00B27369">
        <w:rPr>
          <w:rFonts w:ascii="Calibri" w:hAnsi="Calibri" w:cs="Calibri"/>
          <w:sz w:val="24"/>
          <w:szCs w:val="24"/>
        </w:rPr>
        <w:t xml:space="preserve"> established coaching relationships, reducing its long-term impact despite its theoretical benefits. </w:t>
      </w:r>
    </w:p>
    <w:p w14:paraId="467E9C8F" w14:textId="77777777" w:rsidR="009C2B2C" w:rsidRDefault="009C2B2C">
      <w:pPr>
        <w:spacing w:line="360" w:lineRule="auto"/>
      </w:pPr>
      <w:r>
        <w:rPr>
          <w:rFonts w:ascii="Calibri" w:hAnsi="Calibri" w:cs="Calibri"/>
          <w:sz w:val="24"/>
          <w:szCs w:val="24"/>
        </w:rPr>
        <w:lastRenderedPageBreak/>
        <w:t>Within organisations such as NHS surgical wards, coaching can play a crucial role in supporting newly qualified nurses to develop clinical skills, confidence, decision-making and professional accountability. For example, senior nurses may use coaching techniques and reflective dialogue to help newly qualified nurses and junior staff build confidence when prioritising patient care. This supports clinical reasoning and autonomy, which are essential for making timely decisions that enable safe and effective care. Greif and Rauen (2022) note that while coaching promotes independence, over-reliance on self-directed learning may increase anxiety among newly qualified staff who require clearer guidance, highlighting the importance of balancing coaching with mentoring and clinical supervision.</w:t>
      </w:r>
    </w:p>
    <w:p w14:paraId="6A46AC77" w14:textId="77777777" w:rsidR="006B6713" w:rsidRDefault="008B506A" w:rsidP="003F2B1E">
      <w:pPr>
        <w:spacing w:line="360" w:lineRule="auto"/>
        <w:rPr>
          <w:rFonts w:ascii="Calibri" w:hAnsi="Calibri" w:cs="Calibri"/>
          <w:sz w:val="24"/>
          <w:szCs w:val="24"/>
        </w:rPr>
      </w:pPr>
      <w:r>
        <w:rPr>
          <w:rFonts w:ascii="Calibri" w:hAnsi="Calibri" w:cs="Calibri"/>
          <w:sz w:val="24"/>
          <w:szCs w:val="24"/>
        </w:rPr>
        <w:t>Coaching typically concentrates on targeted performance outcomes</w:t>
      </w:r>
      <w:r w:rsidR="00F4019A">
        <w:rPr>
          <w:rFonts w:ascii="Calibri" w:hAnsi="Calibri" w:cs="Calibri"/>
          <w:sz w:val="24"/>
          <w:szCs w:val="24"/>
        </w:rPr>
        <w:t xml:space="preserve"> and is often short-term and structure</w:t>
      </w:r>
      <w:r w:rsidR="000577F2">
        <w:rPr>
          <w:rFonts w:ascii="Calibri" w:hAnsi="Calibri" w:cs="Calibri"/>
          <w:sz w:val="24"/>
          <w:szCs w:val="24"/>
        </w:rPr>
        <w:t xml:space="preserve">d </w:t>
      </w:r>
      <w:r w:rsidR="00F4019A">
        <w:rPr>
          <w:rFonts w:ascii="Calibri" w:hAnsi="Calibri" w:cs="Calibri"/>
          <w:sz w:val="24"/>
          <w:szCs w:val="24"/>
        </w:rPr>
        <w:t xml:space="preserve">(Passmore, 2015). </w:t>
      </w:r>
      <w:r w:rsidR="00537C28">
        <w:rPr>
          <w:rFonts w:ascii="Calibri" w:hAnsi="Calibri" w:cs="Calibri"/>
          <w:sz w:val="24"/>
          <w:szCs w:val="24"/>
        </w:rPr>
        <w:t>Within healthcare settings</w:t>
      </w:r>
      <w:r w:rsidR="00313DFA">
        <w:rPr>
          <w:rFonts w:ascii="Calibri" w:hAnsi="Calibri" w:cs="Calibri"/>
          <w:sz w:val="24"/>
          <w:szCs w:val="24"/>
        </w:rPr>
        <w:t>, coachin</w:t>
      </w:r>
      <w:r w:rsidR="00451811">
        <w:rPr>
          <w:rFonts w:ascii="Calibri" w:hAnsi="Calibri" w:cs="Calibri"/>
          <w:sz w:val="24"/>
          <w:szCs w:val="24"/>
        </w:rPr>
        <w:t xml:space="preserve">g </w:t>
      </w:r>
      <w:r w:rsidR="001646A5">
        <w:rPr>
          <w:rFonts w:ascii="Calibri" w:hAnsi="Calibri" w:cs="Calibri"/>
          <w:sz w:val="24"/>
          <w:szCs w:val="24"/>
        </w:rPr>
        <w:t>can be used to improve clinical procedures, communication skills</w:t>
      </w:r>
      <w:r w:rsidR="008A2482">
        <w:rPr>
          <w:rFonts w:ascii="Calibri" w:hAnsi="Calibri" w:cs="Calibri"/>
          <w:sz w:val="24"/>
          <w:szCs w:val="24"/>
        </w:rPr>
        <w:t xml:space="preserve"> or leadership skills. </w:t>
      </w:r>
      <w:r w:rsidR="00E52DE8">
        <w:rPr>
          <w:rFonts w:ascii="Calibri" w:hAnsi="Calibri" w:cs="Calibri"/>
          <w:sz w:val="24"/>
          <w:szCs w:val="24"/>
        </w:rPr>
        <w:t xml:space="preserve">For example, a ward manager may provide coaching to a nurse </w:t>
      </w:r>
      <w:r w:rsidR="00425EB8">
        <w:rPr>
          <w:rFonts w:ascii="Calibri" w:hAnsi="Calibri" w:cs="Calibri"/>
          <w:sz w:val="24"/>
          <w:szCs w:val="24"/>
        </w:rPr>
        <w:t xml:space="preserve">who is preparing to take on additional leadership </w:t>
      </w:r>
      <w:r w:rsidR="009A08FF">
        <w:rPr>
          <w:rFonts w:ascii="Calibri" w:hAnsi="Calibri" w:cs="Calibri"/>
          <w:sz w:val="24"/>
          <w:szCs w:val="24"/>
        </w:rPr>
        <w:t xml:space="preserve">responsibilities, supporting their transition into </w:t>
      </w:r>
      <w:r w:rsidR="005A1AE6">
        <w:rPr>
          <w:rFonts w:ascii="Calibri" w:hAnsi="Calibri" w:cs="Calibri"/>
          <w:sz w:val="24"/>
          <w:szCs w:val="24"/>
        </w:rPr>
        <w:t xml:space="preserve">a higher-level role. </w:t>
      </w:r>
      <w:r w:rsidR="00BF4A41">
        <w:rPr>
          <w:rFonts w:ascii="Calibri" w:hAnsi="Calibri" w:cs="Calibri"/>
          <w:sz w:val="24"/>
          <w:szCs w:val="24"/>
        </w:rPr>
        <w:t xml:space="preserve">This demonstrates how </w:t>
      </w:r>
      <w:r w:rsidR="00574796">
        <w:rPr>
          <w:rFonts w:ascii="Calibri" w:hAnsi="Calibri" w:cs="Calibri"/>
          <w:sz w:val="24"/>
          <w:szCs w:val="24"/>
        </w:rPr>
        <w:t>coaching aligns individual development with organisational goals</w:t>
      </w:r>
      <w:r w:rsidR="003F2B1E">
        <w:rPr>
          <w:rFonts w:ascii="Calibri" w:hAnsi="Calibri" w:cs="Calibri"/>
          <w:sz w:val="24"/>
          <w:szCs w:val="24"/>
        </w:rPr>
        <w:t>, contributing to improved service delivery and patient care.</w:t>
      </w:r>
      <w:r w:rsidR="00B2392C">
        <w:rPr>
          <w:rFonts w:ascii="Calibri" w:hAnsi="Calibri" w:cs="Calibri"/>
          <w:sz w:val="24"/>
          <w:szCs w:val="24"/>
        </w:rPr>
        <w:t xml:space="preserve"> </w:t>
      </w:r>
    </w:p>
    <w:p w14:paraId="34D8A3AA" w14:textId="28E8AFCB" w:rsidR="00783667" w:rsidRPr="00BF338A" w:rsidRDefault="00783667" w:rsidP="003F2B1E">
      <w:pPr>
        <w:spacing w:line="360" w:lineRule="auto"/>
        <w:rPr>
          <w:rFonts w:ascii="Calibri" w:hAnsi="Calibri" w:cs="Calibri"/>
          <w:sz w:val="24"/>
          <w:szCs w:val="24"/>
        </w:rPr>
      </w:pPr>
      <w:r>
        <w:rPr>
          <w:rFonts w:ascii="Calibri" w:hAnsi="Calibri" w:cs="Calibri"/>
          <w:sz w:val="24"/>
          <w:szCs w:val="24"/>
        </w:rPr>
        <w:t xml:space="preserve">To optimise coaching within healthcare, as stated by Miller-Kuhlmann </w:t>
      </w:r>
      <w:r w:rsidRPr="00783667">
        <w:rPr>
          <w:rFonts w:ascii="Calibri" w:hAnsi="Calibri" w:cs="Calibri"/>
          <w:i/>
          <w:iCs/>
          <w:sz w:val="24"/>
          <w:szCs w:val="24"/>
        </w:rPr>
        <w:t>et al.</w:t>
      </w:r>
      <w:r w:rsidR="008619CE">
        <w:rPr>
          <w:rFonts w:ascii="Calibri" w:hAnsi="Calibri" w:cs="Calibri"/>
          <w:sz w:val="24"/>
          <w:szCs w:val="24"/>
        </w:rPr>
        <w:t xml:space="preserve"> (</w:t>
      </w:r>
      <w:r>
        <w:rPr>
          <w:rFonts w:ascii="Calibri" w:hAnsi="Calibri" w:cs="Calibri"/>
          <w:sz w:val="24"/>
          <w:szCs w:val="24"/>
        </w:rPr>
        <w:t>2024)</w:t>
      </w:r>
      <w:r w:rsidR="000B452B">
        <w:rPr>
          <w:rFonts w:ascii="Calibri" w:hAnsi="Calibri" w:cs="Calibri"/>
          <w:sz w:val="24"/>
          <w:szCs w:val="24"/>
        </w:rPr>
        <w:t xml:space="preserve">, </w:t>
      </w:r>
      <w:r>
        <w:rPr>
          <w:rFonts w:ascii="Calibri" w:hAnsi="Calibri" w:cs="Calibri"/>
          <w:sz w:val="24"/>
          <w:szCs w:val="24"/>
        </w:rPr>
        <w:t>the NHS should establish clear evaluation fram</w:t>
      </w:r>
      <w:r w:rsidR="000B452B">
        <w:rPr>
          <w:rFonts w:ascii="Calibri" w:hAnsi="Calibri" w:cs="Calibri"/>
          <w:sz w:val="24"/>
          <w:szCs w:val="24"/>
        </w:rPr>
        <w:t xml:space="preserve">eworks and integrate coaching with mentoring and supervision. </w:t>
      </w:r>
      <w:r w:rsidR="00255170">
        <w:rPr>
          <w:rFonts w:ascii="Calibri" w:hAnsi="Calibri" w:cs="Calibri"/>
          <w:sz w:val="24"/>
          <w:szCs w:val="24"/>
        </w:rPr>
        <w:t xml:space="preserve">Promoting a culture of reflective practice, tailoring coaching approaches to different clinical contexts, and investing in ongoing </w:t>
      </w:r>
      <w:r w:rsidR="00C856EB">
        <w:rPr>
          <w:rFonts w:ascii="Calibri" w:hAnsi="Calibri" w:cs="Calibri"/>
          <w:sz w:val="24"/>
          <w:szCs w:val="24"/>
        </w:rPr>
        <w:t>coach training and support are particularly important for newly qualified staff. These strategies will help to ensure the effectiveness of coaching</w:t>
      </w:r>
      <w:r w:rsidR="004153C3">
        <w:rPr>
          <w:rFonts w:ascii="Calibri" w:hAnsi="Calibri" w:cs="Calibri"/>
          <w:sz w:val="24"/>
          <w:szCs w:val="24"/>
        </w:rPr>
        <w:t xml:space="preserve"> and is responsive to the unique demands of the clinical environment</w:t>
      </w:r>
      <w:r w:rsidR="00BF338A">
        <w:rPr>
          <w:rFonts w:ascii="Calibri" w:hAnsi="Calibri" w:cs="Calibri"/>
          <w:sz w:val="24"/>
          <w:szCs w:val="24"/>
        </w:rPr>
        <w:t xml:space="preserve"> (Richardson </w:t>
      </w:r>
      <w:r w:rsidR="00BF338A">
        <w:rPr>
          <w:rFonts w:ascii="Calibri" w:hAnsi="Calibri" w:cs="Calibri"/>
          <w:i/>
          <w:iCs/>
          <w:sz w:val="24"/>
          <w:szCs w:val="24"/>
        </w:rPr>
        <w:t>et al.</w:t>
      </w:r>
      <w:r w:rsidR="00BF338A">
        <w:rPr>
          <w:rFonts w:ascii="Calibri" w:hAnsi="Calibri" w:cs="Calibri"/>
          <w:sz w:val="24"/>
          <w:szCs w:val="24"/>
        </w:rPr>
        <w:t>, 2023).</w:t>
      </w:r>
    </w:p>
    <w:p w14:paraId="16CC2D6C" w14:textId="05F68005" w:rsidR="003F2B1E" w:rsidRDefault="003F2B1E" w:rsidP="003F2B1E">
      <w:pPr>
        <w:pStyle w:val="Heading2"/>
        <w:rPr>
          <w:rFonts w:ascii="Calibri" w:hAnsi="Calibri" w:cs="Calibri"/>
        </w:rPr>
      </w:pPr>
      <w:bookmarkStart w:id="3" w:name="_Toc224731591"/>
      <w:r w:rsidRPr="003F2B1E">
        <w:rPr>
          <w:rFonts w:ascii="Calibri" w:hAnsi="Calibri" w:cs="Calibri"/>
        </w:rPr>
        <w:t>2.2 Defining Mentoring</w:t>
      </w:r>
      <w:bookmarkEnd w:id="3"/>
    </w:p>
    <w:p w14:paraId="343E55E2" w14:textId="007A2799" w:rsidR="00A104AE" w:rsidRDefault="002D6220" w:rsidP="008C0BC5">
      <w:pPr>
        <w:spacing w:line="360" w:lineRule="auto"/>
        <w:rPr>
          <w:rFonts w:ascii="Calibri" w:hAnsi="Calibri" w:cs="Calibri"/>
          <w:sz w:val="24"/>
          <w:szCs w:val="24"/>
        </w:rPr>
      </w:pPr>
      <w:r>
        <w:rPr>
          <w:rFonts w:ascii="Calibri" w:hAnsi="Calibri" w:cs="Calibri"/>
          <w:sz w:val="24"/>
          <w:szCs w:val="24"/>
        </w:rPr>
        <w:t xml:space="preserve">Mentoring is a developmental relationship with a broader focus on overall professional and personal </w:t>
      </w:r>
      <w:r w:rsidR="008C0BC5">
        <w:rPr>
          <w:rFonts w:ascii="Calibri" w:hAnsi="Calibri" w:cs="Calibri"/>
          <w:sz w:val="24"/>
          <w:szCs w:val="24"/>
        </w:rPr>
        <w:t>growth.</w:t>
      </w:r>
      <w:r w:rsidR="00245383">
        <w:rPr>
          <w:rFonts w:ascii="Calibri" w:hAnsi="Calibri" w:cs="Calibri"/>
          <w:sz w:val="24"/>
          <w:szCs w:val="24"/>
        </w:rPr>
        <w:t xml:space="preserve"> </w:t>
      </w:r>
      <w:proofErr w:type="spellStart"/>
      <w:r w:rsidR="00C737F8" w:rsidRPr="00C737F8">
        <w:rPr>
          <w:rFonts w:ascii="Calibri" w:hAnsi="Calibri" w:cs="Calibri"/>
          <w:sz w:val="24"/>
          <w:szCs w:val="24"/>
        </w:rPr>
        <w:t>Hryshchenko</w:t>
      </w:r>
      <w:proofErr w:type="spellEnd"/>
      <w:r w:rsidR="00C737F8" w:rsidRPr="00C737F8">
        <w:rPr>
          <w:rFonts w:ascii="Calibri" w:hAnsi="Calibri" w:cs="Calibri"/>
          <w:sz w:val="24"/>
          <w:szCs w:val="24"/>
        </w:rPr>
        <w:t xml:space="preserve"> </w:t>
      </w:r>
      <w:r w:rsidR="00C737F8" w:rsidRPr="00C737F8">
        <w:rPr>
          <w:rFonts w:ascii="Calibri" w:hAnsi="Calibri" w:cs="Calibri"/>
          <w:i/>
          <w:iCs/>
          <w:sz w:val="24"/>
          <w:szCs w:val="24"/>
        </w:rPr>
        <w:t>et al</w:t>
      </w:r>
      <w:r w:rsidR="00C737F8">
        <w:rPr>
          <w:rFonts w:ascii="Calibri" w:hAnsi="Calibri" w:cs="Calibri"/>
          <w:i/>
          <w:iCs/>
          <w:sz w:val="24"/>
          <w:szCs w:val="24"/>
        </w:rPr>
        <w:t>.</w:t>
      </w:r>
      <w:r w:rsidR="00C737F8" w:rsidRPr="00C737F8">
        <w:rPr>
          <w:rFonts w:ascii="Calibri" w:hAnsi="Calibri" w:cs="Calibri"/>
          <w:sz w:val="24"/>
          <w:szCs w:val="24"/>
        </w:rPr>
        <w:t xml:space="preserve"> </w:t>
      </w:r>
      <w:r w:rsidR="00C737F8">
        <w:rPr>
          <w:rFonts w:ascii="Calibri" w:hAnsi="Calibri" w:cs="Calibri"/>
          <w:sz w:val="24"/>
          <w:szCs w:val="24"/>
        </w:rPr>
        <w:t>(</w:t>
      </w:r>
      <w:r w:rsidR="00C737F8" w:rsidRPr="00C737F8">
        <w:rPr>
          <w:rFonts w:ascii="Calibri" w:hAnsi="Calibri" w:cs="Calibri"/>
          <w:sz w:val="24"/>
          <w:szCs w:val="24"/>
        </w:rPr>
        <w:t>2025)</w:t>
      </w:r>
      <w:r w:rsidR="00D559E2">
        <w:rPr>
          <w:rFonts w:ascii="Calibri" w:hAnsi="Calibri" w:cs="Calibri"/>
          <w:sz w:val="24"/>
          <w:szCs w:val="24"/>
        </w:rPr>
        <w:t xml:space="preserve"> defines m</w:t>
      </w:r>
      <w:r w:rsidR="00C737F8">
        <w:rPr>
          <w:rFonts w:ascii="Calibri" w:hAnsi="Calibri" w:cs="Calibri"/>
          <w:sz w:val="24"/>
          <w:szCs w:val="24"/>
        </w:rPr>
        <w:t>en</w:t>
      </w:r>
      <w:r w:rsidR="007A7959">
        <w:rPr>
          <w:rFonts w:ascii="Calibri" w:hAnsi="Calibri" w:cs="Calibri"/>
          <w:sz w:val="24"/>
          <w:szCs w:val="24"/>
        </w:rPr>
        <w:t>toring as a relatio</w:t>
      </w:r>
      <w:r w:rsidR="0040182C">
        <w:rPr>
          <w:rFonts w:ascii="Calibri" w:hAnsi="Calibri" w:cs="Calibri"/>
          <w:sz w:val="24"/>
          <w:szCs w:val="24"/>
        </w:rPr>
        <w:t>nship in which a more experienced individual provides support, guidance</w:t>
      </w:r>
      <w:r w:rsidR="00FF647B">
        <w:rPr>
          <w:rFonts w:ascii="Calibri" w:hAnsi="Calibri" w:cs="Calibri"/>
          <w:sz w:val="24"/>
          <w:szCs w:val="24"/>
        </w:rPr>
        <w:t xml:space="preserve">, and knowledge to </w:t>
      </w:r>
      <w:r w:rsidR="00CC05B2">
        <w:rPr>
          <w:rFonts w:ascii="Calibri" w:hAnsi="Calibri" w:cs="Calibri"/>
          <w:sz w:val="24"/>
          <w:szCs w:val="24"/>
        </w:rPr>
        <w:t xml:space="preserve">encourage the development of a less experienced colleague. </w:t>
      </w:r>
      <w:r w:rsidR="00192F1D">
        <w:rPr>
          <w:rFonts w:ascii="Calibri" w:hAnsi="Calibri" w:cs="Calibri"/>
          <w:sz w:val="24"/>
          <w:szCs w:val="24"/>
        </w:rPr>
        <w:t xml:space="preserve">This definition </w:t>
      </w:r>
      <w:r w:rsidR="00D07A30">
        <w:rPr>
          <w:rFonts w:ascii="Calibri" w:hAnsi="Calibri" w:cs="Calibri"/>
          <w:sz w:val="24"/>
          <w:szCs w:val="24"/>
        </w:rPr>
        <w:t>highlights the importance of transferring experience and organisational knowledge</w:t>
      </w:r>
      <w:r w:rsidR="00F913FD">
        <w:rPr>
          <w:rFonts w:ascii="Calibri" w:hAnsi="Calibri" w:cs="Calibri"/>
          <w:sz w:val="24"/>
          <w:szCs w:val="24"/>
        </w:rPr>
        <w:t xml:space="preserve">, which </w:t>
      </w:r>
      <w:r w:rsidR="00845331">
        <w:rPr>
          <w:rFonts w:ascii="Calibri" w:hAnsi="Calibri" w:cs="Calibri"/>
          <w:sz w:val="24"/>
          <w:szCs w:val="24"/>
        </w:rPr>
        <w:t xml:space="preserve">defines the difference </w:t>
      </w:r>
      <w:r w:rsidR="006A4F80">
        <w:rPr>
          <w:rFonts w:ascii="Calibri" w:hAnsi="Calibri" w:cs="Calibri"/>
          <w:sz w:val="24"/>
          <w:szCs w:val="24"/>
        </w:rPr>
        <w:t>between mentoring and the more</w:t>
      </w:r>
      <w:r w:rsidR="00840217">
        <w:rPr>
          <w:rFonts w:ascii="Calibri" w:hAnsi="Calibri" w:cs="Calibri"/>
          <w:sz w:val="24"/>
          <w:szCs w:val="24"/>
        </w:rPr>
        <w:t xml:space="preserve"> supportive nature of coaching. According to </w:t>
      </w:r>
      <w:r w:rsidR="0015476C">
        <w:rPr>
          <w:rFonts w:ascii="Calibri" w:hAnsi="Calibri" w:cs="Calibri"/>
          <w:sz w:val="24"/>
          <w:szCs w:val="24"/>
        </w:rPr>
        <w:t>Clutterbuck</w:t>
      </w:r>
      <w:r w:rsidR="00840217">
        <w:rPr>
          <w:rFonts w:ascii="Calibri" w:hAnsi="Calibri" w:cs="Calibri"/>
          <w:sz w:val="24"/>
          <w:szCs w:val="24"/>
        </w:rPr>
        <w:t xml:space="preserve"> </w:t>
      </w:r>
      <w:r w:rsidR="00840217">
        <w:rPr>
          <w:rFonts w:ascii="Calibri" w:hAnsi="Calibri" w:cs="Calibri"/>
          <w:sz w:val="24"/>
          <w:szCs w:val="24"/>
        </w:rPr>
        <w:lastRenderedPageBreak/>
        <w:t xml:space="preserve">(2014), </w:t>
      </w:r>
      <w:r w:rsidR="007040E2">
        <w:rPr>
          <w:rFonts w:ascii="Calibri" w:hAnsi="Calibri" w:cs="Calibri"/>
          <w:sz w:val="24"/>
          <w:szCs w:val="24"/>
        </w:rPr>
        <w:t>mentoring is described as a long-term developmental relationship that supports career progression</w:t>
      </w:r>
      <w:r w:rsidR="008475D9">
        <w:rPr>
          <w:rFonts w:ascii="Calibri" w:hAnsi="Calibri" w:cs="Calibri"/>
          <w:sz w:val="24"/>
          <w:szCs w:val="24"/>
        </w:rPr>
        <w:t xml:space="preserve">, personal development, and professional identity. </w:t>
      </w:r>
    </w:p>
    <w:p w14:paraId="51AFDEB4" w14:textId="5DABFE09" w:rsidR="00974E06" w:rsidRDefault="0032354F" w:rsidP="008C0BC5">
      <w:pPr>
        <w:spacing w:line="360" w:lineRule="auto"/>
        <w:rPr>
          <w:rFonts w:ascii="Calibri" w:hAnsi="Calibri" w:cs="Calibri"/>
          <w:sz w:val="24"/>
          <w:szCs w:val="24"/>
        </w:rPr>
      </w:pPr>
      <w:r>
        <w:rPr>
          <w:rFonts w:ascii="Calibri" w:hAnsi="Calibri" w:cs="Calibri"/>
          <w:sz w:val="24"/>
          <w:szCs w:val="24"/>
        </w:rPr>
        <w:t>In</w:t>
      </w:r>
      <w:r w:rsidR="00974E06">
        <w:rPr>
          <w:rFonts w:ascii="Calibri" w:hAnsi="Calibri" w:cs="Calibri"/>
          <w:sz w:val="24"/>
          <w:szCs w:val="24"/>
        </w:rPr>
        <w:t xml:space="preserve"> NHS surgical w</w:t>
      </w:r>
      <w:r w:rsidR="003F3F3A">
        <w:rPr>
          <w:rFonts w:ascii="Calibri" w:hAnsi="Calibri" w:cs="Calibri"/>
          <w:sz w:val="24"/>
          <w:szCs w:val="24"/>
        </w:rPr>
        <w:t xml:space="preserve">ards, </w:t>
      </w:r>
      <w:r w:rsidR="000F60E2">
        <w:rPr>
          <w:rFonts w:ascii="Calibri" w:hAnsi="Calibri" w:cs="Calibri"/>
          <w:sz w:val="24"/>
          <w:szCs w:val="24"/>
        </w:rPr>
        <w:t xml:space="preserve">mentoring is frequently used to support newly qualified or </w:t>
      </w:r>
      <w:r w:rsidR="00E04A8E">
        <w:rPr>
          <w:rFonts w:ascii="Calibri" w:hAnsi="Calibri" w:cs="Calibri"/>
          <w:sz w:val="24"/>
          <w:szCs w:val="24"/>
        </w:rPr>
        <w:t xml:space="preserve">student nurses during their transition from education </w:t>
      </w:r>
      <w:r w:rsidR="00582ADA">
        <w:rPr>
          <w:rFonts w:ascii="Calibri" w:hAnsi="Calibri" w:cs="Calibri"/>
          <w:sz w:val="24"/>
          <w:szCs w:val="24"/>
        </w:rPr>
        <w:t xml:space="preserve">to professional practice. </w:t>
      </w:r>
      <w:r w:rsidR="000E7C41">
        <w:rPr>
          <w:rFonts w:ascii="Calibri" w:hAnsi="Calibri" w:cs="Calibri"/>
          <w:sz w:val="24"/>
          <w:szCs w:val="24"/>
        </w:rPr>
        <w:t xml:space="preserve">When entering high-pressure environments after recently qualifying, nurses often experience </w:t>
      </w:r>
      <w:r w:rsidR="00545429">
        <w:rPr>
          <w:rFonts w:ascii="Calibri" w:hAnsi="Calibri" w:cs="Calibri"/>
          <w:sz w:val="24"/>
          <w:szCs w:val="24"/>
        </w:rPr>
        <w:t xml:space="preserve">anxiety and uncertainty. Through mentoring, experienced nurses offer </w:t>
      </w:r>
      <w:r w:rsidR="00FB46F5">
        <w:rPr>
          <w:rFonts w:ascii="Calibri" w:hAnsi="Calibri" w:cs="Calibri"/>
          <w:sz w:val="24"/>
          <w:szCs w:val="24"/>
        </w:rPr>
        <w:t xml:space="preserve">guidance, share clinical knowledge, </w:t>
      </w:r>
      <w:r w:rsidR="004379C2">
        <w:rPr>
          <w:rFonts w:ascii="Calibri" w:hAnsi="Calibri" w:cs="Calibri"/>
          <w:sz w:val="24"/>
          <w:szCs w:val="24"/>
        </w:rPr>
        <w:t xml:space="preserve">and manage organisational </w:t>
      </w:r>
      <w:r w:rsidR="001358D6">
        <w:rPr>
          <w:rFonts w:ascii="Calibri" w:hAnsi="Calibri" w:cs="Calibri"/>
          <w:sz w:val="24"/>
          <w:szCs w:val="24"/>
        </w:rPr>
        <w:t xml:space="preserve">culture and expectations. This support </w:t>
      </w:r>
      <w:r w:rsidR="00BB1D62">
        <w:rPr>
          <w:rFonts w:ascii="Calibri" w:hAnsi="Calibri" w:cs="Calibri"/>
          <w:sz w:val="24"/>
          <w:szCs w:val="24"/>
        </w:rPr>
        <w:t xml:space="preserve">contributes to increased confidence, </w:t>
      </w:r>
      <w:r w:rsidR="00DE4927">
        <w:rPr>
          <w:rFonts w:ascii="Calibri" w:hAnsi="Calibri" w:cs="Calibri"/>
          <w:sz w:val="24"/>
          <w:szCs w:val="24"/>
        </w:rPr>
        <w:t>competence, and job satisfaction, which are essential for effective patient care and staff retention</w:t>
      </w:r>
      <w:r w:rsidR="002610CC">
        <w:rPr>
          <w:rFonts w:ascii="Calibri" w:hAnsi="Calibri" w:cs="Calibri"/>
          <w:sz w:val="24"/>
          <w:szCs w:val="24"/>
        </w:rPr>
        <w:t xml:space="preserve"> (Eby </w:t>
      </w:r>
      <w:r w:rsidR="002610CC">
        <w:rPr>
          <w:rFonts w:ascii="Calibri" w:hAnsi="Calibri" w:cs="Calibri"/>
          <w:i/>
          <w:iCs/>
          <w:sz w:val="24"/>
          <w:szCs w:val="24"/>
        </w:rPr>
        <w:t>et al.</w:t>
      </w:r>
      <w:r w:rsidR="002610CC">
        <w:rPr>
          <w:rFonts w:ascii="Calibri" w:hAnsi="Calibri" w:cs="Calibri"/>
          <w:sz w:val="24"/>
          <w:szCs w:val="24"/>
        </w:rPr>
        <w:t xml:space="preserve"> 2013). </w:t>
      </w:r>
    </w:p>
    <w:p w14:paraId="3250C010" w14:textId="42D793D5" w:rsidR="00A635A5" w:rsidRDefault="00F619E8" w:rsidP="00824179">
      <w:pPr>
        <w:spacing w:line="360" w:lineRule="auto"/>
        <w:rPr>
          <w:rFonts w:ascii="Calibri" w:hAnsi="Calibri" w:cs="Calibri"/>
          <w:sz w:val="24"/>
          <w:szCs w:val="24"/>
        </w:rPr>
      </w:pPr>
      <w:r>
        <w:rPr>
          <w:rFonts w:ascii="Calibri" w:hAnsi="Calibri" w:cs="Calibri"/>
          <w:sz w:val="24"/>
          <w:szCs w:val="24"/>
        </w:rPr>
        <w:t xml:space="preserve">According to </w:t>
      </w:r>
      <w:r w:rsidR="00960198">
        <w:rPr>
          <w:rFonts w:ascii="Calibri" w:hAnsi="Calibri" w:cs="Calibri"/>
          <w:sz w:val="24"/>
          <w:szCs w:val="24"/>
        </w:rPr>
        <w:t xml:space="preserve">Garvey </w:t>
      </w:r>
      <w:r w:rsidR="00960198">
        <w:rPr>
          <w:rFonts w:ascii="Calibri" w:hAnsi="Calibri" w:cs="Calibri"/>
          <w:i/>
          <w:iCs/>
          <w:sz w:val="24"/>
          <w:szCs w:val="24"/>
        </w:rPr>
        <w:t xml:space="preserve">et al. </w:t>
      </w:r>
      <w:r w:rsidR="00960198">
        <w:rPr>
          <w:rFonts w:ascii="Calibri" w:hAnsi="Calibri" w:cs="Calibri"/>
          <w:sz w:val="24"/>
          <w:szCs w:val="24"/>
        </w:rPr>
        <w:t>(2018)</w:t>
      </w:r>
      <w:r w:rsidR="009E3B85">
        <w:rPr>
          <w:rFonts w:ascii="Calibri" w:hAnsi="Calibri" w:cs="Calibri"/>
          <w:sz w:val="24"/>
          <w:szCs w:val="24"/>
        </w:rPr>
        <w:t xml:space="preserve">, mentoring plays a significant role in </w:t>
      </w:r>
      <w:r w:rsidR="00D13F22">
        <w:rPr>
          <w:rFonts w:ascii="Calibri" w:hAnsi="Calibri" w:cs="Calibri"/>
          <w:sz w:val="24"/>
          <w:szCs w:val="24"/>
        </w:rPr>
        <w:t xml:space="preserve">encouraging </w:t>
      </w:r>
      <w:r w:rsidR="008672F2">
        <w:rPr>
          <w:rFonts w:ascii="Calibri" w:hAnsi="Calibri" w:cs="Calibri"/>
          <w:sz w:val="24"/>
          <w:szCs w:val="24"/>
        </w:rPr>
        <w:t xml:space="preserve">leadership </w:t>
      </w:r>
      <w:r w:rsidR="00D13F22">
        <w:rPr>
          <w:rFonts w:ascii="Calibri" w:hAnsi="Calibri" w:cs="Calibri"/>
          <w:sz w:val="24"/>
          <w:szCs w:val="24"/>
        </w:rPr>
        <w:t xml:space="preserve">development within </w:t>
      </w:r>
      <w:r w:rsidR="00057E23">
        <w:rPr>
          <w:rFonts w:ascii="Calibri" w:hAnsi="Calibri" w:cs="Calibri"/>
          <w:sz w:val="24"/>
          <w:szCs w:val="24"/>
        </w:rPr>
        <w:t xml:space="preserve">healthcare organisations. </w:t>
      </w:r>
      <w:r w:rsidR="001259F7">
        <w:rPr>
          <w:rFonts w:ascii="Calibri" w:hAnsi="Calibri" w:cs="Calibri"/>
          <w:sz w:val="24"/>
          <w:szCs w:val="24"/>
        </w:rPr>
        <w:t xml:space="preserve">For example, a senior clinician may </w:t>
      </w:r>
      <w:r w:rsidR="00F75949">
        <w:rPr>
          <w:rFonts w:ascii="Calibri" w:hAnsi="Calibri" w:cs="Calibri"/>
          <w:sz w:val="24"/>
          <w:szCs w:val="24"/>
        </w:rPr>
        <w:t>mentor a junior staff member aspiring to become a ward manager</w:t>
      </w:r>
      <w:r w:rsidR="007201A3">
        <w:rPr>
          <w:rFonts w:ascii="Calibri" w:hAnsi="Calibri" w:cs="Calibri"/>
          <w:sz w:val="24"/>
          <w:szCs w:val="24"/>
        </w:rPr>
        <w:t xml:space="preserve"> by offering guidance on leadership responsibilities, </w:t>
      </w:r>
      <w:r w:rsidR="004502D4">
        <w:rPr>
          <w:rFonts w:ascii="Calibri" w:hAnsi="Calibri" w:cs="Calibri"/>
          <w:sz w:val="24"/>
          <w:szCs w:val="24"/>
        </w:rPr>
        <w:t xml:space="preserve">organisational procedures, and career planning. </w:t>
      </w:r>
      <w:r w:rsidR="00AE2A27">
        <w:rPr>
          <w:rFonts w:ascii="Calibri" w:hAnsi="Calibri" w:cs="Calibri"/>
          <w:sz w:val="24"/>
          <w:szCs w:val="24"/>
        </w:rPr>
        <w:t xml:space="preserve">Unlike coaching, </w:t>
      </w:r>
      <w:r w:rsidR="009E42A9">
        <w:rPr>
          <w:rFonts w:ascii="Calibri" w:hAnsi="Calibri" w:cs="Calibri"/>
          <w:sz w:val="24"/>
          <w:szCs w:val="24"/>
        </w:rPr>
        <w:t xml:space="preserve">which focuses on </w:t>
      </w:r>
      <w:r w:rsidR="000D63D7">
        <w:rPr>
          <w:rFonts w:ascii="Calibri" w:hAnsi="Calibri" w:cs="Calibri"/>
          <w:sz w:val="24"/>
          <w:szCs w:val="24"/>
        </w:rPr>
        <w:t xml:space="preserve">specific goals, mentoring often addresses broader career and professional development. </w:t>
      </w:r>
    </w:p>
    <w:p w14:paraId="6DCAE440" w14:textId="4BCEFDC6" w:rsidR="00824179" w:rsidRPr="00C8432E" w:rsidRDefault="00824179" w:rsidP="00824179">
      <w:pPr>
        <w:pStyle w:val="Heading2"/>
        <w:rPr>
          <w:rFonts w:ascii="Calibri" w:hAnsi="Calibri" w:cs="Calibri"/>
        </w:rPr>
      </w:pPr>
      <w:bookmarkStart w:id="4" w:name="_Toc224731592"/>
      <w:r w:rsidRPr="00C8432E">
        <w:rPr>
          <w:rFonts w:ascii="Calibri" w:hAnsi="Calibri" w:cs="Calibri"/>
        </w:rPr>
        <w:t>2.3 Similarities between Coaching and Mentoring</w:t>
      </w:r>
      <w:bookmarkEnd w:id="4"/>
    </w:p>
    <w:p w14:paraId="65404F5D" w14:textId="1D3482F2" w:rsidR="00824179" w:rsidRPr="00830FEA" w:rsidRDefault="00D937CE" w:rsidP="007C4A7B">
      <w:pPr>
        <w:spacing w:line="360" w:lineRule="auto"/>
        <w:rPr>
          <w:rFonts w:ascii="Calibri" w:hAnsi="Calibri" w:cs="Calibri"/>
          <w:color w:val="EE0000"/>
          <w:sz w:val="24"/>
          <w:szCs w:val="24"/>
        </w:rPr>
      </w:pPr>
      <w:r>
        <w:rPr>
          <w:rFonts w:ascii="Calibri" w:hAnsi="Calibri" w:cs="Calibri"/>
          <w:sz w:val="24"/>
          <w:szCs w:val="24"/>
        </w:rPr>
        <w:t>Coaching and mentoring share many key similarities</w:t>
      </w:r>
      <w:r w:rsidR="00FE2D6E">
        <w:rPr>
          <w:rFonts w:ascii="Calibri" w:hAnsi="Calibri" w:cs="Calibri"/>
          <w:sz w:val="24"/>
          <w:szCs w:val="24"/>
        </w:rPr>
        <w:t>,</w:t>
      </w:r>
      <w:r w:rsidR="00450E5E">
        <w:rPr>
          <w:rFonts w:ascii="Calibri" w:hAnsi="Calibri" w:cs="Calibri"/>
          <w:sz w:val="24"/>
          <w:szCs w:val="24"/>
        </w:rPr>
        <w:t xml:space="preserve"> </w:t>
      </w:r>
      <w:r w:rsidR="00A97407">
        <w:rPr>
          <w:rFonts w:ascii="Calibri" w:hAnsi="Calibri" w:cs="Calibri"/>
          <w:sz w:val="24"/>
          <w:szCs w:val="24"/>
        </w:rPr>
        <w:t>particularly in their role</w:t>
      </w:r>
      <w:r w:rsidR="00450E5E">
        <w:rPr>
          <w:rFonts w:ascii="Calibri" w:hAnsi="Calibri" w:cs="Calibri"/>
          <w:sz w:val="24"/>
          <w:szCs w:val="24"/>
        </w:rPr>
        <w:t xml:space="preserve"> as developmenta</w:t>
      </w:r>
      <w:r w:rsidR="007C748C">
        <w:rPr>
          <w:rFonts w:ascii="Calibri" w:hAnsi="Calibri" w:cs="Calibri"/>
          <w:sz w:val="24"/>
          <w:szCs w:val="24"/>
        </w:rPr>
        <w:t xml:space="preserve">l tools that improve </w:t>
      </w:r>
      <w:r w:rsidR="00734339">
        <w:rPr>
          <w:rFonts w:ascii="Calibri" w:hAnsi="Calibri" w:cs="Calibri"/>
          <w:sz w:val="24"/>
          <w:szCs w:val="24"/>
        </w:rPr>
        <w:t>individual and organisational performance.</w:t>
      </w:r>
      <w:r w:rsidR="00963653">
        <w:rPr>
          <w:rFonts w:ascii="Calibri" w:hAnsi="Calibri" w:cs="Calibri"/>
          <w:sz w:val="24"/>
          <w:szCs w:val="24"/>
        </w:rPr>
        <w:t xml:space="preserve"> Both </w:t>
      </w:r>
      <w:r w:rsidR="004A678F">
        <w:rPr>
          <w:rFonts w:ascii="Calibri" w:hAnsi="Calibri" w:cs="Calibri"/>
          <w:sz w:val="24"/>
          <w:szCs w:val="24"/>
        </w:rPr>
        <w:t xml:space="preserve">involve a supportive interpersonal relationship </w:t>
      </w:r>
      <w:r w:rsidR="00527F58">
        <w:rPr>
          <w:rFonts w:ascii="Calibri" w:hAnsi="Calibri" w:cs="Calibri"/>
          <w:sz w:val="24"/>
          <w:szCs w:val="24"/>
        </w:rPr>
        <w:t xml:space="preserve">that encourages learning, </w:t>
      </w:r>
      <w:r w:rsidR="00DA2F23">
        <w:rPr>
          <w:rFonts w:ascii="Calibri" w:hAnsi="Calibri" w:cs="Calibri"/>
          <w:sz w:val="24"/>
          <w:szCs w:val="24"/>
        </w:rPr>
        <w:t xml:space="preserve">growth, and improved performance (Cox </w:t>
      </w:r>
      <w:r w:rsidR="00DA2F23">
        <w:rPr>
          <w:rFonts w:ascii="Calibri" w:hAnsi="Calibri" w:cs="Calibri"/>
          <w:i/>
          <w:iCs/>
          <w:sz w:val="24"/>
          <w:szCs w:val="24"/>
        </w:rPr>
        <w:t>et al.</w:t>
      </w:r>
      <w:r w:rsidR="00DA2F23">
        <w:rPr>
          <w:rFonts w:ascii="Calibri" w:hAnsi="Calibri" w:cs="Calibri"/>
          <w:sz w:val="24"/>
          <w:szCs w:val="24"/>
        </w:rPr>
        <w:t>, 2018).</w:t>
      </w:r>
      <w:r w:rsidR="007C4A7B">
        <w:rPr>
          <w:rFonts w:ascii="Calibri" w:hAnsi="Calibri" w:cs="Calibri"/>
          <w:sz w:val="24"/>
          <w:szCs w:val="24"/>
        </w:rPr>
        <w:t xml:space="preserve"> Building trust, maintaining confidentiality, and fostering psychological safety </w:t>
      </w:r>
      <w:r w:rsidR="003A7D41">
        <w:rPr>
          <w:rFonts w:ascii="Calibri" w:hAnsi="Calibri" w:cs="Calibri"/>
          <w:sz w:val="24"/>
          <w:szCs w:val="24"/>
        </w:rPr>
        <w:t>are key elements in both methods</w:t>
      </w:r>
      <w:r w:rsidR="00FE2DB2">
        <w:rPr>
          <w:rFonts w:ascii="Calibri" w:hAnsi="Calibri" w:cs="Calibri"/>
          <w:sz w:val="24"/>
          <w:szCs w:val="24"/>
        </w:rPr>
        <w:t>, as they encourage people to share their difficulties and thoughtfully examine their work.</w:t>
      </w:r>
    </w:p>
    <w:p w14:paraId="2F63CDEC" w14:textId="2DE2FA15" w:rsidR="00A44537" w:rsidRDefault="000A22A3" w:rsidP="007C4A7B">
      <w:pPr>
        <w:spacing w:line="360" w:lineRule="auto"/>
        <w:rPr>
          <w:rFonts w:ascii="Calibri" w:hAnsi="Calibri" w:cs="Calibri"/>
          <w:sz w:val="24"/>
          <w:szCs w:val="24"/>
        </w:rPr>
      </w:pPr>
      <w:r>
        <w:rPr>
          <w:rFonts w:ascii="Calibri" w:hAnsi="Calibri" w:cs="Calibri"/>
          <w:sz w:val="24"/>
          <w:szCs w:val="24"/>
        </w:rPr>
        <w:t xml:space="preserve">Coaching and mentoring are </w:t>
      </w:r>
      <w:r w:rsidR="00185316">
        <w:rPr>
          <w:rFonts w:ascii="Calibri" w:hAnsi="Calibri" w:cs="Calibri"/>
          <w:sz w:val="24"/>
          <w:szCs w:val="24"/>
        </w:rPr>
        <w:t>closely aligned with organisational goals, enhancing performance, staff engagement, and retention</w:t>
      </w:r>
      <w:r w:rsidR="00286474">
        <w:rPr>
          <w:rFonts w:ascii="Calibri" w:hAnsi="Calibri" w:cs="Calibri"/>
          <w:sz w:val="24"/>
          <w:szCs w:val="24"/>
        </w:rPr>
        <w:t xml:space="preserve"> (CIPD, 2024)</w:t>
      </w:r>
      <w:r w:rsidR="003047C6">
        <w:rPr>
          <w:rFonts w:ascii="Calibri" w:hAnsi="Calibri" w:cs="Calibri"/>
          <w:sz w:val="24"/>
          <w:szCs w:val="24"/>
        </w:rPr>
        <w:t xml:space="preserve">. Within healthcare environments, these strategies are </w:t>
      </w:r>
      <w:r w:rsidR="00CF15A0">
        <w:rPr>
          <w:rFonts w:ascii="Calibri" w:hAnsi="Calibri" w:cs="Calibri"/>
          <w:sz w:val="24"/>
          <w:szCs w:val="24"/>
        </w:rPr>
        <w:t xml:space="preserve">essential </w:t>
      </w:r>
      <w:r w:rsidR="00E86CC4">
        <w:rPr>
          <w:rFonts w:ascii="Calibri" w:hAnsi="Calibri" w:cs="Calibri"/>
          <w:sz w:val="24"/>
          <w:szCs w:val="24"/>
        </w:rPr>
        <w:t xml:space="preserve">in supporting continuous professional development and maintaining high standards of patient care. For example, </w:t>
      </w:r>
      <w:r w:rsidR="00524722">
        <w:rPr>
          <w:rFonts w:ascii="Calibri" w:hAnsi="Calibri" w:cs="Calibri"/>
          <w:sz w:val="24"/>
          <w:szCs w:val="24"/>
        </w:rPr>
        <w:t xml:space="preserve">both coaching and mentoring </w:t>
      </w:r>
      <w:r w:rsidR="005600DB">
        <w:rPr>
          <w:rFonts w:ascii="Calibri" w:hAnsi="Calibri" w:cs="Calibri"/>
          <w:sz w:val="24"/>
          <w:szCs w:val="24"/>
        </w:rPr>
        <w:t xml:space="preserve">initiatives can </w:t>
      </w:r>
      <w:r w:rsidR="006E030B">
        <w:rPr>
          <w:rFonts w:ascii="Calibri" w:hAnsi="Calibri" w:cs="Calibri"/>
          <w:sz w:val="24"/>
          <w:szCs w:val="24"/>
        </w:rPr>
        <w:t xml:space="preserve">support </w:t>
      </w:r>
      <w:r w:rsidR="005600DB">
        <w:rPr>
          <w:rFonts w:ascii="Calibri" w:hAnsi="Calibri" w:cs="Calibri"/>
          <w:sz w:val="24"/>
          <w:szCs w:val="24"/>
        </w:rPr>
        <w:t>newly qualified nurses</w:t>
      </w:r>
      <w:r w:rsidR="006E030B">
        <w:rPr>
          <w:rFonts w:ascii="Calibri" w:hAnsi="Calibri" w:cs="Calibri"/>
          <w:sz w:val="24"/>
          <w:szCs w:val="24"/>
        </w:rPr>
        <w:t xml:space="preserve"> in developing clinical competence and confidence</w:t>
      </w:r>
      <w:r w:rsidR="00A513EF">
        <w:rPr>
          <w:rFonts w:ascii="Calibri" w:hAnsi="Calibri" w:cs="Calibri"/>
          <w:sz w:val="24"/>
          <w:szCs w:val="24"/>
        </w:rPr>
        <w:t xml:space="preserve">, which positively influences patient safety outcomes. </w:t>
      </w:r>
    </w:p>
    <w:p w14:paraId="724E6587" w14:textId="77777777" w:rsidR="009C2B2C" w:rsidRDefault="009C2B2C">
      <w:pPr>
        <w:spacing w:line="360" w:lineRule="auto"/>
      </w:pPr>
      <w:bookmarkStart w:id="5" w:name="_Toc224731593"/>
      <w:r>
        <w:rPr>
          <w:rFonts w:ascii="Calibri" w:hAnsi="Calibri" w:cs="Calibri"/>
          <w:sz w:val="24"/>
          <w:szCs w:val="24"/>
        </w:rPr>
        <w:t xml:space="preserve">Both approaches promote reflective practice, which is essential in healthcare environments. Reflective practice enables healthcare professionals to evaluate their actions, identify areas </w:t>
      </w:r>
      <w:r>
        <w:rPr>
          <w:rFonts w:ascii="Calibri" w:hAnsi="Calibri" w:cs="Calibri"/>
          <w:sz w:val="24"/>
          <w:szCs w:val="24"/>
        </w:rPr>
        <w:lastRenderedPageBreak/>
        <w:t>for improvement and strengthen clinical judgement (Schön, 1983). This reflection contributes to both individual learning and organisational performance.</w:t>
      </w:r>
    </w:p>
    <w:p w14:paraId="16A1D774" w14:textId="6739055C" w:rsidR="004035BA" w:rsidRPr="000334E5" w:rsidRDefault="00194673" w:rsidP="00194673">
      <w:pPr>
        <w:pStyle w:val="Heading2"/>
        <w:rPr>
          <w:rFonts w:ascii="Calibri" w:hAnsi="Calibri" w:cs="Calibri"/>
        </w:rPr>
      </w:pPr>
      <w:r w:rsidRPr="000334E5">
        <w:rPr>
          <w:rFonts w:ascii="Calibri" w:hAnsi="Calibri" w:cs="Calibri"/>
        </w:rPr>
        <w:t>2.4 Differences between Coaching and Mentoring</w:t>
      </w:r>
      <w:bookmarkEnd w:id="5"/>
    </w:p>
    <w:p w14:paraId="077E737F" w14:textId="21763E3D" w:rsidR="002B3141" w:rsidRDefault="00965003" w:rsidP="00B06051">
      <w:pPr>
        <w:spacing w:line="360" w:lineRule="auto"/>
        <w:rPr>
          <w:rFonts w:ascii="Calibri" w:hAnsi="Calibri" w:cs="Calibri"/>
          <w:sz w:val="24"/>
          <w:szCs w:val="24"/>
        </w:rPr>
      </w:pPr>
      <w:r>
        <w:rPr>
          <w:rFonts w:ascii="Calibri" w:hAnsi="Calibri" w:cs="Calibri"/>
          <w:sz w:val="24"/>
          <w:szCs w:val="24"/>
        </w:rPr>
        <w:t xml:space="preserve">While coaching and mentoring both </w:t>
      </w:r>
      <w:r w:rsidR="004B2C7A">
        <w:rPr>
          <w:rFonts w:ascii="Calibri" w:hAnsi="Calibri" w:cs="Calibri"/>
          <w:sz w:val="24"/>
          <w:szCs w:val="24"/>
        </w:rPr>
        <w:t xml:space="preserve">share common developmental </w:t>
      </w:r>
      <w:r w:rsidR="004B3144">
        <w:rPr>
          <w:rFonts w:ascii="Calibri" w:hAnsi="Calibri" w:cs="Calibri"/>
          <w:sz w:val="24"/>
          <w:szCs w:val="24"/>
        </w:rPr>
        <w:t xml:space="preserve">goals, however there are notable differences </w:t>
      </w:r>
      <w:r w:rsidR="00847396">
        <w:rPr>
          <w:rFonts w:ascii="Calibri" w:hAnsi="Calibri" w:cs="Calibri"/>
          <w:sz w:val="24"/>
          <w:szCs w:val="24"/>
        </w:rPr>
        <w:t>in terms of their focus, structure, and purpose.</w:t>
      </w:r>
      <w:r w:rsidR="00861F73">
        <w:rPr>
          <w:rFonts w:ascii="Calibri" w:hAnsi="Calibri" w:cs="Calibri"/>
          <w:sz w:val="24"/>
          <w:szCs w:val="24"/>
        </w:rPr>
        <w:t xml:space="preserve"> One key difference involves their primary objectives.</w:t>
      </w:r>
      <w:r w:rsidR="00847396">
        <w:rPr>
          <w:rFonts w:ascii="Calibri" w:hAnsi="Calibri" w:cs="Calibri"/>
          <w:sz w:val="24"/>
          <w:szCs w:val="24"/>
        </w:rPr>
        <w:t xml:space="preserve"> </w:t>
      </w:r>
      <w:r w:rsidR="00472124">
        <w:rPr>
          <w:rFonts w:ascii="Calibri" w:hAnsi="Calibri" w:cs="Calibri"/>
          <w:sz w:val="24"/>
          <w:szCs w:val="24"/>
        </w:rPr>
        <w:t xml:space="preserve">Coaching is typically performance focused </w:t>
      </w:r>
      <w:r w:rsidR="0096320F">
        <w:rPr>
          <w:rFonts w:ascii="Calibri" w:hAnsi="Calibri" w:cs="Calibri"/>
          <w:sz w:val="24"/>
          <w:szCs w:val="24"/>
        </w:rPr>
        <w:t xml:space="preserve">by targeting specific skills or behaviours </w:t>
      </w:r>
      <w:r w:rsidR="009074D0">
        <w:rPr>
          <w:rFonts w:ascii="Calibri" w:hAnsi="Calibri" w:cs="Calibri"/>
          <w:sz w:val="24"/>
          <w:szCs w:val="24"/>
        </w:rPr>
        <w:t xml:space="preserve">withing a defined timeframe (Passmore, 2015). In contrast, </w:t>
      </w:r>
      <w:r w:rsidR="008578C4">
        <w:rPr>
          <w:rFonts w:ascii="Calibri" w:hAnsi="Calibri" w:cs="Calibri"/>
          <w:sz w:val="24"/>
          <w:szCs w:val="24"/>
        </w:rPr>
        <w:t>mentoring focuses on</w:t>
      </w:r>
      <w:r w:rsidR="00642F76">
        <w:rPr>
          <w:rFonts w:ascii="Calibri" w:hAnsi="Calibri" w:cs="Calibri"/>
          <w:sz w:val="24"/>
          <w:szCs w:val="24"/>
        </w:rPr>
        <w:t xml:space="preserve"> professional progressions and</w:t>
      </w:r>
      <w:r w:rsidR="008578C4">
        <w:rPr>
          <w:rFonts w:ascii="Calibri" w:hAnsi="Calibri" w:cs="Calibri"/>
          <w:sz w:val="24"/>
          <w:szCs w:val="24"/>
        </w:rPr>
        <w:t xml:space="preserve"> long-term career development</w:t>
      </w:r>
      <w:r w:rsidR="00642F76">
        <w:rPr>
          <w:rFonts w:ascii="Calibri" w:hAnsi="Calibri" w:cs="Calibri"/>
          <w:sz w:val="24"/>
          <w:szCs w:val="24"/>
        </w:rPr>
        <w:t xml:space="preserve"> (</w:t>
      </w:r>
      <w:proofErr w:type="spellStart"/>
      <w:r w:rsidR="00642F76">
        <w:rPr>
          <w:rFonts w:ascii="Calibri" w:hAnsi="Calibri" w:cs="Calibri"/>
          <w:sz w:val="24"/>
          <w:szCs w:val="24"/>
        </w:rPr>
        <w:t>Clutterback</w:t>
      </w:r>
      <w:proofErr w:type="spellEnd"/>
      <w:r w:rsidR="00642F76">
        <w:rPr>
          <w:rFonts w:ascii="Calibri" w:hAnsi="Calibri" w:cs="Calibri"/>
          <w:sz w:val="24"/>
          <w:szCs w:val="24"/>
        </w:rPr>
        <w:t>, 2014).</w:t>
      </w:r>
    </w:p>
    <w:p w14:paraId="44443B98" w14:textId="77777777" w:rsidR="009C2B2C" w:rsidRDefault="009C2B2C">
      <w:pPr>
        <w:spacing w:line="360" w:lineRule="auto"/>
      </w:pPr>
      <w:r>
        <w:rPr>
          <w:rFonts w:ascii="Calibri" w:hAnsi="Calibri" w:cs="Calibri"/>
          <w:sz w:val="24"/>
          <w:szCs w:val="24"/>
        </w:rPr>
        <w:t xml:space="preserve">Another important difference relates to the nature of the developmental relationship. Coaching is usually non-directive, with the coach focusing on reflection and self-discovery rather than providing direct advice (Whitmore, 2017). In contrast, </w:t>
      </w:r>
      <w:proofErr w:type="spellStart"/>
      <w:r>
        <w:rPr>
          <w:rFonts w:ascii="Calibri" w:hAnsi="Calibri" w:cs="Calibri"/>
          <w:sz w:val="24"/>
          <w:szCs w:val="24"/>
        </w:rPr>
        <w:t>Hryshchenko</w:t>
      </w:r>
      <w:proofErr w:type="spellEnd"/>
      <w:r>
        <w:rPr>
          <w:rFonts w:ascii="Calibri" w:hAnsi="Calibri" w:cs="Calibri"/>
          <w:sz w:val="24"/>
          <w:szCs w:val="24"/>
        </w:rPr>
        <w:t xml:space="preserve"> </w:t>
      </w:r>
      <w:r>
        <w:rPr>
          <w:rFonts w:ascii="Calibri" w:hAnsi="Calibri" w:cs="Calibri"/>
          <w:i/>
          <w:iCs/>
          <w:sz w:val="24"/>
          <w:szCs w:val="24"/>
        </w:rPr>
        <w:t>et al.</w:t>
      </w:r>
      <w:r>
        <w:rPr>
          <w:rFonts w:ascii="Calibri" w:hAnsi="Calibri" w:cs="Calibri"/>
          <w:sz w:val="24"/>
          <w:szCs w:val="24"/>
        </w:rPr>
        <w:t xml:space="preserve"> (2025) state that mentoring often involves the mentor sharing experience and offering guidance based on professional and organisational knowledge. This reflects the mentor’s role as an experienced adviser, whereas the coach primarily facilitates learning.</w:t>
      </w:r>
    </w:p>
    <w:p w14:paraId="5B1D0E1C" w14:textId="230AB2FE" w:rsidR="005166A9" w:rsidRDefault="00AB1CE2" w:rsidP="00B06051">
      <w:pPr>
        <w:spacing w:line="360" w:lineRule="auto"/>
        <w:rPr>
          <w:rFonts w:ascii="Calibri" w:hAnsi="Calibri" w:cs="Calibri"/>
          <w:sz w:val="24"/>
          <w:szCs w:val="24"/>
        </w:rPr>
      </w:pPr>
      <w:r>
        <w:rPr>
          <w:rFonts w:ascii="Calibri" w:hAnsi="Calibri" w:cs="Calibri"/>
          <w:sz w:val="24"/>
          <w:szCs w:val="24"/>
        </w:rPr>
        <w:t>The structure</w:t>
      </w:r>
      <w:r w:rsidR="00FE0F44">
        <w:rPr>
          <w:rFonts w:ascii="Calibri" w:hAnsi="Calibri" w:cs="Calibri"/>
          <w:sz w:val="24"/>
          <w:szCs w:val="24"/>
        </w:rPr>
        <w:t xml:space="preserve"> and duration</w:t>
      </w:r>
      <w:r>
        <w:rPr>
          <w:rFonts w:ascii="Calibri" w:hAnsi="Calibri" w:cs="Calibri"/>
          <w:sz w:val="24"/>
          <w:szCs w:val="24"/>
        </w:rPr>
        <w:t xml:space="preserve"> of coaching and mentoring relationships also differ. </w:t>
      </w:r>
      <w:r w:rsidR="002076DC">
        <w:rPr>
          <w:rFonts w:ascii="Calibri" w:hAnsi="Calibri" w:cs="Calibri"/>
          <w:sz w:val="24"/>
          <w:szCs w:val="24"/>
        </w:rPr>
        <w:t xml:space="preserve">Coaching is usually short-term and structured around specific goals, </w:t>
      </w:r>
      <w:r w:rsidR="00444186">
        <w:rPr>
          <w:rFonts w:ascii="Calibri" w:hAnsi="Calibri" w:cs="Calibri"/>
          <w:sz w:val="24"/>
          <w:szCs w:val="24"/>
        </w:rPr>
        <w:t>while mentoring relationships are longer-term and less formally structured</w:t>
      </w:r>
      <w:r w:rsidR="00DB0468">
        <w:rPr>
          <w:rFonts w:ascii="Calibri" w:hAnsi="Calibri" w:cs="Calibri"/>
          <w:sz w:val="24"/>
          <w:szCs w:val="24"/>
        </w:rPr>
        <w:t xml:space="preserve"> (Garvey </w:t>
      </w:r>
      <w:r w:rsidR="00DB0468">
        <w:rPr>
          <w:rFonts w:ascii="Calibri" w:hAnsi="Calibri" w:cs="Calibri"/>
          <w:i/>
          <w:iCs/>
          <w:sz w:val="24"/>
          <w:szCs w:val="24"/>
        </w:rPr>
        <w:t>et al.</w:t>
      </w:r>
      <w:r w:rsidR="00DB0468">
        <w:rPr>
          <w:rFonts w:ascii="Calibri" w:hAnsi="Calibri" w:cs="Calibri"/>
          <w:sz w:val="24"/>
          <w:szCs w:val="24"/>
        </w:rPr>
        <w:t xml:space="preserve">, 2018). In an NHS surgical ward, coaching </w:t>
      </w:r>
      <w:r w:rsidR="007F2E37">
        <w:rPr>
          <w:rFonts w:ascii="Calibri" w:hAnsi="Calibri" w:cs="Calibri"/>
          <w:sz w:val="24"/>
          <w:szCs w:val="24"/>
        </w:rPr>
        <w:t>can be used to improve specific clinical skills</w:t>
      </w:r>
      <w:r w:rsidR="005D4A26">
        <w:rPr>
          <w:rFonts w:ascii="Calibri" w:hAnsi="Calibri" w:cs="Calibri"/>
          <w:sz w:val="24"/>
          <w:szCs w:val="24"/>
        </w:rPr>
        <w:t xml:space="preserve"> like patient handover communication, while mentoring </w:t>
      </w:r>
      <w:r w:rsidR="00224D5F">
        <w:rPr>
          <w:rFonts w:ascii="Calibri" w:hAnsi="Calibri" w:cs="Calibri"/>
          <w:sz w:val="24"/>
          <w:szCs w:val="24"/>
        </w:rPr>
        <w:t xml:space="preserve">supports broader career development for nurses. </w:t>
      </w:r>
    </w:p>
    <w:p w14:paraId="1ACB5593" w14:textId="6A8BD615" w:rsidR="009067E9" w:rsidRDefault="009067E9" w:rsidP="00B06051">
      <w:pPr>
        <w:spacing w:line="360" w:lineRule="auto"/>
        <w:rPr>
          <w:rFonts w:ascii="Calibri" w:hAnsi="Calibri" w:cs="Calibri"/>
          <w:sz w:val="24"/>
          <w:szCs w:val="24"/>
        </w:rPr>
      </w:pPr>
      <w:r>
        <w:rPr>
          <w:rFonts w:ascii="Calibri" w:hAnsi="Calibri" w:cs="Calibri"/>
          <w:sz w:val="24"/>
          <w:szCs w:val="24"/>
        </w:rPr>
        <w:t>Additionally, coaching focuses on reflection and growth without needing technical e</w:t>
      </w:r>
      <w:r w:rsidR="00806A2E">
        <w:rPr>
          <w:rFonts w:ascii="Calibri" w:hAnsi="Calibri" w:cs="Calibri"/>
          <w:sz w:val="24"/>
          <w:szCs w:val="24"/>
        </w:rPr>
        <w:t xml:space="preserve">xpertise in the </w:t>
      </w:r>
      <w:r w:rsidR="00B44DEF">
        <w:rPr>
          <w:rFonts w:ascii="Calibri" w:hAnsi="Calibri" w:cs="Calibri"/>
          <w:sz w:val="24"/>
          <w:szCs w:val="24"/>
        </w:rPr>
        <w:t>coach’s</w:t>
      </w:r>
      <w:r w:rsidR="00806A2E">
        <w:rPr>
          <w:rFonts w:ascii="Calibri" w:hAnsi="Calibri" w:cs="Calibri"/>
          <w:sz w:val="24"/>
          <w:szCs w:val="24"/>
        </w:rPr>
        <w:t xml:space="preserve"> specific role (Grant, 2014). </w:t>
      </w:r>
      <w:r w:rsidR="00B44DEF">
        <w:rPr>
          <w:rFonts w:ascii="Calibri" w:hAnsi="Calibri" w:cs="Calibri"/>
          <w:sz w:val="24"/>
          <w:szCs w:val="24"/>
        </w:rPr>
        <w:t xml:space="preserve">Mentoring typically involves a more experienced professional </w:t>
      </w:r>
      <w:r w:rsidR="00084E8F">
        <w:rPr>
          <w:rFonts w:ascii="Calibri" w:hAnsi="Calibri" w:cs="Calibri"/>
          <w:sz w:val="24"/>
          <w:szCs w:val="24"/>
        </w:rPr>
        <w:t>providing guidance based on their organisation</w:t>
      </w:r>
      <w:r w:rsidR="000E0A1C">
        <w:rPr>
          <w:rFonts w:ascii="Calibri" w:hAnsi="Calibri" w:cs="Calibri"/>
          <w:sz w:val="24"/>
          <w:szCs w:val="24"/>
        </w:rPr>
        <w:t>al</w:t>
      </w:r>
      <w:r w:rsidR="00084E8F">
        <w:rPr>
          <w:rFonts w:ascii="Calibri" w:hAnsi="Calibri" w:cs="Calibri"/>
          <w:sz w:val="24"/>
          <w:szCs w:val="24"/>
        </w:rPr>
        <w:t xml:space="preserve"> knowledge and expertise</w:t>
      </w:r>
      <w:r w:rsidR="000E0A1C">
        <w:rPr>
          <w:rFonts w:ascii="Calibri" w:hAnsi="Calibri" w:cs="Calibri"/>
          <w:sz w:val="24"/>
          <w:szCs w:val="24"/>
        </w:rPr>
        <w:t xml:space="preserve"> (</w:t>
      </w:r>
      <w:proofErr w:type="spellStart"/>
      <w:r w:rsidR="000E0A1C">
        <w:rPr>
          <w:rFonts w:ascii="Calibri" w:hAnsi="Calibri" w:cs="Calibri"/>
          <w:sz w:val="24"/>
          <w:szCs w:val="24"/>
        </w:rPr>
        <w:t>Clutterback</w:t>
      </w:r>
      <w:proofErr w:type="spellEnd"/>
      <w:r w:rsidR="000E0A1C">
        <w:rPr>
          <w:rFonts w:ascii="Calibri" w:hAnsi="Calibri" w:cs="Calibri"/>
          <w:sz w:val="24"/>
          <w:szCs w:val="24"/>
        </w:rPr>
        <w:t xml:space="preserve">, 2014). </w:t>
      </w:r>
    </w:p>
    <w:p w14:paraId="4D80FFDB" w14:textId="3A044A53" w:rsidR="002A3800" w:rsidRPr="00C34ACA" w:rsidRDefault="002A3800" w:rsidP="002A3800">
      <w:pPr>
        <w:pStyle w:val="Heading2"/>
        <w:rPr>
          <w:rFonts w:ascii="Calibri" w:hAnsi="Calibri" w:cs="Calibri"/>
        </w:rPr>
      </w:pPr>
      <w:bookmarkStart w:id="6" w:name="_Toc224731594"/>
      <w:r w:rsidRPr="00C34ACA">
        <w:rPr>
          <w:rFonts w:ascii="Calibri" w:hAnsi="Calibri" w:cs="Calibri"/>
        </w:rPr>
        <w:t xml:space="preserve">2.5 </w:t>
      </w:r>
      <w:r w:rsidR="00734239" w:rsidRPr="00C34ACA">
        <w:rPr>
          <w:rFonts w:ascii="Calibri" w:hAnsi="Calibri" w:cs="Calibri"/>
        </w:rPr>
        <w:t>Application Within a Surgical Ward Context</w:t>
      </w:r>
      <w:bookmarkEnd w:id="6"/>
    </w:p>
    <w:p w14:paraId="6712114D" w14:textId="2A644D0F" w:rsidR="00C34ACA" w:rsidRDefault="00EC1676" w:rsidP="00C90936">
      <w:pPr>
        <w:spacing w:line="360" w:lineRule="auto"/>
        <w:rPr>
          <w:rFonts w:ascii="Calibri" w:hAnsi="Calibri" w:cs="Calibri"/>
          <w:sz w:val="24"/>
        </w:rPr>
      </w:pPr>
      <w:r w:rsidRPr="00340C95">
        <w:rPr>
          <w:rFonts w:ascii="Calibri" w:hAnsi="Calibri" w:cs="Calibri"/>
          <w:sz w:val="24"/>
        </w:rPr>
        <w:t xml:space="preserve">In practice, </w:t>
      </w:r>
      <w:r w:rsidR="00340C95">
        <w:rPr>
          <w:rFonts w:ascii="Calibri" w:hAnsi="Calibri" w:cs="Calibri"/>
          <w:sz w:val="24"/>
        </w:rPr>
        <w:t>c</w:t>
      </w:r>
      <w:r w:rsidRPr="00340C95">
        <w:rPr>
          <w:rFonts w:ascii="Calibri" w:hAnsi="Calibri" w:cs="Calibri"/>
          <w:sz w:val="24"/>
        </w:rPr>
        <w:t xml:space="preserve">oaching and mentoring </w:t>
      </w:r>
      <w:r w:rsidR="00340C95">
        <w:rPr>
          <w:rFonts w:ascii="Calibri" w:hAnsi="Calibri" w:cs="Calibri"/>
          <w:sz w:val="24"/>
        </w:rPr>
        <w:t>both benefit healthcare organisations like the NHS</w:t>
      </w:r>
      <w:r w:rsidR="00D647AE">
        <w:rPr>
          <w:rFonts w:ascii="Calibri" w:hAnsi="Calibri" w:cs="Calibri"/>
          <w:sz w:val="24"/>
        </w:rPr>
        <w:t>. Coaching is particularly valuable for improving specific performance outcomes</w:t>
      </w:r>
      <w:r w:rsidR="001C2C2F">
        <w:rPr>
          <w:rFonts w:ascii="Calibri" w:hAnsi="Calibri" w:cs="Calibri"/>
          <w:sz w:val="24"/>
        </w:rPr>
        <w:t xml:space="preserve">, like improving communication, enhancing clinical skills, and supporting leadership development. </w:t>
      </w:r>
      <w:r w:rsidR="001C2C2F">
        <w:rPr>
          <w:rFonts w:ascii="Calibri" w:hAnsi="Calibri" w:cs="Calibri"/>
          <w:sz w:val="24"/>
        </w:rPr>
        <w:lastRenderedPageBreak/>
        <w:t xml:space="preserve">For example, a ward manager may use </w:t>
      </w:r>
      <w:r w:rsidR="00C90936">
        <w:rPr>
          <w:rFonts w:ascii="Calibri" w:hAnsi="Calibri" w:cs="Calibri"/>
          <w:sz w:val="24"/>
        </w:rPr>
        <w:t xml:space="preserve">coaching techniques to help staff improve time management and prioritisation in high-pressure situations. </w:t>
      </w:r>
    </w:p>
    <w:p w14:paraId="4E458BA0" w14:textId="77777777" w:rsidR="0082638F" w:rsidRDefault="00A7332D" w:rsidP="0082638F">
      <w:pPr>
        <w:spacing w:line="360" w:lineRule="auto"/>
        <w:rPr>
          <w:rFonts w:ascii="Calibri" w:hAnsi="Calibri" w:cs="Calibri"/>
          <w:sz w:val="24"/>
        </w:rPr>
      </w:pPr>
      <w:r>
        <w:rPr>
          <w:rFonts w:ascii="Calibri" w:hAnsi="Calibri" w:cs="Calibri"/>
          <w:sz w:val="24"/>
        </w:rPr>
        <w:t>Mentoring is especially valuable for support</w:t>
      </w:r>
      <w:r w:rsidR="00054FA3">
        <w:rPr>
          <w:rFonts w:ascii="Calibri" w:hAnsi="Calibri" w:cs="Calibri"/>
          <w:sz w:val="24"/>
        </w:rPr>
        <w:t xml:space="preserve">ing </w:t>
      </w:r>
      <w:r>
        <w:rPr>
          <w:rFonts w:ascii="Calibri" w:hAnsi="Calibri" w:cs="Calibri"/>
          <w:sz w:val="24"/>
        </w:rPr>
        <w:t>career development and pro</w:t>
      </w:r>
      <w:r w:rsidR="00355F05">
        <w:rPr>
          <w:rFonts w:ascii="Calibri" w:hAnsi="Calibri" w:cs="Calibri"/>
          <w:sz w:val="24"/>
        </w:rPr>
        <w:t>fessional identity</w:t>
      </w:r>
      <w:r w:rsidR="00054FA3">
        <w:rPr>
          <w:rFonts w:ascii="Calibri" w:hAnsi="Calibri" w:cs="Calibri"/>
          <w:sz w:val="24"/>
        </w:rPr>
        <w:t>. Newly qualified nurses often benefit from mentoring relationships that provide</w:t>
      </w:r>
      <w:r w:rsidR="002E4311">
        <w:rPr>
          <w:rFonts w:ascii="Calibri" w:hAnsi="Calibri" w:cs="Calibri"/>
          <w:sz w:val="24"/>
        </w:rPr>
        <w:t xml:space="preserve"> professional guidance, emotional support, and organisational insight</w:t>
      </w:r>
      <w:r w:rsidR="007F2905">
        <w:rPr>
          <w:rFonts w:ascii="Calibri" w:hAnsi="Calibri" w:cs="Calibri"/>
          <w:sz w:val="24"/>
        </w:rPr>
        <w:t xml:space="preserve">. This support is essential in reducing staff turnover, which remains a significant challenge within the NHS (Welsh Government, 2023). </w:t>
      </w:r>
    </w:p>
    <w:p w14:paraId="6E4354BD" w14:textId="4077ACFB" w:rsidR="0082638F" w:rsidRPr="0082638F" w:rsidRDefault="0082638F" w:rsidP="0082638F">
      <w:pPr>
        <w:spacing w:line="360" w:lineRule="auto"/>
        <w:rPr>
          <w:rFonts w:ascii="Calibri" w:hAnsi="Calibri" w:cs="Calibri"/>
          <w:sz w:val="24"/>
        </w:rPr>
      </w:pPr>
      <w:r>
        <w:rPr>
          <w:rFonts w:ascii="Calibri" w:hAnsi="Calibri" w:cs="Calibri"/>
          <w:sz w:val="24"/>
        </w:rPr>
        <w:t xml:space="preserve">However, the difference between coaching and mentoring is not always clearly understood in practice. Garvey </w:t>
      </w:r>
      <w:r>
        <w:rPr>
          <w:rFonts w:ascii="Calibri" w:hAnsi="Calibri" w:cs="Calibri"/>
          <w:i/>
          <w:iCs/>
          <w:sz w:val="24"/>
        </w:rPr>
        <w:t xml:space="preserve">et al. </w:t>
      </w:r>
      <w:r>
        <w:rPr>
          <w:rFonts w:ascii="Calibri" w:hAnsi="Calibri" w:cs="Calibri"/>
          <w:sz w:val="24"/>
        </w:rPr>
        <w:t xml:space="preserve">(2018), </w:t>
      </w:r>
      <w:r w:rsidR="00742583">
        <w:rPr>
          <w:rFonts w:ascii="Calibri" w:hAnsi="Calibri" w:cs="Calibri"/>
          <w:sz w:val="24"/>
        </w:rPr>
        <w:t xml:space="preserve">argues that the boundaries between coaching and mentoring can cause confusion </w:t>
      </w:r>
      <w:r w:rsidR="00325E52">
        <w:rPr>
          <w:rFonts w:ascii="Calibri" w:hAnsi="Calibri" w:cs="Calibri"/>
          <w:sz w:val="24"/>
        </w:rPr>
        <w:t xml:space="preserve">regarding roles and expectations, reducing the effectiveness of </w:t>
      </w:r>
      <w:r w:rsidR="008D6F7D">
        <w:rPr>
          <w:rFonts w:ascii="Calibri" w:hAnsi="Calibri" w:cs="Calibri"/>
          <w:sz w:val="24"/>
        </w:rPr>
        <w:t xml:space="preserve">developmental interventions if inappropriate methods are used. </w:t>
      </w:r>
    </w:p>
    <w:p w14:paraId="4C1335C3" w14:textId="106AFB6B" w:rsidR="00965003" w:rsidRDefault="006253D8" w:rsidP="006253D8">
      <w:pPr>
        <w:pStyle w:val="Heading2"/>
        <w:rPr>
          <w:rFonts w:ascii="Calibri" w:hAnsi="Calibri" w:cs="Calibri"/>
        </w:rPr>
      </w:pPr>
      <w:bookmarkStart w:id="7" w:name="_Toc224731595"/>
      <w:r w:rsidRPr="006253D8">
        <w:rPr>
          <w:rFonts w:ascii="Calibri" w:hAnsi="Calibri" w:cs="Calibri"/>
        </w:rPr>
        <w:t>2.6 Critical Discussion</w:t>
      </w:r>
      <w:bookmarkEnd w:id="7"/>
    </w:p>
    <w:p w14:paraId="78AE3CE7" w14:textId="62ED1D81" w:rsidR="00A9097B" w:rsidRDefault="00724B0F" w:rsidP="00EA32DD">
      <w:pPr>
        <w:spacing w:line="360" w:lineRule="auto"/>
        <w:rPr>
          <w:rFonts w:ascii="Calibri" w:hAnsi="Calibri" w:cs="Calibri"/>
          <w:sz w:val="24"/>
          <w:szCs w:val="24"/>
        </w:rPr>
      </w:pPr>
      <w:r>
        <w:rPr>
          <w:rFonts w:ascii="Calibri" w:hAnsi="Calibri" w:cs="Calibri"/>
          <w:sz w:val="24"/>
          <w:szCs w:val="24"/>
        </w:rPr>
        <w:t>Research indicates that coaching and mentoring</w:t>
      </w:r>
      <w:r w:rsidR="00976364">
        <w:rPr>
          <w:rFonts w:ascii="Calibri" w:hAnsi="Calibri" w:cs="Calibri"/>
          <w:sz w:val="24"/>
          <w:szCs w:val="24"/>
        </w:rPr>
        <w:t xml:space="preserve"> </w:t>
      </w:r>
      <w:r w:rsidR="00FE5273">
        <w:rPr>
          <w:rFonts w:ascii="Calibri" w:hAnsi="Calibri" w:cs="Calibri"/>
          <w:sz w:val="24"/>
          <w:szCs w:val="24"/>
        </w:rPr>
        <w:t xml:space="preserve">are </w:t>
      </w:r>
      <w:r w:rsidR="00A9097B">
        <w:rPr>
          <w:rFonts w:ascii="Calibri" w:hAnsi="Calibri" w:cs="Calibri"/>
          <w:sz w:val="24"/>
          <w:szCs w:val="24"/>
        </w:rPr>
        <w:t xml:space="preserve">recognised as </w:t>
      </w:r>
      <w:r w:rsidR="00FE5273">
        <w:rPr>
          <w:rFonts w:ascii="Calibri" w:hAnsi="Calibri" w:cs="Calibri"/>
          <w:sz w:val="24"/>
          <w:szCs w:val="24"/>
        </w:rPr>
        <w:t>dis</w:t>
      </w:r>
      <w:r w:rsidR="00BD5082">
        <w:rPr>
          <w:rFonts w:ascii="Calibri" w:hAnsi="Calibri" w:cs="Calibri"/>
          <w:sz w:val="24"/>
          <w:szCs w:val="24"/>
        </w:rPr>
        <w:t xml:space="preserve">tinct </w:t>
      </w:r>
      <w:r w:rsidR="00BB7452">
        <w:rPr>
          <w:rFonts w:ascii="Calibri" w:hAnsi="Calibri" w:cs="Calibri"/>
          <w:sz w:val="24"/>
          <w:szCs w:val="24"/>
        </w:rPr>
        <w:t xml:space="preserve">but complementary </w:t>
      </w:r>
      <w:r w:rsidR="00BD5082">
        <w:rPr>
          <w:rFonts w:ascii="Calibri" w:hAnsi="Calibri" w:cs="Calibri"/>
          <w:sz w:val="24"/>
          <w:szCs w:val="24"/>
        </w:rPr>
        <w:t>interventions, both contribut</w:t>
      </w:r>
      <w:r w:rsidR="00BB7452">
        <w:rPr>
          <w:rFonts w:ascii="Calibri" w:hAnsi="Calibri" w:cs="Calibri"/>
          <w:sz w:val="24"/>
          <w:szCs w:val="24"/>
        </w:rPr>
        <w:t>ing</w:t>
      </w:r>
      <w:r w:rsidR="00BD5082">
        <w:rPr>
          <w:rFonts w:ascii="Calibri" w:hAnsi="Calibri" w:cs="Calibri"/>
          <w:sz w:val="24"/>
          <w:szCs w:val="24"/>
        </w:rPr>
        <w:t xml:space="preserve"> significantly to </w:t>
      </w:r>
      <w:r w:rsidR="00BB7452">
        <w:rPr>
          <w:rFonts w:ascii="Calibri" w:hAnsi="Calibri" w:cs="Calibri"/>
          <w:sz w:val="24"/>
          <w:szCs w:val="24"/>
        </w:rPr>
        <w:t xml:space="preserve">individual and </w:t>
      </w:r>
      <w:r w:rsidR="00BD5082">
        <w:rPr>
          <w:rFonts w:ascii="Calibri" w:hAnsi="Calibri" w:cs="Calibri"/>
          <w:sz w:val="24"/>
          <w:szCs w:val="24"/>
        </w:rPr>
        <w:t xml:space="preserve">organisational effectiveness. Coaching </w:t>
      </w:r>
      <w:r w:rsidR="00BB7452">
        <w:rPr>
          <w:rFonts w:ascii="Calibri" w:hAnsi="Calibri" w:cs="Calibri"/>
          <w:sz w:val="24"/>
          <w:szCs w:val="24"/>
        </w:rPr>
        <w:t xml:space="preserve">primarily focuses on </w:t>
      </w:r>
      <w:r w:rsidR="00BD5082">
        <w:rPr>
          <w:rFonts w:ascii="Calibri" w:hAnsi="Calibri" w:cs="Calibri"/>
          <w:sz w:val="24"/>
          <w:szCs w:val="24"/>
        </w:rPr>
        <w:t>enhanc</w:t>
      </w:r>
      <w:r w:rsidR="00EB0061">
        <w:rPr>
          <w:rFonts w:ascii="Calibri" w:hAnsi="Calibri" w:cs="Calibri"/>
          <w:sz w:val="24"/>
          <w:szCs w:val="24"/>
        </w:rPr>
        <w:t>ing</w:t>
      </w:r>
      <w:r w:rsidR="00BD5082">
        <w:rPr>
          <w:rFonts w:ascii="Calibri" w:hAnsi="Calibri" w:cs="Calibri"/>
          <w:sz w:val="24"/>
          <w:szCs w:val="24"/>
        </w:rPr>
        <w:t xml:space="preserve"> performance, </w:t>
      </w:r>
      <w:r w:rsidR="003660C0">
        <w:rPr>
          <w:rFonts w:ascii="Calibri" w:hAnsi="Calibri" w:cs="Calibri"/>
          <w:sz w:val="24"/>
          <w:szCs w:val="24"/>
        </w:rPr>
        <w:t xml:space="preserve">self-awareness, and improves </w:t>
      </w:r>
      <w:r w:rsidR="00BD5082">
        <w:rPr>
          <w:rFonts w:ascii="Calibri" w:hAnsi="Calibri" w:cs="Calibri"/>
          <w:sz w:val="24"/>
          <w:szCs w:val="24"/>
        </w:rPr>
        <w:t>problem solving</w:t>
      </w:r>
      <w:r w:rsidR="00EB0061">
        <w:rPr>
          <w:rFonts w:ascii="Calibri" w:hAnsi="Calibri" w:cs="Calibri"/>
          <w:sz w:val="24"/>
          <w:szCs w:val="24"/>
        </w:rPr>
        <w:t xml:space="preserve"> through self-directed learning and reflective practice</w:t>
      </w:r>
      <w:r w:rsidR="00195089">
        <w:rPr>
          <w:rFonts w:ascii="Calibri" w:hAnsi="Calibri" w:cs="Calibri"/>
          <w:sz w:val="24"/>
          <w:szCs w:val="24"/>
        </w:rPr>
        <w:t xml:space="preserve"> (Grant, 2014). Within the NHS surgical wards, coaching can </w:t>
      </w:r>
      <w:r w:rsidR="00324EA3">
        <w:rPr>
          <w:rFonts w:ascii="Calibri" w:hAnsi="Calibri" w:cs="Calibri"/>
          <w:sz w:val="24"/>
          <w:szCs w:val="24"/>
        </w:rPr>
        <w:t xml:space="preserve">be effective in supporting experienced health care professionals to </w:t>
      </w:r>
      <w:r w:rsidR="00D86271">
        <w:rPr>
          <w:rFonts w:ascii="Calibri" w:hAnsi="Calibri" w:cs="Calibri"/>
          <w:sz w:val="24"/>
          <w:szCs w:val="24"/>
        </w:rPr>
        <w:t xml:space="preserve">develop leadership capability, refine clinical decision making, and improve performance </w:t>
      </w:r>
      <w:r w:rsidR="00EC1540">
        <w:rPr>
          <w:rFonts w:ascii="Calibri" w:hAnsi="Calibri" w:cs="Calibri"/>
          <w:sz w:val="24"/>
          <w:szCs w:val="24"/>
        </w:rPr>
        <w:t>in high-pressure environments</w:t>
      </w:r>
      <w:r w:rsidR="008B2DBC">
        <w:rPr>
          <w:rFonts w:ascii="Calibri" w:hAnsi="Calibri" w:cs="Calibri"/>
          <w:sz w:val="24"/>
          <w:szCs w:val="24"/>
        </w:rPr>
        <w:t xml:space="preserve"> (Nash, 2025)</w:t>
      </w:r>
      <w:r w:rsidR="00EC1540">
        <w:rPr>
          <w:rFonts w:ascii="Calibri" w:hAnsi="Calibri" w:cs="Calibri"/>
          <w:sz w:val="24"/>
          <w:szCs w:val="24"/>
        </w:rPr>
        <w:t xml:space="preserve">. </w:t>
      </w:r>
      <w:r w:rsidR="00226CF5">
        <w:rPr>
          <w:rFonts w:ascii="Calibri" w:hAnsi="Calibri" w:cs="Calibri"/>
          <w:sz w:val="24"/>
          <w:szCs w:val="24"/>
        </w:rPr>
        <w:t xml:space="preserve"> </w:t>
      </w:r>
      <w:r w:rsidR="00A20EC6">
        <w:rPr>
          <w:rFonts w:ascii="Calibri" w:hAnsi="Calibri" w:cs="Calibri"/>
          <w:sz w:val="24"/>
          <w:szCs w:val="24"/>
        </w:rPr>
        <w:t xml:space="preserve">As </w:t>
      </w:r>
      <w:r w:rsidR="00897773">
        <w:rPr>
          <w:rFonts w:ascii="Calibri" w:hAnsi="Calibri" w:cs="Calibri"/>
          <w:sz w:val="24"/>
          <w:szCs w:val="24"/>
        </w:rPr>
        <w:t xml:space="preserve">argued by </w:t>
      </w:r>
      <w:r w:rsidR="00897773" w:rsidRPr="00897773">
        <w:rPr>
          <w:rFonts w:ascii="Calibri" w:hAnsi="Calibri" w:cs="Calibri"/>
          <w:sz w:val="24"/>
          <w:szCs w:val="24"/>
        </w:rPr>
        <w:t>Kruger &amp; Terblanche</w:t>
      </w:r>
      <w:r w:rsidR="00897773">
        <w:rPr>
          <w:rFonts w:ascii="Calibri" w:hAnsi="Calibri" w:cs="Calibri"/>
          <w:sz w:val="24"/>
          <w:szCs w:val="24"/>
        </w:rPr>
        <w:t xml:space="preserve"> (2024), the non-directive nature of coaching may limit </w:t>
      </w:r>
      <w:r w:rsidR="00270B19">
        <w:rPr>
          <w:rFonts w:ascii="Calibri" w:hAnsi="Calibri" w:cs="Calibri"/>
          <w:sz w:val="24"/>
          <w:szCs w:val="24"/>
        </w:rPr>
        <w:t>its effectiveness for newly qualifies nurses who would lack the confidence and experience require for independent reflection. Individuals w</w:t>
      </w:r>
      <w:r w:rsidR="003D1ED5">
        <w:rPr>
          <w:rFonts w:ascii="Calibri" w:hAnsi="Calibri" w:cs="Calibri"/>
          <w:sz w:val="24"/>
          <w:szCs w:val="24"/>
        </w:rPr>
        <w:t xml:space="preserve">ould benefit from more structure guidance rather than facilitation. </w:t>
      </w:r>
    </w:p>
    <w:p w14:paraId="060CFC09" w14:textId="0334E57F" w:rsidR="00E866BF" w:rsidRDefault="00E866BF" w:rsidP="00EA32DD">
      <w:pPr>
        <w:spacing w:line="360" w:lineRule="auto"/>
        <w:rPr>
          <w:rFonts w:ascii="Calibri" w:hAnsi="Calibri" w:cs="Calibri"/>
          <w:sz w:val="24"/>
          <w:szCs w:val="24"/>
        </w:rPr>
      </w:pPr>
      <w:r>
        <w:rPr>
          <w:rFonts w:ascii="Calibri" w:hAnsi="Calibri" w:cs="Calibri"/>
          <w:sz w:val="24"/>
          <w:szCs w:val="24"/>
        </w:rPr>
        <w:t xml:space="preserve">In contrast, mentoring provides wider developmental support by </w:t>
      </w:r>
      <w:r w:rsidR="0042106E">
        <w:rPr>
          <w:rFonts w:ascii="Calibri" w:hAnsi="Calibri" w:cs="Calibri"/>
          <w:sz w:val="24"/>
          <w:szCs w:val="24"/>
        </w:rPr>
        <w:t>encouraging knowledge trans</w:t>
      </w:r>
      <w:r w:rsidR="00242E61">
        <w:rPr>
          <w:rFonts w:ascii="Calibri" w:hAnsi="Calibri" w:cs="Calibri"/>
          <w:sz w:val="24"/>
          <w:szCs w:val="24"/>
        </w:rPr>
        <w:t>fe</w:t>
      </w:r>
      <w:r w:rsidR="0042106E">
        <w:rPr>
          <w:rFonts w:ascii="Calibri" w:hAnsi="Calibri" w:cs="Calibri"/>
          <w:sz w:val="24"/>
          <w:szCs w:val="24"/>
        </w:rPr>
        <w:t xml:space="preserve">r, </w:t>
      </w:r>
      <w:r w:rsidR="00242E61">
        <w:rPr>
          <w:rFonts w:ascii="Calibri" w:hAnsi="Calibri" w:cs="Calibri"/>
          <w:sz w:val="24"/>
          <w:szCs w:val="24"/>
        </w:rPr>
        <w:t xml:space="preserve">career progression, and professional socialisation </w:t>
      </w:r>
      <w:r w:rsidR="00C737F8" w:rsidRPr="00C737F8">
        <w:rPr>
          <w:rFonts w:ascii="Calibri" w:hAnsi="Calibri" w:cs="Calibri"/>
          <w:sz w:val="24"/>
          <w:szCs w:val="24"/>
        </w:rPr>
        <w:t>(</w:t>
      </w:r>
      <w:proofErr w:type="spellStart"/>
      <w:r w:rsidR="00C737F8" w:rsidRPr="00C737F8">
        <w:rPr>
          <w:rFonts w:ascii="Calibri" w:hAnsi="Calibri" w:cs="Calibri"/>
          <w:sz w:val="24"/>
          <w:szCs w:val="24"/>
        </w:rPr>
        <w:t>Hryshchenko</w:t>
      </w:r>
      <w:proofErr w:type="spellEnd"/>
      <w:r w:rsidR="00C737F8" w:rsidRPr="00C737F8">
        <w:rPr>
          <w:rFonts w:ascii="Calibri" w:hAnsi="Calibri" w:cs="Calibri"/>
          <w:sz w:val="24"/>
          <w:szCs w:val="24"/>
        </w:rPr>
        <w:t xml:space="preserve"> et al., 2025)</w:t>
      </w:r>
      <w:r w:rsidR="00C737F8">
        <w:rPr>
          <w:rFonts w:ascii="Calibri" w:hAnsi="Calibri" w:cs="Calibri"/>
          <w:sz w:val="24"/>
          <w:szCs w:val="24"/>
        </w:rPr>
        <w:t>.</w:t>
      </w:r>
      <w:r w:rsidR="00242E61">
        <w:rPr>
          <w:rFonts w:ascii="Calibri" w:hAnsi="Calibri" w:cs="Calibri"/>
          <w:sz w:val="24"/>
          <w:szCs w:val="24"/>
        </w:rPr>
        <w:t xml:space="preserve"> </w:t>
      </w:r>
      <w:r w:rsidR="00B11ACD">
        <w:rPr>
          <w:rFonts w:ascii="Calibri" w:hAnsi="Calibri" w:cs="Calibri"/>
          <w:sz w:val="24"/>
          <w:szCs w:val="24"/>
        </w:rPr>
        <w:t>Mentoring is valuable within the NHS</w:t>
      </w:r>
      <w:r w:rsidR="003177AB">
        <w:rPr>
          <w:rFonts w:ascii="Calibri" w:hAnsi="Calibri" w:cs="Calibri"/>
          <w:sz w:val="24"/>
          <w:szCs w:val="24"/>
        </w:rPr>
        <w:t xml:space="preserve">, where </w:t>
      </w:r>
      <w:r w:rsidR="002712BD">
        <w:rPr>
          <w:rFonts w:ascii="Calibri" w:hAnsi="Calibri" w:cs="Calibri"/>
          <w:sz w:val="24"/>
          <w:szCs w:val="24"/>
        </w:rPr>
        <w:t xml:space="preserve">newly qualified nurses </w:t>
      </w:r>
      <w:r w:rsidR="006B4450">
        <w:rPr>
          <w:rFonts w:ascii="Calibri" w:hAnsi="Calibri" w:cs="Calibri"/>
          <w:sz w:val="24"/>
          <w:szCs w:val="24"/>
        </w:rPr>
        <w:t xml:space="preserve">must quickly adapt to demanding clinical environments. </w:t>
      </w:r>
      <w:r w:rsidR="00A73E49">
        <w:rPr>
          <w:rFonts w:ascii="Calibri" w:hAnsi="Calibri" w:cs="Calibri"/>
          <w:sz w:val="24"/>
          <w:szCs w:val="24"/>
        </w:rPr>
        <w:t>Through mentoring relationships, nurses receive guidance, reassurance,</w:t>
      </w:r>
      <w:r w:rsidR="00552E88">
        <w:rPr>
          <w:rFonts w:ascii="Calibri" w:hAnsi="Calibri" w:cs="Calibri"/>
          <w:sz w:val="24"/>
          <w:szCs w:val="24"/>
        </w:rPr>
        <w:t xml:space="preserve"> and</w:t>
      </w:r>
      <w:r w:rsidR="00A73E49">
        <w:rPr>
          <w:rFonts w:ascii="Calibri" w:hAnsi="Calibri" w:cs="Calibri"/>
          <w:sz w:val="24"/>
          <w:szCs w:val="24"/>
        </w:rPr>
        <w:t xml:space="preserve"> organisational insight</w:t>
      </w:r>
      <w:r w:rsidR="00552E88">
        <w:rPr>
          <w:rFonts w:ascii="Calibri" w:hAnsi="Calibri" w:cs="Calibri"/>
          <w:sz w:val="24"/>
          <w:szCs w:val="24"/>
        </w:rPr>
        <w:t xml:space="preserve"> from experienced practitioners</w:t>
      </w:r>
      <w:r w:rsidR="0089005F">
        <w:rPr>
          <w:rFonts w:ascii="Calibri" w:hAnsi="Calibri" w:cs="Calibri"/>
          <w:sz w:val="24"/>
          <w:szCs w:val="24"/>
        </w:rPr>
        <w:t>, supporting mentees in developing confidence, competence and professional identity</w:t>
      </w:r>
      <w:r w:rsidR="00DA4BD7">
        <w:rPr>
          <w:rFonts w:ascii="Calibri" w:hAnsi="Calibri" w:cs="Calibri"/>
          <w:sz w:val="24"/>
          <w:szCs w:val="24"/>
        </w:rPr>
        <w:t xml:space="preserve"> (Silva, 2025)</w:t>
      </w:r>
      <w:r w:rsidR="0089005F">
        <w:rPr>
          <w:rFonts w:ascii="Calibri" w:hAnsi="Calibri" w:cs="Calibri"/>
          <w:sz w:val="24"/>
          <w:szCs w:val="24"/>
        </w:rPr>
        <w:t xml:space="preserve">. </w:t>
      </w:r>
      <w:r w:rsidR="00D26FA6">
        <w:rPr>
          <w:rFonts w:ascii="Calibri" w:hAnsi="Calibri" w:cs="Calibri"/>
          <w:sz w:val="24"/>
          <w:szCs w:val="24"/>
        </w:rPr>
        <w:t>This contributes to improved job satisfaction, staff retention, and workforce stability</w:t>
      </w:r>
      <w:r w:rsidR="007A4B25">
        <w:rPr>
          <w:rFonts w:ascii="Calibri" w:hAnsi="Calibri" w:cs="Calibri"/>
          <w:sz w:val="24"/>
          <w:szCs w:val="24"/>
        </w:rPr>
        <w:t xml:space="preserve">, </w:t>
      </w:r>
      <w:r w:rsidR="007A4B25">
        <w:rPr>
          <w:rFonts w:ascii="Calibri" w:hAnsi="Calibri" w:cs="Calibri"/>
          <w:sz w:val="24"/>
          <w:szCs w:val="24"/>
        </w:rPr>
        <w:lastRenderedPageBreak/>
        <w:t xml:space="preserve">all are critical organisational priorities within the NHS. </w:t>
      </w:r>
      <w:r w:rsidR="0040774D">
        <w:rPr>
          <w:rFonts w:ascii="Calibri" w:hAnsi="Calibri" w:cs="Calibri"/>
          <w:sz w:val="24"/>
          <w:szCs w:val="24"/>
        </w:rPr>
        <w:t xml:space="preserve">However, </w:t>
      </w:r>
      <w:r w:rsidR="00183B68">
        <w:rPr>
          <w:rFonts w:ascii="Calibri" w:hAnsi="Calibri" w:cs="Calibri"/>
          <w:sz w:val="24"/>
          <w:szCs w:val="24"/>
        </w:rPr>
        <w:t xml:space="preserve">as stated by Straus (2013) </w:t>
      </w:r>
      <w:r w:rsidR="0040774D">
        <w:rPr>
          <w:rFonts w:ascii="Calibri" w:hAnsi="Calibri" w:cs="Calibri"/>
          <w:sz w:val="24"/>
          <w:szCs w:val="24"/>
        </w:rPr>
        <w:t>mentoring also shows limitations, as</w:t>
      </w:r>
      <w:r w:rsidR="009921B4">
        <w:rPr>
          <w:rFonts w:ascii="Calibri" w:hAnsi="Calibri" w:cs="Calibri"/>
          <w:sz w:val="24"/>
          <w:szCs w:val="24"/>
        </w:rPr>
        <w:t xml:space="preserve"> mentees can become over reliant on their mentors which can restrict the development of independent decision-making and critical thinking skills.</w:t>
      </w:r>
      <w:r w:rsidR="00183B68">
        <w:rPr>
          <w:rFonts w:ascii="Calibri" w:hAnsi="Calibri" w:cs="Calibri"/>
          <w:sz w:val="24"/>
          <w:szCs w:val="24"/>
        </w:rPr>
        <w:t xml:space="preserve"> This may reduce the long-term effectiveness of ment</w:t>
      </w:r>
      <w:r w:rsidR="006D43B7">
        <w:rPr>
          <w:rFonts w:ascii="Calibri" w:hAnsi="Calibri" w:cs="Calibri"/>
          <w:sz w:val="24"/>
          <w:szCs w:val="24"/>
        </w:rPr>
        <w:t>oring if it is not balances with opportunities for individuals to show autonomy and reflective learning in practice.</w:t>
      </w:r>
    </w:p>
    <w:p w14:paraId="33C8316A" w14:textId="77777777" w:rsidR="00DF0226" w:rsidRDefault="00E077D1" w:rsidP="00C74ED9">
      <w:pPr>
        <w:spacing w:line="360" w:lineRule="auto"/>
        <w:rPr>
          <w:rFonts w:ascii="Calibri" w:hAnsi="Calibri" w:cs="Calibri"/>
          <w:sz w:val="24"/>
        </w:rPr>
      </w:pPr>
      <w:r>
        <w:rPr>
          <w:rFonts w:ascii="Calibri" w:hAnsi="Calibri" w:cs="Calibri"/>
          <w:sz w:val="24"/>
          <w:szCs w:val="24"/>
        </w:rPr>
        <w:t xml:space="preserve">Additionally, the effectiveness of coaching and mentoring is influenced by organisational and structural factors. </w:t>
      </w:r>
      <w:r w:rsidR="00F064F6">
        <w:rPr>
          <w:rFonts w:ascii="Calibri" w:hAnsi="Calibri" w:cs="Calibri"/>
          <w:sz w:val="24"/>
          <w:szCs w:val="24"/>
        </w:rPr>
        <w:t>Opportunities for strong developmental interactions</w:t>
      </w:r>
      <w:r w:rsidR="00ED6799">
        <w:rPr>
          <w:rFonts w:ascii="Calibri" w:hAnsi="Calibri" w:cs="Calibri"/>
          <w:sz w:val="24"/>
          <w:szCs w:val="24"/>
        </w:rPr>
        <w:t xml:space="preserve"> may be limited due to high workload demands, staff shortages, and time constraints within the NHS. </w:t>
      </w:r>
      <w:r w:rsidR="0066671B" w:rsidRPr="0023798D">
        <w:rPr>
          <w:rFonts w:ascii="Calibri" w:hAnsi="Calibri" w:cs="Calibri"/>
          <w:sz w:val="24"/>
          <w:szCs w:val="24"/>
        </w:rPr>
        <w:t>Halliday &amp; Dixon-Woods</w:t>
      </w:r>
      <w:r w:rsidR="0066671B">
        <w:rPr>
          <w:rFonts w:ascii="Calibri" w:hAnsi="Calibri" w:cs="Calibri"/>
          <w:sz w:val="24"/>
          <w:szCs w:val="24"/>
        </w:rPr>
        <w:t xml:space="preserve"> (</w:t>
      </w:r>
      <w:r w:rsidR="0066671B" w:rsidRPr="0023798D">
        <w:rPr>
          <w:rFonts w:ascii="Calibri" w:hAnsi="Calibri" w:cs="Calibri"/>
          <w:sz w:val="24"/>
          <w:szCs w:val="24"/>
        </w:rPr>
        <w:t>2024)</w:t>
      </w:r>
      <w:r w:rsidR="0066671B">
        <w:rPr>
          <w:rFonts w:ascii="Calibri" w:hAnsi="Calibri" w:cs="Calibri"/>
          <w:sz w:val="24"/>
          <w:szCs w:val="24"/>
        </w:rPr>
        <w:t xml:space="preserve"> agree that leadership development initiatives may be </w:t>
      </w:r>
      <w:r w:rsidR="00F66B12">
        <w:rPr>
          <w:rFonts w:ascii="Calibri" w:hAnsi="Calibri" w:cs="Calibri"/>
          <w:sz w:val="24"/>
          <w:szCs w:val="24"/>
        </w:rPr>
        <w:t>minimised in favour of immediate clinical respon</w:t>
      </w:r>
      <w:r w:rsidR="00327AEE">
        <w:rPr>
          <w:rFonts w:ascii="Calibri" w:hAnsi="Calibri" w:cs="Calibri"/>
          <w:sz w:val="24"/>
          <w:szCs w:val="24"/>
        </w:rPr>
        <w:t xml:space="preserve">sibilities, reducing the quality and consistency of coaching and mentoring relationships. </w:t>
      </w:r>
      <w:r w:rsidR="00C74ED9" w:rsidRPr="00C74ED9">
        <w:rPr>
          <w:rFonts w:ascii="Calibri" w:hAnsi="Calibri" w:cs="Calibri"/>
          <w:sz w:val="24"/>
        </w:rPr>
        <w:t xml:space="preserve">Garvey </w:t>
      </w:r>
      <w:r w:rsidR="00C74ED9" w:rsidRPr="00C74ED9">
        <w:rPr>
          <w:rFonts w:ascii="Calibri" w:hAnsi="Calibri" w:cs="Calibri"/>
          <w:i/>
          <w:iCs/>
          <w:sz w:val="24"/>
        </w:rPr>
        <w:t xml:space="preserve">et al. </w:t>
      </w:r>
      <w:r w:rsidR="00C74ED9" w:rsidRPr="00C74ED9">
        <w:rPr>
          <w:rFonts w:ascii="Calibri" w:hAnsi="Calibri" w:cs="Calibri"/>
          <w:sz w:val="24"/>
        </w:rPr>
        <w:t xml:space="preserve">(2018) </w:t>
      </w:r>
      <w:r w:rsidR="00327AEE">
        <w:rPr>
          <w:rFonts w:ascii="Calibri" w:hAnsi="Calibri" w:cs="Calibri"/>
          <w:sz w:val="24"/>
        </w:rPr>
        <w:t>also argue</w:t>
      </w:r>
      <w:r w:rsidR="00F5722B">
        <w:rPr>
          <w:rFonts w:ascii="Calibri" w:hAnsi="Calibri" w:cs="Calibri"/>
          <w:sz w:val="24"/>
        </w:rPr>
        <w:t xml:space="preserve"> that a lack of clear organisational understanding regarding the difference between coaching and mentoring may result in the incorrect application of these interventions. </w:t>
      </w:r>
      <w:r w:rsidR="00BA691B">
        <w:rPr>
          <w:rFonts w:ascii="Calibri" w:hAnsi="Calibri" w:cs="Calibri"/>
          <w:sz w:val="24"/>
        </w:rPr>
        <w:t xml:space="preserve">This vagueness between roles may reduce their effectiveness, as newly qualified nurses may not receive the appropriate </w:t>
      </w:r>
      <w:r w:rsidR="00F27D58">
        <w:rPr>
          <w:rFonts w:ascii="Calibri" w:hAnsi="Calibri" w:cs="Calibri"/>
          <w:sz w:val="24"/>
        </w:rPr>
        <w:t xml:space="preserve">type of support required for their level of experience or professional developmental needs. </w:t>
      </w:r>
    </w:p>
    <w:p w14:paraId="474FD9F1" w14:textId="69BB7796" w:rsidR="00327AEE" w:rsidRDefault="00DF0226" w:rsidP="00C74ED9">
      <w:pPr>
        <w:spacing w:line="360" w:lineRule="auto"/>
        <w:rPr>
          <w:rFonts w:ascii="Calibri" w:hAnsi="Calibri" w:cs="Calibri"/>
          <w:sz w:val="24"/>
          <w:szCs w:val="24"/>
        </w:rPr>
      </w:pPr>
      <w:r w:rsidRPr="00DF0226">
        <w:rPr>
          <w:rFonts w:ascii="Calibri" w:hAnsi="Calibri" w:cs="Calibri"/>
          <w:sz w:val="24"/>
          <w:szCs w:val="24"/>
        </w:rPr>
        <w:t>The Strategy Institute</w:t>
      </w:r>
      <w:r>
        <w:rPr>
          <w:rFonts w:ascii="Calibri" w:hAnsi="Calibri" w:cs="Calibri"/>
          <w:sz w:val="24"/>
          <w:szCs w:val="24"/>
        </w:rPr>
        <w:t xml:space="preserve"> </w:t>
      </w:r>
      <w:r w:rsidRPr="00DF0226">
        <w:rPr>
          <w:rFonts w:ascii="Calibri" w:hAnsi="Calibri" w:cs="Calibri"/>
          <w:sz w:val="24"/>
          <w:szCs w:val="24"/>
        </w:rPr>
        <w:t>(2025)</w:t>
      </w:r>
      <w:r>
        <w:rPr>
          <w:rFonts w:ascii="Calibri" w:hAnsi="Calibri" w:cs="Calibri"/>
          <w:sz w:val="24"/>
          <w:szCs w:val="24"/>
        </w:rPr>
        <w:t xml:space="preserve"> suggests that effective implementation requires organisational commitment, leadership support, and structured developmental frameworks. </w:t>
      </w:r>
      <w:r w:rsidR="0069046E">
        <w:rPr>
          <w:rFonts w:ascii="Calibri" w:hAnsi="Calibri" w:cs="Calibri"/>
          <w:sz w:val="24"/>
          <w:szCs w:val="24"/>
        </w:rPr>
        <w:t xml:space="preserve">Coaching and mentoring initiatives may fail to achieve their intended outcomes without clear objectives, </w:t>
      </w:r>
      <w:r w:rsidR="00E26E52">
        <w:rPr>
          <w:rFonts w:ascii="Calibri" w:hAnsi="Calibri" w:cs="Calibri"/>
          <w:sz w:val="24"/>
          <w:szCs w:val="24"/>
        </w:rPr>
        <w:t xml:space="preserve">trained coaches and mentors, and adequate time allocation. Therefore, healthcare leaders must ensure that coaching and mentoring are strategically integrated into workforce development programmes that are aligned with organisational </w:t>
      </w:r>
      <w:r w:rsidR="00423E88">
        <w:rPr>
          <w:rFonts w:ascii="Calibri" w:hAnsi="Calibri" w:cs="Calibri"/>
          <w:sz w:val="24"/>
          <w:szCs w:val="24"/>
        </w:rPr>
        <w:t>goals and</w:t>
      </w:r>
      <w:r w:rsidR="00E26E52">
        <w:rPr>
          <w:rFonts w:ascii="Calibri" w:hAnsi="Calibri" w:cs="Calibri"/>
          <w:sz w:val="24"/>
          <w:szCs w:val="24"/>
        </w:rPr>
        <w:t xml:space="preserve"> supported by a </w:t>
      </w:r>
      <w:r w:rsidR="00423E88">
        <w:rPr>
          <w:rFonts w:ascii="Calibri" w:hAnsi="Calibri" w:cs="Calibri"/>
          <w:sz w:val="24"/>
          <w:szCs w:val="24"/>
        </w:rPr>
        <w:t>culture that values continuous learning and professional development</w:t>
      </w:r>
      <w:r w:rsidR="005163BF">
        <w:rPr>
          <w:rFonts w:ascii="Calibri" w:hAnsi="Calibri" w:cs="Calibri"/>
          <w:sz w:val="24"/>
          <w:szCs w:val="24"/>
        </w:rPr>
        <w:t xml:space="preserve"> </w:t>
      </w:r>
      <w:r w:rsidR="005163BF" w:rsidRPr="005163BF">
        <w:rPr>
          <w:rFonts w:ascii="Calibri" w:hAnsi="Calibri" w:cs="Calibri"/>
          <w:sz w:val="24"/>
          <w:szCs w:val="24"/>
        </w:rPr>
        <w:t>(</w:t>
      </w:r>
      <w:proofErr w:type="spellStart"/>
      <w:r w:rsidR="005163BF" w:rsidRPr="005163BF">
        <w:rPr>
          <w:rFonts w:ascii="Calibri" w:hAnsi="Calibri" w:cs="Calibri"/>
          <w:sz w:val="24"/>
          <w:szCs w:val="24"/>
        </w:rPr>
        <w:t>Lysfjord</w:t>
      </w:r>
      <w:proofErr w:type="spellEnd"/>
      <w:r w:rsidR="005163BF" w:rsidRPr="005163BF">
        <w:rPr>
          <w:rFonts w:ascii="Calibri" w:hAnsi="Calibri" w:cs="Calibri"/>
          <w:sz w:val="24"/>
          <w:szCs w:val="24"/>
        </w:rPr>
        <w:t xml:space="preserve"> &amp; Skarstein, 2024)</w:t>
      </w:r>
      <w:r w:rsidR="00423E88">
        <w:rPr>
          <w:rFonts w:ascii="Calibri" w:hAnsi="Calibri" w:cs="Calibri"/>
          <w:sz w:val="24"/>
          <w:szCs w:val="24"/>
        </w:rPr>
        <w:t xml:space="preserve">. </w:t>
      </w:r>
    </w:p>
    <w:p w14:paraId="3FF3993B" w14:textId="6F107714" w:rsidR="00E166D7" w:rsidRPr="005163BF" w:rsidRDefault="00E166D7" w:rsidP="00C74ED9">
      <w:pPr>
        <w:spacing w:line="360" w:lineRule="auto"/>
        <w:rPr>
          <w:rFonts w:ascii="Calibri" w:hAnsi="Calibri" w:cs="Calibri"/>
          <w:sz w:val="24"/>
          <w:szCs w:val="24"/>
        </w:rPr>
      </w:pPr>
      <w:r w:rsidRPr="00E166D7">
        <w:rPr>
          <w:rFonts w:ascii="Calibri" w:hAnsi="Calibri" w:cs="Calibri"/>
          <w:sz w:val="24"/>
          <w:szCs w:val="24"/>
        </w:rPr>
        <w:t xml:space="preserve">A broader organisational analysis (see </w:t>
      </w:r>
      <w:hyperlink w:anchor="_Appendix_A" w:history="1">
        <w:r w:rsidRPr="002F3308">
          <w:rPr>
            <w:rStyle w:val="Hyperlink"/>
            <w:rFonts w:ascii="Calibri" w:hAnsi="Calibri" w:cs="Calibri"/>
            <w:sz w:val="24"/>
            <w:szCs w:val="24"/>
          </w:rPr>
          <w:t>Appendix A:</w:t>
        </w:r>
      </w:hyperlink>
      <w:r w:rsidRPr="00E166D7">
        <w:rPr>
          <w:rFonts w:ascii="Calibri" w:hAnsi="Calibri" w:cs="Calibri"/>
          <w:sz w:val="24"/>
          <w:szCs w:val="24"/>
        </w:rPr>
        <w:t xml:space="preserve"> PEST</w:t>
      </w:r>
      <w:r w:rsidR="005D02A8">
        <w:rPr>
          <w:rFonts w:ascii="Calibri" w:hAnsi="Calibri" w:cs="Calibri"/>
          <w:sz w:val="24"/>
          <w:szCs w:val="24"/>
        </w:rPr>
        <w:t xml:space="preserve"> and </w:t>
      </w:r>
      <w:hyperlink w:anchor="_Appendix_B" w:history="1">
        <w:r w:rsidRPr="002F3308">
          <w:rPr>
            <w:rStyle w:val="Hyperlink"/>
            <w:rFonts w:ascii="Calibri" w:hAnsi="Calibri" w:cs="Calibri"/>
            <w:sz w:val="24"/>
            <w:szCs w:val="24"/>
          </w:rPr>
          <w:t>Appendix B:</w:t>
        </w:r>
      </w:hyperlink>
      <w:r w:rsidRPr="00E166D7">
        <w:rPr>
          <w:rFonts w:ascii="Calibri" w:hAnsi="Calibri" w:cs="Calibri"/>
          <w:sz w:val="24"/>
          <w:szCs w:val="24"/>
        </w:rPr>
        <w:t xml:space="preserve"> SWOT) highlights the external and internal factors shaping the implementation of mentoring within NHS surgical wards.</w:t>
      </w:r>
    </w:p>
    <w:p w14:paraId="5BC67241" w14:textId="6027717C" w:rsidR="006253D8" w:rsidRPr="009533F8" w:rsidRDefault="00332D59" w:rsidP="00332D59">
      <w:pPr>
        <w:pStyle w:val="Heading1"/>
        <w:rPr>
          <w:rFonts w:ascii="Calibri" w:hAnsi="Calibri" w:cs="Calibri"/>
        </w:rPr>
      </w:pPr>
      <w:bookmarkStart w:id="8" w:name="_Toc224731596"/>
      <w:r w:rsidRPr="009533F8">
        <w:rPr>
          <w:rFonts w:ascii="Calibri" w:hAnsi="Calibri" w:cs="Calibri"/>
        </w:rPr>
        <w:lastRenderedPageBreak/>
        <w:t xml:space="preserve">3. Skills, </w:t>
      </w:r>
      <w:r w:rsidR="00182D0F">
        <w:rPr>
          <w:rFonts w:ascii="Calibri" w:hAnsi="Calibri" w:cs="Calibri"/>
        </w:rPr>
        <w:t xml:space="preserve">Behaviours, </w:t>
      </w:r>
      <w:r w:rsidRPr="009533F8">
        <w:rPr>
          <w:rFonts w:ascii="Calibri" w:hAnsi="Calibri" w:cs="Calibri"/>
        </w:rPr>
        <w:t>Attitudes and Be</w:t>
      </w:r>
      <w:r w:rsidR="000B2407">
        <w:rPr>
          <w:rFonts w:ascii="Calibri" w:hAnsi="Calibri" w:cs="Calibri"/>
        </w:rPr>
        <w:t>liefs</w:t>
      </w:r>
      <w:r w:rsidRPr="009533F8">
        <w:rPr>
          <w:rFonts w:ascii="Calibri" w:hAnsi="Calibri" w:cs="Calibri"/>
        </w:rPr>
        <w:t xml:space="preserve"> of an Effective Workplace </w:t>
      </w:r>
      <w:r w:rsidR="0063208E" w:rsidRPr="009533F8">
        <w:rPr>
          <w:rFonts w:ascii="Calibri" w:hAnsi="Calibri" w:cs="Calibri"/>
        </w:rPr>
        <w:t>Mentor</w:t>
      </w:r>
      <w:bookmarkEnd w:id="8"/>
    </w:p>
    <w:p w14:paraId="734700B9" w14:textId="03EBD4C9" w:rsidR="0063208E" w:rsidRPr="001151FC" w:rsidRDefault="001151FC" w:rsidP="007240EC">
      <w:pPr>
        <w:tabs>
          <w:tab w:val="left" w:pos="3698"/>
        </w:tabs>
        <w:spacing w:line="360" w:lineRule="auto"/>
        <w:rPr>
          <w:rFonts w:ascii="Calibri" w:hAnsi="Calibri" w:cs="Calibri"/>
          <w:sz w:val="24"/>
          <w:szCs w:val="24"/>
        </w:rPr>
      </w:pPr>
      <w:r>
        <w:rPr>
          <w:rFonts w:ascii="Calibri" w:hAnsi="Calibri" w:cs="Calibri"/>
          <w:sz w:val="24"/>
          <w:szCs w:val="24"/>
        </w:rPr>
        <w:t xml:space="preserve">Mentoring </w:t>
      </w:r>
      <w:r w:rsidR="00625DB8">
        <w:rPr>
          <w:rFonts w:ascii="Calibri" w:hAnsi="Calibri" w:cs="Calibri"/>
          <w:sz w:val="24"/>
          <w:szCs w:val="24"/>
        </w:rPr>
        <w:t>is a</w:t>
      </w:r>
      <w:r w:rsidR="00E93A6E">
        <w:rPr>
          <w:rFonts w:ascii="Calibri" w:hAnsi="Calibri" w:cs="Calibri"/>
          <w:sz w:val="24"/>
          <w:szCs w:val="24"/>
        </w:rPr>
        <w:t>n important developmental intervention within organisations</w:t>
      </w:r>
      <w:r w:rsidR="00BB3CA4">
        <w:rPr>
          <w:rFonts w:ascii="Calibri" w:hAnsi="Calibri" w:cs="Calibri"/>
          <w:sz w:val="24"/>
          <w:szCs w:val="24"/>
        </w:rPr>
        <w:t xml:space="preserve">, particularly in healthcare </w:t>
      </w:r>
      <w:r w:rsidR="004B63C1">
        <w:rPr>
          <w:rFonts w:ascii="Calibri" w:hAnsi="Calibri" w:cs="Calibri"/>
          <w:sz w:val="24"/>
          <w:szCs w:val="24"/>
        </w:rPr>
        <w:t xml:space="preserve">settings where clinical competence, experiential knowledge, and professional socialisation </w:t>
      </w:r>
      <w:r w:rsidR="00D26AF0">
        <w:rPr>
          <w:rFonts w:ascii="Calibri" w:hAnsi="Calibri" w:cs="Calibri"/>
          <w:sz w:val="24"/>
          <w:szCs w:val="24"/>
        </w:rPr>
        <w:t>are essential. Unlike coaching, which focuses on performance improvement</w:t>
      </w:r>
      <w:r w:rsidR="006860BE">
        <w:rPr>
          <w:rFonts w:ascii="Calibri" w:hAnsi="Calibri" w:cs="Calibri"/>
          <w:sz w:val="24"/>
          <w:szCs w:val="24"/>
        </w:rPr>
        <w:t xml:space="preserve">, mentoring supports career </w:t>
      </w:r>
      <w:r w:rsidR="007313F6">
        <w:rPr>
          <w:rFonts w:ascii="Calibri" w:hAnsi="Calibri" w:cs="Calibri"/>
          <w:sz w:val="24"/>
          <w:szCs w:val="24"/>
        </w:rPr>
        <w:t xml:space="preserve">progression, </w:t>
      </w:r>
      <w:r w:rsidR="00D13802">
        <w:rPr>
          <w:rFonts w:ascii="Calibri" w:hAnsi="Calibri" w:cs="Calibri"/>
          <w:sz w:val="24"/>
          <w:szCs w:val="24"/>
        </w:rPr>
        <w:t xml:space="preserve">broader </w:t>
      </w:r>
      <w:r w:rsidR="007313F6">
        <w:rPr>
          <w:rFonts w:ascii="Calibri" w:hAnsi="Calibri" w:cs="Calibri"/>
          <w:sz w:val="24"/>
          <w:szCs w:val="24"/>
        </w:rPr>
        <w:t>professional developmen</w:t>
      </w:r>
      <w:r w:rsidR="00D13802">
        <w:rPr>
          <w:rFonts w:ascii="Calibri" w:hAnsi="Calibri" w:cs="Calibri"/>
          <w:sz w:val="24"/>
          <w:szCs w:val="24"/>
        </w:rPr>
        <w:t>t, and psychosocial</w:t>
      </w:r>
      <w:r w:rsidR="00E8262F">
        <w:rPr>
          <w:rFonts w:ascii="Calibri" w:hAnsi="Calibri" w:cs="Calibri"/>
          <w:sz w:val="24"/>
          <w:szCs w:val="24"/>
        </w:rPr>
        <w:t xml:space="preserve"> support (Clutterbuck, 2014). </w:t>
      </w:r>
      <w:r w:rsidR="007240EC">
        <w:rPr>
          <w:rFonts w:ascii="Calibri" w:hAnsi="Calibri" w:cs="Calibri"/>
          <w:sz w:val="24"/>
          <w:szCs w:val="24"/>
        </w:rPr>
        <w:t xml:space="preserve">As stated by Alonzo </w:t>
      </w:r>
      <w:r w:rsidR="007240EC">
        <w:rPr>
          <w:rFonts w:ascii="Calibri" w:hAnsi="Calibri" w:cs="Calibri"/>
          <w:i/>
          <w:iCs/>
          <w:sz w:val="24"/>
          <w:szCs w:val="24"/>
        </w:rPr>
        <w:t>et al.</w:t>
      </w:r>
      <w:r w:rsidR="007240EC">
        <w:rPr>
          <w:rFonts w:ascii="Calibri" w:hAnsi="Calibri" w:cs="Calibri"/>
          <w:sz w:val="24"/>
          <w:szCs w:val="24"/>
        </w:rPr>
        <w:t xml:space="preserve"> (2025), successful mentoring in organisational settings requires not just professional experience, but also the complex integration of interpersonal skills, observable behaviours, developmental attitudes, and underlying beliefs about learning and professional growth. </w:t>
      </w:r>
      <w:r w:rsidR="00E8262F">
        <w:rPr>
          <w:rFonts w:ascii="Calibri" w:hAnsi="Calibri" w:cs="Calibri"/>
          <w:sz w:val="24"/>
          <w:szCs w:val="24"/>
        </w:rPr>
        <w:t>However, the effectiveness of</w:t>
      </w:r>
      <w:r w:rsidR="00A9266F">
        <w:rPr>
          <w:rFonts w:ascii="Calibri" w:hAnsi="Calibri" w:cs="Calibri"/>
          <w:sz w:val="24"/>
          <w:szCs w:val="24"/>
        </w:rPr>
        <w:t xml:space="preserve"> mentoring </w:t>
      </w:r>
      <w:r w:rsidR="007B3726">
        <w:rPr>
          <w:rFonts w:ascii="Calibri" w:hAnsi="Calibri" w:cs="Calibri"/>
          <w:sz w:val="24"/>
          <w:szCs w:val="24"/>
        </w:rPr>
        <w:t xml:space="preserve">relies on the mentor’s skills, </w:t>
      </w:r>
      <w:r w:rsidR="000B2407">
        <w:rPr>
          <w:rFonts w:ascii="Calibri" w:hAnsi="Calibri" w:cs="Calibri"/>
          <w:sz w:val="24"/>
          <w:szCs w:val="24"/>
        </w:rPr>
        <w:t xml:space="preserve">behaviours, </w:t>
      </w:r>
      <w:r w:rsidR="007B3726">
        <w:rPr>
          <w:rFonts w:ascii="Calibri" w:hAnsi="Calibri" w:cs="Calibri"/>
          <w:sz w:val="24"/>
          <w:szCs w:val="24"/>
        </w:rPr>
        <w:t>attitudes, and be</w:t>
      </w:r>
      <w:r w:rsidR="000B2407">
        <w:rPr>
          <w:rFonts w:ascii="Calibri" w:hAnsi="Calibri" w:cs="Calibri"/>
          <w:sz w:val="24"/>
          <w:szCs w:val="24"/>
        </w:rPr>
        <w:t>lief</w:t>
      </w:r>
      <w:r w:rsidR="007B3726">
        <w:rPr>
          <w:rFonts w:ascii="Calibri" w:hAnsi="Calibri" w:cs="Calibri"/>
          <w:sz w:val="24"/>
          <w:szCs w:val="24"/>
        </w:rPr>
        <w:t>s</w:t>
      </w:r>
      <w:r w:rsidR="00C17020">
        <w:rPr>
          <w:rFonts w:ascii="Calibri" w:hAnsi="Calibri" w:cs="Calibri"/>
          <w:sz w:val="24"/>
          <w:szCs w:val="24"/>
        </w:rPr>
        <w:t xml:space="preserve">. These competencies </w:t>
      </w:r>
      <w:r w:rsidR="006E7981">
        <w:rPr>
          <w:rFonts w:ascii="Calibri" w:hAnsi="Calibri" w:cs="Calibri"/>
          <w:sz w:val="24"/>
          <w:szCs w:val="24"/>
        </w:rPr>
        <w:t>enable mentors to guide learning, build professional identity, and enhance organisational outcomes.</w:t>
      </w:r>
    </w:p>
    <w:p w14:paraId="1D992AB0" w14:textId="5A457B19" w:rsidR="00C92373" w:rsidRDefault="00713D3A" w:rsidP="00713D3A">
      <w:pPr>
        <w:pStyle w:val="Heading2"/>
        <w:rPr>
          <w:rFonts w:ascii="Calibri" w:hAnsi="Calibri" w:cs="Calibri"/>
        </w:rPr>
      </w:pPr>
      <w:bookmarkStart w:id="9" w:name="_Toc224731597"/>
      <w:r w:rsidRPr="00713D3A">
        <w:rPr>
          <w:rFonts w:ascii="Calibri" w:hAnsi="Calibri" w:cs="Calibri"/>
        </w:rPr>
        <w:t xml:space="preserve">3.1 </w:t>
      </w:r>
      <w:r w:rsidR="000A2605">
        <w:rPr>
          <w:rFonts w:ascii="Calibri" w:hAnsi="Calibri" w:cs="Calibri"/>
        </w:rPr>
        <w:t xml:space="preserve">Skills, </w:t>
      </w:r>
      <w:r w:rsidR="000B2407">
        <w:rPr>
          <w:rFonts w:ascii="Calibri" w:hAnsi="Calibri" w:cs="Calibri"/>
        </w:rPr>
        <w:t>Behaviou</w:t>
      </w:r>
      <w:r w:rsidR="00FE65F3">
        <w:rPr>
          <w:rFonts w:ascii="Calibri" w:hAnsi="Calibri" w:cs="Calibri"/>
        </w:rPr>
        <w:t>r</w:t>
      </w:r>
      <w:r w:rsidR="000B2407">
        <w:rPr>
          <w:rFonts w:ascii="Calibri" w:hAnsi="Calibri" w:cs="Calibri"/>
        </w:rPr>
        <w:t xml:space="preserve">s, </w:t>
      </w:r>
      <w:r w:rsidR="005337E5">
        <w:rPr>
          <w:rFonts w:ascii="Calibri" w:hAnsi="Calibri" w:cs="Calibri"/>
        </w:rPr>
        <w:t>At</w:t>
      </w:r>
      <w:r w:rsidR="000A2605">
        <w:rPr>
          <w:rFonts w:ascii="Calibri" w:hAnsi="Calibri" w:cs="Calibri"/>
        </w:rPr>
        <w:t xml:space="preserve">titudes and </w:t>
      </w:r>
      <w:r w:rsidR="005337E5">
        <w:rPr>
          <w:rFonts w:ascii="Calibri" w:hAnsi="Calibri" w:cs="Calibri"/>
        </w:rPr>
        <w:t>Be</w:t>
      </w:r>
      <w:r w:rsidR="000B2407">
        <w:rPr>
          <w:rFonts w:ascii="Calibri" w:hAnsi="Calibri" w:cs="Calibri"/>
        </w:rPr>
        <w:t>liefs</w:t>
      </w:r>
      <w:r w:rsidRPr="00713D3A">
        <w:rPr>
          <w:rFonts w:ascii="Calibri" w:hAnsi="Calibri" w:cs="Calibri"/>
        </w:rPr>
        <w:t xml:space="preserve"> Required</w:t>
      </w:r>
      <w:bookmarkEnd w:id="9"/>
    </w:p>
    <w:p w14:paraId="6EC656AF" w14:textId="77777777" w:rsidR="009C2B2C" w:rsidRDefault="009C2B2C">
      <w:pPr>
        <w:spacing w:line="360" w:lineRule="auto"/>
      </w:pPr>
      <w:r>
        <w:rPr>
          <w:rFonts w:ascii="Calibri" w:hAnsi="Calibri" w:cs="Calibri"/>
          <w:sz w:val="24"/>
          <w:szCs w:val="24"/>
        </w:rPr>
        <w:t xml:space="preserve">One of the most important mentoring skills is effective communication, especially active </w:t>
      </w:r>
      <w:r w:rsidRPr="00453ED0">
        <w:rPr>
          <w:rFonts w:ascii="Calibri" w:hAnsi="Calibri" w:cs="Calibri"/>
          <w:sz w:val="24"/>
          <w:szCs w:val="24"/>
        </w:rPr>
        <w:t>listening.</w:t>
      </w:r>
      <w:r>
        <w:rPr>
          <w:rFonts w:ascii="Calibri" w:hAnsi="Calibri" w:cs="Calibri"/>
          <w:sz w:val="24"/>
          <w:szCs w:val="24"/>
        </w:rPr>
        <w:t xml:space="preserve"> Rogers (1992) argues that empathic listening plays a foundational role in developmental relationships by promoting trust, openness and psychological safety. This emphasis on psychological safety is also supported by Maslow’s hierarchy of needs, which suggests that individuals must have their fundamental needs for safety and belonging met before they can achieve higher levels of esteem and self-actualisation. In mentoring relationships, empathic listening helps mentees feel valued and secure, supporting deeper learning and professional growth (McLeod, 2026).</w:t>
      </w:r>
    </w:p>
    <w:p w14:paraId="6121ACCE" w14:textId="77777777" w:rsidR="009C2B2C" w:rsidRDefault="009C2B2C">
      <w:pPr>
        <w:spacing w:line="360" w:lineRule="auto"/>
      </w:pPr>
      <w:r>
        <w:rPr>
          <w:rFonts w:ascii="Calibri" w:hAnsi="Calibri" w:cs="Calibri"/>
          <w:sz w:val="24"/>
          <w:szCs w:val="24"/>
        </w:rPr>
        <w:t xml:space="preserve">Within NHS surgical wards, newly qualified nurses often experience anxiety, uncertainty and high workload pressures. Mentors who listen actively can better understand and respond to mentees’ developmental needs, supporting emotional wellbeing and professional adjustment (Smythe and Carter, 2022). However, </w:t>
      </w:r>
      <w:proofErr w:type="spellStart"/>
      <w:r>
        <w:rPr>
          <w:rFonts w:ascii="Calibri" w:hAnsi="Calibri" w:cs="Calibri"/>
          <w:sz w:val="24"/>
          <w:szCs w:val="24"/>
        </w:rPr>
        <w:t>Acas</w:t>
      </w:r>
      <w:proofErr w:type="spellEnd"/>
      <w:r>
        <w:rPr>
          <w:rFonts w:ascii="Calibri" w:hAnsi="Calibri" w:cs="Calibri"/>
          <w:sz w:val="24"/>
          <w:szCs w:val="24"/>
        </w:rPr>
        <w:t xml:space="preserve"> (2024) argues that listening alone is insufficient if mentors fail to provide appropriate guidance. Youssef </w:t>
      </w:r>
      <w:proofErr w:type="spellStart"/>
      <w:r>
        <w:rPr>
          <w:rFonts w:ascii="Calibri" w:hAnsi="Calibri" w:cs="Calibri"/>
          <w:sz w:val="24"/>
          <w:szCs w:val="24"/>
        </w:rPr>
        <w:t>Jouali</w:t>
      </w:r>
      <w:proofErr w:type="spellEnd"/>
      <w:r>
        <w:rPr>
          <w:rFonts w:ascii="Calibri" w:hAnsi="Calibri" w:cs="Calibri"/>
          <w:sz w:val="24"/>
          <w:szCs w:val="24"/>
        </w:rPr>
        <w:t xml:space="preserve"> </w:t>
      </w:r>
      <w:r>
        <w:rPr>
          <w:rFonts w:ascii="Calibri" w:hAnsi="Calibri" w:cs="Calibri"/>
          <w:i/>
          <w:iCs/>
          <w:sz w:val="24"/>
          <w:szCs w:val="24"/>
        </w:rPr>
        <w:t>et al.</w:t>
      </w:r>
      <w:r>
        <w:rPr>
          <w:rFonts w:ascii="Calibri" w:hAnsi="Calibri" w:cs="Calibri"/>
          <w:sz w:val="24"/>
          <w:szCs w:val="24"/>
        </w:rPr>
        <w:t xml:space="preserve"> (2024) note that mentoring also involves career support, including advice, instruction and organisational insight. This more directive input can be crucial in clinical settings where safe practice depends on timely and accurate decision-making.</w:t>
      </w:r>
    </w:p>
    <w:p w14:paraId="7674C7DA" w14:textId="08474298" w:rsidR="001F3562" w:rsidRPr="001F3562" w:rsidRDefault="008276D7" w:rsidP="001F3562">
      <w:pPr>
        <w:spacing w:line="360" w:lineRule="auto"/>
        <w:rPr>
          <w:rFonts w:ascii="Calibri" w:hAnsi="Calibri" w:cs="Calibri"/>
          <w:sz w:val="24"/>
          <w:szCs w:val="24"/>
        </w:rPr>
      </w:pPr>
      <w:r>
        <w:rPr>
          <w:rFonts w:ascii="Calibri" w:hAnsi="Calibri" w:cs="Calibri"/>
          <w:sz w:val="24"/>
          <w:szCs w:val="24"/>
        </w:rPr>
        <w:lastRenderedPageBreak/>
        <w:t>This highlights a key debate within mentoring</w:t>
      </w:r>
      <w:r w:rsidR="00181420">
        <w:rPr>
          <w:rFonts w:ascii="Calibri" w:hAnsi="Calibri" w:cs="Calibri"/>
          <w:sz w:val="24"/>
          <w:szCs w:val="24"/>
        </w:rPr>
        <w:t xml:space="preserve">, regarding the balance between directive and facilitative approaches. </w:t>
      </w:r>
      <w:r w:rsidR="00CA6DB8">
        <w:rPr>
          <w:rFonts w:ascii="Calibri" w:hAnsi="Calibri" w:cs="Calibri"/>
          <w:sz w:val="24"/>
          <w:szCs w:val="24"/>
        </w:rPr>
        <w:t xml:space="preserve">Recent views on mentoring </w:t>
      </w:r>
      <w:r w:rsidR="00DF1A79">
        <w:rPr>
          <w:rFonts w:ascii="Calibri" w:hAnsi="Calibri" w:cs="Calibri"/>
          <w:sz w:val="24"/>
          <w:szCs w:val="24"/>
        </w:rPr>
        <w:t>emphasise the importance of facilitative questioning as a critical skill</w:t>
      </w:r>
      <w:r w:rsidR="001673F1">
        <w:rPr>
          <w:rFonts w:ascii="Calibri" w:hAnsi="Calibri" w:cs="Calibri"/>
          <w:sz w:val="24"/>
          <w:szCs w:val="24"/>
        </w:rPr>
        <w:t xml:space="preserve">, enabling mentees to reflect and build </w:t>
      </w:r>
      <w:r w:rsidR="00D8471E">
        <w:rPr>
          <w:rFonts w:ascii="Calibri" w:hAnsi="Calibri" w:cs="Calibri"/>
          <w:sz w:val="24"/>
          <w:szCs w:val="24"/>
        </w:rPr>
        <w:t xml:space="preserve">independent problem-solving skills (Clutterbuck, 2014). </w:t>
      </w:r>
      <w:r w:rsidR="00C531E8">
        <w:rPr>
          <w:rFonts w:ascii="Calibri" w:hAnsi="Calibri" w:cs="Calibri"/>
          <w:sz w:val="24"/>
          <w:szCs w:val="24"/>
        </w:rPr>
        <w:t xml:space="preserve">This aligns with adult learning theory, suggesting that adults </w:t>
      </w:r>
      <w:r w:rsidR="008254EC">
        <w:rPr>
          <w:rFonts w:ascii="Calibri" w:hAnsi="Calibri" w:cs="Calibri"/>
          <w:sz w:val="24"/>
          <w:szCs w:val="24"/>
        </w:rPr>
        <w:t xml:space="preserve">learn most effectively through reflection and self-directed learning </w:t>
      </w:r>
      <w:r w:rsidR="001F3562" w:rsidRPr="001F3562">
        <w:rPr>
          <w:rFonts w:ascii="Calibri" w:hAnsi="Calibri" w:cs="Calibri"/>
          <w:sz w:val="24"/>
          <w:szCs w:val="24"/>
        </w:rPr>
        <w:t>(Stojanovic´, 2021)</w:t>
      </w:r>
      <w:r w:rsidR="001F3562">
        <w:rPr>
          <w:rFonts w:ascii="Calibri" w:hAnsi="Calibri" w:cs="Calibri"/>
          <w:sz w:val="24"/>
          <w:szCs w:val="24"/>
        </w:rPr>
        <w:t>.</w:t>
      </w:r>
      <w:r w:rsidR="00AC10F8">
        <w:rPr>
          <w:rFonts w:ascii="Calibri" w:hAnsi="Calibri" w:cs="Calibri"/>
          <w:sz w:val="24"/>
          <w:szCs w:val="24"/>
        </w:rPr>
        <w:t xml:space="preserve"> However, Eraut (2007) argues that</w:t>
      </w:r>
      <w:r w:rsidR="007470C8">
        <w:rPr>
          <w:rFonts w:ascii="Calibri" w:hAnsi="Calibri" w:cs="Calibri"/>
          <w:sz w:val="24"/>
          <w:szCs w:val="24"/>
        </w:rPr>
        <w:t xml:space="preserve"> in complex </w:t>
      </w:r>
      <w:r w:rsidR="005D05D5">
        <w:rPr>
          <w:rFonts w:ascii="Calibri" w:hAnsi="Calibri" w:cs="Calibri"/>
          <w:sz w:val="24"/>
          <w:szCs w:val="24"/>
        </w:rPr>
        <w:t xml:space="preserve">professional environments such as the NHS, informal learning often occurs due to time pressure, requiring mentors to </w:t>
      </w:r>
      <w:r w:rsidR="00AB5DD8">
        <w:rPr>
          <w:rFonts w:ascii="Calibri" w:hAnsi="Calibri" w:cs="Calibri"/>
          <w:sz w:val="24"/>
          <w:szCs w:val="24"/>
        </w:rPr>
        <w:t xml:space="preserve">provide more direct guidance. Effective mentors adapt their communication to each clinical situation, using both facilitative and directive approaches. </w:t>
      </w:r>
    </w:p>
    <w:p w14:paraId="18895CC6" w14:textId="54A20B73" w:rsidR="00407224" w:rsidRDefault="00F910B1" w:rsidP="00C96B5A">
      <w:pPr>
        <w:spacing w:line="360" w:lineRule="auto"/>
        <w:rPr>
          <w:rFonts w:ascii="Calibri" w:hAnsi="Calibri" w:cs="Calibri"/>
          <w:color w:val="000000"/>
          <w:sz w:val="24"/>
          <w:szCs w:val="24"/>
        </w:rPr>
      </w:pPr>
      <w:r>
        <w:rPr>
          <w:rFonts w:ascii="Calibri" w:hAnsi="Calibri" w:cs="Calibri"/>
          <w:sz w:val="24"/>
          <w:szCs w:val="24"/>
        </w:rPr>
        <w:t>Providing constructive feedback i</w:t>
      </w:r>
      <w:r w:rsidR="00A01227">
        <w:rPr>
          <w:rFonts w:ascii="Calibri" w:hAnsi="Calibri" w:cs="Calibri"/>
          <w:sz w:val="24"/>
          <w:szCs w:val="24"/>
        </w:rPr>
        <w:t xml:space="preserve">s </w:t>
      </w:r>
      <w:r>
        <w:rPr>
          <w:rFonts w:ascii="Calibri" w:hAnsi="Calibri" w:cs="Calibri"/>
          <w:sz w:val="24"/>
          <w:szCs w:val="24"/>
        </w:rPr>
        <w:t>another critical mentoring skill</w:t>
      </w:r>
      <w:r w:rsidR="001F1878">
        <w:rPr>
          <w:rFonts w:ascii="Calibri" w:hAnsi="Calibri" w:cs="Calibri"/>
          <w:sz w:val="24"/>
          <w:szCs w:val="24"/>
        </w:rPr>
        <w:t>, enabling mentees to recognise strengths, impro</w:t>
      </w:r>
      <w:r w:rsidR="00E60CD8">
        <w:rPr>
          <w:rFonts w:ascii="Calibri" w:hAnsi="Calibri" w:cs="Calibri"/>
          <w:sz w:val="24"/>
          <w:szCs w:val="24"/>
        </w:rPr>
        <w:t xml:space="preserve">ve performance, and develop professional skills </w:t>
      </w:r>
      <w:r w:rsidR="00E60CD8" w:rsidRPr="00184AEF">
        <w:rPr>
          <w:rFonts w:ascii="Calibri" w:hAnsi="Calibri" w:cs="Calibri"/>
          <w:color w:val="000000"/>
          <w:sz w:val="24"/>
          <w:szCs w:val="24"/>
        </w:rPr>
        <w:t>(Hattie and Timperley, 2007).</w:t>
      </w:r>
      <w:r w:rsidR="00FE6EF0" w:rsidRPr="00184AEF">
        <w:rPr>
          <w:rFonts w:ascii="Calibri" w:hAnsi="Calibri" w:cs="Calibri"/>
          <w:color w:val="000000"/>
          <w:sz w:val="24"/>
          <w:szCs w:val="24"/>
        </w:rPr>
        <w:t xml:space="preserve"> In NHS surgical wards, feedback covers clinical procedures, communication, and pri</w:t>
      </w:r>
      <w:r w:rsidR="00AF4F99" w:rsidRPr="00184AEF">
        <w:rPr>
          <w:rFonts w:ascii="Calibri" w:hAnsi="Calibri" w:cs="Calibri"/>
          <w:color w:val="000000"/>
          <w:sz w:val="24"/>
          <w:szCs w:val="24"/>
        </w:rPr>
        <w:t xml:space="preserve">oritisation. </w:t>
      </w:r>
      <w:r w:rsidR="00A54404" w:rsidRPr="00184AEF">
        <w:rPr>
          <w:rFonts w:ascii="Calibri" w:hAnsi="Calibri" w:cs="Calibri"/>
          <w:color w:val="000000"/>
          <w:sz w:val="24"/>
          <w:szCs w:val="24"/>
        </w:rPr>
        <w:t>However, t</w:t>
      </w:r>
      <w:r w:rsidR="00AF4F99" w:rsidRPr="00184AEF">
        <w:rPr>
          <w:rFonts w:ascii="Calibri" w:hAnsi="Calibri" w:cs="Calibri"/>
          <w:color w:val="000000"/>
          <w:sz w:val="24"/>
          <w:szCs w:val="24"/>
        </w:rPr>
        <w:t xml:space="preserve">he effectiveness of feedback relies on how it is delivered. </w:t>
      </w:r>
      <w:r w:rsidR="00A54404" w:rsidRPr="00184AEF">
        <w:rPr>
          <w:rFonts w:ascii="Calibri" w:hAnsi="Calibri" w:cs="Calibri"/>
          <w:color w:val="000000"/>
          <w:sz w:val="24"/>
          <w:szCs w:val="24"/>
        </w:rPr>
        <w:t>Archer (2010)</w:t>
      </w:r>
      <w:r w:rsidR="001A2C88" w:rsidRPr="00184AEF">
        <w:rPr>
          <w:rFonts w:ascii="Calibri" w:hAnsi="Calibri" w:cs="Calibri"/>
          <w:color w:val="000000"/>
          <w:sz w:val="24"/>
          <w:szCs w:val="24"/>
        </w:rPr>
        <w:t xml:space="preserve"> states that judgemental feedback can lower</w:t>
      </w:r>
      <w:r w:rsidR="00536EEA" w:rsidRPr="00184AEF">
        <w:rPr>
          <w:rFonts w:ascii="Calibri" w:hAnsi="Calibri" w:cs="Calibri"/>
          <w:color w:val="000000"/>
          <w:sz w:val="24"/>
          <w:szCs w:val="24"/>
        </w:rPr>
        <w:t xml:space="preserve"> confidence and hinder learning, suggesting the importance of </w:t>
      </w:r>
      <w:r w:rsidR="00CF343C" w:rsidRPr="00184AEF">
        <w:rPr>
          <w:rFonts w:ascii="Calibri" w:hAnsi="Calibri" w:cs="Calibri"/>
          <w:color w:val="000000"/>
          <w:sz w:val="24"/>
          <w:szCs w:val="24"/>
        </w:rPr>
        <w:t>mentors focusing on supportive behaviours</w:t>
      </w:r>
      <w:r w:rsidR="00184AEF" w:rsidRPr="00184AEF">
        <w:rPr>
          <w:rFonts w:ascii="Calibri" w:hAnsi="Calibri" w:cs="Calibri"/>
          <w:color w:val="000000"/>
          <w:sz w:val="24"/>
          <w:szCs w:val="24"/>
        </w:rPr>
        <w:t xml:space="preserve"> that promote development rather than criticism. </w:t>
      </w:r>
    </w:p>
    <w:p w14:paraId="3C91D5B3" w14:textId="77777777" w:rsidR="00533B1A" w:rsidRDefault="00533B1A">
      <w:pPr>
        <w:spacing w:line="360" w:lineRule="auto"/>
      </w:pPr>
      <w:r>
        <w:rPr>
          <w:rFonts w:ascii="Calibri" w:hAnsi="Calibri" w:cs="Calibri"/>
          <w:color w:val="000000"/>
          <w:sz w:val="24"/>
          <w:szCs w:val="24"/>
        </w:rPr>
        <w:t>The Johari Window (Luft &amp; Ingham, 1955) explains self-awareness and feedback using four domains: open, blind, hidden, and unknown. In mentoring, communication and feedback can expand the ‘open area’, increasing shared understanding and trust. However, the model assumes willingness to disclose and receive feedback, which may be unrealistic in hierarchical healthcare settings where fear of judgement can limit openness (Hawkins &amp; Smith, 2013). Its usefulness therefore depends on psychological safety, which cannot be assumed.</w:t>
      </w:r>
    </w:p>
    <w:p w14:paraId="73C78838" w14:textId="43D82B4B" w:rsidR="00184AEF" w:rsidRDefault="00184AEF" w:rsidP="00C96B5A">
      <w:pPr>
        <w:spacing w:line="360" w:lineRule="auto"/>
        <w:rPr>
          <w:rFonts w:ascii="Calibri" w:hAnsi="Calibri" w:cs="Calibri"/>
          <w:color w:val="000000"/>
          <w:sz w:val="24"/>
          <w:szCs w:val="24"/>
        </w:rPr>
      </w:pPr>
      <w:r>
        <w:rPr>
          <w:rFonts w:ascii="Calibri" w:hAnsi="Calibri" w:cs="Calibri"/>
          <w:color w:val="000000"/>
          <w:sz w:val="24"/>
          <w:szCs w:val="24"/>
        </w:rPr>
        <w:t>In addition to communication skills</w:t>
      </w:r>
      <w:r w:rsidR="00C910F8">
        <w:rPr>
          <w:rFonts w:ascii="Calibri" w:hAnsi="Calibri" w:cs="Calibri"/>
          <w:color w:val="000000"/>
          <w:sz w:val="24"/>
          <w:szCs w:val="24"/>
        </w:rPr>
        <w:t>, effective mentoring also requires</w:t>
      </w:r>
      <w:r w:rsidR="007241D7">
        <w:rPr>
          <w:rFonts w:ascii="Calibri" w:hAnsi="Calibri" w:cs="Calibri"/>
          <w:color w:val="000000"/>
          <w:sz w:val="24"/>
          <w:szCs w:val="24"/>
        </w:rPr>
        <w:t xml:space="preserve"> consistent professional behaviours including</w:t>
      </w:r>
      <w:r w:rsidR="00C910F8">
        <w:rPr>
          <w:rFonts w:ascii="Calibri" w:hAnsi="Calibri" w:cs="Calibri"/>
          <w:color w:val="000000"/>
          <w:sz w:val="24"/>
          <w:szCs w:val="24"/>
        </w:rPr>
        <w:t xml:space="preserve"> reliability, professionalism, and </w:t>
      </w:r>
      <w:r w:rsidR="004525A4">
        <w:rPr>
          <w:rFonts w:ascii="Calibri" w:hAnsi="Calibri" w:cs="Calibri"/>
          <w:color w:val="000000"/>
          <w:sz w:val="24"/>
          <w:szCs w:val="24"/>
        </w:rPr>
        <w:t>maintaining professional boundaries.</w:t>
      </w:r>
      <w:r w:rsidR="00F67480">
        <w:rPr>
          <w:rFonts w:ascii="Calibri" w:hAnsi="Calibri" w:cs="Calibri"/>
          <w:color w:val="000000"/>
          <w:sz w:val="24"/>
          <w:szCs w:val="24"/>
        </w:rPr>
        <w:t xml:space="preserve"> </w:t>
      </w:r>
      <w:r w:rsidR="00856B27">
        <w:rPr>
          <w:rFonts w:ascii="Calibri" w:hAnsi="Calibri" w:cs="Calibri"/>
          <w:color w:val="000000"/>
          <w:sz w:val="24"/>
          <w:szCs w:val="24"/>
        </w:rPr>
        <w:t>Bandura’s 1977 social learning theory</w:t>
      </w:r>
      <w:r w:rsidR="005C46FA">
        <w:rPr>
          <w:rFonts w:ascii="Calibri" w:hAnsi="Calibri" w:cs="Calibri"/>
          <w:color w:val="000000"/>
          <w:sz w:val="24"/>
          <w:szCs w:val="24"/>
        </w:rPr>
        <w:t xml:space="preserve"> emphasises that </w:t>
      </w:r>
      <w:r w:rsidR="00786944">
        <w:rPr>
          <w:rFonts w:ascii="Calibri" w:hAnsi="Calibri" w:cs="Calibri"/>
          <w:color w:val="000000"/>
          <w:sz w:val="24"/>
          <w:szCs w:val="24"/>
        </w:rPr>
        <w:t>individuals learn by observing other</w:t>
      </w:r>
      <w:r w:rsidR="0034267F">
        <w:rPr>
          <w:rFonts w:ascii="Calibri" w:hAnsi="Calibri" w:cs="Calibri"/>
          <w:color w:val="000000"/>
          <w:sz w:val="24"/>
          <w:szCs w:val="24"/>
        </w:rPr>
        <w:t xml:space="preserve">s, highlighting the importance of </w:t>
      </w:r>
      <w:r w:rsidR="00CD5C55">
        <w:rPr>
          <w:rFonts w:ascii="Calibri" w:hAnsi="Calibri" w:cs="Calibri"/>
          <w:color w:val="000000"/>
          <w:sz w:val="24"/>
          <w:szCs w:val="24"/>
        </w:rPr>
        <w:t>mentors acting as positive role models. In healthcare, mentors who show professionalism</w:t>
      </w:r>
      <w:r w:rsidR="0095142C">
        <w:rPr>
          <w:rFonts w:ascii="Calibri" w:hAnsi="Calibri" w:cs="Calibri"/>
          <w:color w:val="000000"/>
          <w:sz w:val="24"/>
          <w:szCs w:val="24"/>
        </w:rPr>
        <w:t xml:space="preserve">, ethics, and strong communication provide </w:t>
      </w:r>
      <w:r w:rsidR="009D7603">
        <w:rPr>
          <w:rFonts w:ascii="Calibri" w:hAnsi="Calibri" w:cs="Calibri"/>
          <w:color w:val="000000"/>
          <w:sz w:val="24"/>
          <w:szCs w:val="24"/>
        </w:rPr>
        <w:t xml:space="preserve">valuable learning opportunities for mentees (McLeod, 2025). </w:t>
      </w:r>
      <w:r w:rsidR="000416A3">
        <w:rPr>
          <w:rFonts w:ascii="Calibri" w:hAnsi="Calibri" w:cs="Calibri"/>
          <w:color w:val="000000"/>
          <w:sz w:val="24"/>
          <w:szCs w:val="24"/>
        </w:rPr>
        <w:t>This role modelling may add pressure</w:t>
      </w:r>
      <w:r w:rsidR="008D14AF">
        <w:rPr>
          <w:rFonts w:ascii="Calibri" w:hAnsi="Calibri" w:cs="Calibri"/>
          <w:color w:val="000000"/>
          <w:sz w:val="24"/>
          <w:szCs w:val="24"/>
        </w:rPr>
        <w:t xml:space="preserve"> for mentors, especially in high-stress settings where heavy workloads may limit their ability to consistently show ideal behaviours (Burgess </w:t>
      </w:r>
      <w:r w:rsidR="008D14AF">
        <w:rPr>
          <w:rFonts w:ascii="Calibri" w:hAnsi="Calibri" w:cs="Calibri"/>
          <w:i/>
          <w:iCs/>
          <w:color w:val="000000"/>
          <w:sz w:val="24"/>
          <w:szCs w:val="24"/>
        </w:rPr>
        <w:t>et al.</w:t>
      </w:r>
      <w:r w:rsidR="008D14AF">
        <w:rPr>
          <w:rFonts w:ascii="Calibri" w:hAnsi="Calibri" w:cs="Calibri"/>
          <w:color w:val="000000"/>
          <w:sz w:val="24"/>
          <w:szCs w:val="24"/>
        </w:rPr>
        <w:t>, 2018).</w:t>
      </w:r>
    </w:p>
    <w:p w14:paraId="177034D6" w14:textId="77777777" w:rsidR="009C2B2C" w:rsidRDefault="009C2B2C">
      <w:pPr>
        <w:spacing w:line="360" w:lineRule="auto"/>
      </w:pPr>
      <w:r>
        <w:rPr>
          <w:rFonts w:ascii="Calibri" w:hAnsi="Calibri" w:cs="Calibri"/>
          <w:sz w:val="24"/>
          <w:szCs w:val="24"/>
        </w:rPr>
        <w:lastRenderedPageBreak/>
        <w:t>While coaching and mentoring share common developmental goals, there are notable differences in focus, structure and purpose. Coaching is typically performance-focused, targeting specific skills or behaviours within a defined timeframe (Passmore, 2015). In contrast, mentoring focuses on professional progression and longer-term career development (Clutterbuck, 2014).</w:t>
      </w:r>
    </w:p>
    <w:p w14:paraId="7FBC23A4" w14:textId="4505A744" w:rsidR="0011472D" w:rsidRDefault="0011472D" w:rsidP="000B563B">
      <w:pPr>
        <w:spacing w:line="360" w:lineRule="auto"/>
        <w:rPr>
          <w:rFonts w:ascii="Calibri" w:hAnsi="Calibri" w:cs="Calibri"/>
          <w:color w:val="000000"/>
          <w:sz w:val="24"/>
          <w:szCs w:val="24"/>
        </w:rPr>
      </w:pPr>
      <w:r>
        <w:rPr>
          <w:rFonts w:ascii="Calibri" w:hAnsi="Calibri" w:cs="Calibri"/>
          <w:color w:val="000000"/>
          <w:sz w:val="24"/>
          <w:szCs w:val="24"/>
        </w:rPr>
        <w:t xml:space="preserve">Other than skills and behaviours, the attitudes of mentors play an important role in determining the effectiveness of </w:t>
      </w:r>
      <w:r w:rsidR="00E9246C">
        <w:rPr>
          <w:rFonts w:ascii="Calibri" w:hAnsi="Calibri" w:cs="Calibri"/>
          <w:color w:val="000000"/>
          <w:sz w:val="24"/>
          <w:szCs w:val="24"/>
        </w:rPr>
        <w:t xml:space="preserve">mentoring. </w:t>
      </w:r>
      <w:r w:rsidR="003531A3">
        <w:rPr>
          <w:rFonts w:ascii="Calibri" w:hAnsi="Calibri" w:cs="Calibri"/>
          <w:color w:val="000000"/>
          <w:sz w:val="24"/>
          <w:szCs w:val="24"/>
        </w:rPr>
        <w:t>A developmental per</w:t>
      </w:r>
      <w:r w:rsidR="006E4FAF">
        <w:rPr>
          <w:rFonts w:ascii="Calibri" w:hAnsi="Calibri" w:cs="Calibri"/>
          <w:color w:val="000000"/>
          <w:sz w:val="24"/>
          <w:szCs w:val="24"/>
        </w:rPr>
        <w:t>spective, defined by a genuine commitment to supporting the mentee’s growth</w:t>
      </w:r>
      <w:r w:rsidR="006C2A15">
        <w:rPr>
          <w:rFonts w:ascii="Calibri" w:hAnsi="Calibri" w:cs="Calibri"/>
          <w:color w:val="000000"/>
          <w:sz w:val="24"/>
          <w:szCs w:val="24"/>
        </w:rPr>
        <w:t>, is essential</w:t>
      </w:r>
      <w:r w:rsidR="00DF5E2D">
        <w:rPr>
          <w:rFonts w:ascii="Calibri" w:hAnsi="Calibri" w:cs="Calibri"/>
          <w:color w:val="000000"/>
          <w:sz w:val="24"/>
          <w:szCs w:val="24"/>
        </w:rPr>
        <w:t xml:space="preserve"> (Phillips </w:t>
      </w:r>
      <w:r w:rsidR="00DF5E2D">
        <w:rPr>
          <w:rFonts w:ascii="Calibri" w:hAnsi="Calibri" w:cs="Calibri"/>
          <w:i/>
          <w:iCs/>
          <w:color w:val="000000"/>
          <w:sz w:val="24"/>
          <w:szCs w:val="24"/>
        </w:rPr>
        <w:t>et al.</w:t>
      </w:r>
      <w:r w:rsidR="00DF5E2D">
        <w:rPr>
          <w:rFonts w:ascii="Calibri" w:hAnsi="Calibri" w:cs="Calibri"/>
          <w:color w:val="000000"/>
          <w:sz w:val="24"/>
          <w:szCs w:val="24"/>
        </w:rPr>
        <w:t>, 2024)</w:t>
      </w:r>
      <w:r w:rsidR="006C2A15">
        <w:rPr>
          <w:rFonts w:ascii="Calibri" w:hAnsi="Calibri" w:cs="Calibri"/>
          <w:color w:val="000000"/>
          <w:sz w:val="24"/>
          <w:szCs w:val="24"/>
        </w:rPr>
        <w:t xml:space="preserve">. </w:t>
      </w:r>
      <w:r w:rsidR="001541FB">
        <w:rPr>
          <w:rFonts w:ascii="Calibri" w:hAnsi="Calibri" w:cs="Calibri"/>
          <w:color w:val="000000"/>
          <w:sz w:val="24"/>
          <w:szCs w:val="24"/>
        </w:rPr>
        <w:t>Clutterbuck (2014)</w:t>
      </w:r>
      <w:r w:rsidR="0085314A">
        <w:rPr>
          <w:rFonts w:ascii="Calibri" w:hAnsi="Calibri" w:cs="Calibri"/>
          <w:color w:val="000000"/>
          <w:sz w:val="24"/>
          <w:szCs w:val="24"/>
        </w:rPr>
        <w:t xml:space="preserve"> </w:t>
      </w:r>
      <w:r w:rsidR="00E60A86">
        <w:rPr>
          <w:rFonts w:ascii="Calibri" w:hAnsi="Calibri" w:cs="Calibri"/>
          <w:color w:val="000000"/>
          <w:sz w:val="24"/>
          <w:szCs w:val="24"/>
        </w:rPr>
        <w:t xml:space="preserve">argues that mentoring is </w:t>
      </w:r>
      <w:r w:rsidR="00BB7F67">
        <w:rPr>
          <w:rFonts w:ascii="Calibri" w:hAnsi="Calibri" w:cs="Calibri"/>
          <w:color w:val="000000"/>
          <w:sz w:val="24"/>
          <w:szCs w:val="24"/>
        </w:rPr>
        <w:t>a developmental partnership</w:t>
      </w:r>
      <w:r w:rsidR="004A3C1A">
        <w:rPr>
          <w:rFonts w:ascii="Calibri" w:hAnsi="Calibri" w:cs="Calibri"/>
          <w:color w:val="000000"/>
          <w:sz w:val="24"/>
          <w:szCs w:val="24"/>
        </w:rPr>
        <w:t>, requiring me</w:t>
      </w:r>
      <w:r w:rsidR="00BB7F67">
        <w:rPr>
          <w:rFonts w:ascii="Calibri" w:hAnsi="Calibri" w:cs="Calibri"/>
          <w:color w:val="000000"/>
          <w:sz w:val="24"/>
          <w:szCs w:val="24"/>
        </w:rPr>
        <w:t xml:space="preserve">ntors </w:t>
      </w:r>
      <w:r w:rsidR="004A3C1A">
        <w:rPr>
          <w:rFonts w:ascii="Calibri" w:hAnsi="Calibri" w:cs="Calibri"/>
          <w:color w:val="000000"/>
          <w:sz w:val="24"/>
          <w:szCs w:val="24"/>
        </w:rPr>
        <w:t xml:space="preserve">to </w:t>
      </w:r>
      <w:r w:rsidR="00BB7F67">
        <w:rPr>
          <w:rFonts w:ascii="Calibri" w:hAnsi="Calibri" w:cs="Calibri"/>
          <w:color w:val="000000"/>
          <w:sz w:val="24"/>
          <w:szCs w:val="24"/>
        </w:rPr>
        <w:t xml:space="preserve">prioritise </w:t>
      </w:r>
      <w:r w:rsidR="00790833">
        <w:rPr>
          <w:rFonts w:ascii="Calibri" w:hAnsi="Calibri" w:cs="Calibri"/>
          <w:color w:val="000000"/>
          <w:sz w:val="24"/>
          <w:szCs w:val="24"/>
        </w:rPr>
        <w:t xml:space="preserve">the mentee’s learning </w:t>
      </w:r>
      <w:r w:rsidR="004A3C1A">
        <w:rPr>
          <w:rFonts w:ascii="Calibri" w:hAnsi="Calibri" w:cs="Calibri"/>
          <w:color w:val="000000"/>
          <w:sz w:val="24"/>
          <w:szCs w:val="24"/>
        </w:rPr>
        <w:t xml:space="preserve">over organisational performance alone. This attitude encourages trust and </w:t>
      </w:r>
      <w:r w:rsidR="000570CC">
        <w:rPr>
          <w:rFonts w:ascii="Calibri" w:hAnsi="Calibri" w:cs="Calibri"/>
          <w:color w:val="000000"/>
          <w:sz w:val="24"/>
          <w:szCs w:val="24"/>
        </w:rPr>
        <w:t xml:space="preserve">engagement, allowing mentees to openly discuss challenges and seek support. </w:t>
      </w:r>
    </w:p>
    <w:p w14:paraId="01FB1C4E" w14:textId="2E666204" w:rsidR="009F7DE0" w:rsidRDefault="009F7DE0" w:rsidP="000B563B">
      <w:pPr>
        <w:spacing w:line="360" w:lineRule="auto"/>
        <w:rPr>
          <w:rFonts w:ascii="Calibri" w:hAnsi="Calibri" w:cs="Calibri"/>
          <w:color w:val="000000"/>
          <w:sz w:val="24"/>
          <w:szCs w:val="24"/>
        </w:rPr>
      </w:pPr>
      <w:r>
        <w:rPr>
          <w:rFonts w:ascii="Calibri" w:hAnsi="Calibri" w:cs="Calibri"/>
          <w:color w:val="000000"/>
          <w:sz w:val="24"/>
          <w:szCs w:val="24"/>
        </w:rPr>
        <w:t xml:space="preserve">Prummer </w:t>
      </w:r>
      <w:r>
        <w:rPr>
          <w:rFonts w:ascii="Calibri" w:hAnsi="Calibri" w:cs="Calibri"/>
          <w:i/>
          <w:iCs/>
          <w:color w:val="000000"/>
          <w:sz w:val="24"/>
          <w:szCs w:val="24"/>
        </w:rPr>
        <w:t>et al.</w:t>
      </w:r>
      <w:r>
        <w:rPr>
          <w:rFonts w:ascii="Calibri" w:hAnsi="Calibri" w:cs="Calibri"/>
          <w:color w:val="000000"/>
          <w:sz w:val="24"/>
          <w:szCs w:val="24"/>
        </w:rPr>
        <w:t xml:space="preserve"> (2024)</w:t>
      </w:r>
      <w:r w:rsidR="000D703F">
        <w:rPr>
          <w:rFonts w:ascii="Calibri" w:hAnsi="Calibri" w:cs="Calibri"/>
          <w:color w:val="000000"/>
          <w:sz w:val="24"/>
          <w:szCs w:val="24"/>
        </w:rPr>
        <w:t xml:space="preserve"> states that another essential mentoring attitude is empathy. </w:t>
      </w:r>
      <w:r w:rsidR="00B43EAB">
        <w:rPr>
          <w:rFonts w:ascii="Calibri" w:hAnsi="Calibri" w:cs="Calibri"/>
          <w:color w:val="000000"/>
          <w:sz w:val="24"/>
          <w:szCs w:val="24"/>
        </w:rPr>
        <w:t xml:space="preserve">By fostering an understanding of both the emotional and professional experiences of mentees, empathy facilitates psychological safety and enhances learning outcomes. </w:t>
      </w:r>
      <w:r w:rsidR="0070339F">
        <w:rPr>
          <w:rFonts w:ascii="Calibri" w:hAnsi="Calibri" w:cs="Calibri"/>
          <w:color w:val="000000"/>
          <w:sz w:val="24"/>
          <w:szCs w:val="24"/>
        </w:rPr>
        <w:t xml:space="preserve">This is </w:t>
      </w:r>
      <w:r w:rsidR="00A90822">
        <w:rPr>
          <w:rFonts w:ascii="Calibri" w:hAnsi="Calibri" w:cs="Calibri"/>
          <w:color w:val="000000"/>
          <w:sz w:val="24"/>
          <w:szCs w:val="24"/>
        </w:rPr>
        <w:t xml:space="preserve">important in surgical wards, as newly qualified staff may </w:t>
      </w:r>
      <w:r w:rsidR="00022736">
        <w:rPr>
          <w:rFonts w:ascii="Calibri" w:hAnsi="Calibri" w:cs="Calibri"/>
          <w:color w:val="000000"/>
          <w:sz w:val="24"/>
          <w:szCs w:val="24"/>
        </w:rPr>
        <w:t>experience lack of confidence and stres</w:t>
      </w:r>
      <w:r w:rsidR="00610493">
        <w:rPr>
          <w:rFonts w:ascii="Calibri" w:hAnsi="Calibri" w:cs="Calibri"/>
          <w:color w:val="000000"/>
          <w:sz w:val="24"/>
          <w:szCs w:val="24"/>
        </w:rPr>
        <w:t xml:space="preserve">s. However, mentors may </w:t>
      </w:r>
      <w:r w:rsidR="002A3038">
        <w:rPr>
          <w:rFonts w:ascii="Calibri" w:hAnsi="Calibri" w:cs="Calibri"/>
          <w:color w:val="000000"/>
          <w:sz w:val="24"/>
          <w:szCs w:val="24"/>
        </w:rPr>
        <w:t xml:space="preserve">experience pressure between demonstrating empathy and ensuring </w:t>
      </w:r>
      <w:r w:rsidR="00F1012F">
        <w:rPr>
          <w:rFonts w:ascii="Calibri" w:hAnsi="Calibri" w:cs="Calibri"/>
          <w:color w:val="000000"/>
          <w:sz w:val="24"/>
          <w:szCs w:val="24"/>
        </w:rPr>
        <w:t xml:space="preserve">organisational standards are maintained. </w:t>
      </w:r>
      <w:proofErr w:type="spellStart"/>
      <w:r w:rsidR="00C065A8" w:rsidRPr="00277E7D">
        <w:rPr>
          <w:rFonts w:ascii="Calibri" w:hAnsi="Calibri" w:cs="Calibri"/>
          <w:color w:val="000000"/>
          <w:sz w:val="24"/>
          <w:szCs w:val="24"/>
        </w:rPr>
        <w:t>Omadeke</w:t>
      </w:r>
      <w:proofErr w:type="spellEnd"/>
      <w:r w:rsidR="00C065A8" w:rsidRPr="00277E7D">
        <w:rPr>
          <w:rFonts w:ascii="Calibri" w:hAnsi="Calibri" w:cs="Calibri"/>
          <w:color w:val="000000"/>
          <w:sz w:val="24"/>
          <w:szCs w:val="24"/>
        </w:rPr>
        <w:t xml:space="preserve"> </w:t>
      </w:r>
      <w:r w:rsidR="00C065A8">
        <w:rPr>
          <w:rFonts w:ascii="Calibri" w:hAnsi="Calibri" w:cs="Calibri"/>
          <w:color w:val="000000"/>
          <w:sz w:val="24"/>
          <w:szCs w:val="24"/>
        </w:rPr>
        <w:t>(</w:t>
      </w:r>
      <w:r w:rsidR="00C065A8" w:rsidRPr="00277E7D">
        <w:rPr>
          <w:rFonts w:ascii="Calibri" w:hAnsi="Calibri" w:cs="Calibri"/>
          <w:color w:val="000000"/>
          <w:sz w:val="24"/>
          <w:szCs w:val="24"/>
        </w:rPr>
        <w:t>2024)</w:t>
      </w:r>
      <w:r w:rsidR="00C065A8">
        <w:rPr>
          <w:rFonts w:ascii="Calibri" w:hAnsi="Calibri" w:cs="Calibri"/>
          <w:color w:val="000000"/>
          <w:sz w:val="24"/>
          <w:szCs w:val="24"/>
        </w:rPr>
        <w:t xml:space="preserve"> </w:t>
      </w:r>
      <w:r w:rsidR="00E0432E">
        <w:rPr>
          <w:rFonts w:ascii="Calibri" w:hAnsi="Calibri" w:cs="Calibri"/>
          <w:color w:val="000000"/>
          <w:sz w:val="24"/>
          <w:szCs w:val="24"/>
        </w:rPr>
        <w:t xml:space="preserve">agrees that mentors </w:t>
      </w:r>
      <w:r w:rsidR="00AD7C83">
        <w:rPr>
          <w:rFonts w:ascii="Calibri" w:hAnsi="Calibri" w:cs="Calibri"/>
          <w:color w:val="000000"/>
          <w:sz w:val="24"/>
          <w:szCs w:val="24"/>
        </w:rPr>
        <w:t>must balance supporting mentees with ensuring competence and accountability, which may create role conflict.</w:t>
      </w:r>
    </w:p>
    <w:p w14:paraId="5A8345DD" w14:textId="10256753" w:rsidR="007A3962" w:rsidRDefault="008134AE" w:rsidP="00793804">
      <w:pPr>
        <w:spacing w:line="360" w:lineRule="auto"/>
        <w:rPr>
          <w:rFonts w:ascii="Calibri" w:hAnsi="Calibri" w:cs="Calibri"/>
          <w:color w:val="000000"/>
          <w:sz w:val="24"/>
          <w:szCs w:val="24"/>
        </w:rPr>
      </w:pPr>
      <w:r>
        <w:rPr>
          <w:rFonts w:ascii="Calibri" w:hAnsi="Calibri" w:cs="Calibri"/>
          <w:color w:val="000000"/>
          <w:sz w:val="24"/>
          <w:szCs w:val="24"/>
        </w:rPr>
        <w:t xml:space="preserve">A non-judgemental attitude is also essential, </w:t>
      </w:r>
      <w:r w:rsidR="00FA0E2D">
        <w:rPr>
          <w:rFonts w:ascii="Calibri" w:hAnsi="Calibri" w:cs="Calibri"/>
          <w:color w:val="000000"/>
          <w:sz w:val="24"/>
          <w:szCs w:val="24"/>
        </w:rPr>
        <w:t xml:space="preserve">enabling mentees to discuss mistakes and learning needs openly, without fear of criticism (Hardie </w:t>
      </w:r>
      <w:r w:rsidR="002F3C44">
        <w:rPr>
          <w:rFonts w:ascii="Calibri" w:hAnsi="Calibri" w:cs="Calibri"/>
          <w:i/>
          <w:iCs/>
          <w:color w:val="000000"/>
          <w:sz w:val="24"/>
          <w:szCs w:val="24"/>
        </w:rPr>
        <w:t>et al.</w:t>
      </w:r>
      <w:r w:rsidR="002F3C44">
        <w:rPr>
          <w:rFonts w:ascii="Calibri" w:hAnsi="Calibri" w:cs="Calibri"/>
          <w:color w:val="000000"/>
          <w:sz w:val="24"/>
          <w:szCs w:val="24"/>
        </w:rPr>
        <w:t xml:space="preserve">, 2022). </w:t>
      </w:r>
      <w:r w:rsidR="005B7014">
        <w:rPr>
          <w:rFonts w:ascii="Calibri" w:hAnsi="Calibri" w:cs="Calibri"/>
          <w:color w:val="000000"/>
          <w:sz w:val="24"/>
          <w:szCs w:val="24"/>
        </w:rPr>
        <w:t xml:space="preserve">This supports reflective practice, which is essential for professional development (Schon, 1959). </w:t>
      </w:r>
      <w:r w:rsidR="006559C7">
        <w:rPr>
          <w:rFonts w:ascii="Calibri" w:hAnsi="Calibri" w:cs="Calibri"/>
          <w:color w:val="000000"/>
          <w:sz w:val="24"/>
          <w:szCs w:val="24"/>
        </w:rPr>
        <w:t xml:space="preserve">However, maintaining a non-judgemental approach can prove difficult for mentors who are tasked with ensuring clinical competence and safeguarding patient welfare. </w:t>
      </w:r>
    </w:p>
    <w:p w14:paraId="522F24AB" w14:textId="314D749B" w:rsidR="00793804" w:rsidRDefault="00793804" w:rsidP="00793804">
      <w:pPr>
        <w:spacing w:line="360" w:lineRule="auto"/>
        <w:rPr>
          <w:rFonts w:ascii="Calibri" w:hAnsi="Calibri" w:cs="Calibri"/>
          <w:sz w:val="24"/>
          <w:szCs w:val="24"/>
        </w:rPr>
      </w:pPr>
      <w:r>
        <w:rPr>
          <w:rFonts w:ascii="Calibri" w:hAnsi="Calibri" w:cs="Calibri"/>
          <w:color w:val="000000"/>
          <w:sz w:val="24"/>
          <w:szCs w:val="24"/>
        </w:rPr>
        <w:t xml:space="preserve">Mentors’ beliefs about learning and development greatly affect how </w:t>
      </w:r>
      <w:r w:rsidR="00C80157">
        <w:rPr>
          <w:rFonts w:ascii="Calibri" w:hAnsi="Calibri" w:cs="Calibri"/>
          <w:color w:val="000000"/>
          <w:sz w:val="24"/>
          <w:szCs w:val="24"/>
        </w:rPr>
        <w:t xml:space="preserve">effective their mentoring is. Traditional mentoring </w:t>
      </w:r>
      <w:r w:rsidR="00AA73D9">
        <w:rPr>
          <w:rFonts w:ascii="Calibri" w:hAnsi="Calibri" w:cs="Calibri"/>
          <w:color w:val="000000"/>
          <w:sz w:val="24"/>
          <w:szCs w:val="24"/>
        </w:rPr>
        <w:t>usually focuses on experts passing knowledge to novices (</w:t>
      </w:r>
      <w:proofErr w:type="spellStart"/>
      <w:r w:rsidR="00AA73D9">
        <w:rPr>
          <w:rFonts w:ascii="Calibri" w:hAnsi="Calibri" w:cs="Calibri"/>
          <w:color w:val="000000"/>
          <w:sz w:val="24"/>
          <w:szCs w:val="24"/>
        </w:rPr>
        <w:t>Acas</w:t>
      </w:r>
      <w:proofErr w:type="spellEnd"/>
      <w:r w:rsidR="00AA73D9">
        <w:rPr>
          <w:rFonts w:ascii="Calibri" w:hAnsi="Calibri" w:cs="Calibri"/>
          <w:color w:val="000000"/>
          <w:sz w:val="24"/>
          <w:szCs w:val="24"/>
        </w:rPr>
        <w:t xml:space="preserve">, 2024). </w:t>
      </w:r>
      <w:r w:rsidR="007E266E">
        <w:rPr>
          <w:rFonts w:ascii="Calibri" w:hAnsi="Calibri" w:cs="Calibri"/>
          <w:color w:val="000000"/>
          <w:sz w:val="24"/>
          <w:szCs w:val="24"/>
        </w:rPr>
        <w:t xml:space="preserve">However, as stated by </w:t>
      </w:r>
      <w:r w:rsidR="007E266E" w:rsidRPr="007C4CBA">
        <w:rPr>
          <w:rFonts w:ascii="Calibri" w:hAnsi="Calibri" w:cs="Calibri"/>
          <w:sz w:val="24"/>
          <w:szCs w:val="24"/>
        </w:rPr>
        <w:t xml:space="preserve">Youssef </w:t>
      </w:r>
      <w:proofErr w:type="spellStart"/>
      <w:r w:rsidR="007E266E" w:rsidRPr="007C4CBA">
        <w:rPr>
          <w:rFonts w:ascii="Calibri" w:hAnsi="Calibri" w:cs="Calibri"/>
          <w:sz w:val="24"/>
          <w:szCs w:val="24"/>
        </w:rPr>
        <w:t>Jouali</w:t>
      </w:r>
      <w:proofErr w:type="spellEnd"/>
      <w:r w:rsidR="007E266E">
        <w:rPr>
          <w:rFonts w:ascii="Calibri" w:hAnsi="Calibri" w:cs="Calibri"/>
          <w:sz w:val="24"/>
          <w:szCs w:val="24"/>
        </w:rPr>
        <w:t xml:space="preserve"> </w:t>
      </w:r>
      <w:r w:rsidR="007E266E">
        <w:rPr>
          <w:rFonts w:ascii="Calibri" w:hAnsi="Calibri" w:cs="Calibri"/>
          <w:i/>
          <w:iCs/>
          <w:sz w:val="24"/>
          <w:szCs w:val="24"/>
        </w:rPr>
        <w:t>et al.</w:t>
      </w:r>
      <w:r w:rsidR="007E266E">
        <w:rPr>
          <w:rFonts w:ascii="Calibri" w:hAnsi="Calibri" w:cs="Calibri"/>
          <w:sz w:val="24"/>
          <w:szCs w:val="24"/>
        </w:rPr>
        <w:t xml:space="preserve"> (2024), </w:t>
      </w:r>
      <w:r w:rsidR="00B217A6">
        <w:rPr>
          <w:rFonts w:ascii="Calibri" w:hAnsi="Calibri" w:cs="Calibri"/>
          <w:sz w:val="24"/>
          <w:szCs w:val="24"/>
        </w:rPr>
        <w:t xml:space="preserve">contemporary perspectives </w:t>
      </w:r>
      <w:r w:rsidR="009F2736">
        <w:rPr>
          <w:rFonts w:ascii="Calibri" w:hAnsi="Calibri" w:cs="Calibri"/>
          <w:sz w:val="24"/>
          <w:szCs w:val="24"/>
        </w:rPr>
        <w:t xml:space="preserve">emphasise mentoring as a </w:t>
      </w:r>
      <w:r w:rsidR="00FE058C">
        <w:rPr>
          <w:rFonts w:ascii="Calibri" w:hAnsi="Calibri" w:cs="Calibri"/>
          <w:sz w:val="24"/>
          <w:szCs w:val="24"/>
        </w:rPr>
        <w:t>collaborative</w:t>
      </w:r>
      <w:r w:rsidR="009F2736">
        <w:rPr>
          <w:rFonts w:ascii="Calibri" w:hAnsi="Calibri" w:cs="Calibri"/>
          <w:sz w:val="24"/>
          <w:szCs w:val="24"/>
        </w:rPr>
        <w:t xml:space="preserve"> learning process that supports critical </w:t>
      </w:r>
      <w:r w:rsidR="009F2736">
        <w:rPr>
          <w:rFonts w:ascii="Calibri" w:hAnsi="Calibri" w:cs="Calibri"/>
          <w:sz w:val="24"/>
          <w:szCs w:val="24"/>
        </w:rPr>
        <w:lastRenderedPageBreak/>
        <w:t xml:space="preserve">thinking and professional </w:t>
      </w:r>
      <w:r w:rsidR="005426C6">
        <w:rPr>
          <w:rFonts w:ascii="Calibri" w:hAnsi="Calibri" w:cs="Calibri"/>
          <w:sz w:val="24"/>
          <w:szCs w:val="24"/>
        </w:rPr>
        <w:t xml:space="preserve">growth. </w:t>
      </w:r>
      <w:r w:rsidR="00FE058C">
        <w:rPr>
          <w:rFonts w:ascii="Calibri" w:hAnsi="Calibri" w:cs="Calibri"/>
          <w:sz w:val="24"/>
          <w:szCs w:val="24"/>
        </w:rPr>
        <w:t xml:space="preserve">Mentors who therefore believe learning is a collaborative process are more likely to adopt facilitative approaches that support mentee autonomy. </w:t>
      </w:r>
    </w:p>
    <w:p w14:paraId="786FAEEA" w14:textId="1C8793F5" w:rsidR="00C17816" w:rsidRDefault="00C8483B" w:rsidP="00866554">
      <w:pPr>
        <w:spacing w:line="360" w:lineRule="auto"/>
        <w:rPr>
          <w:rFonts w:ascii="Calibri" w:hAnsi="Calibri" w:cs="Calibri"/>
          <w:sz w:val="24"/>
          <w:szCs w:val="24"/>
        </w:rPr>
      </w:pPr>
      <w:r>
        <w:rPr>
          <w:rFonts w:ascii="Calibri" w:hAnsi="Calibri" w:cs="Calibri"/>
          <w:sz w:val="24"/>
          <w:szCs w:val="24"/>
        </w:rPr>
        <w:t xml:space="preserve">Despite the recognised importance of these competencies, organisational factors </w:t>
      </w:r>
      <w:r w:rsidR="00BB07CF">
        <w:rPr>
          <w:rFonts w:ascii="Calibri" w:hAnsi="Calibri" w:cs="Calibri"/>
          <w:sz w:val="24"/>
          <w:szCs w:val="24"/>
        </w:rPr>
        <w:t xml:space="preserve">can hinder mentors from demonstrating them effectively. </w:t>
      </w:r>
      <w:r w:rsidR="00AA09DA">
        <w:rPr>
          <w:rFonts w:ascii="Calibri" w:hAnsi="Calibri" w:cs="Calibri"/>
          <w:sz w:val="24"/>
          <w:szCs w:val="24"/>
        </w:rPr>
        <w:t>NHS healthcare settings are often faced with staff shortages</w:t>
      </w:r>
      <w:r w:rsidR="00E541AC">
        <w:rPr>
          <w:rFonts w:ascii="Calibri" w:hAnsi="Calibri" w:cs="Calibri"/>
          <w:sz w:val="24"/>
          <w:szCs w:val="24"/>
        </w:rPr>
        <w:t>, time pressures, and high workload demands, limiting opportunities for effective mentori</w:t>
      </w:r>
      <w:r w:rsidR="0000538C">
        <w:rPr>
          <w:rFonts w:ascii="Calibri" w:hAnsi="Calibri" w:cs="Calibri"/>
          <w:sz w:val="24"/>
          <w:szCs w:val="24"/>
        </w:rPr>
        <w:t xml:space="preserve">ng </w:t>
      </w:r>
      <w:r w:rsidR="0000538C" w:rsidRPr="0000538C">
        <w:rPr>
          <w:rFonts w:ascii="Calibri" w:hAnsi="Calibri" w:cs="Calibri"/>
          <w:sz w:val="24"/>
          <w:szCs w:val="24"/>
        </w:rPr>
        <w:t>(Department of Health and Social Care, 2024)</w:t>
      </w:r>
      <w:r w:rsidR="0000538C">
        <w:rPr>
          <w:rFonts w:ascii="Calibri" w:hAnsi="Calibri" w:cs="Calibri"/>
          <w:sz w:val="24"/>
          <w:szCs w:val="24"/>
        </w:rPr>
        <w:t xml:space="preserve">. This highlights that </w:t>
      </w:r>
      <w:r w:rsidR="00263A9A">
        <w:rPr>
          <w:rFonts w:ascii="Calibri" w:hAnsi="Calibri" w:cs="Calibri"/>
          <w:sz w:val="24"/>
          <w:szCs w:val="24"/>
        </w:rPr>
        <w:t xml:space="preserve">the effectiveness of </w:t>
      </w:r>
      <w:r w:rsidR="0000538C">
        <w:rPr>
          <w:rFonts w:ascii="Calibri" w:hAnsi="Calibri" w:cs="Calibri"/>
          <w:sz w:val="24"/>
          <w:szCs w:val="24"/>
        </w:rPr>
        <w:t xml:space="preserve">mentoring depends </w:t>
      </w:r>
      <w:r w:rsidR="00155749">
        <w:rPr>
          <w:rFonts w:ascii="Calibri" w:hAnsi="Calibri" w:cs="Calibri"/>
          <w:sz w:val="24"/>
          <w:szCs w:val="24"/>
        </w:rPr>
        <w:t xml:space="preserve">not only on individual mentor competencies but also on organisational support. </w:t>
      </w:r>
    </w:p>
    <w:p w14:paraId="2127637B" w14:textId="2832EF59" w:rsidR="00284CE4" w:rsidRPr="00F15676" w:rsidRDefault="0039299F" w:rsidP="005160C0">
      <w:pPr>
        <w:spacing w:line="360" w:lineRule="auto"/>
        <w:rPr>
          <w:rFonts w:ascii="Calibri" w:hAnsi="Calibri" w:cs="Calibri"/>
          <w:sz w:val="24"/>
          <w:szCs w:val="24"/>
        </w:rPr>
      </w:pPr>
      <w:r>
        <w:rPr>
          <w:rFonts w:ascii="Calibri" w:hAnsi="Calibri" w:cs="Calibri"/>
          <w:sz w:val="24"/>
          <w:szCs w:val="24"/>
        </w:rPr>
        <w:t xml:space="preserve">To demonstrate the practical relevance of the competence discussed in this section, an applied case study is provided in </w:t>
      </w:r>
      <w:hyperlink w:anchor="_Appendix_C" w:history="1">
        <w:r w:rsidRPr="00CA4C94">
          <w:rPr>
            <w:rStyle w:val="Hyperlink"/>
            <w:rFonts w:ascii="Calibri" w:hAnsi="Calibri" w:cs="Calibri"/>
            <w:sz w:val="24"/>
            <w:szCs w:val="24"/>
          </w:rPr>
          <w:t xml:space="preserve">Appendix </w:t>
        </w:r>
        <w:r w:rsidR="00CA4C94" w:rsidRPr="00CA4C94">
          <w:rPr>
            <w:rStyle w:val="Hyperlink"/>
            <w:rFonts w:ascii="Calibri" w:hAnsi="Calibri" w:cs="Calibri"/>
            <w:sz w:val="24"/>
            <w:szCs w:val="24"/>
          </w:rPr>
          <w:t>C</w:t>
        </w:r>
      </w:hyperlink>
      <w:r w:rsidR="00CA4C94">
        <w:rPr>
          <w:rFonts w:ascii="Calibri" w:hAnsi="Calibri" w:cs="Calibri"/>
          <w:sz w:val="24"/>
          <w:szCs w:val="24"/>
        </w:rPr>
        <w:t xml:space="preserve">. The case study </w:t>
      </w:r>
      <w:r w:rsidR="00613C56">
        <w:rPr>
          <w:rFonts w:ascii="Calibri" w:hAnsi="Calibri" w:cs="Calibri"/>
          <w:sz w:val="24"/>
          <w:szCs w:val="24"/>
        </w:rPr>
        <w:t xml:space="preserve">demonstrates the theoretical discussion by illustrating how effective mentoring skills and behaviours may be </w:t>
      </w:r>
      <w:r w:rsidR="00F15676">
        <w:rPr>
          <w:rFonts w:ascii="Calibri" w:hAnsi="Calibri" w:cs="Calibri"/>
          <w:sz w:val="24"/>
          <w:szCs w:val="24"/>
        </w:rPr>
        <w:t xml:space="preserve">implemented within an NHS surgical ward. </w:t>
      </w:r>
    </w:p>
    <w:p w14:paraId="43DB6C57" w14:textId="6200046C" w:rsidR="00284CE4" w:rsidRPr="005A56EA" w:rsidRDefault="005A56EA" w:rsidP="005A56EA">
      <w:pPr>
        <w:pStyle w:val="Heading1"/>
        <w:rPr>
          <w:rFonts w:ascii="Calibri" w:hAnsi="Calibri" w:cs="Calibri"/>
        </w:rPr>
      </w:pPr>
      <w:bookmarkStart w:id="10" w:name="_Toc224731598"/>
      <w:r w:rsidRPr="005A56EA">
        <w:rPr>
          <w:rFonts w:ascii="Calibri" w:hAnsi="Calibri" w:cs="Calibri"/>
        </w:rPr>
        <w:t xml:space="preserve">4. </w:t>
      </w:r>
      <w:r w:rsidR="004F4A4A">
        <w:rPr>
          <w:rFonts w:ascii="Calibri" w:hAnsi="Calibri" w:cs="Calibri"/>
        </w:rPr>
        <w:t>Models and Processes for Effective Mentoring in an Organisational Context</w:t>
      </w:r>
      <w:bookmarkEnd w:id="10"/>
    </w:p>
    <w:p w14:paraId="42EB7094" w14:textId="77777777" w:rsidR="00CF5E01" w:rsidRDefault="00CF5E01">
      <w:pPr>
        <w:spacing w:line="360" w:lineRule="auto"/>
      </w:pPr>
      <w:r>
        <w:rPr>
          <w:rFonts w:ascii="Calibri" w:hAnsi="Calibri" w:cs="Calibri"/>
          <w:sz w:val="24"/>
          <w:szCs w:val="24"/>
        </w:rPr>
        <w:t>Effective mentoring in organisational settings requires structured frameworks to guide interactions between mentor-mentee, uphold ethics, and support measurable development outcomes. Mentoring models provide a systematic process that supports learning, reflection, and behavioural change that aligns personal development with organisational goals (Clutterbuck, 2014). However, some scholars question if such models enhance mentoring effectiveness or restrict the relational and developmental aspects (</w:t>
      </w:r>
      <w:proofErr w:type="spellStart"/>
      <w:r>
        <w:rPr>
          <w:rFonts w:ascii="Calibri" w:hAnsi="Calibri" w:cs="Calibri"/>
          <w:sz w:val="24"/>
          <w:szCs w:val="24"/>
        </w:rPr>
        <w:t>Hairon</w:t>
      </w:r>
      <w:proofErr w:type="spellEnd"/>
      <w:r>
        <w:rPr>
          <w:rFonts w:ascii="Calibri" w:hAnsi="Calibri" w:cs="Calibri"/>
          <w:sz w:val="24"/>
          <w:szCs w:val="24"/>
        </w:rPr>
        <w:t xml:space="preserve"> </w:t>
      </w:r>
      <w:proofErr w:type="gramStart"/>
      <w:r>
        <w:rPr>
          <w:rFonts w:ascii="Calibri" w:hAnsi="Calibri" w:cs="Calibri"/>
          <w:i/>
          <w:iCs/>
          <w:sz w:val="24"/>
          <w:szCs w:val="24"/>
        </w:rPr>
        <w:t>et al.</w:t>
      </w:r>
      <w:r>
        <w:rPr>
          <w:rFonts w:ascii="Calibri" w:hAnsi="Calibri" w:cs="Calibri"/>
          <w:sz w:val="24"/>
          <w:szCs w:val="24"/>
        </w:rPr>
        <w:t xml:space="preserve"> ,</w:t>
      </w:r>
      <w:proofErr w:type="gramEnd"/>
      <w:r>
        <w:rPr>
          <w:rFonts w:ascii="Calibri" w:hAnsi="Calibri" w:cs="Calibri"/>
          <w:sz w:val="24"/>
          <w:szCs w:val="24"/>
        </w:rPr>
        <w:t xml:space="preserve"> 2019). </w:t>
      </w:r>
    </w:p>
    <w:p w14:paraId="7111C3A6" w14:textId="1E3A2819" w:rsidR="00102732" w:rsidRDefault="00CF5E01" w:rsidP="007567FF">
      <w:pPr>
        <w:spacing w:line="360" w:lineRule="auto"/>
        <w:rPr>
          <w:rFonts w:ascii="Calibri" w:hAnsi="Calibri" w:cs="Calibri"/>
          <w:sz w:val="24"/>
          <w:szCs w:val="24"/>
        </w:rPr>
      </w:pPr>
      <w:r>
        <w:rPr>
          <w:rFonts w:ascii="Calibri" w:hAnsi="Calibri" w:cs="Calibri"/>
          <w:sz w:val="24"/>
          <w:szCs w:val="24"/>
        </w:rPr>
        <w:t>The GROW and OSCAR models structure mentoring conversations</w:t>
      </w:r>
      <w:r w:rsidR="00674882">
        <w:rPr>
          <w:rFonts w:ascii="Calibri" w:hAnsi="Calibri" w:cs="Calibri"/>
          <w:sz w:val="24"/>
          <w:szCs w:val="24"/>
        </w:rPr>
        <w:t>, helping mentors and mentees to identify and clarify goals. Drawing on Adult Learning Theory, these frameworks encourage autonomy, while S</w:t>
      </w:r>
      <w:r w:rsidR="00FA5C91">
        <w:rPr>
          <w:rFonts w:ascii="Calibri" w:hAnsi="Calibri" w:cs="Calibri"/>
          <w:sz w:val="24"/>
          <w:szCs w:val="24"/>
        </w:rPr>
        <w:t>ch</w:t>
      </w:r>
      <w:r w:rsidR="00CC2142">
        <w:rPr>
          <w:rFonts w:ascii="Calibri" w:hAnsi="Calibri" w:cs="Calibri"/>
          <w:sz w:val="24"/>
          <w:szCs w:val="24"/>
        </w:rPr>
        <w:t>o</w:t>
      </w:r>
      <w:r w:rsidR="00016ED9">
        <w:rPr>
          <w:rFonts w:ascii="Calibri" w:hAnsi="Calibri" w:cs="Calibri"/>
          <w:sz w:val="24"/>
          <w:szCs w:val="24"/>
        </w:rPr>
        <w:t xml:space="preserve">n’s Reflective Practice supports ongoing development through reflection. </w:t>
      </w:r>
      <w:r w:rsidR="007567FF">
        <w:rPr>
          <w:rFonts w:ascii="Calibri" w:hAnsi="Calibri" w:cs="Calibri"/>
          <w:sz w:val="24"/>
          <w:szCs w:val="24"/>
        </w:rPr>
        <w:t xml:space="preserve">These models enable effective guidance and support in workplace mentoring. </w:t>
      </w:r>
    </w:p>
    <w:p w14:paraId="092FAE0C" w14:textId="21BD042A" w:rsidR="007567FF" w:rsidRPr="00DB0878" w:rsidRDefault="007567FF" w:rsidP="007567FF">
      <w:pPr>
        <w:pStyle w:val="Heading2"/>
        <w:rPr>
          <w:rFonts w:ascii="Calibri" w:hAnsi="Calibri" w:cs="Calibri"/>
        </w:rPr>
      </w:pPr>
      <w:bookmarkStart w:id="11" w:name="_Toc224731599"/>
      <w:r w:rsidRPr="00DB0878">
        <w:rPr>
          <w:rFonts w:ascii="Calibri" w:hAnsi="Calibri" w:cs="Calibri"/>
        </w:rPr>
        <w:t>4.</w:t>
      </w:r>
      <w:r w:rsidR="00DB0878" w:rsidRPr="00DB0878">
        <w:rPr>
          <w:rFonts w:ascii="Calibri" w:hAnsi="Calibri" w:cs="Calibri"/>
        </w:rPr>
        <w:t>1 The GROW Model as a Structured Mentoring Framework</w:t>
      </w:r>
      <w:bookmarkEnd w:id="11"/>
    </w:p>
    <w:p w14:paraId="1C3F15A7" w14:textId="3D59C4D5" w:rsidR="00DB0878" w:rsidRDefault="005E7772" w:rsidP="00520A56">
      <w:pPr>
        <w:spacing w:line="360" w:lineRule="auto"/>
        <w:rPr>
          <w:rFonts w:ascii="Calibri" w:hAnsi="Calibri" w:cs="Calibri"/>
          <w:sz w:val="24"/>
          <w:szCs w:val="24"/>
        </w:rPr>
      </w:pPr>
      <w:r>
        <w:rPr>
          <w:rFonts w:ascii="Calibri" w:hAnsi="Calibri" w:cs="Calibri"/>
          <w:sz w:val="24"/>
          <w:szCs w:val="24"/>
        </w:rPr>
        <w:t xml:space="preserve">The GROW model, developed by Whitmore (2017), is </w:t>
      </w:r>
      <w:r w:rsidR="001E754F">
        <w:rPr>
          <w:rFonts w:ascii="Calibri" w:hAnsi="Calibri" w:cs="Calibri"/>
          <w:sz w:val="24"/>
          <w:szCs w:val="24"/>
        </w:rPr>
        <w:t xml:space="preserve">a popular developmental </w:t>
      </w:r>
      <w:r w:rsidR="00B161F1">
        <w:rPr>
          <w:rFonts w:ascii="Calibri" w:hAnsi="Calibri" w:cs="Calibri"/>
          <w:sz w:val="24"/>
          <w:szCs w:val="24"/>
        </w:rPr>
        <w:t xml:space="preserve">framework that </w:t>
      </w:r>
      <w:r w:rsidR="00520A56">
        <w:rPr>
          <w:rFonts w:ascii="Calibri" w:hAnsi="Calibri" w:cs="Calibri"/>
          <w:sz w:val="24"/>
          <w:szCs w:val="24"/>
        </w:rPr>
        <w:t xml:space="preserve">consists of four stages: Goal, Reality, Options and Will. </w:t>
      </w:r>
      <w:r w:rsidR="00E3152F">
        <w:rPr>
          <w:rFonts w:ascii="Calibri" w:hAnsi="Calibri" w:cs="Calibri"/>
          <w:sz w:val="24"/>
          <w:szCs w:val="24"/>
        </w:rPr>
        <w:t xml:space="preserve">Although originally </w:t>
      </w:r>
      <w:r w:rsidR="00CA13BB">
        <w:rPr>
          <w:rFonts w:ascii="Calibri" w:hAnsi="Calibri" w:cs="Calibri"/>
          <w:sz w:val="24"/>
          <w:szCs w:val="24"/>
        </w:rPr>
        <w:t xml:space="preserve">designed for </w:t>
      </w:r>
      <w:r w:rsidR="00CA13BB">
        <w:rPr>
          <w:rFonts w:ascii="Calibri" w:hAnsi="Calibri" w:cs="Calibri"/>
          <w:sz w:val="24"/>
          <w:szCs w:val="24"/>
        </w:rPr>
        <w:lastRenderedPageBreak/>
        <w:t>coaching, it has been widely adapted to mentoring due to its struc</w:t>
      </w:r>
      <w:r w:rsidR="008C78E4">
        <w:rPr>
          <w:rFonts w:ascii="Calibri" w:hAnsi="Calibri" w:cs="Calibri"/>
          <w:sz w:val="24"/>
          <w:szCs w:val="24"/>
        </w:rPr>
        <w:t>tured and adaptable approach to developmental conversations (Bawany, 2023).</w:t>
      </w:r>
    </w:p>
    <w:p w14:paraId="778D0951" w14:textId="45E1E827" w:rsidR="00A443C4" w:rsidRDefault="00A443C4" w:rsidP="00520A56">
      <w:pPr>
        <w:spacing w:line="360" w:lineRule="auto"/>
        <w:rPr>
          <w:rFonts w:ascii="Calibri" w:hAnsi="Calibri" w:cs="Calibri"/>
          <w:sz w:val="24"/>
          <w:szCs w:val="24"/>
        </w:rPr>
      </w:pPr>
      <w:r>
        <w:rPr>
          <w:rFonts w:ascii="Calibri" w:hAnsi="Calibri" w:cs="Calibri"/>
          <w:sz w:val="24"/>
          <w:szCs w:val="24"/>
        </w:rPr>
        <w:t>The Goal stage clarifies the mentee’s aims</w:t>
      </w:r>
      <w:r w:rsidR="009863FB">
        <w:rPr>
          <w:rFonts w:ascii="Calibri" w:hAnsi="Calibri" w:cs="Calibri"/>
          <w:sz w:val="24"/>
          <w:szCs w:val="24"/>
        </w:rPr>
        <w:t>. Within an NHS surgical ward,</w:t>
      </w:r>
      <w:r w:rsidR="00CA185D">
        <w:rPr>
          <w:rFonts w:ascii="Calibri" w:hAnsi="Calibri" w:cs="Calibri"/>
          <w:sz w:val="24"/>
          <w:szCs w:val="24"/>
        </w:rPr>
        <w:t xml:space="preserve"> this may involve</w:t>
      </w:r>
      <w:r w:rsidR="009863FB">
        <w:rPr>
          <w:rFonts w:ascii="Calibri" w:hAnsi="Calibri" w:cs="Calibri"/>
          <w:sz w:val="24"/>
          <w:szCs w:val="24"/>
        </w:rPr>
        <w:t xml:space="preserve"> a newly qualified nurse</w:t>
      </w:r>
      <w:r w:rsidR="00B36137">
        <w:rPr>
          <w:rFonts w:ascii="Calibri" w:hAnsi="Calibri" w:cs="Calibri"/>
          <w:sz w:val="24"/>
          <w:szCs w:val="24"/>
        </w:rPr>
        <w:t xml:space="preserve"> identify</w:t>
      </w:r>
      <w:r w:rsidR="00CA185D">
        <w:rPr>
          <w:rFonts w:ascii="Calibri" w:hAnsi="Calibri" w:cs="Calibri"/>
          <w:sz w:val="24"/>
          <w:szCs w:val="24"/>
        </w:rPr>
        <w:t>ing</w:t>
      </w:r>
      <w:r w:rsidR="00B36137">
        <w:rPr>
          <w:rFonts w:ascii="Calibri" w:hAnsi="Calibri" w:cs="Calibri"/>
          <w:sz w:val="24"/>
          <w:szCs w:val="24"/>
        </w:rPr>
        <w:t xml:space="preserve"> a goal such as improving competence in post-operative patient assessments. </w:t>
      </w:r>
      <w:r w:rsidR="00CA185D">
        <w:rPr>
          <w:rFonts w:ascii="Calibri" w:hAnsi="Calibri" w:cs="Calibri"/>
          <w:sz w:val="24"/>
          <w:szCs w:val="24"/>
        </w:rPr>
        <w:t>Establishing clear goals align</w:t>
      </w:r>
      <w:r w:rsidR="00AF69CC">
        <w:rPr>
          <w:rFonts w:ascii="Calibri" w:hAnsi="Calibri" w:cs="Calibri"/>
          <w:sz w:val="24"/>
          <w:szCs w:val="24"/>
        </w:rPr>
        <w:t>s with Goal Setting Theory (Locke and Latham, 2002)</w:t>
      </w:r>
      <w:r w:rsidR="003F5DDB">
        <w:rPr>
          <w:rFonts w:ascii="Calibri" w:hAnsi="Calibri" w:cs="Calibri"/>
          <w:sz w:val="24"/>
          <w:szCs w:val="24"/>
        </w:rPr>
        <w:t xml:space="preserve">, which demonstrates that specific and challenging goals enhance performance (Moore, 2019). </w:t>
      </w:r>
    </w:p>
    <w:p w14:paraId="2F5C0B76" w14:textId="7AEBDE92" w:rsidR="003F5DDB" w:rsidRDefault="003F5DDB" w:rsidP="00520A56">
      <w:pPr>
        <w:spacing w:line="360" w:lineRule="auto"/>
        <w:rPr>
          <w:rFonts w:ascii="Calibri" w:hAnsi="Calibri" w:cs="Calibri"/>
          <w:sz w:val="24"/>
          <w:szCs w:val="24"/>
        </w:rPr>
      </w:pPr>
      <w:r>
        <w:rPr>
          <w:rFonts w:ascii="Calibri" w:hAnsi="Calibri" w:cs="Calibri"/>
          <w:sz w:val="24"/>
          <w:szCs w:val="24"/>
        </w:rPr>
        <w:t xml:space="preserve">The Reality stage </w:t>
      </w:r>
      <w:r w:rsidR="009049F4">
        <w:rPr>
          <w:rFonts w:ascii="Calibri" w:hAnsi="Calibri" w:cs="Calibri"/>
          <w:sz w:val="24"/>
          <w:szCs w:val="24"/>
        </w:rPr>
        <w:t xml:space="preserve">helps mentees assess their current situation, identifying strengths and areas for improvement. </w:t>
      </w:r>
      <w:r w:rsidR="00617C68">
        <w:rPr>
          <w:rFonts w:ascii="Calibri" w:hAnsi="Calibri" w:cs="Calibri"/>
          <w:sz w:val="24"/>
          <w:szCs w:val="24"/>
        </w:rPr>
        <w:t xml:space="preserve">For example, a mentee may </w:t>
      </w:r>
      <w:r w:rsidR="00E70B01">
        <w:rPr>
          <w:rFonts w:ascii="Calibri" w:hAnsi="Calibri" w:cs="Calibri"/>
          <w:sz w:val="24"/>
          <w:szCs w:val="24"/>
        </w:rPr>
        <w:t xml:space="preserve">notice they struggle to recognise early post-surgical complications. </w:t>
      </w:r>
      <w:r w:rsidR="00D1420B">
        <w:rPr>
          <w:rFonts w:ascii="Calibri" w:hAnsi="Calibri" w:cs="Calibri"/>
          <w:sz w:val="24"/>
          <w:szCs w:val="24"/>
        </w:rPr>
        <w:t>This stage supports self-awareness, which is essential for professional growth (</w:t>
      </w:r>
      <w:r w:rsidR="004111AE" w:rsidRPr="004111AE">
        <w:rPr>
          <w:rFonts w:ascii="Calibri" w:hAnsi="Calibri" w:cs="Calibri"/>
          <w:sz w:val="24"/>
          <w:szCs w:val="24"/>
        </w:rPr>
        <w:t>Pereira</w:t>
      </w:r>
      <w:r w:rsidR="004111AE">
        <w:rPr>
          <w:rFonts w:ascii="Calibri" w:hAnsi="Calibri" w:cs="Calibri"/>
          <w:sz w:val="24"/>
          <w:szCs w:val="24"/>
        </w:rPr>
        <w:t xml:space="preserve"> </w:t>
      </w:r>
      <w:r w:rsidR="004111AE">
        <w:rPr>
          <w:rFonts w:ascii="Calibri" w:hAnsi="Calibri" w:cs="Calibri"/>
          <w:i/>
          <w:iCs/>
          <w:sz w:val="24"/>
          <w:szCs w:val="24"/>
        </w:rPr>
        <w:t>et al.</w:t>
      </w:r>
      <w:r w:rsidR="004111AE">
        <w:rPr>
          <w:rFonts w:ascii="Calibri" w:hAnsi="Calibri" w:cs="Calibri"/>
          <w:sz w:val="24"/>
          <w:szCs w:val="24"/>
        </w:rPr>
        <w:t>, 2024).</w:t>
      </w:r>
    </w:p>
    <w:p w14:paraId="32B9CECD" w14:textId="334322F2" w:rsidR="003E76B4" w:rsidRDefault="00EB773A" w:rsidP="00520A56">
      <w:pPr>
        <w:spacing w:line="360" w:lineRule="auto"/>
        <w:rPr>
          <w:rFonts w:ascii="Calibri" w:hAnsi="Calibri" w:cs="Calibri"/>
          <w:sz w:val="24"/>
          <w:szCs w:val="24"/>
        </w:rPr>
      </w:pPr>
      <w:r>
        <w:rPr>
          <w:rFonts w:ascii="Calibri" w:hAnsi="Calibri" w:cs="Calibri"/>
          <w:sz w:val="24"/>
          <w:szCs w:val="24"/>
        </w:rPr>
        <w:t xml:space="preserve">The Options stage </w:t>
      </w:r>
      <w:r w:rsidR="00576E60">
        <w:rPr>
          <w:rFonts w:ascii="Calibri" w:hAnsi="Calibri" w:cs="Calibri"/>
          <w:sz w:val="24"/>
          <w:szCs w:val="24"/>
        </w:rPr>
        <w:t xml:space="preserve">encourages </w:t>
      </w:r>
      <w:r w:rsidR="00AB7F0D">
        <w:rPr>
          <w:rFonts w:ascii="Calibri" w:hAnsi="Calibri" w:cs="Calibri"/>
          <w:sz w:val="24"/>
          <w:szCs w:val="24"/>
        </w:rPr>
        <w:t xml:space="preserve">exploring potential solutions, such as </w:t>
      </w:r>
      <w:r w:rsidR="00724453">
        <w:rPr>
          <w:rFonts w:ascii="Calibri" w:hAnsi="Calibri" w:cs="Calibri"/>
          <w:sz w:val="24"/>
          <w:szCs w:val="24"/>
        </w:rPr>
        <w:t xml:space="preserve">shadowing experienced </w:t>
      </w:r>
      <w:r w:rsidR="002804C8">
        <w:rPr>
          <w:rFonts w:ascii="Calibri" w:hAnsi="Calibri" w:cs="Calibri"/>
          <w:sz w:val="24"/>
          <w:szCs w:val="24"/>
        </w:rPr>
        <w:t xml:space="preserve">nurses or </w:t>
      </w:r>
      <w:r w:rsidR="001032BF">
        <w:rPr>
          <w:rFonts w:ascii="Calibri" w:hAnsi="Calibri" w:cs="Calibri"/>
          <w:sz w:val="24"/>
          <w:szCs w:val="24"/>
        </w:rPr>
        <w:t xml:space="preserve">participating in clinical skills workshops. </w:t>
      </w:r>
      <w:r w:rsidR="00942CA8">
        <w:rPr>
          <w:rFonts w:ascii="Calibri" w:hAnsi="Calibri" w:cs="Calibri"/>
          <w:sz w:val="24"/>
          <w:szCs w:val="24"/>
        </w:rPr>
        <w:t>This promotes problem-solving and learner autonomy, aligning with established learning principles</w:t>
      </w:r>
      <w:r w:rsidR="001552DF">
        <w:rPr>
          <w:rFonts w:ascii="Calibri" w:hAnsi="Calibri" w:cs="Calibri"/>
          <w:sz w:val="24"/>
          <w:szCs w:val="24"/>
        </w:rPr>
        <w:t xml:space="preserve"> </w:t>
      </w:r>
      <w:r w:rsidR="00256416">
        <w:rPr>
          <w:rFonts w:ascii="Calibri" w:hAnsi="Calibri" w:cs="Calibri"/>
          <w:sz w:val="24"/>
          <w:szCs w:val="24"/>
        </w:rPr>
        <w:t xml:space="preserve">(Knowles </w:t>
      </w:r>
      <w:r w:rsidR="00256416">
        <w:rPr>
          <w:rFonts w:ascii="Calibri" w:hAnsi="Calibri" w:cs="Calibri"/>
          <w:i/>
          <w:iCs/>
          <w:sz w:val="24"/>
          <w:szCs w:val="24"/>
        </w:rPr>
        <w:t>et al.</w:t>
      </w:r>
      <w:r w:rsidR="00256416">
        <w:rPr>
          <w:rFonts w:ascii="Calibri" w:hAnsi="Calibri" w:cs="Calibri"/>
          <w:sz w:val="24"/>
          <w:szCs w:val="24"/>
        </w:rPr>
        <w:t>, 2015).</w:t>
      </w:r>
    </w:p>
    <w:p w14:paraId="1A40F4C6" w14:textId="639B4306" w:rsidR="000C4061" w:rsidRDefault="00753F33" w:rsidP="00520A56">
      <w:pPr>
        <w:spacing w:line="360" w:lineRule="auto"/>
        <w:rPr>
          <w:rFonts w:ascii="Calibri" w:hAnsi="Calibri" w:cs="Calibri"/>
          <w:sz w:val="24"/>
          <w:szCs w:val="24"/>
        </w:rPr>
      </w:pPr>
      <w:r>
        <w:rPr>
          <w:rFonts w:ascii="Calibri" w:hAnsi="Calibri" w:cs="Calibri"/>
          <w:sz w:val="24"/>
          <w:szCs w:val="24"/>
        </w:rPr>
        <w:t xml:space="preserve">Finally, the Will stage </w:t>
      </w:r>
      <w:r w:rsidR="00D804C4">
        <w:rPr>
          <w:rFonts w:ascii="Calibri" w:hAnsi="Calibri" w:cs="Calibri"/>
          <w:sz w:val="24"/>
          <w:szCs w:val="24"/>
        </w:rPr>
        <w:t xml:space="preserve">focuses on commitment to action, ensuring accountability and implementation. This stage is crucial for </w:t>
      </w:r>
      <w:r w:rsidR="00220BFA">
        <w:rPr>
          <w:rFonts w:ascii="Calibri" w:hAnsi="Calibri" w:cs="Calibri"/>
          <w:sz w:val="24"/>
          <w:szCs w:val="24"/>
        </w:rPr>
        <w:t xml:space="preserve">turning knowledge into practice, especially in healthcare setting where patient safety relies on practical competence. </w:t>
      </w:r>
    </w:p>
    <w:p w14:paraId="74F7B999" w14:textId="3EF75A75" w:rsidR="00CE6A22" w:rsidRDefault="002F3312" w:rsidP="00520A56">
      <w:pPr>
        <w:spacing w:line="360" w:lineRule="auto"/>
        <w:rPr>
          <w:rFonts w:ascii="Calibri" w:hAnsi="Calibri" w:cs="Calibri"/>
          <w:sz w:val="24"/>
          <w:szCs w:val="24"/>
        </w:rPr>
      </w:pPr>
      <w:r>
        <w:rPr>
          <w:rFonts w:ascii="Calibri" w:hAnsi="Calibri" w:cs="Calibri"/>
          <w:sz w:val="24"/>
          <w:szCs w:val="24"/>
        </w:rPr>
        <w:t xml:space="preserve">While the GROW model has strengths, critics argue </w:t>
      </w:r>
      <w:r w:rsidR="00352B3B">
        <w:rPr>
          <w:rFonts w:ascii="Calibri" w:hAnsi="Calibri" w:cs="Calibri"/>
          <w:sz w:val="24"/>
          <w:szCs w:val="24"/>
        </w:rPr>
        <w:t xml:space="preserve">it may oversimplify development and promote transactional problem-solving </w:t>
      </w:r>
      <w:r w:rsidR="00DE0760">
        <w:rPr>
          <w:rFonts w:ascii="Calibri" w:hAnsi="Calibri" w:cs="Calibri"/>
          <w:sz w:val="24"/>
          <w:szCs w:val="24"/>
        </w:rPr>
        <w:t>rather than relational learning</w:t>
      </w:r>
      <w:r w:rsidR="006703D1">
        <w:rPr>
          <w:rFonts w:ascii="Calibri" w:hAnsi="Calibri" w:cs="Calibri"/>
          <w:sz w:val="24"/>
          <w:szCs w:val="24"/>
        </w:rPr>
        <w:t xml:space="preserve"> (Invictus Leadership, 2022).</w:t>
      </w:r>
      <w:r w:rsidR="003E499C">
        <w:rPr>
          <w:rFonts w:ascii="Calibri" w:hAnsi="Calibri" w:cs="Calibri"/>
          <w:sz w:val="24"/>
          <w:szCs w:val="24"/>
        </w:rPr>
        <w:t xml:space="preserve"> </w:t>
      </w:r>
      <w:r w:rsidR="004F7FD2">
        <w:rPr>
          <w:rFonts w:ascii="Calibri" w:hAnsi="Calibri" w:cs="Calibri"/>
          <w:sz w:val="24"/>
          <w:szCs w:val="24"/>
        </w:rPr>
        <w:t xml:space="preserve">Mentoring often involves emotional support, </w:t>
      </w:r>
      <w:r w:rsidR="00F31BFD">
        <w:rPr>
          <w:rFonts w:ascii="Calibri" w:hAnsi="Calibri" w:cs="Calibri"/>
          <w:sz w:val="24"/>
          <w:szCs w:val="24"/>
        </w:rPr>
        <w:t xml:space="preserve">identity growth, and professional socialisation, which may not fit into structured </w:t>
      </w:r>
      <w:r w:rsidR="00AD45DB">
        <w:rPr>
          <w:rFonts w:ascii="Calibri" w:hAnsi="Calibri" w:cs="Calibri"/>
          <w:sz w:val="24"/>
          <w:szCs w:val="24"/>
        </w:rPr>
        <w:t xml:space="preserve">goal focused frameworks </w:t>
      </w:r>
      <w:r w:rsidR="003C3D97">
        <w:rPr>
          <w:rFonts w:ascii="Calibri" w:hAnsi="Calibri" w:cs="Calibri"/>
          <w:sz w:val="24"/>
          <w:szCs w:val="24"/>
        </w:rPr>
        <w:t>(</w:t>
      </w:r>
      <w:r w:rsidR="00E7686E">
        <w:rPr>
          <w:rFonts w:ascii="Calibri" w:hAnsi="Calibri" w:cs="Calibri"/>
          <w:sz w:val="24"/>
          <w:szCs w:val="24"/>
        </w:rPr>
        <w:t xml:space="preserve">Alonzo </w:t>
      </w:r>
      <w:r w:rsidR="00E7686E">
        <w:rPr>
          <w:rFonts w:ascii="Calibri" w:hAnsi="Calibri" w:cs="Calibri"/>
          <w:i/>
          <w:iCs/>
          <w:sz w:val="24"/>
          <w:szCs w:val="24"/>
        </w:rPr>
        <w:t>et al.</w:t>
      </w:r>
      <w:r w:rsidR="003C3D97">
        <w:rPr>
          <w:rFonts w:ascii="Calibri" w:hAnsi="Calibri" w:cs="Calibri"/>
          <w:sz w:val="24"/>
          <w:szCs w:val="24"/>
        </w:rPr>
        <w:t>,</w:t>
      </w:r>
      <w:r w:rsidR="00E7686E">
        <w:rPr>
          <w:rFonts w:ascii="Calibri" w:hAnsi="Calibri" w:cs="Calibri"/>
          <w:sz w:val="24"/>
          <w:szCs w:val="24"/>
        </w:rPr>
        <w:t xml:space="preserve"> 2025)</w:t>
      </w:r>
      <w:r w:rsidR="003C3D97">
        <w:rPr>
          <w:rFonts w:ascii="Calibri" w:hAnsi="Calibri" w:cs="Calibri"/>
          <w:sz w:val="24"/>
          <w:szCs w:val="24"/>
        </w:rPr>
        <w:t xml:space="preserve">. In healthcare settings, </w:t>
      </w:r>
      <w:r w:rsidR="00C74829">
        <w:rPr>
          <w:rFonts w:ascii="Calibri" w:hAnsi="Calibri" w:cs="Calibri"/>
          <w:sz w:val="24"/>
          <w:szCs w:val="24"/>
        </w:rPr>
        <w:t xml:space="preserve">learning often occurs in unpredictable clinical environments, </w:t>
      </w:r>
      <w:r w:rsidR="009D7C6A">
        <w:rPr>
          <w:rFonts w:ascii="Calibri" w:hAnsi="Calibri" w:cs="Calibri"/>
          <w:sz w:val="24"/>
          <w:szCs w:val="24"/>
        </w:rPr>
        <w:t xml:space="preserve">requiring flexibility </w:t>
      </w:r>
      <w:r w:rsidR="00CE6A22">
        <w:rPr>
          <w:rFonts w:ascii="Calibri" w:hAnsi="Calibri" w:cs="Calibri"/>
          <w:sz w:val="24"/>
          <w:szCs w:val="24"/>
        </w:rPr>
        <w:t xml:space="preserve">beyond structured models. </w:t>
      </w:r>
    </w:p>
    <w:p w14:paraId="2CBBB59B" w14:textId="321DBF12" w:rsidR="00CE6A22" w:rsidRDefault="00CE6A22" w:rsidP="00520A56">
      <w:pPr>
        <w:spacing w:line="360" w:lineRule="auto"/>
        <w:rPr>
          <w:rFonts w:ascii="Calibri" w:hAnsi="Calibri" w:cs="Calibri"/>
          <w:sz w:val="24"/>
          <w:szCs w:val="24"/>
        </w:rPr>
      </w:pPr>
      <w:r>
        <w:rPr>
          <w:rFonts w:ascii="Calibri" w:hAnsi="Calibri" w:cs="Calibri"/>
          <w:sz w:val="24"/>
          <w:szCs w:val="24"/>
        </w:rPr>
        <w:t xml:space="preserve">However, </w:t>
      </w:r>
      <w:r w:rsidR="00893288">
        <w:rPr>
          <w:rFonts w:ascii="Calibri" w:hAnsi="Calibri" w:cs="Calibri"/>
          <w:sz w:val="24"/>
          <w:szCs w:val="24"/>
        </w:rPr>
        <w:t>Grant (2014) argues that structured models like GROW</w:t>
      </w:r>
      <w:r w:rsidR="00251037">
        <w:rPr>
          <w:rFonts w:ascii="Calibri" w:hAnsi="Calibri" w:cs="Calibri"/>
          <w:sz w:val="24"/>
          <w:szCs w:val="24"/>
        </w:rPr>
        <w:t xml:space="preserve"> enhance effectiveness by offering clear, consistent guidance and acc</w:t>
      </w:r>
      <w:r w:rsidR="00D505E3">
        <w:rPr>
          <w:rFonts w:ascii="Calibri" w:hAnsi="Calibri" w:cs="Calibri"/>
          <w:sz w:val="24"/>
          <w:szCs w:val="24"/>
        </w:rPr>
        <w:t xml:space="preserve">ountability, especially for new mentors. </w:t>
      </w:r>
      <w:r w:rsidR="00346311">
        <w:rPr>
          <w:rFonts w:ascii="Calibri" w:hAnsi="Calibri" w:cs="Calibri"/>
          <w:sz w:val="24"/>
          <w:szCs w:val="24"/>
        </w:rPr>
        <w:t xml:space="preserve">Within NHS surgical wards, </w:t>
      </w:r>
      <w:r w:rsidR="00854F46">
        <w:rPr>
          <w:rFonts w:ascii="Calibri" w:hAnsi="Calibri" w:cs="Calibri"/>
          <w:sz w:val="24"/>
          <w:szCs w:val="24"/>
        </w:rPr>
        <w:t xml:space="preserve">mentors must balance patient care responsibilities with mentoring duties, </w:t>
      </w:r>
      <w:r w:rsidR="00771168">
        <w:rPr>
          <w:rFonts w:ascii="Calibri" w:hAnsi="Calibri" w:cs="Calibri"/>
          <w:sz w:val="24"/>
          <w:szCs w:val="24"/>
        </w:rPr>
        <w:t>so t</w:t>
      </w:r>
      <w:r w:rsidR="002F18ED">
        <w:rPr>
          <w:rFonts w:ascii="Calibri" w:hAnsi="Calibri" w:cs="Calibri"/>
          <w:sz w:val="24"/>
          <w:szCs w:val="24"/>
        </w:rPr>
        <w:t xml:space="preserve">hese structured models </w:t>
      </w:r>
      <w:r w:rsidR="00E95233">
        <w:rPr>
          <w:rFonts w:ascii="Calibri" w:hAnsi="Calibri" w:cs="Calibri"/>
          <w:sz w:val="24"/>
          <w:szCs w:val="24"/>
        </w:rPr>
        <w:t xml:space="preserve">provide </w:t>
      </w:r>
      <w:r w:rsidR="00771168">
        <w:rPr>
          <w:rFonts w:ascii="Calibri" w:hAnsi="Calibri" w:cs="Calibri"/>
          <w:sz w:val="24"/>
          <w:szCs w:val="24"/>
        </w:rPr>
        <w:t xml:space="preserve">efficiency and maintain focus. </w:t>
      </w:r>
      <w:r w:rsidR="0014787D">
        <w:rPr>
          <w:rFonts w:ascii="Calibri" w:hAnsi="Calibri" w:cs="Calibri"/>
          <w:sz w:val="24"/>
          <w:szCs w:val="24"/>
        </w:rPr>
        <w:t xml:space="preserve">Therefore, while the GROW model offers valuable structure, its effectiveness depends on </w:t>
      </w:r>
      <w:r w:rsidR="00763FFB">
        <w:rPr>
          <w:rFonts w:ascii="Calibri" w:hAnsi="Calibri" w:cs="Calibri"/>
          <w:sz w:val="24"/>
          <w:szCs w:val="24"/>
        </w:rPr>
        <w:t xml:space="preserve">how </w:t>
      </w:r>
      <w:r w:rsidR="005E59F6">
        <w:rPr>
          <w:rFonts w:ascii="Calibri" w:hAnsi="Calibri" w:cs="Calibri"/>
          <w:sz w:val="24"/>
          <w:szCs w:val="24"/>
        </w:rPr>
        <w:t>it is applied by</w:t>
      </w:r>
      <w:r w:rsidR="00763FFB">
        <w:rPr>
          <w:rFonts w:ascii="Calibri" w:hAnsi="Calibri" w:cs="Calibri"/>
          <w:sz w:val="24"/>
          <w:szCs w:val="24"/>
        </w:rPr>
        <w:t xml:space="preserve"> </w:t>
      </w:r>
      <w:r w:rsidR="0014787D">
        <w:rPr>
          <w:rFonts w:ascii="Calibri" w:hAnsi="Calibri" w:cs="Calibri"/>
          <w:sz w:val="24"/>
          <w:szCs w:val="24"/>
        </w:rPr>
        <w:t xml:space="preserve">mentors </w:t>
      </w:r>
      <w:r w:rsidR="00763FFB">
        <w:rPr>
          <w:rFonts w:ascii="Calibri" w:hAnsi="Calibri" w:cs="Calibri"/>
          <w:sz w:val="24"/>
          <w:szCs w:val="24"/>
        </w:rPr>
        <w:t>and how they in</w:t>
      </w:r>
      <w:r w:rsidR="005E59F6">
        <w:rPr>
          <w:rFonts w:ascii="Calibri" w:hAnsi="Calibri" w:cs="Calibri"/>
          <w:sz w:val="24"/>
          <w:szCs w:val="24"/>
        </w:rPr>
        <w:t>clude</w:t>
      </w:r>
      <w:r w:rsidR="00763FFB">
        <w:rPr>
          <w:rFonts w:ascii="Calibri" w:hAnsi="Calibri" w:cs="Calibri"/>
          <w:sz w:val="24"/>
          <w:szCs w:val="24"/>
        </w:rPr>
        <w:t xml:space="preserve"> relational and reflective elements. </w:t>
      </w:r>
    </w:p>
    <w:p w14:paraId="76AEF3C1" w14:textId="77352174" w:rsidR="005E59F6" w:rsidRPr="00901338" w:rsidRDefault="005E59F6" w:rsidP="005E59F6">
      <w:pPr>
        <w:pStyle w:val="Heading2"/>
        <w:rPr>
          <w:rFonts w:ascii="Calibri" w:hAnsi="Calibri" w:cs="Calibri"/>
        </w:rPr>
      </w:pPr>
      <w:bookmarkStart w:id="12" w:name="_Toc224731600"/>
      <w:r w:rsidRPr="00901338">
        <w:rPr>
          <w:rFonts w:ascii="Calibri" w:hAnsi="Calibri" w:cs="Calibri"/>
        </w:rPr>
        <w:lastRenderedPageBreak/>
        <w:t xml:space="preserve">4.2 The OSCAR Model as a Developmental and Systemic Mentoring </w:t>
      </w:r>
      <w:r w:rsidR="00901338" w:rsidRPr="00901338">
        <w:rPr>
          <w:rFonts w:ascii="Calibri" w:hAnsi="Calibri" w:cs="Calibri"/>
        </w:rPr>
        <w:t>Framework</w:t>
      </w:r>
      <w:bookmarkEnd w:id="12"/>
    </w:p>
    <w:p w14:paraId="30ED5C97" w14:textId="0488BC13" w:rsidR="00102732" w:rsidRDefault="00D14E4D" w:rsidP="00D86C20">
      <w:pPr>
        <w:spacing w:line="360" w:lineRule="auto"/>
        <w:rPr>
          <w:rFonts w:ascii="Calibri" w:hAnsi="Calibri" w:cs="Calibri"/>
          <w:sz w:val="24"/>
          <w:szCs w:val="24"/>
        </w:rPr>
      </w:pPr>
      <w:r>
        <w:rPr>
          <w:rFonts w:ascii="Calibri" w:hAnsi="Calibri" w:cs="Calibri"/>
          <w:sz w:val="24"/>
          <w:szCs w:val="24"/>
        </w:rPr>
        <w:t>The OSCAR model</w:t>
      </w:r>
      <w:r w:rsidR="00EF297A">
        <w:rPr>
          <w:rFonts w:ascii="Calibri" w:hAnsi="Calibri" w:cs="Calibri"/>
          <w:sz w:val="24"/>
          <w:szCs w:val="24"/>
        </w:rPr>
        <w:t xml:space="preserve"> was developed by Gilbert and </w:t>
      </w:r>
      <w:proofErr w:type="spellStart"/>
      <w:r w:rsidR="00EF297A">
        <w:rPr>
          <w:rFonts w:ascii="Calibri" w:hAnsi="Calibri" w:cs="Calibri"/>
          <w:sz w:val="24"/>
          <w:szCs w:val="24"/>
        </w:rPr>
        <w:t>Whittleworth</w:t>
      </w:r>
      <w:proofErr w:type="spellEnd"/>
      <w:r w:rsidR="00EF297A">
        <w:rPr>
          <w:rFonts w:ascii="Calibri" w:hAnsi="Calibri" w:cs="Calibri"/>
          <w:sz w:val="24"/>
          <w:szCs w:val="24"/>
        </w:rPr>
        <w:t xml:space="preserve"> (2009) and builds upon GROW by </w:t>
      </w:r>
      <w:r w:rsidR="00543551">
        <w:rPr>
          <w:rFonts w:ascii="Calibri" w:hAnsi="Calibri" w:cs="Calibri"/>
          <w:sz w:val="24"/>
          <w:szCs w:val="24"/>
        </w:rPr>
        <w:t xml:space="preserve">incorporating a stronger focus on systemic organisational factors. OSCAR stands </w:t>
      </w:r>
      <w:r w:rsidR="007644CA">
        <w:rPr>
          <w:rFonts w:ascii="Calibri" w:hAnsi="Calibri" w:cs="Calibri"/>
          <w:sz w:val="24"/>
          <w:szCs w:val="24"/>
        </w:rPr>
        <w:t>for Outcome, Situation, Choices, Actions and Review (Business Balls, 2025).</w:t>
      </w:r>
    </w:p>
    <w:p w14:paraId="01E7965B" w14:textId="5E468AEF" w:rsidR="00C6564B" w:rsidRDefault="00C6564B" w:rsidP="00D86C20">
      <w:pPr>
        <w:spacing w:line="360" w:lineRule="auto"/>
        <w:rPr>
          <w:rFonts w:ascii="Calibri" w:hAnsi="Calibri" w:cs="Calibri"/>
          <w:sz w:val="24"/>
          <w:szCs w:val="24"/>
        </w:rPr>
      </w:pPr>
      <w:r>
        <w:rPr>
          <w:rFonts w:ascii="Calibri" w:hAnsi="Calibri" w:cs="Calibri"/>
          <w:sz w:val="24"/>
          <w:szCs w:val="24"/>
        </w:rPr>
        <w:t xml:space="preserve">The outcome stage sets </w:t>
      </w:r>
      <w:r w:rsidR="00D213AA">
        <w:rPr>
          <w:rFonts w:ascii="Calibri" w:hAnsi="Calibri" w:cs="Calibri"/>
          <w:sz w:val="24"/>
          <w:szCs w:val="24"/>
        </w:rPr>
        <w:t>the development goal, aligning it with organisational objectives, which are essential in NHS mentoring for workfor</w:t>
      </w:r>
      <w:r w:rsidR="00F25510">
        <w:rPr>
          <w:rFonts w:ascii="Calibri" w:hAnsi="Calibri" w:cs="Calibri"/>
          <w:sz w:val="24"/>
          <w:szCs w:val="24"/>
        </w:rPr>
        <w:t>ce development and patient care (</w:t>
      </w:r>
      <w:r w:rsidR="00C83C5A">
        <w:rPr>
          <w:rFonts w:ascii="Calibri" w:hAnsi="Calibri" w:cs="Calibri"/>
          <w:sz w:val="24"/>
          <w:szCs w:val="24"/>
        </w:rPr>
        <w:t>Usmani, 2025).</w:t>
      </w:r>
      <w:r w:rsidR="00D86C20">
        <w:rPr>
          <w:rFonts w:ascii="Calibri" w:hAnsi="Calibri" w:cs="Calibri"/>
          <w:sz w:val="24"/>
          <w:szCs w:val="24"/>
        </w:rPr>
        <w:t xml:space="preserve"> The Situation stage considers broader factors like staf</w:t>
      </w:r>
      <w:r w:rsidR="006166F7">
        <w:rPr>
          <w:rFonts w:ascii="Calibri" w:hAnsi="Calibri" w:cs="Calibri"/>
          <w:sz w:val="24"/>
          <w:szCs w:val="24"/>
        </w:rPr>
        <w:t xml:space="preserve">f shortages and workload pressures. </w:t>
      </w:r>
      <w:r w:rsidR="002020FE">
        <w:rPr>
          <w:rFonts w:ascii="Calibri" w:hAnsi="Calibri" w:cs="Calibri"/>
          <w:sz w:val="24"/>
          <w:szCs w:val="24"/>
        </w:rPr>
        <w:t>Choices and Actions support decision making</w:t>
      </w:r>
      <w:r w:rsidR="00B3799F">
        <w:rPr>
          <w:rFonts w:ascii="Calibri" w:hAnsi="Calibri" w:cs="Calibri"/>
          <w:sz w:val="24"/>
          <w:szCs w:val="24"/>
        </w:rPr>
        <w:t xml:space="preserve">, encouraging mentees to take ownership of development. </w:t>
      </w:r>
      <w:r w:rsidR="00480853">
        <w:rPr>
          <w:rFonts w:ascii="Calibri" w:hAnsi="Calibri" w:cs="Calibri"/>
          <w:sz w:val="24"/>
          <w:szCs w:val="24"/>
        </w:rPr>
        <w:t>The Review stage</w:t>
      </w:r>
      <w:r w:rsidR="009933FD">
        <w:rPr>
          <w:rFonts w:ascii="Calibri" w:hAnsi="Calibri" w:cs="Calibri"/>
          <w:sz w:val="24"/>
          <w:szCs w:val="24"/>
        </w:rPr>
        <w:t xml:space="preserve"> distinguishes OSCAR from GROW</w:t>
      </w:r>
      <w:r w:rsidR="00D75A57">
        <w:rPr>
          <w:rFonts w:ascii="Calibri" w:hAnsi="Calibri" w:cs="Calibri"/>
          <w:sz w:val="24"/>
          <w:szCs w:val="24"/>
        </w:rPr>
        <w:t xml:space="preserve"> </w:t>
      </w:r>
      <w:r w:rsidR="00160AC1">
        <w:rPr>
          <w:rFonts w:ascii="Calibri" w:hAnsi="Calibri" w:cs="Calibri"/>
          <w:sz w:val="24"/>
          <w:szCs w:val="24"/>
        </w:rPr>
        <w:t xml:space="preserve">by focusing on continuous evaluation </w:t>
      </w:r>
      <w:r w:rsidR="00480853">
        <w:rPr>
          <w:rFonts w:ascii="Calibri" w:hAnsi="Calibri" w:cs="Calibri"/>
          <w:sz w:val="24"/>
          <w:szCs w:val="24"/>
        </w:rPr>
        <w:t xml:space="preserve">and feedback to support learning and improvement. </w:t>
      </w:r>
    </w:p>
    <w:p w14:paraId="0844B31D" w14:textId="55471DC3" w:rsidR="00885BBB" w:rsidRDefault="00885BBB" w:rsidP="00D86C20">
      <w:pPr>
        <w:spacing w:line="360" w:lineRule="auto"/>
        <w:rPr>
          <w:rFonts w:ascii="Calibri" w:hAnsi="Calibri" w:cs="Calibri"/>
          <w:sz w:val="24"/>
          <w:szCs w:val="24"/>
        </w:rPr>
      </w:pPr>
      <w:r>
        <w:rPr>
          <w:rFonts w:ascii="Calibri" w:hAnsi="Calibri" w:cs="Calibri"/>
          <w:sz w:val="24"/>
          <w:szCs w:val="24"/>
        </w:rPr>
        <w:t xml:space="preserve">This </w:t>
      </w:r>
      <w:r w:rsidR="002A1144">
        <w:rPr>
          <w:rFonts w:ascii="Calibri" w:hAnsi="Calibri" w:cs="Calibri"/>
          <w:sz w:val="24"/>
          <w:szCs w:val="24"/>
        </w:rPr>
        <w:t>aligns with Kolb’s (1984) experiential learning cycle, which highlights the importance of learning through action, reflection, and adaptation. Within surgical wards</w:t>
      </w:r>
      <w:r w:rsidR="00701E10">
        <w:rPr>
          <w:rFonts w:ascii="Calibri" w:hAnsi="Calibri" w:cs="Calibri"/>
          <w:sz w:val="24"/>
          <w:szCs w:val="24"/>
        </w:rPr>
        <w:t xml:space="preserve">, mentors often assess how mentees handle post-operative care, which supports ongoing growth and development. </w:t>
      </w:r>
    </w:p>
    <w:p w14:paraId="372C1115" w14:textId="1213052C" w:rsidR="00252799" w:rsidRDefault="00252799" w:rsidP="00D86C20">
      <w:pPr>
        <w:spacing w:line="360" w:lineRule="auto"/>
        <w:rPr>
          <w:rFonts w:ascii="Calibri" w:hAnsi="Calibri" w:cs="Calibri"/>
          <w:sz w:val="24"/>
          <w:szCs w:val="24"/>
        </w:rPr>
      </w:pPr>
      <w:r>
        <w:rPr>
          <w:rFonts w:ascii="Calibri" w:hAnsi="Calibri" w:cs="Calibri"/>
          <w:sz w:val="24"/>
          <w:szCs w:val="24"/>
        </w:rPr>
        <w:t xml:space="preserve">However, critics argue that OSCAR </w:t>
      </w:r>
      <w:r w:rsidR="002F36ED">
        <w:rPr>
          <w:rFonts w:ascii="Calibri" w:hAnsi="Calibri" w:cs="Calibri"/>
          <w:sz w:val="24"/>
          <w:szCs w:val="24"/>
        </w:rPr>
        <w:t xml:space="preserve">prioritises performance outcomes over relational and psychosocial aspects </w:t>
      </w:r>
      <w:r w:rsidR="00511BAB">
        <w:rPr>
          <w:rFonts w:ascii="Calibri" w:hAnsi="Calibri" w:cs="Calibri"/>
          <w:sz w:val="24"/>
          <w:szCs w:val="24"/>
        </w:rPr>
        <w:t xml:space="preserve">of mentoring (Clutterbuck, 2014). </w:t>
      </w:r>
      <w:r w:rsidR="00685477">
        <w:rPr>
          <w:rFonts w:ascii="Calibri" w:hAnsi="Calibri" w:cs="Calibri"/>
          <w:sz w:val="24"/>
          <w:szCs w:val="24"/>
        </w:rPr>
        <w:t>Mentoring involves emotional support, professional identity formation, and confidence building</w:t>
      </w:r>
      <w:r w:rsidR="006E0320">
        <w:rPr>
          <w:rFonts w:ascii="Calibri" w:hAnsi="Calibri" w:cs="Calibri"/>
          <w:sz w:val="24"/>
          <w:szCs w:val="24"/>
        </w:rPr>
        <w:t xml:space="preserve">, which may not be </w:t>
      </w:r>
      <w:r w:rsidR="00BE35C3">
        <w:rPr>
          <w:rFonts w:ascii="Calibri" w:hAnsi="Calibri" w:cs="Calibri"/>
          <w:sz w:val="24"/>
          <w:szCs w:val="24"/>
        </w:rPr>
        <w:t xml:space="preserve">fully addressed </w:t>
      </w:r>
      <w:r w:rsidR="00D572B6">
        <w:rPr>
          <w:rFonts w:ascii="Calibri" w:hAnsi="Calibri" w:cs="Calibri"/>
          <w:sz w:val="24"/>
          <w:szCs w:val="24"/>
        </w:rPr>
        <w:t xml:space="preserve">through structured frameworks. </w:t>
      </w:r>
      <w:r w:rsidR="00580B82">
        <w:rPr>
          <w:rFonts w:ascii="Calibri" w:hAnsi="Calibri" w:cs="Calibri"/>
          <w:sz w:val="24"/>
          <w:szCs w:val="24"/>
        </w:rPr>
        <w:t>OSCA</w:t>
      </w:r>
      <w:r w:rsidR="001816BE">
        <w:rPr>
          <w:rFonts w:ascii="Calibri" w:hAnsi="Calibri" w:cs="Calibri"/>
          <w:sz w:val="24"/>
          <w:szCs w:val="24"/>
        </w:rPr>
        <w:t xml:space="preserve">R’s </w:t>
      </w:r>
      <w:r w:rsidR="00CC288C">
        <w:rPr>
          <w:rFonts w:ascii="Calibri" w:hAnsi="Calibri" w:cs="Calibri"/>
          <w:sz w:val="24"/>
          <w:szCs w:val="24"/>
        </w:rPr>
        <w:t xml:space="preserve">incorporation of review processes and organisational context makes it </w:t>
      </w:r>
      <w:r w:rsidR="00C3382C">
        <w:rPr>
          <w:rFonts w:ascii="Calibri" w:hAnsi="Calibri" w:cs="Calibri"/>
          <w:sz w:val="24"/>
          <w:szCs w:val="24"/>
        </w:rPr>
        <w:t xml:space="preserve">suitable for healthcare settings where accountability and continuous improvement are essential. </w:t>
      </w:r>
    </w:p>
    <w:p w14:paraId="53A7C253" w14:textId="57393523" w:rsidR="00C3382C" w:rsidRDefault="00C3382C" w:rsidP="00C3382C">
      <w:pPr>
        <w:pStyle w:val="Heading2"/>
        <w:rPr>
          <w:rFonts w:ascii="Calibri" w:hAnsi="Calibri" w:cs="Calibri"/>
        </w:rPr>
      </w:pPr>
      <w:bookmarkStart w:id="13" w:name="_Toc224731601"/>
      <w:r w:rsidRPr="002B39E2">
        <w:rPr>
          <w:rFonts w:ascii="Calibri" w:hAnsi="Calibri" w:cs="Calibri"/>
        </w:rPr>
        <w:t xml:space="preserve">4.3 </w:t>
      </w:r>
      <w:r w:rsidR="002B39E2" w:rsidRPr="002B39E2">
        <w:rPr>
          <w:rFonts w:ascii="Calibri" w:hAnsi="Calibri" w:cs="Calibri"/>
        </w:rPr>
        <w:t>Knowles</w:t>
      </w:r>
      <w:r w:rsidR="00B5537A">
        <w:rPr>
          <w:rFonts w:ascii="Calibri" w:hAnsi="Calibri" w:cs="Calibri"/>
        </w:rPr>
        <w:t>’</w:t>
      </w:r>
      <w:r w:rsidR="002B39E2" w:rsidRPr="002B39E2">
        <w:rPr>
          <w:rFonts w:ascii="Calibri" w:hAnsi="Calibri" w:cs="Calibri"/>
        </w:rPr>
        <w:t xml:space="preserve"> </w:t>
      </w:r>
      <w:r w:rsidRPr="002B39E2">
        <w:rPr>
          <w:rFonts w:ascii="Calibri" w:hAnsi="Calibri" w:cs="Calibri"/>
        </w:rPr>
        <w:t xml:space="preserve">Adult Learning Theory </w:t>
      </w:r>
      <w:r w:rsidR="002B39E2" w:rsidRPr="002B39E2">
        <w:rPr>
          <w:rFonts w:ascii="Calibri" w:hAnsi="Calibri" w:cs="Calibri"/>
        </w:rPr>
        <w:t>as a Foundation for Mentoring Practice</w:t>
      </w:r>
      <w:bookmarkEnd w:id="13"/>
    </w:p>
    <w:p w14:paraId="1A15864A" w14:textId="3ECA106B" w:rsidR="00E0434D" w:rsidRDefault="00B5537A" w:rsidP="009651E5">
      <w:pPr>
        <w:spacing w:line="360" w:lineRule="auto"/>
        <w:rPr>
          <w:rFonts w:ascii="Calibri" w:hAnsi="Calibri" w:cs="Calibri"/>
          <w:sz w:val="24"/>
          <w:szCs w:val="24"/>
        </w:rPr>
      </w:pPr>
      <w:r>
        <w:rPr>
          <w:rFonts w:ascii="Calibri" w:hAnsi="Calibri" w:cs="Calibri"/>
          <w:sz w:val="24"/>
          <w:szCs w:val="24"/>
        </w:rPr>
        <w:t xml:space="preserve">Knowles’ (1984) Adult Learning Theory </w:t>
      </w:r>
      <w:r w:rsidR="005E0C43">
        <w:rPr>
          <w:rFonts w:ascii="Calibri" w:hAnsi="Calibri" w:cs="Calibri"/>
          <w:sz w:val="24"/>
          <w:szCs w:val="24"/>
        </w:rPr>
        <w:t xml:space="preserve">provides a theoretical foundation for mentoring by explaining how adults learn. Knowles argues that adult learners </w:t>
      </w:r>
      <w:r w:rsidR="006F411F">
        <w:rPr>
          <w:rFonts w:ascii="Calibri" w:hAnsi="Calibri" w:cs="Calibri"/>
          <w:sz w:val="24"/>
          <w:szCs w:val="24"/>
        </w:rPr>
        <w:t xml:space="preserve">are self-directed, motivated by relevance, and learn best through experience. </w:t>
      </w:r>
      <w:r w:rsidR="002812C5">
        <w:rPr>
          <w:rFonts w:ascii="Calibri" w:hAnsi="Calibri" w:cs="Calibri"/>
          <w:sz w:val="24"/>
          <w:szCs w:val="24"/>
        </w:rPr>
        <w:t xml:space="preserve">This theory encourages mentoring methods that </w:t>
      </w:r>
      <w:r w:rsidR="001B2F97">
        <w:rPr>
          <w:rFonts w:ascii="Calibri" w:hAnsi="Calibri" w:cs="Calibri"/>
          <w:sz w:val="24"/>
          <w:szCs w:val="24"/>
        </w:rPr>
        <w:t xml:space="preserve">empower mentees to control their own learning. For example, a newly qualified nurse </w:t>
      </w:r>
      <w:r w:rsidR="007F7F14">
        <w:rPr>
          <w:rFonts w:ascii="Calibri" w:hAnsi="Calibri" w:cs="Calibri"/>
          <w:sz w:val="24"/>
          <w:szCs w:val="24"/>
        </w:rPr>
        <w:t>learning wound care techniques would benefit more from hands-on practice</w:t>
      </w:r>
      <w:r w:rsidR="00D80375">
        <w:rPr>
          <w:rFonts w:ascii="Calibri" w:hAnsi="Calibri" w:cs="Calibri"/>
          <w:sz w:val="24"/>
          <w:szCs w:val="24"/>
        </w:rPr>
        <w:t xml:space="preserve"> with mentor support than from passive instruction. </w:t>
      </w:r>
    </w:p>
    <w:p w14:paraId="1FD43ADB" w14:textId="37A4ED6E" w:rsidR="001D0B25" w:rsidRPr="001D0B25" w:rsidRDefault="00AC6F4A" w:rsidP="001D0B25">
      <w:pPr>
        <w:spacing w:line="360" w:lineRule="auto"/>
        <w:rPr>
          <w:rFonts w:ascii="Calibri" w:hAnsi="Calibri" w:cs="Calibri"/>
          <w:sz w:val="24"/>
          <w:szCs w:val="24"/>
        </w:rPr>
      </w:pPr>
      <w:r>
        <w:rPr>
          <w:rFonts w:ascii="Calibri" w:hAnsi="Calibri" w:cs="Calibri"/>
          <w:sz w:val="24"/>
          <w:szCs w:val="24"/>
        </w:rPr>
        <w:lastRenderedPageBreak/>
        <w:t>Adult learning theory highlights the importance of learning through experience, especially in clinical settings where competence de</w:t>
      </w:r>
      <w:r w:rsidR="005B533E">
        <w:rPr>
          <w:rFonts w:ascii="Calibri" w:hAnsi="Calibri" w:cs="Calibri"/>
          <w:sz w:val="24"/>
          <w:szCs w:val="24"/>
        </w:rPr>
        <w:t>velops through practice (</w:t>
      </w:r>
      <w:r w:rsidR="001D0B25" w:rsidRPr="001D0B25">
        <w:rPr>
          <w:rFonts w:ascii="Calibri" w:hAnsi="Calibri" w:cs="Calibri"/>
          <w:sz w:val="24"/>
          <w:szCs w:val="24"/>
        </w:rPr>
        <w:t>Bin Abdulrahman &amp; Hosny, 2025)</w:t>
      </w:r>
      <w:r w:rsidR="000933BD">
        <w:rPr>
          <w:rFonts w:ascii="Calibri" w:hAnsi="Calibri" w:cs="Calibri"/>
          <w:sz w:val="24"/>
          <w:szCs w:val="24"/>
        </w:rPr>
        <w:t>.</w:t>
      </w:r>
      <w:r w:rsidR="003856E1">
        <w:rPr>
          <w:rFonts w:ascii="Calibri" w:hAnsi="Calibri" w:cs="Calibri"/>
          <w:sz w:val="24"/>
          <w:szCs w:val="24"/>
        </w:rPr>
        <w:t xml:space="preserve"> Mentoring supports this process by offering guidance</w:t>
      </w:r>
      <w:r w:rsidR="00447F02">
        <w:rPr>
          <w:rFonts w:ascii="Calibri" w:hAnsi="Calibri" w:cs="Calibri"/>
          <w:sz w:val="24"/>
          <w:szCs w:val="24"/>
        </w:rPr>
        <w:t xml:space="preserve">, feedback, and opportunities to reflect. </w:t>
      </w:r>
    </w:p>
    <w:p w14:paraId="1B75E96F" w14:textId="6F3049A9" w:rsidR="00AC6F4A" w:rsidRPr="005B0961" w:rsidRDefault="004B56AF" w:rsidP="009651E5">
      <w:pPr>
        <w:spacing w:line="360" w:lineRule="auto"/>
        <w:rPr>
          <w:rFonts w:ascii="Calibri" w:hAnsi="Calibri" w:cs="Calibri"/>
          <w:sz w:val="24"/>
          <w:szCs w:val="24"/>
        </w:rPr>
      </w:pPr>
      <w:r>
        <w:rPr>
          <w:rFonts w:ascii="Calibri" w:hAnsi="Calibri" w:cs="Calibri"/>
          <w:sz w:val="24"/>
          <w:szCs w:val="24"/>
        </w:rPr>
        <w:t xml:space="preserve">However, critics </w:t>
      </w:r>
      <w:r w:rsidR="00F525E6">
        <w:rPr>
          <w:rFonts w:ascii="Calibri" w:hAnsi="Calibri" w:cs="Calibri"/>
          <w:sz w:val="24"/>
          <w:szCs w:val="24"/>
        </w:rPr>
        <w:t>argue that adult learning theory assume</w:t>
      </w:r>
      <w:r w:rsidR="0072508E">
        <w:rPr>
          <w:rFonts w:ascii="Calibri" w:hAnsi="Calibri" w:cs="Calibri"/>
          <w:sz w:val="24"/>
          <w:szCs w:val="24"/>
        </w:rPr>
        <w:t>s all learners are self-directed, which may not apply to inexperienced mentees who</w:t>
      </w:r>
      <w:r w:rsidR="004D6DC0">
        <w:rPr>
          <w:rFonts w:ascii="Calibri" w:hAnsi="Calibri" w:cs="Calibri"/>
          <w:sz w:val="24"/>
          <w:szCs w:val="24"/>
        </w:rPr>
        <w:t xml:space="preserve"> require structured guidance </w:t>
      </w:r>
      <w:r w:rsidR="00E718D0">
        <w:rPr>
          <w:rFonts w:ascii="Calibri" w:hAnsi="Calibri" w:cs="Calibri"/>
          <w:sz w:val="24"/>
          <w:szCs w:val="24"/>
        </w:rPr>
        <w:t>(</w:t>
      </w:r>
      <w:proofErr w:type="spellStart"/>
      <w:r w:rsidR="00E718D0" w:rsidRPr="00667E9A">
        <w:rPr>
          <w:rFonts w:ascii="Calibri" w:hAnsi="Calibri" w:cs="Calibri"/>
          <w:sz w:val="24"/>
          <w:szCs w:val="24"/>
        </w:rPr>
        <w:t>Bachkirova</w:t>
      </w:r>
      <w:proofErr w:type="spellEnd"/>
      <w:r w:rsidR="00E718D0" w:rsidRPr="00667E9A">
        <w:rPr>
          <w:rFonts w:ascii="Calibri" w:hAnsi="Calibri" w:cs="Calibri"/>
          <w:sz w:val="24"/>
          <w:szCs w:val="24"/>
        </w:rPr>
        <w:t xml:space="preserve"> and Cox, 2007).</w:t>
      </w:r>
      <w:r w:rsidR="00667E9A">
        <w:rPr>
          <w:rFonts w:ascii="Calibri" w:hAnsi="Calibri" w:cs="Calibri"/>
          <w:sz w:val="24"/>
          <w:szCs w:val="24"/>
        </w:rPr>
        <w:t xml:space="preserve"> Newly qualifies nurses often need directive mentoring be</w:t>
      </w:r>
      <w:r w:rsidR="00A93C4A">
        <w:rPr>
          <w:rFonts w:ascii="Calibri" w:hAnsi="Calibri" w:cs="Calibri"/>
          <w:sz w:val="24"/>
          <w:szCs w:val="24"/>
        </w:rPr>
        <w:t>fore gaining confidence and autonomy. Organisational constraints such as workload and staffing pressures may limit opportunities for self-directed learning, highlighting the importance of organisational support (Garvey</w:t>
      </w:r>
      <w:r w:rsidR="005B0961">
        <w:rPr>
          <w:rFonts w:ascii="Calibri" w:hAnsi="Calibri" w:cs="Calibri"/>
          <w:sz w:val="24"/>
          <w:szCs w:val="24"/>
        </w:rPr>
        <w:t xml:space="preserve"> </w:t>
      </w:r>
      <w:r w:rsidR="005B0961">
        <w:rPr>
          <w:rFonts w:ascii="Calibri" w:hAnsi="Calibri" w:cs="Calibri"/>
          <w:i/>
          <w:iCs/>
          <w:sz w:val="24"/>
          <w:szCs w:val="24"/>
        </w:rPr>
        <w:t>et al.</w:t>
      </w:r>
      <w:r w:rsidR="005B0961">
        <w:rPr>
          <w:rFonts w:ascii="Calibri" w:hAnsi="Calibri" w:cs="Calibri"/>
          <w:sz w:val="24"/>
          <w:szCs w:val="24"/>
        </w:rPr>
        <w:t>, 2018)</w:t>
      </w:r>
      <w:r w:rsidR="005F067B">
        <w:rPr>
          <w:rFonts w:ascii="Calibri" w:hAnsi="Calibri" w:cs="Calibri"/>
          <w:sz w:val="24"/>
          <w:szCs w:val="24"/>
        </w:rPr>
        <w:t xml:space="preserve">. Despite these limitations, adult learning theory provides essential principles that </w:t>
      </w:r>
      <w:r w:rsidR="00292DEB">
        <w:rPr>
          <w:rFonts w:ascii="Calibri" w:hAnsi="Calibri" w:cs="Calibri"/>
          <w:sz w:val="24"/>
          <w:szCs w:val="24"/>
        </w:rPr>
        <w:t>support</w:t>
      </w:r>
      <w:r w:rsidR="005F067B">
        <w:rPr>
          <w:rFonts w:ascii="Calibri" w:hAnsi="Calibri" w:cs="Calibri"/>
          <w:sz w:val="24"/>
          <w:szCs w:val="24"/>
        </w:rPr>
        <w:t xml:space="preserve"> effective mentoring, particularly </w:t>
      </w:r>
      <w:r w:rsidR="00906FBE">
        <w:rPr>
          <w:rFonts w:ascii="Calibri" w:hAnsi="Calibri" w:cs="Calibri"/>
          <w:sz w:val="24"/>
          <w:szCs w:val="24"/>
        </w:rPr>
        <w:t xml:space="preserve">the importance of learner autonomy, experiential learning, and relevance. </w:t>
      </w:r>
    </w:p>
    <w:p w14:paraId="7B754C2E" w14:textId="365AC4F6" w:rsidR="00102732" w:rsidRPr="00906FBE" w:rsidRDefault="00906FBE" w:rsidP="00906FBE">
      <w:pPr>
        <w:pStyle w:val="Heading2"/>
        <w:rPr>
          <w:rFonts w:ascii="Calibri" w:hAnsi="Calibri" w:cs="Calibri"/>
        </w:rPr>
      </w:pPr>
      <w:r w:rsidRPr="00906FBE">
        <w:rPr>
          <w:rFonts w:ascii="Calibri" w:hAnsi="Calibri" w:cs="Calibri"/>
        </w:rPr>
        <w:t xml:space="preserve">4.4 </w:t>
      </w:r>
      <w:r w:rsidRPr="00906FBE">
        <w:rPr>
          <w:rFonts w:ascii="Calibri" w:hAnsi="Calibri" w:cs="Calibri"/>
        </w:rPr>
        <w:t>Sch</w:t>
      </w:r>
      <w:r w:rsidR="00DC7782">
        <w:rPr>
          <w:rFonts w:ascii="Calibri" w:hAnsi="Calibri" w:cs="Calibri"/>
        </w:rPr>
        <w:t>o</w:t>
      </w:r>
      <w:r w:rsidRPr="00906FBE">
        <w:rPr>
          <w:rFonts w:ascii="Calibri" w:hAnsi="Calibri" w:cs="Calibri"/>
        </w:rPr>
        <w:t>n’s Reflective Practice as a Model for Professional</w:t>
      </w:r>
      <w:r>
        <w:rPr>
          <w:rFonts w:ascii="Calibri" w:hAnsi="Calibri" w:cs="Calibri"/>
        </w:rPr>
        <w:t xml:space="preserve"> </w:t>
      </w:r>
      <w:r w:rsidRPr="00906FBE">
        <w:rPr>
          <w:rFonts w:ascii="Calibri" w:hAnsi="Calibri" w:cs="Calibri"/>
        </w:rPr>
        <w:t>Development</w:t>
      </w:r>
    </w:p>
    <w:p w14:paraId="10AB4F61" w14:textId="35DC7249" w:rsidR="009C2B2C" w:rsidRDefault="009C2B2C">
      <w:pPr>
        <w:spacing w:line="360" w:lineRule="auto"/>
      </w:pPr>
      <w:r>
        <w:rPr>
          <w:rFonts w:ascii="Calibri" w:hAnsi="Calibri" w:cs="Calibri"/>
          <w:sz w:val="24"/>
          <w:szCs w:val="24"/>
        </w:rPr>
        <w:t>Sch</w:t>
      </w:r>
      <w:r w:rsidR="006202E2">
        <w:rPr>
          <w:rFonts w:ascii="Calibri" w:hAnsi="Calibri" w:cs="Calibri"/>
          <w:sz w:val="24"/>
          <w:szCs w:val="24"/>
        </w:rPr>
        <w:t>o</w:t>
      </w:r>
      <w:r>
        <w:rPr>
          <w:rFonts w:ascii="Calibri" w:hAnsi="Calibri" w:cs="Calibri"/>
          <w:sz w:val="24"/>
          <w:szCs w:val="24"/>
        </w:rPr>
        <w:t>n’s (1983) reflective practice theory highlights two main approaches to professional learning: reflection-in-action (during practice) and reflection-on-action (after practice). Reflective practice is critical in healthcare, enabling professionals to learn from experience and enhance patient care (Bulman and Schutz, 2026). For example, a mentee reflecting on the management of a deteriorating patient can identify areas for improvement and develop clinical reasoning skills. It also fosters critical thinking and self-awareness, providing depth that purely goal-focused models may miss. However, critics argue that reflective practice can lack structure and measurable outcomes, making effectiveness difficult to evaluate (Eraut, 2007). Inexperienced mentees may also struggle with reflection without skilled mentor support. Despite these limitations, reflective practice is widely recognised as central to healthcare professional development and aligns with NHS professional standards (NMC, 2024).</w:t>
      </w:r>
    </w:p>
    <w:p w14:paraId="20CA548B" w14:textId="36BD5609" w:rsidR="001B4B36" w:rsidRPr="006877A2" w:rsidRDefault="001B4B36" w:rsidP="001B4B36">
      <w:pPr>
        <w:pStyle w:val="Heading2"/>
        <w:rPr>
          <w:rFonts w:ascii="Calibri" w:hAnsi="Calibri" w:cs="Calibri"/>
        </w:rPr>
      </w:pPr>
      <w:r w:rsidRPr="006877A2">
        <w:rPr>
          <w:rFonts w:ascii="Calibri" w:hAnsi="Calibri" w:cs="Calibri"/>
        </w:rPr>
        <w:t xml:space="preserve">4.5 </w:t>
      </w:r>
      <w:r w:rsidR="009A35F6" w:rsidRPr="006877A2">
        <w:rPr>
          <w:rFonts w:ascii="Calibri" w:hAnsi="Calibri" w:cs="Calibri"/>
        </w:rPr>
        <w:t>Critical Evaluation of Mentoring Models</w:t>
      </w:r>
    </w:p>
    <w:p w14:paraId="54C355EE" w14:textId="747BC448" w:rsidR="00102732" w:rsidRDefault="006877A2" w:rsidP="007F513E">
      <w:pPr>
        <w:spacing w:line="360" w:lineRule="auto"/>
        <w:rPr>
          <w:rFonts w:ascii="Calibri" w:hAnsi="Calibri" w:cs="Calibri"/>
          <w:sz w:val="24"/>
          <w:szCs w:val="24"/>
        </w:rPr>
      </w:pPr>
      <w:r>
        <w:rPr>
          <w:rFonts w:ascii="Calibri" w:hAnsi="Calibri" w:cs="Calibri"/>
          <w:sz w:val="24"/>
          <w:szCs w:val="24"/>
        </w:rPr>
        <w:t xml:space="preserve">Each model </w:t>
      </w:r>
      <w:r w:rsidR="00896C6F">
        <w:rPr>
          <w:rFonts w:ascii="Calibri" w:hAnsi="Calibri" w:cs="Calibri"/>
          <w:sz w:val="24"/>
          <w:szCs w:val="24"/>
        </w:rPr>
        <w:t>provides distinct</w:t>
      </w:r>
      <w:r>
        <w:rPr>
          <w:rFonts w:ascii="Calibri" w:hAnsi="Calibri" w:cs="Calibri"/>
          <w:sz w:val="24"/>
          <w:szCs w:val="24"/>
        </w:rPr>
        <w:t xml:space="preserve"> advantages and presents limitations. </w:t>
      </w:r>
      <w:r w:rsidR="00896C6F">
        <w:rPr>
          <w:rFonts w:ascii="Calibri" w:hAnsi="Calibri" w:cs="Calibri"/>
          <w:sz w:val="24"/>
          <w:szCs w:val="24"/>
        </w:rPr>
        <w:t xml:space="preserve">Structured approaches such as GROW and OSCAR </w:t>
      </w:r>
      <w:r w:rsidR="007F513E">
        <w:rPr>
          <w:rFonts w:ascii="Calibri" w:hAnsi="Calibri" w:cs="Calibri"/>
          <w:sz w:val="24"/>
          <w:szCs w:val="24"/>
        </w:rPr>
        <w:t>provide clarity, accountability, and measurable outcomes</w:t>
      </w:r>
      <w:r w:rsidR="00B05E83">
        <w:rPr>
          <w:rFonts w:ascii="Calibri" w:hAnsi="Calibri" w:cs="Calibri"/>
          <w:sz w:val="24"/>
          <w:szCs w:val="24"/>
        </w:rPr>
        <w:t xml:space="preserve">, making them suitable for </w:t>
      </w:r>
      <w:r w:rsidR="00AE7BD4">
        <w:rPr>
          <w:rFonts w:ascii="Calibri" w:hAnsi="Calibri" w:cs="Calibri"/>
          <w:sz w:val="24"/>
          <w:szCs w:val="24"/>
        </w:rPr>
        <w:t xml:space="preserve">organisational settings where performance improvement is essential </w:t>
      </w:r>
      <w:r w:rsidR="00CA1CE8">
        <w:rPr>
          <w:rFonts w:ascii="Calibri" w:hAnsi="Calibri" w:cs="Calibri"/>
          <w:sz w:val="24"/>
          <w:szCs w:val="24"/>
        </w:rPr>
        <w:lastRenderedPageBreak/>
        <w:t xml:space="preserve">(Grant, 2014). The OSCAR model’s focus on review makes it appropriate for ongoing professional development </w:t>
      </w:r>
      <w:r w:rsidR="009F3F0D">
        <w:rPr>
          <w:rFonts w:ascii="Calibri" w:hAnsi="Calibri" w:cs="Calibri"/>
          <w:sz w:val="24"/>
          <w:szCs w:val="24"/>
        </w:rPr>
        <w:t xml:space="preserve">in healthcare environments. </w:t>
      </w:r>
    </w:p>
    <w:p w14:paraId="28CC0E9E" w14:textId="7ABBC59B" w:rsidR="00B91DB8" w:rsidRDefault="00B91DB8" w:rsidP="007F513E">
      <w:pPr>
        <w:spacing w:line="360" w:lineRule="auto"/>
        <w:rPr>
          <w:rFonts w:ascii="Calibri" w:hAnsi="Calibri" w:cs="Calibri"/>
          <w:sz w:val="24"/>
          <w:szCs w:val="24"/>
        </w:rPr>
      </w:pPr>
      <w:r>
        <w:rPr>
          <w:rFonts w:ascii="Calibri" w:hAnsi="Calibri" w:cs="Calibri"/>
          <w:sz w:val="24"/>
          <w:szCs w:val="24"/>
        </w:rPr>
        <w:t xml:space="preserve">However, theoretical frameworks such as Adult Learning Theory and Schon’s reflective practice </w:t>
      </w:r>
      <w:r w:rsidR="00285334">
        <w:rPr>
          <w:rFonts w:ascii="Calibri" w:hAnsi="Calibri" w:cs="Calibri"/>
          <w:sz w:val="24"/>
          <w:szCs w:val="24"/>
        </w:rPr>
        <w:t>provide understanding of how learning occurs, supporting identity development and critical thinking</w:t>
      </w:r>
      <w:r w:rsidR="00844DE9">
        <w:rPr>
          <w:rFonts w:ascii="Calibri" w:hAnsi="Calibri" w:cs="Calibri"/>
          <w:sz w:val="24"/>
          <w:szCs w:val="24"/>
        </w:rPr>
        <w:t>. Importantly, no single model encompasses every aspect of mentoring complexity. While structure</w:t>
      </w:r>
      <w:r w:rsidR="00CD652B">
        <w:rPr>
          <w:rFonts w:ascii="Calibri" w:hAnsi="Calibri" w:cs="Calibri"/>
          <w:sz w:val="24"/>
          <w:szCs w:val="24"/>
        </w:rPr>
        <w:t>d</w:t>
      </w:r>
      <w:r w:rsidR="00844DE9">
        <w:rPr>
          <w:rFonts w:ascii="Calibri" w:hAnsi="Calibri" w:cs="Calibri"/>
          <w:sz w:val="24"/>
          <w:szCs w:val="24"/>
        </w:rPr>
        <w:t xml:space="preserve"> models offer process transparency, theoretic</w:t>
      </w:r>
      <w:r w:rsidR="00803A09">
        <w:rPr>
          <w:rFonts w:ascii="Calibri" w:hAnsi="Calibri" w:cs="Calibri"/>
          <w:sz w:val="24"/>
          <w:szCs w:val="24"/>
        </w:rPr>
        <w:t>al</w:t>
      </w:r>
      <w:r w:rsidR="00844DE9">
        <w:rPr>
          <w:rFonts w:ascii="Calibri" w:hAnsi="Calibri" w:cs="Calibri"/>
          <w:sz w:val="24"/>
          <w:szCs w:val="24"/>
        </w:rPr>
        <w:t xml:space="preserve"> frameworks </w:t>
      </w:r>
      <w:r w:rsidR="00CD652B">
        <w:rPr>
          <w:rFonts w:ascii="Calibri" w:hAnsi="Calibri" w:cs="Calibri"/>
          <w:sz w:val="24"/>
          <w:szCs w:val="24"/>
        </w:rPr>
        <w:t xml:space="preserve">provide depth </w:t>
      </w:r>
      <w:r w:rsidR="003D650C">
        <w:rPr>
          <w:rFonts w:ascii="Calibri" w:hAnsi="Calibri" w:cs="Calibri"/>
          <w:sz w:val="24"/>
          <w:szCs w:val="24"/>
        </w:rPr>
        <w:t xml:space="preserve">to the learning experience. Therefore, effective </w:t>
      </w:r>
      <w:r w:rsidR="00803A09">
        <w:rPr>
          <w:rFonts w:ascii="Calibri" w:hAnsi="Calibri" w:cs="Calibri"/>
          <w:sz w:val="24"/>
          <w:szCs w:val="24"/>
        </w:rPr>
        <w:t xml:space="preserve">mentoring </w:t>
      </w:r>
      <w:r w:rsidR="00F24993">
        <w:rPr>
          <w:rFonts w:ascii="Calibri" w:hAnsi="Calibri" w:cs="Calibri"/>
          <w:sz w:val="24"/>
          <w:szCs w:val="24"/>
        </w:rPr>
        <w:t xml:space="preserve">integrates structured frameworks with reflective </w:t>
      </w:r>
      <w:r w:rsidR="00B06FCD">
        <w:rPr>
          <w:rFonts w:ascii="Calibri" w:hAnsi="Calibri" w:cs="Calibri"/>
          <w:sz w:val="24"/>
          <w:szCs w:val="24"/>
        </w:rPr>
        <w:t xml:space="preserve">and learner-centred approaches </w:t>
      </w:r>
      <w:r w:rsidR="00600274">
        <w:rPr>
          <w:rFonts w:ascii="Calibri" w:hAnsi="Calibri" w:cs="Calibri"/>
          <w:sz w:val="24"/>
          <w:szCs w:val="24"/>
        </w:rPr>
        <w:t xml:space="preserve">(Cox </w:t>
      </w:r>
      <w:r w:rsidR="00600274">
        <w:rPr>
          <w:rFonts w:ascii="Calibri" w:hAnsi="Calibri" w:cs="Calibri"/>
          <w:i/>
          <w:iCs/>
          <w:sz w:val="24"/>
          <w:szCs w:val="24"/>
        </w:rPr>
        <w:t>et al.</w:t>
      </w:r>
      <w:r w:rsidR="00600274">
        <w:rPr>
          <w:rFonts w:ascii="Calibri" w:hAnsi="Calibri" w:cs="Calibri"/>
          <w:sz w:val="24"/>
          <w:szCs w:val="24"/>
        </w:rPr>
        <w:t>, 2018). Within NHS surgical wards, mentors may use GROW or OSCAR to guide mentoring discussions</w:t>
      </w:r>
      <w:r w:rsidR="00854D4B">
        <w:rPr>
          <w:rFonts w:ascii="Calibri" w:hAnsi="Calibri" w:cs="Calibri"/>
          <w:sz w:val="24"/>
          <w:szCs w:val="24"/>
        </w:rPr>
        <w:t xml:space="preserve">, while applying reflective practice and adult learning principles to support deeper learning. </w:t>
      </w:r>
    </w:p>
    <w:p w14:paraId="7780DDBA" w14:textId="7C9BB714" w:rsidR="00D66E85" w:rsidRPr="007C0415" w:rsidRDefault="00D66E85" w:rsidP="00D66E85">
      <w:pPr>
        <w:pStyle w:val="Heading2"/>
        <w:rPr>
          <w:rFonts w:ascii="Calibri" w:hAnsi="Calibri" w:cs="Calibri"/>
        </w:rPr>
      </w:pPr>
      <w:r w:rsidRPr="007C0415">
        <w:rPr>
          <w:rFonts w:ascii="Calibri" w:hAnsi="Calibri" w:cs="Calibri"/>
        </w:rPr>
        <w:t>4.6 The role of Contracting &amp; Supervision in Mentoring</w:t>
      </w:r>
    </w:p>
    <w:p w14:paraId="0C5CEB6D" w14:textId="3834D992" w:rsidR="00102732" w:rsidRDefault="00BB7EC4" w:rsidP="00C10F58">
      <w:pPr>
        <w:spacing w:line="360" w:lineRule="auto"/>
        <w:rPr>
          <w:rFonts w:ascii="Calibri" w:hAnsi="Calibri" w:cs="Calibri"/>
          <w:sz w:val="24"/>
          <w:szCs w:val="24"/>
        </w:rPr>
      </w:pPr>
      <w:r w:rsidRPr="00BB7EC4">
        <w:rPr>
          <w:rFonts w:ascii="Calibri" w:hAnsi="Calibri" w:cs="Calibri"/>
          <w:sz w:val="24"/>
          <w:szCs w:val="24"/>
        </w:rPr>
        <w:t xml:space="preserve">Contracting </w:t>
      </w:r>
      <w:r>
        <w:rPr>
          <w:rFonts w:ascii="Calibri" w:hAnsi="Calibri" w:cs="Calibri"/>
          <w:sz w:val="24"/>
          <w:szCs w:val="24"/>
        </w:rPr>
        <w:t xml:space="preserve">involves establishing clear agreements between mentor and mentee regarding roles, expectations, boundaries, and confidentiality (Clutterbuck, 2014). </w:t>
      </w:r>
      <w:r w:rsidR="00C10F58">
        <w:rPr>
          <w:rFonts w:ascii="Calibri" w:hAnsi="Calibri" w:cs="Calibri"/>
          <w:sz w:val="24"/>
          <w:szCs w:val="24"/>
        </w:rPr>
        <w:t xml:space="preserve">This process contributes to psychological safety, trust, and clarity within the relationship. </w:t>
      </w:r>
      <w:r w:rsidR="006F31D2">
        <w:rPr>
          <w:rFonts w:ascii="Calibri" w:hAnsi="Calibri" w:cs="Calibri"/>
          <w:sz w:val="24"/>
          <w:szCs w:val="24"/>
        </w:rPr>
        <w:t xml:space="preserve">Within NHS settings, contracting may include </w:t>
      </w:r>
      <w:r w:rsidR="00A46627">
        <w:rPr>
          <w:rFonts w:ascii="Calibri" w:hAnsi="Calibri" w:cs="Calibri"/>
          <w:sz w:val="24"/>
          <w:szCs w:val="24"/>
        </w:rPr>
        <w:t xml:space="preserve">setting meeting frequency, </w:t>
      </w:r>
      <w:r w:rsidR="0029300B">
        <w:rPr>
          <w:rFonts w:ascii="Calibri" w:hAnsi="Calibri" w:cs="Calibri"/>
          <w:sz w:val="24"/>
          <w:szCs w:val="24"/>
        </w:rPr>
        <w:t>learning goals, and confidentiality boundaries</w:t>
      </w:r>
      <w:r w:rsidR="005F6162">
        <w:rPr>
          <w:rFonts w:ascii="Calibri" w:hAnsi="Calibri" w:cs="Calibri"/>
          <w:sz w:val="24"/>
          <w:szCs w:val="24"/>
        </w:rPr>
        <w:t xml:space="preserve">. </w:t>
      </w:r>
      <w:r w:rsidR="00C20A79">
        <w:rPr>
          <w:rFonts w:ascii="Calibri" w:hAnsi="Calibri" w:cs="Calibri"/>
          <w:sz w:val="24"/>
          <w:szCs w:val="24"/>
        </w:rPr>
        <w:t>Without contracting, mentoring relationships may lack direction or create ethical risks</w:t>
      </w:r>
      <w:r w:rsidR="004F45E0">
        <w:rPr>
          <w:rFonts w:ascii="Calibri" w:hAnsi="Calibri" w:cs="Calibri"/>
          <w:sz w:val="24"/>
          <w:szCs w:val="24"/>
        </w:rPr>
        <w:t xml:space="preserve">, particularly where power imbalances exist (Garvey </w:t>
      </w:r>
      <w:r w:rsidR="004F45E0">
        <w:rPr>
          <w:rFonts w:ascii="Calibri" w:hAnsi="Calibri" w:cs="Calibri"/>
          <w:i/>
          <w:iCs/>
          <w:sz w:val="24"/>
          <w:szCs w:val="24"/>
        </w:rPr>
        <w:t>et al.</w:t>
      </w:r>
      <w:r w:rsidR="004F45E0">
        <w:rPr>
          <w:rFonts w:ascii="Calibri" w:hAnsi="Calibri" w:cs="Calibri"/>
          <w:sz w:val="24"/>
          <w:szCs w:val="24"/>
        </w:rPr>
        <w:t>, 2018).</w:t>
      </w:r>
    </w:p>
    <w:p w14:paraId="577EA556" w14:textId="5C7841CB" w:rsidR="004F45E0" w:rsidRPr="004F45E0" w:rsidRDefault="004F45E0" w:rsidP="00C10F58">
      <w:pPr>
        <w:spacing w:line="360" w:lineRule="auto"/>
        <w:rPr>
          <w:rFonts w:ascii="Calibri" w:hAnsi="Calibri" w:cs="Calibri"/>
          <w:sz w:val="24"/>
          <w:szCs w:val="24"/>
        </w:rPr>
      </w:pPr>
      <w:r>
        <w:rPr>
          <w:rFonts w:ascii="Calibri" w:hAnsi="Calibri" w:cs="Calibri"/>
          <w:sz w:val="24"/>
          <w:szCs w:val="24"/>
        </w:rPr>
        <w:t>Supervision pro</w:t>
      </w:r>
      <w:r w:rsidR="00F14E0B">
        <w:rPr>
          <w:rFonts w:ascii="Calibri" w:hAnsi="Calibri" w:cs="Calibri"/>
          <w:sz w:val="24"/>
          <w:szCs w:val="24"/>
        </w:rPr>
        <w:t>vides oversight and support for mentors, ensuring ethical and effective practice (</w:t>
      </w:r>
      <w:proofErr w:type="spellStart"/>
      <w:r w:rsidR="00F14E0B">
        <w:rPr>
          <w:rFonts w:ascii="Calibri" w:hAnsi="Calibri" w:cs="Calibri"/>
          <w:sz w:val="24"/>
          <w:szCs w:val="24"/>
        </w:rPr>
        <w:t>Bac</w:t>
      </w:r>
      <w:r w:rsidR="00E077E5">
        <w:rPr>
          <w:rFonts w:ascii="Calibri" w:hAnsi="Calibri" w:cs="Calibri"/>
          <w:sz w:val="24"/>
          <w:szCs w:val="24"/>
        </w:rPr>
        <w:t>hkirova</w:t>
      </w:r>
      <w:proofErr w:type="spellEnd"/>
      <w:r w:rsidR="00E077E5">
        <w:rPr>
          <w:rFonts w:ascii="Calibri" w:hAnsi="Calibri" w:cs="Calibri"/>
          <w:sz w:val="24"/>
          <w:szCs w:val="24"/>
        </w:rPr>
        <w:t>, 2007). It helps them reflect, develop skills, and uphold standards. In the NHS, senior nur</w:t>
      </w:r>
      <w:r w:rsidR="00B75A1A">
        <w:rPr>
          <w:rFonts w:ascii="Calibri" w:hAnsi="Calibri" w:cs="Calibri"/>
          <w:sz w:val="24"/>
          <w:szCs w:val="24"/>
        </w:rPr>
        <w:t xml:space="preserve">ses may supervise mentors to support mentoring quality and patient safety. Supervision enhances mentor effectiveness and protects mentees, mentors, and organisations. </w:t>
      </w:r>
    </w:p>
    <w:p w14:paraId="450958C9" w14:textId="4103FDDD" w:rsidR="00102732" w:rsidRDefault="00E15E8B" w:rsidP="00E15E8B">
      <w:pPr>
        <w:pStyle w:val="Heading2"/>
        <w:rPr>
          <w:rFonts w:ascii="Calibri" w:hAnsi="Calibri" w:cs="Calibri"/>
        </w:rPr>
      </w:pPr>
      <w:r w:rsidRPr="00E15E8B">
        <w:rPr>
          <w:rFonts w:ascii="Calibri" w:hAnsi="Calibri" w:cs="Calibri"/>
        </w:rPr>
        <w:t>4.7 Evaluating the Effectiveness of Mentoring Programmes</w:t>
      </w:r>
    </w:p>
    <w:p w14:paraId="706AF98F" w14:textId="77777777" w:rsidR="00173F37" w:rsidRPr="003E00F2" w:rsidRDefault="00173F37" w:rsidP="003E00F2">
      <w:pPr>
        <w:spacing w:line="360" w:lineRule="auto"/>
        <w:rPr>
          <w:rFonts w:ascii="Calibri" w:hAnsi="Calibri" w:cs="Calibri"/>
          <w:sz w:val="24"/>
          <w:szCs w:val="24"/>
        </w:rPr>
      </w:pPr>
      <w:bookmarkStart w:id="14" w:name="_Toc224731602"/>
      <w:r>
        <w:rPr>
          <w:rFonts w:ascii="Calibri" w:hAnsi="Calibri" w:cs="Calibri"/>
          <w:sz w:val="24"/>
          <w:szCs w:val="24"/>
        </w:rPr>
        <w:t xml:space="preserve">Evaluation is essential to determine whether mentoring programmes achieve their intended outcomes for both individuals and the organisation, and to provide evidence for improvement and continued investment. Kirkpatrick and Kirkpatrick’s (2006) framework is frequently used to evaluate learning interventions and can be adapted to mentoring by assessing: participants’ reactions to the mentoring relationship (e.g., perceived support and psychological safety), learning gains (knowledge, confidence and insight), behaviour change </w:t>
      </w:r>
      <w:r>
        <w:rPr>
          <w:rFonts w:ascii="Calibri" w:hAnsi="Calibri" w:cs="Calibri"/>
          <w:sz w:val="24"/>
          <w:szCs w:val="24"/>
        </w:rPr>
        <w:lastRenderedPageBreak/>
        <w:t xml:space="preserve">in practice (application on shift), and wider results for the service (for example retention and indicators linked to quality and safety). In NHS surgical wards, evaluation should therefore extend beyond satisfaction to include how mentoring supports competence development in high-risk, time-pressured environments, while recognising that outcomes such as patient safety are influenced by multiple interacting factors and cannot be attributed to mentoring alone. Evaluation methods include structured mentor/mentee feedback, pre/post measures of confidence and capability aligned to role requirements, evidence of behaviour change in practice, and ward-level indicators with qualitative data (e.g. retention, sickness absence, and progression). </w:t>
      </w:r>
    </w:p>
    <w:p w14:paraId="1FAD3D48" w14:textId="77777777" w:rsidR="009C2B2C" w:rsidRDefault="009C2B2C">
      <w:pPr>
        <w:pStyle w:val="Heading1"/>
        <w:rPr>
          <w:rFonts w:eastAsia="Times New Roman"/>
          <w:kern w:val="36"/>
        </w:rPr>
      </w:pPr>
      <w:r>
        <w:rPr>
          <w:rFonts w:ascii="Calibri" w:eastAsia="Times New Roman" w:hAnsi="Calibri" w:cs="Calibri"/>
        </w:rPr>
        <w:t>5. Conclusion</w:t>
      </w:r>
    </w:p>
    <w:p w14:paraId="06DB7780" w14:textId="77777777" w:rsidR="009C2B2C" w:rsidRPr="00F742D0" w:rsidRDefault="009C2B2C">
      <w:pPr>
        <w:spacing w:line="360" w:lineRule="auto"/>
        <w:rPr>
          <w:color w:val="EE0000"/>
        </w:rPr>
      </w:pPr>
      <w:r w:rsidRPr="00F742D0">
        <w:rPr>
          <w:rFonts w:ascii="Calibri" w:hAnsi="Calibri" w:cs="Calibri"/>
          <w:color w:val="EE0000"/>
          <w:sz w:val="24"/>
          <w:szCs w:val="24"/>
        </w:rPr>
        <w:t>This report has shown that coaching and mentoring are distinct but complementary developmental interventions within organisational contexts. Coaching is typically a structured, time-limited and performance-focused approach that uses facilitative questioning to support goal attainment and self-regulation, whereas mentoring tends to be longer term and combines psychosocial support with the transfer of experience and organisational insight. In NHS surgical wards, where newly qualified nurses must build competence quickly in high-acuity, time-pressured environments, clarity about these differences matters because the wrong approach may leave staff either unsupported or insufficiently challenged.</w:t>
      </w:r>
    </w:p>
    <w:p w14:paraId="7E8EF718" w14:textId="77777777" w:rsidR="009C2B2C" w:rsidRPr="00F742D0" w:rsidRDefault="009C2B2C">
      <w:pPr>
        <w:spacing w:line="360" w:lineRule="auto"/>
        <w:rPr>
          <w:color w:val="EE0000"/>
        </w:rPr>
      </w:pPr>
      <w:r w:rsidRPr="00F742D0">
        <w:rPr>
          <w:rFonts w:ascii="Calibri" w:hAnsi="Calibri" w:cs="Calibri"/>
          <w:color w:val="EE0000"/>
          <w:sz w:val="24"/>
          <w:szCs w:val="24"/>
        </w:rPr>
        <w:t xml:space="preserve">Effective workplace mentoring depends on mentors demonstrating advanced communication (particularly empathic listening and constructive feedback), reliability, clear boundaries and a developmental, non-judgemental stance that promotes psychological safety. Models such as GROW and OSCAR can provide useful structure for mentoring conversations, but they require flexible application alongside adult learning and reflective practice principles to avoid reducing mentoring to a transactional, target-driven process. To strengthen effectiveness and safeguard ethical practice in the NHS, organisations should support mentoring through clear contracting, access to supervision and robust evaluation (for example, using an adapted Kirkpatrick framework and mixed methods). Overall, mentoring and coaching can contribute to workforce capability, retention and safe patient </w:t>
      </w:r>
      <w:r w:rsidRPr="00F742D0">
        <w:rPr>
          <w:rFonts w:ascii="Calibri" w:hAnsi="Calibri" w:cs="Calibri"/>
          <w:color w:val="EE0000"/>
          <w:sz w:val="24"/>
          <w:szCs w:val="24"/>
        </w:rPr>
        <w:lastRenderedPageBreak/>
        <w:t>care, but only where organisational conditions allow time, clarity of roles and sustained support.</w:t>
      </w:r>
    </w:p>
    <w:p w14:paraId="5C21FB54" w14:textId="21B232E6" w:rsidR="003E00F2" w:rsidRDefault="003E00F2">
      <w:pPr>
        <w:rPr>
          <w:rFonts w:ascii="Calibri" w:eastAsiaTheme="majorEastAsia" w:hAnsi="Calibri" w:cs="Calibri"/>
          <w:color w:val="0F4761" w:themeColor="accent1" w:themeShade="BF"/>
          <w:sz w:val="40"/>
          <w:szCs w:val="40"/>
        </w:rPr>
      </w:pPr>
      <w:r>
        <w:rPr>
          <w:rFonts w:ascii="Calibri" w:hAnsi="Calibri" w:cs="Calibri"/>
        </w:rPr>
        <w:br w:type="page"/>
      </w:r>
    </w:p>
    <w:p w14:paraId="3CD382CD" w14:textId="2C5BE30C" w:rsidR="001734A3" w:rsidRPr="00870064" w:rsidRDefault="00E3096F" w:rsidP="00537C28">
      <w:pPr>
        <w:pStyle w:val="Heading1"/>
        <w:rPr>
          <w:rFonts w:ascii="Calibri" w:hAnsi="Calibri" w:cs="Calibri"/>
          <w:sz w:val="24"/>
          <w:szCs w:val="24"/>
        </w:rPr>
      </w:pPr>
      <w:r>
        <w:rPr>
          <w:rFonts w:ascii="Calibri" w:hAnsi="Calibri" w:cs="Calibri"/>
        </w:rPr>
        <w:lastRenderedPageBreak/>
        <w:t>References</w:t>
      </w:r>
      <w:bookmarkEnd w:id="14"/>
      <w:r>
        <w:rPr>
          <w:rFonts w:ascii="Calibri" w:hAnsi="Calibri" w:cs="Calibri"/>
        </w:rPr>
        <w:t xml:space="preserve"> </w:t>
      </w:r>
    </w:p>
    <w:p w14:paraId="2655D624" w14:textId="77777777" w:rsidR="006202E2" w:rsidRPr="006202E2" w:rsidRDefault="006202E2" w:rsidP="00E27F47">
      <w:pPr>
        <w:spacing w:line="360" w:lineRule="auto"/>
        <w:ind w:left="720" w:hanging="720"/>
        <w:rPr>
          <w:rFonts w:ascii="Calibri" w:hAnsi="Calibri" w:cs="Calibri"/>
          <w:sz w:val="24"/>
          <w:szCs w:val="24"/>
        </w:rPr>
      </w:pPr>
      <w:proofErr w:type="spellStart"/>
      <w:r w:rsidRPr="006202E2">
        <w:rPr>
          <w:rFonts w:ascii="Calibri" w:hAnsi="Calibri" w:cs="Calibri"/>
          <w:sz w:val="24"/>
          <w:szCs w:val="24"/>
        </w:rPr>
        <w:t>Acas</w:t>
      </w:r>
      <w:proofErr w:type="spellEnd"/>
      <w:r w:rsidRPr="006202E2">
        <w:rPr>
          <w:rFonts w:ascii="Calibri" w:hAnsi="Calibri" w:cs="Calibri"/>
          <w:sz w:val="24"/>
          <w:szCs w:val="24"/>
        </w:rPr>
        <w:t xml:space="preserve">. (2024, August 13). </w:t>
      </w:r>
      <w:r w:rsidRPr="006202E2">
        <w:rPr>
          <w:rFonts w:ascii="Calibri" w:hAnsi="Calibri" w:cs="Calibri"/>
          <w:i/>
          <w:iCs/>
          <w:sz w:val="24"/>
          <w:szCs w:val="24"/>
        </w:rPr>
        <w:t xml:space="preserve">Mental health adjustments - Reasonable adjustments at work - </w:t>
      </w:r>
      <w:proofErr w:type="spellStart"/>
      <w:r w:rsidRPr="006202E2">
        <w:rPr>
          <w:rFonts w:ascii="Calibri" w:hAnsi="Calibri" w:cs="Calibri"/>
          <w:i/>
          <w:iCs/>
          <w:sz w:val="24"/>
          <w:szCs w:val="24"/>
        </w:rPr>
        <w:t>Acas</w:t>
      </w:r>
      <w:proofErr w:type="spellEnd"/>
      <w:r w:rsidRPr="006202E2">
        <w:rPr>
          <w:rFonts w:ascii="Calibri" w:hAnsi="Calibri" w:cs="Calibri"/>
          <w:sz w:val="24"/>
          <w:szCs w:val="24"/>
        </w:rPr>
        <w:t xml:space="preserve">. </w:t>
      </w:r>
      <w:proofErr w:type="spellStart"/>
      <w:r w:rsidRPr="006202E2">
        <w:rPr>
          <w:rFonts w:ascii="Calibri" w:hAnsi="Calibri" w:cs="Calibri"/>
          <w:sz w:val="24"/>
          <w:szCs w:val="24"/>
        </w:rPr>
        <w:t>Acas</w:t>
      </w:r>
      <w:proofErr w:type="spellEnd"/>
      <w:r w:rsidRPr="006202E2">
        <w:rPr>
          <w:rFonts w:ascii="Calibri" w:hAnsi="Calibri" w:cs="Calibri"/>
          <w:sz w:val="24"/>
          <w:szCs w:val="24"/>
        </w:rPr>
        <w:t>. https://www.acas.org.uk/reasonable-adjustments/mental-health-adjustments</w:t>
      </w:r>
    </w:p>
    <w:p w14:paraId="4604E936" w14:textId="77777777" w:rsidR="006202E2" w:rsidRPr="006202E2" w:rsidRDefault="006202E2" w:rsidP="00C54F93">
      <w:pPr>
        <w:spacing w:line="360" w:lineRule="auto"/>
        <w:ind w:left="720" w:hanging="720"/>
        <w:rPr>
          <w:rFonts w:ascii="Calibri" w:hAnsi="Calibri" w:cs="Calibri"/>
          <w:sz w:val="24"/>
          <w:szCs w:val="24"/>
        </w:rPr>
      </w:pPr>
      <w:r w:rsidRPr="006202E2">
        <w:rPr>
          <w:rFonts w:ascii="Calibri" w:hAnsi="Calibri" w:cs="Calibri"/>
          <w:sz w:val="24"/>
          <w:szCs w:val="24"/>
        </w:rPr>
        <w:t xml:space="preserve">Alonzo, D., Ellis, N. J., &amp; Nguyen, H. (2025). A set of effective mentoring standards. A theoretically and </w:t>
      </w:r>
      <w:proofErr w:type="gramStart"/>
      <w:r w:rsidRPr="006202E2">
        <w:rPr>
          <w:rFonts w:ascii="Calibri" w:hAnsi="Calibri" w:cs="Calibri"/>
          <w:sz w:val="24"/>
          <w:szCs w:val="24"/>
        </w:rPr>
        <w:t>empirically-driven</w:t>
      </w:r>
      <w:proofErr w:type="gramEnd"/>
      <w:r w:rsidRPr="006202E2">
        <w:rPr>
          <w:rFonts w:ascii="Calibri" w:hAnsi="Calibri" w:cs="Calibri"/>
          <w:sz w:val="24"/>
          <w:szCs w:val="24"/>
        </w:rPr>
        <w:t xml:space="preserve"> framework. </w:t>
      </w:r>
      <w:r w:rsidRPr="006202E2">
        <w:rPr>
          <w:rFonts w:ascii="Calibri" w:hAnsi="Calibri" w:cs="Calibri"/>
          <w:i/>
          <w:iCs/>
          <w:sz w:val="24"/>
          <w:szCs w:val="24"/>
        </w:rPr>
        <w:t>Teaching and Teacher Education</w:t>
      </w:r>
      <w:r w:rsidRPr="006202E2">
        <w:rPr>
          <w:rFonts w:ascii="Calibri" w:hAnsi="Calibri" w:cs="Calibri"/>
          <w:sz w:val="24"/>
          <w:szCs w:val="24"/>
        </w:rPr>
        <w:t xml:space="preserve">, </w:t>
      </w:r>
      <w:r w:rsidRPr="006202E2">
        <w:rPr>
          <w:rFonts w:ascii="Calibri" w:hAnsi="Calibri" w:cs="Calibri"/>
          <w:i/>
          <w:iCs/>
          <w:sz w:val="24"/>
          <w:szCs w:val="24"/>
        </w:rPr>
        <w:t>168</w:t>
      </w:r>
      <w:r w:rsidRPr="006202E2">
        <w:rPr>
          <w:rFonts w:ascii="Calibri" w:hAnsi="Calibri" w:cs="Calibri"/>
          <w:sz w:val="24"/>
          <w:szCs w:val="24"/>
        </w:rPr>
        <w:t xml:space="preserve">, 105228. </w:t>
      </w:r>
      <w:hyperlink r:id="rId8" w:history="1">
        <w:r w:rsidRPr="006202E2">
          <w:rPr>
            <w:rStyle w:val="Hyperlink"/>
            <w:rFonts w:ascii="Calibri" w:hAnsi="Calibri" w:cs="Calibri"/>
            <w:sz w:val="24"/>
            <w:szCs w:val="24"/>
          </w:rPr>
          <w:t>https://doi.org/10.1016/j.tate.2025.105228</w:t>
        </w:r>
      </w:hyperlink>
    </w:p>
    <w:p w14:paraId="4573970E" w14:textId="77777777" w:rsidR="006202E2" w:rsidRPr="006202E2" w:rsidRDefault="006202E2" w:rsidP="00E27F47">
      <w:pPr>
        <w:spacing w:line="360" w:lineRule="auto"/>
        <w:ind w:left="720" w:hanging="720"/>
        <w:rPr>
          <w:rFonts w:ascii="Calibri" w:hAnsi="Calibri" w:cs="Calibri"/>
          <w:sz w:val="24"/>
          <w:szCs w:val="24"/>
        </w:rPr>
      </w:pPr>
      <w:r w:rsidRPr="006202E2">
        <w:rPr>
          <w:rFonts w:ascii="Calibri" w:hAnsi="Calibri" w:cs="Calibri"/>
          <w:sz w:val="24"/>
          <w:szCs w:val="24"/>
        </w:rPr>
        <w:t xml:space="preserve">Archer, J. C. (2010). State of the science in health professional education: Effective feedback. </w:t>
      </w:r>
      <w:r w:rsidRPr="006202E2">
        <w:rPr>
          <w:rFonts w:ascii="Calibri" w:hAnsi="Calibri" w:cs="Calibri"/>
          <w:i/>
          <w:iCs/>
          <w:sz w:val="24"/>
          <w:szCs w:val="24"/>
        </w:rPr>
        <w:t>Medical Education</w:t>
      </w:r>
      <w:r w:rsidRPr="006202E2">
        <w:rPr>
          <w:rFonts w:ascii="Calibri" w:hAnsi="Calibri" w:cs="Calibri"/>
          <w:sz w:val="24"/>
          <w:szCs w:val="24"/>
        </w:rPr>
        <w:t xml:space="preserve">, </w:t>
      </w:r>
      <w:r w:rsidRPr="006202E2">
        <w:rPr>
          <w:rFonts w:ascii="Calibri" w:hAnsi="Calibri" w:cs="Calibri"/>
          <w:i/>
          <w:iCs/>
          <w:sz w:val="24"/>
          <w:szCs w:val="24"/>
        </w:rPr>
        <w:t>44</w:t>
      </w:r>
      <w:r w:rsidRPr="006202E2">
        <w:rPr>
          <w:rFonts w:ascii="Calibri" w:hAnsi="Calibri" w:cs="Calibri"/>
          <w:sz w:val="24"/>
          <w:szCs w:val="24"/>
        </w:rPr>
        <w:t xml:space="preserve">(1), 101–108. </w:t>
      </w:r>
      <w:hyperlink r:id="rId9" w:history="1">
        <w:r w:rsidRPr="006202E2">
          <w:rPr>
            <w:rStyle w:val="Hyperlink"/>
            <w:rFonts w:ascii="Calibri" w:hAnsi="Calibri" w:cs="Calibri"/>
            <w:sz w:val="24"/>
            <w:szCs w:val="24"/>
          </w:rPr>
          <w:t>https://doi.org/10.1111/j.1365-2923.2009.03546.x</w:t>
        </w:r>
      </w:hyperlink>
    </w:p>
    <w:p w14:paraId="7E76D723" w14:textId="77777777" w:rsidR="006202E2" w:rsidRPr="006202E2" w:rsidRDefault="006202E2" w:rsidP="006202E2">
      <w:pPr>
        <w:spacing w:line="360" w:lineRule="auto"/>
        <w:ind w:left="720" w:hanging="720"/>
        <w:rPr>
          <w:rFonts w:ascii="Calibri" w:hAnsi="Calibri" w:cs="Calibri"/>
          <w:sz w:val="24"/>
          <w:szCs w:val="24"/>
        </w:rPr>
      </w:pPr>
      <w:proofErr w:type="spellStart"/>
      <w:r w:rsidRPr="00117E75">
        <w:rPr>
          <w:rFonts w:ascii="Calibri" w:hAnsi="Calibri" w:cs="Calibri"/>
          <w:sz w:val="24"/>
          <w:szCs w:val="24"/>
        </w:rPr>
        <w:t>Bachkirova</w:t>
      </w:r>
      <w:proofErr w:type="spellEnd"/>
      <w:r w:rsidRPr="00117E75">
        <w:rPr>
          <w:rFonts w:ascii="Calibri" w:hAnsi="Calibri" w:cs="Calibri"/>
          <w:sz w:val="24"/>
          <w:szCs w:val="24"/>
        </w:rPr>
        <w:t xml:space="preserve">, T., &amp; Cox, E. (2007). Coaching with emotion in organisations: investigation of personal theories. </w:t>
      </w:r>
      <w:r w:rsidRPr="00117E75">
        <w:rPr>
          <w:rFonts w:ascii="Calibri" w:hAnsi="Calibri" w:cs="Calibri"/>
          <w:i/>
          <w:iCs/>
          <w:sz w:val="24"/>
          <w:szCs w:val="24"/>
        </w:rPr>
        <w:t>Leadership &amp; Organization Development Journal</w:t>
      </w:r>
      <w:r w:rsidRPr="00117E75">
        <w:rPr>
          <w:rFonts w:ascii="Calibri" w:hAnsi="Calibri" w:cs="Calibri"/>
          <w:sz w:val="24"/>
          <w:szCs w:val="24"/>
        </w:rPr>
        <w:t xml:space="preserve">, </w:t>
      </w:r>
      <w:r w:rsidRPr="00117E75">
        <w:rPr>
          <w:rFonts w:ascii="Calibri" w:hAnsi="Calibri" w:cs="Calibri"/>
          <w:i/>
          <w:iCs/>
          <w:sz w:val="24"/>
          <w:szCs w:val="24"/>
        </w:rPr>
        <w:t>28</w:t>
      </w:r>
      <w:r w:rsidRPr="00117E75">
        <w:rPr>
          <w:rFonts w:ascii="Calibri" w:hAnsi="Calibri" w:cs="Calibri"/>
          <w:sz w:val="24"/>
          <w:szCs w:val="24"/>
        </w:rPr>
        <w:t xml:space="preserve">(7), 600–612. </w:t>
      </w:r>
      <w:hyperlink r:id="rId10" w:history="1">
        <w:r w:rsidRPr="00117E75">
          <w:rPr>
            <w:rStyle w:val="Hyperlink"/>
            <w:rFonts w:ascii="Calibri" w:hAnsi="Calibri" w:cs="Calibri"/>
            <w:sz w:val="24"/>
            <w:szCs w:val="24"/>
          </w:rPr>
          <w:t>https://doi.org/10.1108/01437730710823860</w:t>
        </w:r>
      </w:hyperlink>
    </w:p>
    <w:p w14:paraId="30285EDD" w14:textId="77777777" w:rsidR="006202E2" w:rsidRPr="006202E2" w:rsidRDefault="006202E2" w:rsidP="006202E2">
      <w:pPr>
        <w:spacing w:line="360" w:lineRule="auto"/>
        <w:ind w:left="720" w:hanging="720"/>
        <w:rPr>
          <w:rFonts w:ascii="Calibri" w:hAnsi="Calibri" w:cs="Calibri"/>
          <w:sz w:val="24"/>
          <w:szCs w:val="24"/>
        </w:rPr>
      </w:pPr>
      <w:r w:rsidRPr="006202E2">
        <w:rPr>
          <w:rFonts w:ascii="Calibri" w:hAnsi="Calibri" w:cs="Calibri"/>
          <w:sz w:val="24"/>
          <w:szCs w:val="24"/>
        </w:rPr>
        <w:t xml:space="preserve">Bawany, S. (2023). </w:t>
      </w:r>
      <w:r w:rsidRPr="006202E2">
        <w:rPr>
          <w:rFonts w:ascii="Calibri" w:hAnsi="Calibri" w:cs="Calibri"/>
          <w:i/>
          <w:iCs/>
          <w:sz w:val="24"/>
          <w:szCs w:val="24"/>
        </w:rPr>
        <w:t>Disruptive Leadership Institute</w:t>
      </w:r>
      <w:r w:rsidRPr="006202E2">
        <w:rPr>
          <w:rFonts w:ascii="Calibri" w:hAnsi="Calibri" w:cs="Calibri"/>
          <w:sz w:val="24"/>
          <w:szCs w:val="24"/>
        </w:rPr>
        <w:t xml:space="preserve">. Disruptive Leadership Institute. </w:t>
      </w:r>
      <w:hyperlink r:id="rId11" w:history="1">
        <w:r w:rsidRPr="006202E2">
          <w:rPr>
            <w:rStyle w:val="Hyperlink"/>
            <w:rFonts w:ascii="Calibri" w:hAnsi="Calibri" w:cs="Calibri"/>
            <w:sz w:val="24"/>
            <w:szCs w:val="24"/>
          </w:rPr>
          <w:t>https://www.disruptiveleadership.institute/grow_model/</w:t>
        </w:r>
      </w:hyperlink>
    </w:p>
    <w:p w14:paraId="17CC1596" w14:textId="77777777" w:rsidR="006202E2" w:rsidRPr="006202E2" w:rsidRDefault="006202E2" w:rsidP="006202E2">
      <w:pPr>
        <w:spacing w:line="360" w:lineRule="auto"/>
        <w:ind w:left="720" w:hanging="720"/>
        <w:rPr>
          <w:rFonts w:ascii="Calibri" w:hAnsi="Calibri" w:cs="Calibri"/>
          <w:sz w:val="24"/>
          <w:szCs w:val="24"/>
        </w:rPr>
      </w:pPr>
      <w:r w:rsidRPr="000933BD">
        <w:rPr>
          <w:rFonts w:ascii="Calibri" w:hAnsi="Calibri" w:cs="Calibri"/>
          <w:sz w:val="24"/>
          <w:szCs w:val="24"/>
        </w:rPr>
        <w:t xml:space="preserve">Bin Abdulrahman, K. A., &amp; Hosny, S. (2025). Adult Learning Theories and Their Application in Medical and Health Science Education. </w:t>
      </w:r>
      <w:r w:rsidRPr="000933BD">
        <w:rPr>
          <w:rFonts w:ascii="Calibri" w:hAnsi="Calibri" w:cs="Calibri"/>
          <w:i/>
          <w:iCs/>
          <w:sz w:val="24"/>
          <w:szCs w:val="24"/>
        </w:rPr>
        <w:t>Essential Learning Skills for Health Professions Students</w:t>
      </w:r>
      <w:r w:rsidRPr="000933BD">
        <w:rPr>
          <w:rFonts w:ascii="Calibri" w:hAnsi="Calibri" w:cs="Calibri"/>
          <w:sz w:val="24"/>
          <w:szCs w:val="24"/>
        </w:rPr>
        <w:t xml:space="preserve">, 1–13. </w:t>
      </w:r>
      <w:hyperlink r:id="rId12" w:history="1">
        <w:r w:rsidRPr="000933BD">
          <w:rPr>
            <w:rStyle w:val="Hyperlink"/>
            <w:rFonts w:ascii="Calibri" w:hAnsi="Calibri" w:cs="Calibri"/>
            <w:sz w:val="24"/>
            <w:szCs w:val="24"/>
          </w:rPr>
          <w:t>https://doi.org/10.1007/978-981-96-5670-7_1</w:t>
        </w:r>
      </w:hyperlink>
    </w:p>
    <w:p w14:paraId="0B64D20B" w14:textId="77777777" w:rsidR="006202E2" w:rsidRPr="006202E2" w:rsidRDefault="006202E2" w:rsidP="006202E2">
      <w:pPr>
        <w:spacing w:line="360" w:lineRule="auto"/>
        <w:ind w:left="720" w:hanging="720"/>
        <w:rPr>
          <w:rFonts w:ascii="Calibri" w:hAnsi="Calibri" w:cs="Calibri"/>
          <w:sz w:val="24"/>
          <w:szCs w:val="24"/>
        </w:rPr>
      </w:pPr>
      <w:r w:rsidRPr="004F36BF">
        <w:rPr>
          <w:rFonts w:ascii="Calibri" w:hAnsi="Calibri" w:cs="Calibri"/>
          <w:sz w:val="24"/>
          <w:szCs w:val="24"/>
        </w:rPr>
        <w:t xml:space="preserve">Bulman, C., &amp; Schutz, S. (2026). </w:t>
      </w:r>
      <w:r w:rsidRPr="004F36BF">
        <w:rPr>
          <w:rFonts w:ascii="Calibri" w:hAnsi="Calibri" w:cs="Calibri"/>
          <w:i/>
          <w:iCs/>
          <w:sz w:val="24"/>
          <w:szCs w:val="24"/>
        </w:rPr>
        <w:t>Reflective Practice in Nursing</w:t>
      </w:r>
      <w:r w:rsidRPr="004F36BF">
        <w:rPr>
          <w:rFonts w:ascii="Calibri" w:hAnsi="Calibri" w:cs="Calibri"/>
          <w:sz w:val="24"/>
          <w:szCs w:val="24"/>
        </w:rPr>
        <w:t xml:space="preserve">. Google Books. </w:t>
      </w:r>
      <w:hyperlink r:id="rId13" w:history="1">
        <w:r w:rsidRPr="004F36BF">
          <w:rPr>
            <w:rStyle w:val="Hyperlink"/>
            <w:rFonts w:ascii="Calibri" w:hAnsi="Calibri" w:cs="Calibri"/>
            <w:sz w:val="24"/>
            <w:szCs w:val="24"/>
          </w:rPr>
          <w:t>https://books.google.co.uk/books?id=2qV0ZIjJ3eAC&amp;printsec=frontcover#v=onepage&amp;q&amp;f=false</w:t>
        </w:r>
      </w:hyperlink>
    </w:p>
    <w:p w14:paraId="35DAAC77" w14:textId="77777777" w:rsidR="006202E2" w:rsidRPr="006202E2" w:rsidRDefault="006202E2" w:rsidP="00E27F47">
      <w:pPr>
        <w:spacing w:line="360" w:lineRule="auto"/>
        <w:ind w:left="720" w:hanging="720"/>
        <w:rPr>
          <w:rFonts w:ascii="Calibri" w:hAnsi="Calibri" w:cs="Calibri"/>
          <w:sz w:val="24"/>
          <w:szCs w:val="24"/>
        </w:rPr>
      </w:pPr>
      <w:r w:rsidRPr="006202E2">
        <w:rPr>
          <w:rFonts w:ascii="Calibri" w:hAnsi="Calibri" w:cs="Calibri"/>
          <w:sz w:val="24"/>
          <w:szCs w:val="24"/>
        </w:rPr>
        <w:t xml:space="preserve">Burgess, A., van </w:t>
      </w:r>
      <w:proofErr w:type="spellStart"/>
      <w:r w:rsidRPr="006202E2">
        <w:rPr>
          <w:rFonts w:ascii="Calibri" w:hAnsi="Calibri" w:cs="Calibri"/>
          <w:sz w:val="24"/>
          <w:szCs w:val="24"/>
        </w:rPr>
        <w:t>Diggele</w:t>
      </w:r>
      <w:proofErr w:type="spellEnd"/>
      <w:r w:rsidRPr="006202E2">
        <w:rPr>
          <w:rFonts w:ascii="Calibri" w:hAnsi="Calibri" w:cs="Calibri"/>
          <w:sz w:val="24"/>
          <w:szCs w:val="24"/>
        </w:rPr>
        <w:t xml:space="preserve">, C., &amp; Mellis, C. (2018). Mentorship in the Health professions: a Review. </w:t>
      </w:r>
      <w:r w:rsidRPr="006202E2">
        <w:rPr>
          <w:rFonts w:ascii="Calibri" w:hAnsi="Calibri" w:cs="Calibri"/>
          <w:i/>
          <w:iCs/>
          <w:sz w:val="24"/>
          <w:szCs w:val="24"/>
        </w:rPr>
        <w:t>The Clinical Teacher</w:t>
      </w:r>
      <w:r w:rsidRPr="006202E2">
        <w:rPr>
          <w:rFonts w:ascii="Calibri" w:hAnsi="Calibri" w:cs="Calibri"/>
          <w:sz w:val="24"/>
          <w:szCs w:val="24"/>
        </w:rPr>
        <w:t xml:space="preserve">, </w:t>
      </w:r>
      <w:r w:rsidRPr="006202E2">
        <w:rPr>
          <w:rFonts w:ascii="Calibri" w:hAnsi="Calibri" w:cs="Calibri"/>
          <w:i/>
          <w:iCs/>
          <w:sz w:val="24"/>
          <w:szCs w:val="24"/>
        </w:rPr>
        <w:t>15</w:t>
      </w:r>
      <w:r w:rsidRPr="006202E2">
        <w:rPr>
          <w:rFonts w:ascii="Calibri" w:hAnsi="Calibri" w:cs="Calibri"/>
          <w:sz w:val="24"/>
          <w:szCs w:val="24"/>
        </w:rPr>
        <w:t xml:space="preserve">(3), 197–202. </w:t>
      </w:r>
      <w:hyperlink r:id="rId14" w:history="1">
        <w:r w:rsidRPr="006202E2">
          <w:rPr>
            <w:rStyle w:val="Hyperlink"/>
            <w:rFonts w:ascii="Calibri" w:hAnsi="Calibri" w:cs="Calibri"/>
            <w:sz w:val="24"/>
            <w:szCs w:val="24"/>
          </w:rPr>
          <w:t>https://pubmed.ncbi.nlm.nih.gov/29318730/</w:t>
        </w:r>
      </w:hyperlink>
    </w:p>
    <w:p w14:paraId="21171B1D" w14:textId="77777777" w:rsidR="006202E2" w:rsidRPr="006202E2" w:rsidRDefault="006202E2" w:rsidP="006202E2">
      <w:pPr>
        <w:spacing w:line="360" w:lineRule="auto"/>
        <w:ind w:left="720" w:hanging="720"/>
        <w:rPr>
          <w:rFonts w:ascii="Calibri" w:hAnsi="Calibri" w:cs="Calibri"/>
          <w:sz w:val="24"/>
          <w:szCs w:val="24"/>
        </w:rPr>
      </w:pPr>
      <w:r w:rsidRPr="007644CA">
        <w:rPr>
          <w:rFonts w:ascii="Calibri" w:hAnsi="Calibri" w:cs="Calibri"/>
          <w:sz w:val="24"/>
          <w:szCs w:val="24"/>
        </w:rPr>
        <w:t xml:space="preserve">Business Balls. (2025). </w:t>
      </w:r>
      <w:r w:rsidRPr="007644CA">
        <w:rPr>
          <w:rFonts w:ascii="Calibri" w:hAnsi="Calibri" w:cs="Calibri"/>
          <w:i/>
          <w:iCs/>
          <w:sz w:val="24"/>
          <w:szCs w:val="24"/>
        </w:rPr>
        <w:t>OSCAR Model</w:t>
      </w:r>
      <w:r w:rsidRPr="007644CA">
        <w:rPr>
          <w:rFonts w:ascii="Calibri" w:hAnsi="Calibri" w:cs="Calibri"/>
          <w:sz w:val="24"/>
          <w:szCs w:val="24"/>
        </w:rPr>
        <w:t xml:space="preserve">. Www.businessballs.com. </w:t>
      </w:r>
      <w:hyperlink r:id="rId15" w:history="1">
        <w:r w:rsidRPr="007644CA">
          <w:rPr>
            <w:rStyle w:val="Hyperlink"/>
            <w:rFonts w:ascii="Calibri" w:hAnsi="Calibri" w:cs="Calibri"/>
            <w:sz w:val="24"/>
            <w:szCs w:val="24"/>
          </w:rPr>
          <w:t>https://www.businessballs.com/coaching-and-mentoring/oscar-model-of-coaching/</w:t>
        </w:r>
      </w:hyperlink>
    </w:p>
    <w:p w14:paraId="0E77DEC3" w14:textId="77777777" w:rsidR="006202E2" w:rsidRPr="006202E2" w:rsidRDefault="006202E2" w:rsidP="00C54F93">
      <w:pPr>
        <w:spacing w:line="360" w:lineRule="auto"/>
        <w:ind w:left="720" w:hanging="720"/>
        <w:rPr>
          <w:rFonts w:ascii="Calibri" w:hAnsi="Calibri" w:cs="Calibri"/>
          <w:sz w:val="24"/>
          <w:szCs w:val="24"/>
        </w:rPr>
      </w:pPr>
      <w:r w:rsidRPr="006202E2">
        <w:rPr>
          <w:rFonts w:ascii="Calibri" w:hAnsi="Calibri" w:cs="Calibri"/>
          <w:sz w:val="24"/>
          <w:szCs w:val="24"/>
        </w:rPr>
        <w:t xml:space="preserve">Carter, A., Mason, B., &amp; Bajorek, Z. (2025). Effectiveness of an Employee Wellbeing Coaching Programme Delivered Across Primary Healthcare in England. </w:t>
      </w:r>
      <w:r w:rsidRPr="006202E2">
        <w:rPr>
          <w:rFonts w:ascii="Calibri" w:hAnsi="Calibri" w:cs="Calibri"/>
          <w:i/>
          <w:iCs/>
          <w:sz w:val="24"/>
          <w:szCs w:val="24"/>
        </w:rPr>
        <w:t xml:space="preserve">International Journal of </w:t>
      </w:r>
      <w:r w:rsidRPr="006202E2">
        <w:rPr>
          <w:rFonts w:ascii="Calibri" w:hAnsi="Calibri" w:cs="Calibri"/>
          <w:i/>
          <w:iCs/>
          <w:sz w:val="24"/>
          <w:szCs w:val="24"/>
        </w:rPr>
        <w:lastRenderedPageBreak/>
        <w:t>Human Resource Development: Practice, Policy and Research</w:t>
      </w:r>
      <w:r w:rsidRPr="006202E2">
        <w:rPr>
          <w:rFonts w:ascii="Calibri" w:hAnsi="Calibri" w:cs="Calibri"/>
          <w:sz w:val="24"/>
          <w:szCs w:val="24"/>
        </w:rPr>
        <w:t xml:space="preserve">, </w:t>
      </w:r>
      <w:r w:rsidRPr="006202E2">
        <w:rPr>
          <w:rFonts w:ascii="Calibri" w:hAnsi="Calibri" w:cs="Calibri"/>
          <w:i/>
          <w:iCs/>
          <w:sz w:val="24"/>
          <w:szCs w:val="24"/>
        </w:rPr>
        <w:t>9</w:t>
      </w:r>
      <w:r w:rsidRPr="006202E2">
        <w:rPr>
          <w:rFonts w:ascii="Calibri" w:hAnsi="Calibri" w:cs="Calibri"/>
          <w:sz w:val="24"/>
          <w:szCs w:val="24"/>
        </w:rPr>
        <w:t xml:space="preserve">(1), 5–18. </w:t>
      </w:r>
      <w:hyperlink r:id="rId16" w:history="1">
        <w:r w:rsidRPr="006202E2">
          <w:rPr>
            <w:rStyle w:val="Hyperlink"/>
            <w:rFonts w:ascii="Calibri" w:hAnsi="Calibri" w:cs="Calibri"/>
            <w:sz w:val="24"/>
            <w:szCs w:val="24"/>
          </w:rPr>
          <w:t>https://doi.org/10.2478/ijhrd-2025-0002</w:t>
        </w:r>
      </w:hyperlink>
    </w:p>
    <w:p w14:paraId="27A98D4C" w14:textId="77777777" w:rsidR="006202E2" w:rsidRPr="006202E2" w:rsidRDefault="006202E2" w:rsidP="00C54F93">
      <w:pPr>
        <w:spacing w:line="360" w:lineRule="auto"/>
        <w:ind w:left="720" w:hanging="720"/>
        <w:rPr>
          <w:rFonts w:ascii="Calibri" w:hAnsi="Calibri" w:cs="Calibri"/>
          <w:sz w:val="24"/>
          <w:szCs w:val="24"/>
        </w:rPr>
      </w:pPr>
      <w:r w:rsidRPr="006202E2">
        <w:rPr>
          <w:rFonts w:ascii="Calibri" w:hAnsi="Calibri" w:cs="Calibri"/>
          <w:sz w:val="24"/>
          <w:szCs w:val="24"/>
        </w:rPr>
        <w:t xml:space="preserve">CIPD. (2024, August 12). </w:t>
      </w:r>
      <w:r w:rsidRPr="006202E2">
        <w:rPr>
          <w:rFonts w:ascii="Calibri" w:hAnsi="Calibri" w:cs="Calibri"/>
          <w:i/>
          <w:iCs/>
          <w:sz w:val="24"/>
          <w:szCs w:val="24"/>
        </w:rPr>
        <w:t>Coaching and mentoring</w:t>
      </w:r>
      <w:r w:rsidRPr="006202E2">
        <w:rPr>
          <w:rFonts w:ascii="Calibri" w:hAnsi="Calibri" w:cs="Calibri"/>
          <w:sz w:val="24"/>
          <w:szCs w:val="24"/>
        </w:rPr>
        <w:t xml:space="preserve">. CIPD. </w:t>
      </w:r>
      <w:hyperlink r:id="rId17" w:history="1">
        <w:r w:rsidRPr="006202E2">
          <w:rPr>
            <w:rStyle w:val="Hyperlink"/>
            <w:rFonts w:ascii="Calibri" w:hAnsi="Calibri" w:cs="Calibri"/>
            <w:sz w:val="24"/>
            <w:szCs w:val="24"/>
          </w:rPr>
          <w:t>https://www.cipd.org/en/knowledge/factsheets/coaching-mentoring-factsheet/</w:t>
        </w:r>
      </w:hyperlink>
    </w:p>
    <w:p w14:paraId="2E9E67C4" w14:textId="77777777" w:rsidR="006202E2" w:rsidRPr="006202E2" w:rsidRDefault="006202E2" w:rsidP="00C54F93">
      <w:pPr>
        <w:spacing w:line="360" w:lineRule="auto"/>
        <w:ind w:left="720" w:hanging="720"/>
        <w:rPr>
          <w:rFonts w:ascii="Calibri" w:hAnsi="Calibri" w:cs="Calibri"/>
          <w:sz w:val="24"/>
          <w:szCs w:val="24"/>
        </w:rPr>
      </w:pPr>
      <w:r w:rsidRPr="006202E2">
        <w:rPr>
          <w:rFonts w:ascii="Calibri" w:hAnsi="Calibri" w:cs="Calibri"/>
          <w:sz w:val="24"/>
          <w:szCs w:val="24"/>
        </w:rPr>
        <w:t xml:space="preserve">Clutterbuck, D. (2014). </w:t>
      </w:r>
      <w:r w:rsidRPr="006202E2">
        <w:rPr>
          <w:rFonts w:ascii="Calibri" w:hAnsi="Calibri" w:cs="Calibri"/>
          <w:i/>
          <w:iCs/>
          <w:sz w:val="24"/>
          <w:szCs w:val="24"/>
        </w:rPr>
        <w:t>Everyone needs a mentor</w:t>
      </w:r>
      <w:r w:rsidRPr="006202E2">
        <w:rPr>
          <w:rFonts w:ascii="Calibri" w:hAnsi="Calibri" w:cs="Calibri"/>
          <w:sz w:val="24"/>
          <w:szCs w:val="24"/>
        </w:rPr>
        <w:t xml:space="preserve"> (5th ed.). Chartered Institute of Personnel and Development.</w:t>
      </w:r>
    </w:p>
    <w:p w14:paraId="0DFF84CD" w14:textId="77777777" w:rsidR="006202E2" w:rsidRPr="006202E2" w:rsidRDefault="006202E2" w:rsidP="00C54F93">
      <w:pPr>
        <w:spacing w:line="360" w:lineRule="auto"/>
        <w:ind w:left="720" w:hanging="720"/>
        <w:rPr>
          <w:rFonts w:ascii="Calibri" w:hAnsi="Calibri" w:cs="Calibri"/>
          <w:sz w:val="24"/>
          <w:szCs w:val="24"/>
        </w:rPr>
      </w:pPr>
      <w:r w:rsidRPr="006202E2">
        <w:rPr>
          <w:rFonts w:ascii="Calibri" w:hAnsi="Calibri" w:cs="Calibri"/>
          <w:sz w:val="24"/>
          <w:szCs w:val="24"/>
        </w:rPr>
        <w:t xml:space="preserve">Cox, E., </w:t>
      </w:r>
      <w:proofErr w:type="spellStart"/>
      <w:r w:rsidRPr="006202E2">
        <w:rPr>
          <w:rFonts w:ascii="Calibri" w:hAnsi="Calibri" w:cs="Calibri"/>
          <w:sz w:val="24"/>
          <w:szCs w:val="24"/>
        </w:rPr>
        <w:t>Bachkirova</w:t>
      </w:r>
      <w:proofErr w:type="spellEnd"/>
      <w:r w:rsidRPr="006202E2">
        <w:rPr>
          <w:rFonts w:ascii="Calibri" w:hAnsi="Calibri" w:cs="Calibri"/>
          <w:sz w:val="24"/>
          <w:szCs w:val="24"/>
        </w:rPr>
        <w:t xml:space="preserve">, T., &amp; Clutterbuck, D. A. (2018). </w:t>
      </w:r>
      <w:r w:rsidRPr="006202E2">
        <w:rPr>
          <w:rFonts w:ascii="Calibri" w:hAnsi="Calibri" w:cs="Calibri"/>
          <w:i/>
          <w:iCs/>
          <w:sz w:val="24"/>
          <w:szCs w:val="24"/>
        </w:rPr>
        <w:t>The complete handbook of coaching</w:t>
      </w:r>
      <w:r w:rsidRPr="006202E2">
        <w:rPr>
          <w:rFonts w:ascii="Calibri" w:hAnsi="Calibri" w:cs="Calibri"/>
          <w:sz w:val="24"/>
          <w:szCs w:val="24"/>
        </w:rPr>
        <w:t>. Sage.</w:t>
      </w:r>
    </w:p>
    <w:p w14:paraId="1E966199" w14:textId="77777777" w:rsidR="006202E2" w:rsidRPr="006202E2" w:rsidRDefault="006202E2" w:rsidP="006202E2">
      <w:pPr>
        <w:spacing w:line="360" w:lineRule="auto"/>
        <w:ind w:left="720" w:hanging="720"/>
        <w:rPr>
          <w:rFonts w:ascii="Calibri" w:hAnsi="Calibri" w:cs="Calibri"/>
          <w:sz w:val="24"/>
          <w:szCs w:val="24"/>
        </w:rPr>
      </w:pPr>
      <w:r w:rsidRPr="006202E2">
        <w:rPr>
          <w:rFonts w:ascii="Calibri" w:hAnsi="Calibri" w:cs="Calibri"/>
          <w:sz w:val="24"/>
          <w:szCs w:val="24"/>
        </w:rPr>
        <w:t xml:space="preserve">Department of Health and Social Care. (2024, December 8). </w:t>
      </w:r>
      <w:r w:rsidRPr="006202E2">
        <w:rPr>
          <w:rFonts w:ascii="Calibri" w:hAnsi="Calibri" w:cs="Calibri"/>
          <w:i/>
          <w:iCs/>
          <w:sz w:val="24"/>
          <w:szCs w:val="24"/>
        </w:rPr>
        <w:t>Government to tackle NHS workforce crisis with refreshed plan</w:t>
      </w:r>
      <w:r w:rsidRPr="006202E2">
        <w:rPr>
          <w:rFonts w:ascii="Calibri" w:hAnsi="Calibri" w:cs="Calibri"/>
          <w:sz w:val="24"/>
          <w:szCs w:val="24"/>
        </w:rPr>
        <w:t xml:space="preserve">. GOV.UK. </w:t>
      </w:r>
      <w:hyperlink r:id="rId18" w:history="1">
        <w:r w:rsidRPr="006202E2">
          <w:rPr>
            <w:rStyle w:val="Hyperlink"/>
            <w:rFonts w:ascii="Calibri" w:hAnsi="Calibri" w:cs="Calibri"/>
            <w:sz w:val="24"/>
            <w:szCs w:val="24"/>
          </w:rPr>
          <w:t>https://www.gov.uk/government/news/government-to-tackle-nhs-workforce-crisis-with-refreshed-plan</w:t>
        </w:r>
      </w:hyperlink>
    </w:p>
    <w:p w14:paraId="0A2AFC1C" w14:textId="77777777" w:rsidR="006202E2" w:rsidRPr="006202E2" w:rsidRDefault="006202E2" w:rsidP="00C54F93">
      <w:pPr>
        <w:spacing w:line="360" w:lineRule="auto"/>
        <w:ind w:left="720" w:hanging="720"/>
        <w:rPr>
          <w:rFonts w:ascii="Calibri" w:hAnsi="Calibri" w:cs="Calibri"/>
          <w:sz w:val="24"/>
          <w:szCs w:val="24"/>
        </w:rPr>
      </w:pPr>
      <w:r w:rsidRPr="006202E2">
        <w:rPr>
          <w:rFonts w:ascii="Calibri" w:hAnsi="Calibri" w:cs="Calibri"/>
          <w:sz w:val="24"/>
          <w:szCs w:val="24"/>
        </w:rPr>
        <w:t>Eby, L. T. de T., Allen, T. D., Hoffman, B. J., Baranik, L. E., Sauer, J. B., Baldwin, S., Morrison, M. A., Kinkade, K. M., Maher, C. P., Curtis, S., &amp; Evans, S. C. (2013). An interdisciplinary meta-analysis of the potential antecedents, correlates, and consequences of protégé perceptions of mentoring. </w:t>
      </w:r>
      <w:r w:rsidRPr="006202E2">
        <w:rPr>
          <w:rFonts w:ascii="Calibri" w:hAnsi="Calibri" w:cs="Calibri"/>
          <w:i/>
          <w:iCs/>
          <w:sz w:val="24"/>
          <w:szCs w:val="24"/>
        </w:rPr>
        <w:t>Psychological Bulletin</w:t>
      </w:r>
      <w:r w:rsidRPr="006202E2">
        <w:rPr>
          <w:rFonts w:ascii="Calibri" w:hAnsi="Calibri" w:cs="Calibri"/>
          <w:sz w:val="24"/>
          <w:szCs w:val="24"/>
        </w:rPr>
        <w:t>, </w:t>
      </w:r>
      <w:r w:rsidRPr="006202E2">
        <w:rPr>
          <w:rFonts w:ascii="Calibri" w:hAnsi="Calibri" w:cs="Calibri"/>
          <w:i/>
          <w:iCs/>
          <w:sz w:val="24"/>
          <w:szCs w:val="24"/>
        </w:rPr>
        <w:t>139</w:t>
      </w:r>
      <w:r w:rsidRPr="006202E2">
        <w:rPr>
          <w:rFonts w:ascii="Calibri" w:hAnsi="Calibri" w:cs="Calibri"/>
          <w:sz w:val="24"/>
          <w:szCs w:val="24"/>
        </w:rPr>
        <w:t xml:space="preserve">(2), 441–476. </w:t>
      </w:r>
      <w:hyperlink r:id="rId19" w:history="1">
        <w:r w:rsidRPr="006202E2">
          <w:rPr>
            <w:rStyle w:val="Hyperlink"/>
            <w:rFonts w:ascii="Calibri" w:hAnsi="Calibri" w:cs="Calibri"/>
            <w:sz w:val="24"/>
            <w:szCs w:val="24"/>
          </w:rPr>
          <w:t>https://doi-org.uwtsd.idm.oclc.org/10.1037/a0029279</w:t>
        </w:r>
      </w:hyperlink>
    </w:p>
    <w:p w14:paraId="2E166343" w14:textId="77777777" w:rsidR="006202E2" w:rsidRPr="006202E2" w:rsidRDefault="006202E2" w:rsidP="00E27F47">
      <w:pPr>
        <w:spacing w:line="360" w:lineRule="auto"/>
        <w:ind w:left="720" w:hanging="720"/>
        <w:rPr>
          <w:rFonts w:ascii="Calibri" w:hAnsi="Calibri" w:cs="Calibri"/>
          <w:sz w:val="24"/>
          <w:szCs w:val="24"/>
        </w:rPr>
      </w:pPr>
      <w:r w:rsidRPr="006202E2">
        <w:rPr>
          <w:rFonts w:ascii="Calibri" w:hAnsi="Calibri" w:cs="Calibri"/>
          <w:sz w:val="24"/>
          <w:szCs w:val="24"/>
        </w:rPr>
        <w:t xml:space="preserve">Eraut, M. (2007). Learning from other people in the </w:t>
      </w:r>
      <w:proofErr w:type="gramStart"/>
      <w:r w:rsidRPr="006202E2">
        <w:rPr>
          <w:rFonts w:ascii="Calibri" w:hAnsi="Calibri" w:cs="Calibri"/>
          <w:sz w:val="24"/>
          <w:szCs w:val="24"/>
        </w:rPr>
        <w:t>workplace.-</w:t>
      </w:r>
      <w:proofErr w:type="gramEnd"/>
      <w:r w:rsidRPr="006202E2">
        <w:rPr>
          <w:rFonts w:ascii="Calibri" w:hAnsi="Calibri" w:cs="Calibri"/>
          <w:sz w:val="24"/>
          <w:szCs w:val="24"/>
        </w:rPr>
        <w:t xml:space="preserve"> </w:t>
      </w:r>
      <w:r w:rsidRPr="006202E2">
        <w:rPr>
          <w:rFonts w:ascii="Calibri" w:hAnsi="Calibri" w:cs="Calibri"/>
          <w:i/>
          <w:iCs/>
          <w:sz w:val="24"/>
          <w:szCs w:val="24"/>
        </w:rPr>
        <w:t>Oxford Review of Education</w:t>
      </w:r>
      <w:r w:rsidRPr="006202E2">
        <w:rPr>
          <w:rFonts w:ascii="Calibri" w:hAnsi="Calibri" w:cs="Calibri"/>
          <w:sz w:val="24"/>
          <w:szCs w:val="24"/>
        </w:rPr>
        <w:t xml:space="preserve">, </w:t>
      </w:r>
      <w:r w:rsidRPr="006202E2">
        <w:rPr>
          <w:rFonts w:ascii="Calibri" w:hAnsi="Calibri" w:cs="Calibri"/>
          <w:i/>
          <w:iCs/>
          <w:sz w:val="24"/>
          <w:szCs w:val="24"/>
        </w:rPr>
        <w:t>33</w:t>
      </w:r>
      <w:r w:rsidRPr="006202E2">
        <w:rPr>
          <w:rFonts w:ascii="Calibri" w:hAnsi="Calibri" w:cs="Calibri"/>
          <w:sz w:val="24"/>
          <w:szCs w:val="24"/>
        </w:rPr>
        <w:t xml:space="preserve">(4), 403–422. </w:t>
      </w:r>
      <w:hyperlink r:id="rId20" w:history="1">
        <w:r w:rsidRPr="006202E2">
          <w:rPr>
            <w:rStyle w:val="Hyperlink"/>
            <w:rFonts w:ascii="Calibri" w:hAnsi="Calibri" w:cs="Calibri"/>
            <w:sz w:val="24"/>
            <w:szCs w:val="24"/>
          </w:rPr>
          <w:t>https://doi.org/10.1080/03054980701425706</w:t>
        </w:r>
      </w:hyperlink>
    </w:p>
    <w:p w14:paraId="2BEAD7CF" w14:textId="77777777" w:rsidR="006202E2" w:rsidRPr="006202E2" w:rsidRDefault="006202E2" w:rsidP="00C54F93">
      <w:pPr>
        <w:spacing w:line="360" w:lineRule="auto"/>
        <w:ind w:left="720" w:hanging="720"/>
        <w:rPr>
          <w:rFonts w:ascii="Calibri" w:hAnsi="Calibri" w:cs="Calibri"/>
          <w:sz w:val="24"/>
          <w:szCs w:val="24"/>
        </w:rPr>
      </w:pPr>
      <w:r w:rsidRPr="006202E2">
        <w:rPr>
          <w:rFonts w:ascii="Calibri" w:hAnsi="Calibri" w:cs="Calibri"/>
          <w:sz w:val="24"/>
          <w:szCs w:val="24"/>
        </w:rPr>
        <w:t xml:space="preserve">Garvey, B., Stokes, P., Megginson, D., &amp; Kullar, E. (2018). Coaching and Mentoring: Theory and Practice (3rd edition). </w:t>
      </w:r>
      <w:r w:rsidRPr="006202E2">
        <w:rPr>
          <w:rFonts w:ascii="Calibri" w:hAnsi="Calibri" w:cs="Calibri"/>
          <w:i/>
          <w:iCs/>
          <w:sz w:val="24"/>
          <w:szCs w:val="24"/>
        </w:rPr>
        <w:t>The Coaching Psychologist</w:t>
      </w:r>
      <w:r w:rsidRPr="006202E2">
        <w:rPr>
          <w:rFonts w:ascii="Calibri" w:hAnsi="Calibri" w:cs="Calibri"/>
          <w:sz w:val="24"/>
          <w:szCs w:val="24"/>
        </w:rPr>
        <w:t xml:space="preserve">, </w:t>
      </w:r>
      <w:r w:rsidRPr="006202E2">
        <w:rPr>
          <w:rFonts w:ascii="Calibri" w:hAnsi="Calibri" w:cs="Calibri"/>
          <w:i/>
          <w:iCs/>
          <w:sz w:val="24"/>
          <w:szCs w:val="24"/>
        </w:rPr>
        <w:t>14</w:t>
      </w:r>
      <w:r w:rsidRPr="006202E2">
        <w:rPr>
          <w:rFonts w:ascii="Calibri" w:hAnsi="Calibri" w:cs="Calibri"/>
          <w:sz w:val="24"/>
          <w:szCs w:val="24"/>
        </w:rPr>
        <w:t xml:space="preserve">(2), 124–125. </w:t>
      </w:r>
      <w:hyperlink r:id="rId21" w:history="1">
        <w:r w:rsidRPr="006202E2">
          <w:rPr>
            <w:rStyle w:val="Hyperlink"/>
            <w:rFonts w:ascii="Calibri" w:hAnsi="Calibri" w:cs="Calibri"/>
            <w:sz w:val="24"/>
            <w:szCs w:val="24"/>
          </w:rPr>
          <w:t>https://doi.org/10.53841/bpstcp.2018.14.2.124</w:t>
        </w:r>
      </w:hyperlink>
    </w:p>
    <w:p w14:paraId="6B65EB33" w14:textId="77777777" w:rsidR="006202E2" w:rsidRPr="006202E2" w:rsidRDefault="006202E2" w:rsidP="00C54F93">
      <w:pPr>
        <w:spacing w:line="360" w:lineRule="auto"/>
        <w:ind w:left="720" w:hanging="720"/>
        <w:rPr>
          <w:rFonts w:ascii="Calibri" w:hAnsi="Calibri" w:cs="Calibri"/>
          <w:sz w:val="24"/>
          <w:szCs w:val="24"/>
        </w:rPr>
      </w:pPr>
      <w:r w:rsidRPr="006202E2">
        <w:rPr>
          <w:rFonts w:ascii="Calibri" w:hAnsi="Calibri" w:cs="Calibri"/>
          <w:sz w:val="24"/>
          <w:szCs w:val="24"/>
        </w:rPr>
        <w:t xml:space="preserve">Grant, A. M. (2014). The Efficacy of Executive Coaching in Times of Organisational Change. </w:t>
      </w:r>
      <w:r w:rsidRPr="006202E2">
        <w:rPr>
          <w:rFonts w:ascii="Calibri" w:hAnsi="Calibri" w:cs="Calibri"/>
          <w:i/>
          <w:iCs/>
          <w:sz w:val="24"/>
          <w:szCs w:val="24"/>
        </w:rPr>
        <w:t>Journal of Change Management</w:t>
      </w:r>
      <w:r w:rsidRPr="006202E2">
        <w:rPr>
          <w:rFonts w:ascii="Calibri" w:hAnsi="Calibri" w:cs="Calibri"/>
          <w:sz w:val="24"/>
          <w:szCs w:val="24"/>
        </w:rPr>
        <w:t xml:space="preserve">, </w:t>
      </w:r>
      <w:r w:rsidRPr="006202E2">
        <w:rPr>
          <w:rFonts w:ascii="Calibri" w:hAnsi="Calibri" w:cs="Calibri"/>
          <w:i/>
          <w:iCs/>
          <w:sz w:val="24"/>
          <w:szCs w:val="24"/>
        </w:rPr>
        <w:t>14</w:t>
      </w:r>
      <w:r w:rsidRPr="006202E2">
        <w:rPr>
          <w:rFonts w:ascii="Calibri" w:hAnsi="Calibri" w:cs="Calibri"/>
          <w:sz w:val="24"/>
          <w:szCs w:val="24"/>
        </w:rPr>
        <w:t xml:space="preserve">(2), 258–280. </w:t>
      </w:r>
      <w:hyperlink r:id="rId22" w:history="1">
        <w:r w:rsidRPr="006202E2">
          <w:rPr>
            <w:rStyle w:val="Hyperlink"/>
            <w:rFonts w:ascii="Calibri" w:hAnsi="Calibri" w:cs="Calibri"/>
            <w:sz w:val="24"/>
            <w:szCs w:val="24"/>
          </w:rPr>
          <w:t>https://doi.org/10.1080/14697017.2013.805159</w:t>
        </w:r>
      </w:hyperlink>
    </w:p>
    <w:p w14:paraId="3FFCFCE9" w14:textId="77777777" w:rsidR="006202E2" w:rsidRPr="006202E2" w:rsidRDefault="006202E2" w:rsidP="00C54F93">
      <w:pPr>
        <w:spacing w:line="360" w:lineRule="auto"/>
        <w:ind w:left="720" w:hanging="720"/>
        <w:rPr>
          <w:rFonts w:ascii="Calibri" w:hAnsi="Calibri" w:cs="Calibri"/>
          <w:sz w:val="24"/>
          <w:szCs w:val="24"/>
        </w:rPr>
      </w:pPr>
      <w:r w:rsidRPr="006202E2">
        <w:rPr>
          <w:rFonts w:ascii="Calibri" w:hAnsi="Calibri" w:cs="Calibri"/>
          <w:sz w:val="24"/>
          <w:szCs w:val="24"/>
        </w:rPr>
        <w:t xml:space="preserve">Greif, S., Rauen, C. (2022). Self-Reflection in Coaching. In: Greif, S., Möller, H., Scholl, W., Passmore, J., Müller, F. (eds) International Handbook of Evidence-Based Coaching. Springer, Cham. </w:t>
      </w:r>
      <w:hyperlink r:id="rId23" w:history="1">
        <w:r w:rsidRPr="006202E2">
          <w:rPr>
            <w:rStyle w:val="Hyperlink"/>
            <w:rFonts w:ascii="Calibri" w:hAnsi="Calibri" w:cs="Calibri"/>
            <w:sz w:val="24"/>
            <w:szCs w:val="24"/>
          </w:rPr>
          <w:t>https://doi.org/10.1007/978-3-030-81938-5_69</w:t>
        </w:r>
      </w:hyperlink>
    </w:p>
    <w:p w14:paraId="677F5A5F" w14:textId="77777777" w:rsidR="006202E2" w:rsidRPr="006202E2" w:rsidRDefault="006202E2" w:rsidP="006202E2">
      <w:pPr>
        <w:spacing w:line="360" w:lineRule="auto"/>
        <w:ind w:left="720" w:hanging="720"/>
        <w:rPr>
          <w:rFonts w:ascii="Calibri" w:hAnsi="Calibri" w:cs="Calibri"/>
          <w:sz w:val="24"/>
          <w:szCs w:val="24"/>
        </w:rPr>
      </w:pPr>
      <w:proofErr w:type="spellStart"/>
      <w:r w:rsidRPr="006202E2">
        <w:rPr>
          <w:rFonts w:ascii="Calibri" w:hAnsi="Calibri" w:cs="Calibri"/>
          <w:sz w:val="24"/>
          <w:szCs w:val="24"/>
        </w:rPr>
        <w:lastRenderedPageBreak/>
        <w:t>Hairon</w:t>
      </w:r>
      <w:proofErr w:type="spellEnd"/>
      <w:r w:rsidRPr="006202E2">
        <w:rPr>
          <w:rFonts w:ascii="Calibri" w:hAnsi="Calibri" w:cs="Calibri"/>
          <w:sz w:val="24"/>
          <w:szCs w:val="24"/>
        </w:rPr>
        <w:t xml:space="preserve">, S., Loh, S. H., Lim, S. P., </w:t>
      </w:r>
      <w:proofErr w:type="spellStart"/>
      <w:r w:rsidRPr="006202E2">
        <w:rPr>
          <w:rFonts w:ascii="Calibri" w:hAnsi="Calibri" w:cs="Calibri"/>
          <w:sz w:val="24"/>
          <w:szCs w:val="24"/>
        </w:rPr>
        <w:t>Govindani</w:t>
      </w:r>
      <w:proofErr w:type="spellEnd"/>
      <w:r w:rsidRPr="006202E2">
        <w:rPr>
          <w:rFonts w:ascii="Calibri" w:hAnsi="Calibri" w:cs="Calibri"/>
          <w:sz w:val="24"/>
          <w:szCs w:val="24"/>
        </w:rPr>
        <w:t xml:space="preserve">, S. N., Tan, J. K. T., &amp; Tay, E. C. J. (2019). Structured mentoring: Principles for effective mentoring. </w:t>
      </w:r>
      <w:r w:rsidRPr="006202E2">
        <w:rPr>
          <w:rFonts w:ascii="Calibri" w:hAnsi="Calibri" w:cs="Calibri"/>
          <w:i/>
          <w:iCs/>
          <w:sz w:val="24"/>
          <w:szCs w:val="24"/>
        </w:rPr>
        <w:t>Educational Research for Policy and Practice</w:t>
      </w:r>
      <w:r w:rsidRPr="006202E2">
        <w:rPr>
          <w:rFonts w:ascii="Calibri" w:hAnsi="Calibri" w:cs="Calibri"/>
          <w:sz w:val="24"/>
          <w:szCs w:val="24"/>
        </w:rPr>
        <w:t xml:space="preserve">, </w:t>
      </w:r>
      <w:r w:rsidRPr="006202E2">
        <w:rPr>
          <w:rFonts w:ascii="Calibri" w:hAnsi="Calibri" w:cs="Calibri"/>
          <w:i/>
          <w:iCs/>
          <w:sz w:val="24"/>
          <w:szCs w:val="24"/>
        </w:rPr>
        <w:t>19</w:t>
      </w:r>
      <w:r w:rsidRPr="006202E2">
        <w:rPr>
          <w:rFonts w:ascii="Calibri" w:hAnsi="Calibri" w:cs="Calibri"/>
          <w:sz w:val="24"/>
          <w:szCs w:val="24"/>
        </w:rPr>
        <w:t xml:space="preserve">. </w:t>
      </w:r>
      <w:hyperlink r:id="rId24" w:history="1">
        <w:r w:rsidRPr="006202E2">
          <w:rPr>
            <w:rStyle w:val="Hyperlink"/>
            <w:rFonts w:ascii="Calibri" w:hAnsi="Calibri" w:cs="Calibri"/>
            <w:sz w:val="24"/>
            <w:szCs w:val="24"/>
          </w:rPr>
          <w:t>https://doi.org/10.1007/s10671-019-09251-8</w:t>
        </w:r>
      </w:hyperlink>
    </w:p>
    <w:p w14:paraId="1BBAE5A6" w14:textId="77777777" w:rsidR="006202E2" w:rsidRPr="006202E2" w:rsidRDefault="006202E2" w:rsidP="00C54F93">
      <w:pPr>
        <w:spacing w:line="360" w:lineRule="auto"/>
        <w:ind w:left="720" w:hanging="720"/>
        <w:rPr>
          <w:rFonts w:ascii="Calibri" w:hAnsi="Calibri" w:cs="Calibri"/>
          <w:sz w:val="24"/>
          <w:szCs w:val="24"/>
        </w:rPr>
      </w:pPr>
      <w:r w:rsidRPr="006202E2">
        <w:rPr>
          <w:rFonts w:ascii="Calibri" w:hAnsi="Calibri" w:cs="Calibri"/>
          <w:sz w:val="24"/>
          <w:szCs w:val="24"/>
        </w:rPr>
        <w:t xml:space="preserve">Halliday, K., &amp; Dixon-Woods, M. (2024). Nurturing medical leadership in the NHS. </w:t>
      </w:r>
      <w:r w:rsidRPr="006202E2">
        <w:rPr>
          <w:rFonts w:ascii="Calibri" w:hAnsi="Calibri" w:cs="Calibri"/>
          <w:i/>
          <w:iCs/>
          <w:sz w:val="24"/>
          <w:szCs w:val="24"/>
        </w:rPr>
        <w:t>BMJ</w:t>
      </w:r>
      <w:r w:rsidRPr="006202E2">
        <w:rPr>
          <w:rFonts w:ascii="Calibri" w:hAnsi="Calibri" w:cs="Calibri"/>
          <w:sz w:val="24"/>
          <w:szCs w:val="24"/>
        </w:rPr>
        <w:t xml:space="preserve">, q2207. </w:t>
      </w:r>
      <w:hyperlink r:id="rId25" w:history="1">
        <w:r w:rsidRPr="006202E2">
          <w:rPr>
            <w:rStyle w:val="Hyperlink"/>
            <w:rFonts w:ascii="Calibri" w:hAnsi="Calibri" w:cs="Calibri"/>
            <w:sz w:val="24"/>
            <w:szCs w:val="24"/>
          </w:rPr>
          <w:t>https://doi.org/10.1136/bmj.q2207</w:t>
        </w:r>
      </w:hyperlink>
    </w:p>
    <w:p w14:paraId="6C08E3CC" w14:textId="77777777" w:rsidR="006202E2" w:rsidRPr="006202E2" w:rsidRDefault="006202E2" w:rsidP="00E27F47">
      <w:pPr>
        <w:spacing w:line="360" w:lineRule="auto"/>
        <w:ind w:left="720" w:hanging="720"/>
        <w:rPr>
          <w:rFonts w:ascii="Calibri" w:hAnsi="Calibri" w:cs="Calibri"/>
          <w:sz w:val="24"/>
          <w:szCs w:val="24"/>
        </w:rPr>
      </w:pPr>
      <w:r w:rsidRPr="006202E2">
        <w:rPr>
          <w:rFonts w:ascii="Calibri" w:hAnsi="Calibri" w:cs="Calibri"/>
          <w:sz w:val="24"/>
          <w:szCs w:val="24"/>
        </w:rPr>
        <w:t xml:space="preserve">Hardie, P., O’Donovan, R., Jarvis, S., &amp; Redmond, C. (2022). Key tips to providing a psychologically safe learning environment in the clinical setting. </w:t>
      </w:r>
      <w:r w:rsidRPr="006202E2">
        <w:rPr>
          <w:rFonts w:ascii="Calibri" w:hAnsi="Calibri" w:cs="Calibri"/>
          <w:i/>
          <w:iCs/>
          <w:sz w:val="24"/>
          <w:szCs w:val="24"/>
        </w:rPr>
        <w:t>BMC Medical Education</w:t>
      </w:r>
      <w:r w:rsidRPr="006202E2">
        <w:rPr>
          <w:rFonts w:ascii="Calibri" w:hAnsi="Calibri" w:cs="Calibri"/>
          <w:sz w:val="24"/>
          <w:szCs w:val="24"/>
        </w:rPr>
        <w:t xml:space="preserve">, </w:t>
      </w:r>
      <w:r w:rsidRPr="006202E2">
        <w:rPr>
          <w:rFonts w:ascii="Calibri" w:hAnsi="Calibri" w:cs="Calibri"/>
          <w:i/>
          <w:iCs/>
          <w:sz w:val="24"/>
          <w:szCs w:val="24"/>
        </w:rPr>
        <w:t>22</w:t>
      </w:r>
      <w:r w:rsidRPr="006202E2">
        <w:rPr>
          <w:rFonts w:ascii="Calibri" w:hAnsi="Calibri" w:cs="Calibri"/>
          <w:sz w:val="24"/>
          <w:szCs w:val="24"/>
        </w:rPr>
        <w:t xml:space="preserve">(1). </w:t>
      </w:r>
      <w:hyperlink r:id="rId26" w:history="1">
        <w:r w:rsidRPr="006202E2">
          <w:rPr>
            <w:rStyle w:val="Hyperlink"/>
            <w:rFonts w:ascii="Calibri" w:hAnsi="Calibri" w:cs="Calibri"/>
            <w:sz w:val="24"/>
            <w:szCs w:val="24"/>
          </w:rPr>
          <w:t>https://doi.org/10.1186/s12909-022-03892-9</w:t>
        </w:r>
      </w:hyperlink>
    </w:p>
    <w:p w14:paraId="2C1808CA" w14:textId="77777777" w:rsidR="006202E2" w:rsidRPr="006202E2" w:rsidRDefault="006202E2" w:rsidP="00E27F47">
      <w:pPr>
        <w:spacing w:line="360" w:lineRule="auto"/>
        <w:ind w:left="720" w:hanging="720"/>
        <w:rPr>
          <w:rFonts w:ascii="Calibri" w:hAnsi="Calibri" w:cs="Calibri"/>
          <w:sz w:val="24"/>
          <w:szCs w:val="24"/>
        </w:rPr>
      </w:pPr>
      <w:r w:rsidRPr="006202E2">
        <w:rPr>
          <w:rFonts w:ascii="Calibri" w:hAnsi="Calibri" w:cs="Calibri"/>
          <w:sz w:val="24"/>
          <w:szCs w:val="24"/>
        </w:rPr>
        <w:t xml:space="preserve">Hattie, J., &amp; Timperley, H. (2007). The Power of Feedback. </w:t>
      </w:r>
      <w:r w:rsidRPr="006202E2">
        <w:rPr>
          <w:rFonts w:ascii="Calibri" w:hAnsi="Calibri" w:cs="Calibri"/>
          <w:i/>
          <w:iCs/>
          <w:sz w:val="24"/>
          <w:szCs w:val="24"/>
        </w:rPr>
        <w:t>Review of Educational Research</w:t>
      </w:r>
      <w:r w:rsidRPr="006202E2">
        <w:rPr>
          <w:rFonts w:ascii="Calibri" w:hAnsi="Calibri" w:cs="Calibri"/>
          <w:sz w:val="24"/>
          <w:szCs w:val="24"/>
        </w:rPr>
        <w:t xml:space="preserve">, </w:t>
      </w:r>
      <w:r w:rsidRPr="006202E2">
        <w:rPr>
          <w:rFonts w:ascii="Calibri" w:hAnsi="Calibri" w:cs="Calibri"/>
          <w:i/>
          <w:iCs/>
          <w:sz w:val="24"/>
          <w:szCs w:val="24"/>
        </w:rPr>
        <w:t>77</w:t>
      </w:r>
      <w:r w:rsidRPr="006202E2">
        <w:rPr>
          <w:rFonts w:ascii="Calibri" w:hAnsi="Calibri" w:cs="Calibri"/>
          <w:sz w:val="24"/>
          <w:szCs w:val="24"/>
        </w:rPr>
        <w:t xml:space="preserve">(1), 81–112. </w:t>
      </w:r>
      <w:hyperlink r:id="rId27" w:history="1">
        <w:r w:rsidRPr="006202E2">
          <w:rPr>
            <w:rStyle w:val="Hyperlink"/>
            <w:rFonts w:ascii="Calibri" w:hAnsi="Calibri" w:cs="Calibri"/>
            <w:sz w:val="24"/>
            <w:szCs w:val="24"/>
          </w:rPr>
          <w:t>https://doi.org/10.3102/003465430298487</w:t>
        </w:r>
      </w:hyperlink>
    </w:p>
    <w:p w14:paraId="3115F4A4" w14:textId="77777777" w:rsidR="006202E2" w:rsidRPr="006202E2" w:rsidRDefault="006202E2" w:rsidP="00C54F93">
      <w:pPr>
        <w:spacing w:line="360" w:lineRule="auto"/>
        <w:ind w:left="720" w:hanging="720"/>
        <w:rPr>
          <w:rFonts w:ascii="Calibri" w:hAnsi="Calibri" w:cs="Calibri"/>
          <w:sz w:val="24"/>
          <w:szCs w:val="24"/>
        </w:rPr>
      </w:pPr>
      <w:r w:rsidRPr="006202E2">
        <w:rPr>
          <w:rFonts w:ascii="Calibri" w:hAnsi="Calibri" w:cs="Calibri"/>
          <w:sz w:val="24"/>
          <w:szCs w:val="24"/>
        </w:rPr>
        <w:t xml:space="preserve">Hryshchenko, M., Artemchuk, M., </w:t>
      </w:r>
      <w:proofErr w:type="spellStart"/>
      <w:r w:rsidRPr="006202E2">
        <w:rPr>
          <w:rFonts w:ascii="Calibri" w:hAnsi="Calibri" w:cs="Calibri"/>
          <w:sz w:val="24"/>
          <w:szCs w:val="24"/>
        </w:rPr>
        <w:t>Zavhorodnya</w:t>
      </w:r>
      <w:proofErr w:type="spellEnd"/>
      <w:r w:rsidRPr="006202E2">
        <w:rPr>
          <w:rFonts w:ascii="Calibri" w:hAnsi="Calibri" w:cs="Calibri"/>
          <w:sz w:val="24"/>
          <w:szCs w:val="24"/>
        </w:rPr>
        <w:t xml:space="preserve">, L., Tymoshenko, Y., &amp; </w:t>
      </w:r>
      <w:proofErr w:type="spellStart"/>
      <w:r w:rsidRPr="006202E2">
        <w:rPr>
          <w:rFonts w:ascii="Calibri" w:hAnsi="Calibri" w:cs="Calibri"/>
          <w:sz w:val="24"/>
          <w:szCs w:val="24"/>
        </w:rPr>
        <w:t>Purhani</w:t>
      </w:r>
      <w:proofErr w:type="spellEnd"/>
      <w:r w:rsidRPr="006202E2">
        <w:rPr>
          <w:rFonts w:ascii="Calibri" w:hAnsi="Calibri" w:cs="Calibri"/>
          <w:sz w:val="24"/>
          <w:szCs w:val="24"/>
        </w:rPr>
        <w:t xml:space="preserve">, S. (2025). The role of mentoring in the employee professional development and career growth. </w:t>
      </w:r>
      <w:r w:rsidRPr="006202E2">
        <w:rPr>
          <w:rFonts w:ascii="Calibri" w:hAnsi="Calibri" w:cs="Calibri"/>
          <w:i/>
          <w:iCs/>
          <w:sz w:val="24"/>
          <w:szCs w:val="24"/>
        </w:rPr>
        <w:t>Sapienza: International Journal of Interdisciplinary Studies</w:t>
      </w:r>
      <w:r w:rsidRPr="006202E2">
        <w:rPr>
          <w:rFonts w:ascii="Calibri" w:hAnsi="Calibri" w:cs="Calibri"/>
          <w:sz w:val="24"/>
          <w:szCs w:val="24"/>
        </w:rPr>
        <w:t xml:space="preserve">, </w:t>
      </w:r>
      <w:r w:rsidRPr="006202E2">
        <w:rPr>
          <w:rFonts w:ascii="Calibri" w:hAnsi="Calibri" w:cs="Calibri"/>
          <w:i/>
          <w:iCs/>
          <w:sz w:val="24"/>
          <w:szCs w:val="24"/>
        </w:rPr>
        <w:t>6</w:t>
      </w:r>
      <w:r w:rsidRPr="006202E2">
        <w:rPr>
          <w:rFonts w:ascii="Calibri" w:hAnsi="Calibri" w:cs="Calibri"/>
          <w:sz w:val="24"/>
          <w:szCs w:val="24"/>
        </w:rPr>
        <w:t xml:space="preserve">(1), e25004. </w:t>
      </w:r>
      <w:hyperlink r:id="rId28" w:history="1">
        <w:r w:rsidRPr="006202E2">
          <w:rPr>
            <w:rStyle w:val="Hyperlink"/>
            <w:rFonts w:ascii="Calibri" w:hAnsi="Calibri" w:cs="Calibri"/>
            <w:sz w:val="24"/>
            <w:szCs w:val="24"/>
          </w:rPr>
          <w:t>https://doi.org/10.51798/sijis.v6i1.888</w:t>
        </w:r>
      </w:hyperlink>
    </w:p>
    <w:p w14:paraId="32570774" w14:textId="77777777" w:rsidR="006202E2" w:rsidRPr="006202E2" w:rsidRDefault="006202E2" w:rsidP="006202E2">
      <w:pPr>
        <w:spacing w:line="360" w:lineRule="auto"/>
        <w:ind w:left="720" w:hanging="720"/>
        <w:rPr>
          <w:rFonts w:ascii="Calibri" w:hAnsi="Calibri" w:cs="Calibri"/>
          <w:sz w:val="24"/>
          <w:szCs w:val="24"/>
        </w:rPr>
      </w:pPr>
      <w:r w:rsidRPr="006703D1">
        <w:rPr>
          <w:rFonts w:ascii="Calibri" w:hAnsi="Calibri" w:cs="Calibri"/>
          <w:sz w:val="24"/>
          <w:szCs w:val="24"/>
        </w:rPr>
        <w:t xml:space="preserve">Invictus Leadership. (2022). </w:t>
      </w:r>
      <w:r w:rsidRPr="006703D1">
        <w:rPr>
          <w:rFonts w:ascii="Calibri" w:hAnsi="Calibri" w:cs="Calibri"/>
          <w:i/>
          <w:iCs/>
          <w:sz w:val="24"/>
          <w:szCs w:val="24"/>
        </w:rPr>
        <w:t>The GROW Model: A Critical Review within Organisations</w:t>
      </w:r>
      <w:r w:rsidRPr="006703D1">
        <w:rPr>
          <w:rFonts w:ascii="Calibri" w:hAnsi="Calibri" w:cs="Calibri"/>
          <w:sz w:val="24"/>
          <w:szCs w:val="24"/>
        </w:rPr>
        <w:t xml:space="preserve">. Invictus Leadership. </w:t>
      </w:r>
      <w:hyperlink r:id="rId29" w:history="1">
        <w:r w:rsidRPr="006703D1">
          <w:rPr>
            <w:rStyle w:val="Hyperlink"/>
            <w:rFonts w:ascii="Calibri" w:hAnsi="Calibri" w:cs="Calibri"/>
            <w:sz w:val="24"/>
            <w:szCs w:val="24"/>
          </w:rPr>
          <w:t>https://invictusleadership.co.uk/news-%26-resources/f/the-grow-model-a-critical-review-within-organisations</w:t>
        </w:r>
      </w:hyperlink>
    </w:p>
    <w:p w14:paraId="4FC5B8BE" w14:textId="77777777" w:rsidR="006202E2" w:rsidRPr="006202E2" w:rsidRDefault="006202E2" w:rsidP="00C54F93">
      <w:pPr>
        <w:spacing w:line="360" w:lineRule="auto"/>
        <w:ind w:left="720" w:hanging="720"/>
        <w:rPr>
          <w:rFonts w:ascii="Calibri" w:hAnsi="Calibri" w:cs="Calibri"/>
          <w:sz w:val="24"/>
          <w:szCs w:val="24"/>
        </w:rPr>
      </w:pPr>
      <w:r w:rsidRPr="006202E2">
        <w:rPr>
          <w:rFonts w:ascii="Calibri" w:hAnsi="Calibri" w:cs="Calibri"/>
          <w:sz w:val="24"/>
          <w:szCs w:val="24"/>
        </w:rPr>
        <w:t xml:space="preserve">Jones, J., &amp; Smith, H. A. (2022). A comparative study of formal coaching and mentoring programmes in higher education. </w:t>
      </w:r>
      <w:r w:rsidRPr="006202E2">
        <w:rPr>
          <w:rFonts w:ascii="Calibri" w:hAnsi="Calibri" w:cs="Calibri"/>
          <w:i/>
          <w:iCs/>
          <w:sz w:val="24"/>
          <w:szCs w:val="24"/>
        </w:rPr>
        <w:t>International Journal of Mentoring and Coaching in Education</w:t>
      </w:r>
      <w:r w:rsidRPr="006202E2">
        <w:rPr>
          <w:rFonts w:ascii="Calibri" w:hAnsi="Calibri" w:cs="Calibri"/>
          <w:sz w:val="24"/>
          <w:szCs w:val="24"/>
        </w:rPr>
        <w:t xml:space="preserve">, </w:t>
      </w:r>
      <w:r w:rsidRPr="006202E2">
        <w:rPr>
          <w:rFonts w:ascii="Calibri" w:hAnsi="Calibri" w:cs="Calibri"/>
          <w:i/>
          <w:iCs/>
          <w:sz w:val="24"/>
          <w:szCs w:val="24"/>
        </w:rPr>
        <w:t>ahead-of-print</w:t>
      </w:r>
      <w:r w:rsidRPr="006202E2">
        <w:rPr>
          <w:rFonts w:ascii="Calibri" w:hAnsi="Calibri" w:cs="Calibri"/>
          <w:sz w:val="24"/>
          <w:szCs w:val="24"/>
        </w:rPr>
        <w:t xml:space="preserve">(ahead-of-print). </w:t>
      </w:r>
      <w:hyperlink r:id="rId30" w:history="1">
        <w:r w:rsidRPr="006202E2">
          <w:rPr>
            <w:rStyle w:val="Hyperlink"/>
            <w:rFonts w:ascii="Calibri" w:hAnsi="Calibri" w:cs="Calibri"/>
            <w:sz w:val="24"/>
            <w:szCs w:val="24"/>
          </w:rPr>
          <w:t>https://doi.org/10.1108/ijmce-03-2021-0054</w:t>
        </w:r>
      </w:hyperlink>
    </w:p>
    <w:p w14:paraId="6F4D356D" w14:textId="77777777" w:rsidR="006202E2" w:rsidRPr="006202E2" w:rsidRDefault="006202E2" w:rsidP="006202E2">
      <w:pPr>
        <w:spacing w:line="360" w:lineRule="auto"/>
        <w:ind w:left="720" w:hanging="720"/>
        <w:rPr>
          <w:rFonts w:ascii="Calibri" w:hAnsi="Calibri" w:cs="Calibri"/>
          <w:sz w:val="24"/>
          <w:szCs w:val="24"/>
        </w:rPr>
      </w:pPr>
      <w:r w:rsidRPr="00256416">
        <w:rPr>
          <w:rFonts w:ascii="Calibri" w:hAnsi="Calibri" w:cs="Calibri"/>
          <w:sz w:val="24"/>
          <w:szCs w:val="24"/>
        </w:rPr>
        <w:t xml:space="preserve">Knowles, M. S., Holton III, E. F., &amp; Swanson, R. A. (2015). </w:t>
      </w:r>
      <w:r w:rsidRPr="00256416">
        <w:rPr>
          <w:rFonts w:ascii="Calibri" w:hAnsi="Calibri" w:cs="Calibri"/>
          <w:i/>
          <w:iCs/>
          <w:sz w:val="24"/>
          <w:szCs w:val="24"/>
        </w:rPr>
        <w:t>The Adult Learner</w:t>
      </w:r>
      <w:r w:rsidRPr="00256416">
        <w:rPr>
          <w:rFonts w:ascii="Calibri" w:hAnsi="Calibri" w:cs="Calibri"/>
          <w:sz w:val="24"/>
          <w:szCs w:val="24"/>
        </w:rPr>
        <w:t xml:space="preserve">. Routledge. </w:t>
      </w:r>
      <w:hyperlink r:id="rId31" w:history="1">
        <w:r w:rsidRPr="00256416">
          <w:rPr>
            <w:rStyle w:val="Hyperlink"/>
            <w:rFonts w:ascii="Calibri" w:hAnsi="Calibri" w:cs="Calibri"/>
            <w:sz w:val="24"/>
            <w:szCs w:val="24"/>
          </w:rPr>
          <w:t>https://doi.org/10.4324/9781315816951</w:t>
        </w:r>
      </w:hyperlink>
    </w:p>
    <w:p w14:paraId="00077FBA" w14:textId="77777777" w:rsidR="006202E2" w:rsidRPr="006202E2" w:rsidRDefault="006202E2" w:rsidP="00C54F93">
      <w:pPr>
        <w:spacing w:line="360" w:lineRule="auto"/>
        <w:ind w:left="720" w:hanging="720"/>
        <w:rPr>
          <w:rFonts w:ascii="Calibri" w:hAnsi="Calibri" w:cs="Calibri"/>
          <w:sz w:val="24"/>
          <w:szCs w:val="24"/>
        </w:rPr>
      </w:pPr>
      <w:r w:rsidRPr="006202E2">
        <w:rPr>
          <w:rFonts w:ascii="Calibri" w:hAnsi="Calibri" w:cs="Calibri"/>
          <w:sz w:val="24"/>
          <w:szCs w:val="24"/>
        </w:rPr>
        <w:t xml:space="preserve">Kruger, F., &amp; Terblanche, N. (2024). The coaching flipside: Factors underlying unsuccessful workplace coaching interventions and the implication for human resource development. </w:t>
      </w:r>
      <w:r w:rsidRPr="006202E2">
        <w:rPr>
          <w:rFonts w:ascii="Calibri" w:hAnsi="Calibri" w:cs="Calibri"/>
          <w:i/>
          <w:iCs/>
          <w:sz w:val="24"/>
          <w:szCs w:val="24"/>
        </w:rPr>
        <w:t>Human Resource Development Quarterly</w:t>
      </w:r>
      <w:r w:rsidRPr="006202E2">
        <w:rPr>
          <w:rFonts w:ascii="Calibri" w:hAnsi="Calibri" w:cs="Calibri"/>
          <w:sz w:val="24"/>
          <w:szCs w:val="24"/>
        </w:rPr>
        <w:t xml:space="preserve">. </w:t>
      </w:r>
      <w:hyperlink r:id="rId32" w:history="1">
        <w:r w:rsidRPr="006202E2">
          <w:rPr>
            <w:rStyle w:val="Hyperlink"/>
            <w:rFonts w:ascii="Calibri" w:hAnsi="Calibri" w:cs="Calibri"/>
            <w:sz w:val="24"/>
            <w:szCs w:val="24"/>
          </w:rPr>
          <w:t>https://doi.org/10.1002/hrdq.21548</w:t>
        </w:r>
      </w:hyperlink>
    </w:p>
    <w:p w14:paraId="3ABBB00D" w14:textId="77777777" w:rsidR="006202E2" w:rsidRPr="006202E2" w:rsidRDefault="006202E2" w:rsidP="005C049A">
      <w:pPr>
        <w:spacing w:line="360" w:lineRule="auto"/>
        <w:ind w:left="720" w:hanging="720"/>
        <w:rPr>
          <w:rFonts w:ascii="Calibri" w:hAnsi="Calibri" w:cs="Calibri"/>
          <w:sz w:val="24"/>
          <w:szCs w:val="24"/>
        </w:rPr>
      </w:pPr>
      <w:r w:rsidRPr="006202E2">
        <w:rPr>
          <w:rFonts w:ascii="Calibri" w:hAnsi="Calibri" w:cs="Calibri"/>
          <w:sz w:val="24"/>
          <w:szCs w:val="24"/>
        </w:rPr>
        <w:lastRenderedPageBreak/>
        <w:t xml:space="preserve">Luft, J., &amp; Ingham, H. (1955). </w:t>
      </w:r>
      <w:r w:rsidRPr="006202E2">
        <w:rPr>
          <w:rFonts w:ascii="Calibri" w:hAnsi="Calibri" w:cs="Calibri"/>
          <w:i/>
          <w:iCs/>
          <w:sz w:val="24"/>
          <w:szCs w:val="24"/>
        </w:rPr>
        <w:t>The Johari window: A graphic model of interpersonal awareness</w:t>
      </w:r>
      <w:r w:rsidRPr="006202E2">
        <w:rPr>
          <w:rFonts w:ascii="Calibri" w:hAnsi="Calibri" w:cs="Calibri"/>
          <w:sz w:val="24"/>
          <w:szCs w:val="24"/>
        </w:rPr>
        <w:t>. Proceedings of the Western Training Laboratory in Group Development, University of California, Los Angeles.</w:t>
      </w:r>
    </w:p>
    <w:p w14:paraId="4D5DC661" w14:textId="77777777" w:rsidR="006202E2" w:rsidRPr="006202E2" w:rsidRDefault="006202E2" w:rsidP="00C54F93">
      <w:pPr>
        <w:spacing w:line="360" w:lineRule="auto"/>
        <w:ind w:left="720" w:hanging="720"/>
        <w:rPr>
          <w:rFonts w:ascii="Calibri" w:hAnsi="Calibri" w:cs="Calibri"/>
          <w:sz w:val="24"/>
          <w:szCs w:val="24"/>
        </w:rPr>
      </w:pPr>
      <w:proofErr w:type="spellStart"/>
      <w:r w:rsidRPr="006202E2">
        <w:rPr>
          <w:rFonts w:ascii="Calibri" w:hAnsi="Calibri" w:cs="Calibri"/>
          <w:sz w:val="24"/>
          <w:szCs w:val="24"/>
        </w:rPr>
        <w:t>Lysfjord</w:t>
      </w:r>
      <w:proofErr w:type="spellEnd"/>
      <w:r w:rsidRPr="006202E2">
        <w:rPr>
          <w:rFonts w:ascii="Calibri" w:hAnsi="Calibri" w:cs="Calibri"/>
          <w:sz w:val="24"/>
          <w:szCs w:val="24"/>
        </w:rPr>
        <w:t xml:space="preserve">, E. M., &amp; Skarstein, S. (2024). Empowering leadership: A journey of growth and insight through a mentoring program for nurses in leadership positions. </w:t>
      </w:r>
      <w:r w:rsidRPr="006202E2">
        <w:rPr>
          <w:rFonts w:ascii="Calibri" w:hAnsi="Calibri" w:cs="Calibri"/>
          <w:i/>
          <w:iCs/>
          <w:sz w:val="24"/>
          <w:szCs w:val="24"/>
        </w:rPr>
        <w:t>Journal of Healthcare Leadership</w:t>
      </w:r>
      <w:r w:rsidRPr="006202E2">
        <w:rPr>
          <w:rFonts w:ascii="Calibri" w:hAnsi="Calibri" w:cs="Calibri"/>
          <w:sz w:val="24"/>
          <w:szCs w:val="24"/>
        </w:rPr>
        <w:t xml:space="preserve">, </w:t>
      </w:r>
      <w:r w:rsidRPr="006202E2">
        <w:rPr>
          <w:rFonts w:ascii="Calibri" w:hAnsi="Calibri" w:cs="Calibri"/>
          <w:i/>
          <w:iCs/>
          <w:sz w:val="24"/>
          <w:szCs w:val="24"/>
        </w:rPr>
        <w:t>16</w:t>
      </w:r>
      <w:r w:rsidRPr="006202E2">
        <w:rPr>
          <w:rFonts w:ascii="Calibri" w:hAnsi="Calibri" w:cs="Calibri"/>
          <w:sz w:val="24"/>
          <w:szCs w:val="24"/>
        </w:rPr>
        <w:t xml:space="preserve">, 443–454. </w:t>
      </w:r>
      <w:hyperlink r:id="rId33" w:history="1">
        <w:r w:rsidRPr="006202E2">
          <w:rPr>
            <w:rStyle w:val="Hyperlink"/>
            <w:rFonts w:ascii="Calibri" w:hAnsi="Calibri" w:cs="Calibri"/>
            <w:sz w:val="24"/>
            <w:szCs w:val="24"/>
          </w:rPr>
          <w:t>https://doi.org/10.2147/jhl.s482087</w:t>
        </w:r>
      </w:hyperlink>
    </w:p>
    <w:p w14:paraId="21904EAF" w14:textId="77777777" w:rsidR="006202E2" w:rsidRPr="006202E2" w:rsidRDefault="006202E2" w:rsidP="00E27F47">
      <w:pPr>
        <w:spacing w:line="360" w:lineRule="auto"/>
        <w:ind w:left="720" w:hanging="720"/>
        <w:rPr>
          <w:rFonts w:ascii="Calibri" w:hAnsi="Calibri" w:cs="Calibri"/>
          <w:sz w:val="24"/>
          <w:szCs w:val="24"/>
        </w:rPr>
      </w:pPr>
      <w:r w:rsidRPr="006202E2">
        <w:rPr>
          <w:rFonts w:ascii="Calibri" w:hAnsi="Calibri" w:cs="Calibri"/>
          <w:sz w:val="24"/>
          <w:szCs w:val="24"/>
        </w:rPr>
        <w:t xml:space="preserve">McLeod, S. (2025). </w:t>
      </w:r>
      <w:r w:rsidRPr="006202E2">
        <w:rPr>
          <w:rFonts w:ascii="Calibri" w:hAnsi="Calibri" w:cs="Calibri"/>
          <w:i/>
          <w:iCs/>
          <w:sz w:val="24"/>
          <w:szCs w:val="24"/>
        </w:rPr>
        <w:t>Albert Bandura’s Social Learning Theory</w:t>
      </w:r>
      <w:r w:rsidRPr="006202E2">
        <w:rPr>
          <w:rFonts w:ascii="Calibri" w:hAnsi="Calibri" w:cs="Calibri"/>
          <w:sz w:val="24"/>
          <w:szCs w:val="24"/>
        </w:rPr>
        <w:t xml:space="preserve">. Simply Psychology. </w:t>
      </w:r>
      <w:hyperlink r:id="rId34" w:history="1">
        <w:r w:rsidRPr="006202E2">
          <w:rPr>
            <w:rStyle w:val="Hyperlink"/>
            <w:rFonts w:ascii="Calibri" w:hAnsi="Calibri" w:cs="Calibri"/>
            <w:sz w:val="24"/>
            <w:szCs w:val="24"/>
          </w:rPr>
          <w:t>https://www.simplypsychology.org/bandura.html</w:t>
        </w:r>
      </w:hyperlink>
    </w:p>
    <w:p w14:paraId="38274214" w14:textId="77777777" w:rsidR="006202E2" w:rsidRPr="006202E2" w:rsidRDefault="006202E2" w:rsidP="00C54F93">
      <w:pPr>
        <w:spacing w:line="360" w:lineRule="auto"/>
        <w:ind w:left="720" w:hanging="720"/>
        <w:rPr>
          <w:rFonts w:ascii="Calibri" w:hAnsi="Calibri" w:cs="Calibri"/>
          <w:sz w:val="24"/>
          <w:szCs w:val="24"/>
        </w:rPr>
      </w:pPr>
      <w:r w:rsidRPr="006202E2">
        <w:rPr>
          <w:rFonts w:ascii="Calibri" w:hAnsi="Calibri" w:cs="Calibri"/>
          <w:sz w:val="24"/>
          <w:szCs w:val="24"/>
        </w:rPr>
        <w:t xml:space="preserve">Miller-Kuhlmann, R., </w:t>
      </w:r>
      <w:proofErr w:type="spellStart"/>
      <w:r w:rsidRPr="006202E2">
        <w:rPr>
          <w:rFonts w:ascii="Calibri" w:hAnsi="Calibri" w:cs="Calibri"/>
          <w:sz w:val="24"/>
          <w:szCs w:val="24"/>
        </w:rPr>
        <w:t>Sasnal</w:t>
      </w:r>
      <w:proofErr w:type="spellEnd"/>
      <w:r w:rsidRPr="006202E2">
        <w:rPr>
          <w:rFonts w:ascii="Calibri" w:hAnsi="Calibri" w:cs="Calibri"/>
          <w:sz w:val="24"/>
          <w:szCs w:val="24"/>
        </w:rPr>
        <w:t xml:space="preserve">, M., Gold, C. A., Nassar, A. K., </w:t>
      </w:r>
      <w:proofErr w:type="spellStart"/>
      <w:r w:rsidRPr="006202E2">
        <w:rPr>
          <w:rFonts w:ascii="Calibri" w:hAnsi="Calibri" w:cs="Calibri"/>
          <w:sz w:val="24"/>
          <w:szCs w:val="24"/>
        </w:rPr>
        <w:t>Korndorffer</w:t>
      </w:r>
      <w:proofErr w:type="spellEnd"/>
      <w:r w:rsidRPr="006202E2">
        <w:rPr>
          <w:rFonts w:ascii="Calibri" w:hAnsi="Calibri" w:cs="Calibri"/>
          <w:sz w:val="24"/>
          <w:szCs w:val="24"/>
        </w:rPr>
        <w:t>, J. R., Jr, Van Schaik, S., Marmor, A., Williams, S., Blankenburg, R., &amp; Rassbach, C. E. (2024). Tips for developing a coaching program in medical education. </w:t>
      </w:r>
      <w:r w:rsidRPr="006202E2">
        <w:rPr>
          <w:rFonts w:ascii="Calibri" w:hAnsi="Calibri" w:cs="Calibri"/>
          <w:i/>
          <w:iCs/>
          <w:sz w:val="24"/>
          <w:szCs w:val="24"/>
        </w:rPr>
        <w:t>Medical education online</w:t>
      </w:r>
      <w:r w:rsidRPr="006202E2">
        <w:rPr>
          <w:rFonts w:ascii="Calibri" w:hAnsi="Calibri" w:cs="Calibri"/>
          <w:sz w:val="24"/>
          <w:szCs w:val="24"/>
        </w:rPr>
        <w:t>, </w:t>
      </w:r>
      <w:r w:rsidRPr="006202E2">
        <w:rPr>
          <w:rFonts w:ascii="Calibri" w:hAnsi="Calibri" w:cs="Calibri"/>
          <w:i/>
          <w:iCs/>
          <w:sz w:val="24"/>
          <w:szCs w:val="24"/>
        </w:rPr>
        <w:t>29</w:t>
      </w:r>
      <w:r w:rsidRPr="006202E2">
        <w:rPr>
          <w:rFonts w:ascii="Calibri" w:hAnsi="Calibri" w:cs="Calibri"/>
          <w:sz w:val="24"/>
          <w:szCs w:val="24"/>
        </w:rPr>
        <w:t xml:space="preserve">(1), 2289262. </w:t>
      </w:r>
      <w:hyperlink r:id="rId35" w:history="1">
        <w:r w:rsidRPr="006202E2">
          <w:rPr>
            <w:rStyle w:val="Hyperlink"/>
            <w:rFonts w:ascii="Calibri" w:hAnsi="Calibri" w:cs="Calibri"/>
            <w:sz w:val="24"/>
            <w:szCs w:val="24"/>
          </w:rPr>
          <w:t>https://doi.org/10.1080/10872981.2023.2289262</w:t>
        </w:r>
      </w:hyperlink>
    </w:p>
    <w:p w14:paraId="551EBD13" w14:textId="77777777" w:rsidR="006202E2" w:rsidRPr="006202E2" w:rsidRDefault="006202E2" w:rsidP="006202E2">
      <w:pPr>
        <w:spacing w:line="360" w:lineRule="auto"/>
        <w:ind w:left="720" w:hanging="720"/>
        <w:rPr>
          <w:rFonts w:ascii="Calibri" w:hAnsi="Calibri" w:cs="Calibri"/>
          <w:sz w:val="24"/>
          <w:szCs w:val="24"/>
        </w:rPr>
      </w:pPr>
      <w:r w:rsidRPr="006202E2">
        <w:rPr>
          <w:rFonts w:ascii="Calibri" w:hAnsi="Calibri" w:cs="Calibri"/>
          <w:sz w:val="24"/>
          <w:szCs w:val="24"/>
        </w:rPr>
        <w:t xml:space="preserve">Moore, C. (2019, April 19). </w:t>
      </w:r>
      <w:r w:rsidRPr="006202E2">
        <w:rPr>
          <w:rFonts w:ascii="Calibri" w:hAnsi="Calibri" w:cs="Calibri"/>
          <w:i/>
          <w:iCs/>
          <w:sz w:val="24"/>
          <w:szCs w:val="24"/>
        </w:rPr>
        <w:t>What Is Locke’s Goal Setting Theory of Motivation?</w:t>
      </w:r>
      <w:r w:rsidRPr="006202E2">
        <w:rPr>
          <w:rFonts w:ascii="Calibri" w:hAnsi="Calibri" w:cs="Calibri"/>
          <w:sz w:val="24"/>
          <w:szCs w:val="24"/>
        </w:rPr>
        <w:t xml:space="preserve"> Positive Psychology. </w:t>
      </w:r>
      <w:hyperlink r:id="rId36" w:history="1">
        <w:r w:rsidRPr="006202E2">
          <w:rPr>
            <w:rStyle w:val="Hyperlink"/>
            <w:rFonts w:ascii="Calibri" w:hAnsi="Calibri" w:cs="Calibri"/>
            <w:sz w:val="24"/>
            <w:szCs w:val="24"/>
          </w:rPr>
          <w:t>https://positivepsychology.com/goal-setting-theory/</w:t>
        </w:r>
      </w:hyperlink>
    </w:p>
    <w:p w14:paraId="17486A81" w14:textId="77777777" w:rsidR="006202E2" w:rsidRPr="006202E2" w:rsidRDefault="006202E2" w:rsidP="00C54F93">
      <w:pPr>
        <w:spacing w:line="360" w:lineRule="auto"/>
        <w:ind w:left="720" w:hanging="720"/>
        <w:rPr>
          <w:rFonts w:ascii="Calibri" w:hAnsi="Calibri" w:cs="Calibri"/>
          <w:sz w:val="24"/>
          <w:szCs w:val="24"/>
        </w:rPr>
      </w:pPr>
      <w:r w:rsidRPr="006202E2">
        <w:rPr>
          <w:rFonts w:ascii="Calibri" w:hAnsi="Calibri" w:cs="Calibri"/>
          <w:sz w:val="24"/>
          <w:szCs w:val="24"/>
        </w:rPr>
        <w:t xml:space="preserve">Nash, S. (2025, January 23). </w:t>
      </w:r>
      <w:r w:rsidRPr="006202E2">
        <w:rPr>
          <w:rFonts w:ascii="Calibri" w:hAnsi="Calibri" w:cs="Calibri"/>
          <w:i/>
          <w:iCs/>
          <w:sz w:val="24"/>
          <w:szCs w:val="24"/>
        </w:rPr>
        <w:t>Building effective healthcare teams: the role of team coaching | Nursing Times</w:t>
      </w:r>
      <w:r w:rsidRPr="006202E2">
        <w:rPr>
          <w:rFonts w:ascii="Calibri" w:hAnsi="Calibri" w:cs="Calibri"/>
          <w:sz w:val="24"/>
          <w:szCs w:val="24"/>
        </w:rPr>
        <w:t xml:space="preserve">. Nursing Times. </w:t>
      </w:r>
      <w:hyperlink r:id="rId37" w:history="1">
        <w:r w:rsidRPr="006202E2">
          <w:rPr>
            <w:rStyle w:val="Hyperlink"/>
            <w:rFonts w:ascii="Calibri" w:hAnsi="Calibri" w:cs="Calibri"/>
            <w:sz w:val="24"/>
            <w:szCs w:val="24"/>
          </w:rPr>
          <w:t>https://www.nursingtimes.net/leadership/building-effective-healthcare-teams-the-role-of-team-coaching-23-01-2025/</w:t>
        </w:r>
      </w:hyperlink>
    </w:p>
    <w:p w14:paraId="502AA038" w14:textId="77777777" w:rsidR="006202E2" w:rsidRPr="006202E2" w:rsidRDefault="006202E2" w:rsidP="006202E2">
      <w:pPr>
        <w:spacing w:line="360" w:lineRule="auto"/>
        <w:ind w:left="720" w:hanging="720"/>
        <w:rPr>
          <w:rFonts w:ascii="Calibri" w:hAnsi="Calibri" w:cs="Calibri"/>
          <w:sz w:val="24"/>
          <w:szCs w:val="24"/>
        </w:rPr>
      </w:pPr>
      <w:r w:rsidRPr="001B4B36">
        <w:rPr>
          <w:rFonts w:ascii="Calibri" w:hAnsi="Calibri" w:cs="Calibri"/>
          <w:sz w:val="24"/>
          <w:szCs w:val="24"/>
        </w:rPr>
        <w:t xml:space="preserve">NMC. (2024). Supporting Information for Reflection in Nursing and Midwifery Practice. In </w:t>
      </w:r>
      <w:r w:rsidRPr="001B4B36">
        <w:rPr>
          <w:rFonts w:ascii="Calibri" w:hAnsi="Calibri" w:cs="Calibri"/>
          <w:i/>
          <w:iCs/>
          <w:sz w:val="24"/>
          <w:szCs w:val="24"/>
        </w:rPr>
        <w:t>Nursing and Midwifery Council</w:t>
      </w:r>
      <w:r w:rsidRPr="001B4B36">
        <w:rPr>
          <w:rFonts w:ascii="Calibri" w:hAnsi="Calibri" w:cs="Calibri"/>
          <w:sz w:val="24"/>
          <w:szCs w:val="24"/>
        </w:rPr>
        <w:t xml:space="preserve"> (pp. 1–10). Nursing and Midwifery Council. </w:t>
      </w:r>
      <w:hyperlink r:id="rId38" w:history="1">
        <w:r w:rsidRPr="001B4B36">
          <w:rPr>
            <w:rStyle w:val="Hyperlink"/>
            <w:rFonts w:ascii="Calibri" w:hAnsi="Calibri" w:cs="Calibri"/>
            <w:sz w:val="24"/>
            <w:szCs w:val="24"/>
          </w:rPr>
          <w:t>https://www.nmc.org.uk/globalassets/sitedocuments/standards/supporting-information-for-reflection-in-nursing-and-midwifery-practice.pdf</w:t>
        </w:r>
      </w:hyperlink>
    </w:p>
    <w:p w14:paraId="0E515784" w14:textId="77777777" w:rsidR="006202E2" w:rsidRPr="006202E2" w:rsidRDefault="006202E2" w:rsidP="00E27F47">
      <w:pPr>
        <w:spacing w:line="360" w:lineRule="auto"/>
        <w:ind w:left="720" w:hanging="720"/>
        <w:rPr>
          <w:rFonts w:ascii="Calibri" w:hAnsi="Calibri" w:cs="Calibri"/>
          <w:sz w:val="24"/>
          <w:szCs w:val="24"/>
        </w:rPr>
      </w:pPr>
      <w:proofErr w:type="spellStart"/>
      <w:r w:rsidRPr="006202E2">
        <w:rPr>
          <w:rFonts w:ascii="Calibri" w:hAnsi="Calibri" w:cs="Calibri"/>
          <w:sz w:val="24"/>
          <w:szCs w:val="24"/>
        </w:rPr>
        <w:t>Omadeke</w:t>
      </w:r>
      <w:proofErr w:type="spellEnd"/>
      <w:r w:rsidRPr="006202E2">
        <w:rPr>
          <w:rFonts w:ascii="Calibri" w:hAnsi="Calibri" w:cs="Calibri"/>
          <w:sz w:val="24"/>
          <w:szCs w:val="24"/>
        </w:rPr>
        <w:t xml:space="preserve">, J. (2024, June 5). </w:t>
      </w:r>
      <w:r w:rsidRPr="006202E2">
        <w:rPr>
          <w:rFonts w:ascii="Calibri" w:hAnsi="Calibri" w:cs="Calibri"/>
          <w:i/>
          <w:iCs/>
          <w:sz w:val="24"/>
          <w:szCs w:val="24"/>
        </w:rPr>
        <w:t>The Importance of Setting Boundaries with Your Mentor</w:t>
      </w:r>
      <w:r w:rsidRPr="006202E2">
        <w:rPr>
          <w:rFonts w:ascii="Calibri" w:hAnsi="Calibri" w:cs="Calibri"/>
          <w:sz w:val="24"/>
          <w:szCs w:val="24"/>
        </w:rPr>
        <w:t xml:space="preserve">. Harvard Business Review. </w:t>
      </w:r>
      <w:hyperlink r:id="rId39" w:history="1">
        <w:r w:rsidRPr="006202E2">
          <w:rPr>
            <w:rStyle w:val="Hyperlink"/>
            <w:rFonts w:ascii="Calibri" w:hAnsi="Calibri" w:cs="Calibri"/>
            <w:sz w:val="24"/>
            <w:szCs w:val="24"/>
          </w:rPr>
          <w:t>https://hbr.org/2024/06/the-importance-of-setting-boundaries-with-your-mentor</w:t>
        </w:r>
      </w:hyperlink>
    </w:p>
    <w:p w14:paraId="61972E41" w14:textId="77777777" w:rsidR="006202E2" w:rsidRPr="006202E2" w:rsidRDefault="006202E2" w:rsidP="00C54F93">
      <w:pPr>
        <w:spacing w:line="360" w:lineRule="auto"/>
        <w:ind w:left="720" w:hanging="720"/>
        <w:rPr>
          <w:rFonts w:ascii="Calibri" w:hAnsi="Calibri" w:cs="Calibri"/>
          <w:sz w:val="24"/>
          <w:szCs w:val="24"/>
        </w:rPr>
      </w:pPr>
      <w:r w:rsidRPr="006202E2">
        <w:rPr>
          <w:rFonts w:ascii="Calibri" w:hAnsi="Calibri" w:cs="Calibri"/>
          <w:sz w:val="24"/>
          <w:szCs w:val="24"/>
        </w:rPr>
        <w:t xml:space="preserve">Passmore, J. (2015). </w:t>
      </w:r>
      <w:r w:rsidRPr="006202E2">
        <w:rPr>
          <w:rFonts w:ascii="Calibri" w:hAnsi="Calibri" w:cs="Calibri"/>
          <w:i/>
          <w:iCs/>
          <w:sz w:val="24"/>
          <w:szCs w:val="24"/>
        </w:rPr>
        <w:t>Excellence in coaching</w:t>
      </w:r>
      <w:r w:rsidRPr="006202E2">
        <w:rPr>
          <w:rFonts w:ascii="Calibri" w:hAnsi="Calibri" w:cs="Calibri"/>
          <w:sz w:val="24"/>
          <w:szCs w:val="24"/>
        </w:rPr>
        <w:t xml:space="preserve">. </w:t>
      </w:r>
      <w:proofErr w:type="spellStart"/>
      <w:r w:rsidRPr="006202E2">
        <w:rPr>
          <w:rFonts w:ascii="Calibri" w:hAnsi="Calibri" w:cs="Calibri"/>
          <w:sz w:val="24"/>
          <w:szCs w:val="24"/>
        </w:rPr>
        <w:t>Koganpage</w:t>
      </w:r>
      <w:proofErr w:type="spellEnd"/>
      <w:r w:rsidRPr="006202E2">
        <w:rPr>
          <w:rFonts w:ascii="Calibri" w:hAnsi="Calibri" w:cs="Calibri"/>
          <w:sz w:val="24"/>
          <w:szCs w:val="24"/>
        </w:rPr>
        <w:t>.</w:t>
      </w:r>
    </w:p>
    <w:p w14:paraId="7FD66281" w14:textId="77777777" w:rsidR="006202E2" w:rsidRPr="006202E2" w:rsidRDefault="006202E2" w:rsidP="006202E2">
      <w:pPr>
        <w:spacing w:line="360" w:lineRule="auto"/>
        <w:ind w:left="720" w:hanging="720"/>
        <w:rPr>
          <w:rFonts w:ascii="Calibri" w:hAnsi="Calibri" w:cs="Calibri"/>
          <w:sz w:val="24"/>
          <w:szCs w:val="24"/>
        </w:rPr>
      </w:pPr>
      <w:r w:rsidRPr="004111AE">
        <w:rPr>
          <w:rFonts w:ascii="Calibri" w:hAnsi="Calibri" w:cs="Calibri"/>
          <w:sz w:val="24"/>
          <w:szCs w:val="24"/>
        </w:rPr>
        <w:t xml:space="preserve">Pereira, R., Pires, A. P., &amp; Neto, D. (2024). Therapist self-awareness and perception of actual performance: The effects of listening to one recorded session. </w:t>
      </w:r>
      <w:r w:rsidRPr="004111AE">
        <w:rPr>
          <w:rFonts w:ascii="Calibri" w:hAnsi="Calibri" w:cs="Calibri"/>
          <w:i/>
          <w:iCs/>
          <w:sz w:val="24"/>
          <w:szCs w:val="24"/>
        </w:rPr>
        <w:t>Research in Psychotherapy</w:t>
      </w:r>
      <w:r w:rsidRPr="004111AE">
        <w:rPr>
          <w:rFonts w:ascii="Calibri" w:hAnsi="Calibri" w:cs="Calibri"/>
          <w:sz w:val="24"/>
          <w:szCs w:val="24"/>
        </w:rPr>
        <w:t xml:space="preserve">, </w:t>
      </w:r>
      <w:r w:rsidRPr="004111AE">
        <w:rPr>
          <w:rFonts w:ascii="Calibri" w:hAnsi="Calibri" w:cs="Calibri"/>
          <w:i/>
          <w:iCs/>
          <w:sz w:val="24"/>
          <w:szCs w:val="24"/>
        </w:rPr>
        <w:t>27</w:t>
      </w:r>
      <w:r w:rsidRPr="004111AE">
        <w:rPr>
          <w:rFonts w:ascii="Calibri" w:hAnsi="Calibri" w:cs="Calibri"/>
          <w:sz w:val="24"/>
          <w:szCs w:val="24"/>
        </w:rPr>
        <w:t xml:space="preserve">(1). </w:t>
      </w:r>
      <w:hyperlink r:id="rId40" w:history="1">
        <w:r w:rsidRPr="004111AE">
          <w:rPr>
            <w:rStyle w:val="Hyperlink"/>
            <w:rFonts w:ascii="Calibri" w:hAnsi="Calibri" w:cs="Calibri"/>
            <w:sz w:val="24"/>
            <w:szCs w:val="24"/>
          </w:rPr>
          <w:t>https://doi.org/10.4081/ripppo.2024.722</w:t>
        </w:r>
      </w:hyperlink>
    </w:p>
    <w:p w14:paraId="5E8DE878" w14:textId="77777777" w:rsidR="006202E2" w:rsidRPr="006202E2" w:rsidRDefault="006202E2" w:rsidP="00E27F47">
      <w:pPr>
        <w:spacing w:line="360" w:lineRule="auto"/>
        <w:ind w:left="720" w:hanging="720"/>
        <w:rPr>
          <w:rFonts w:ascii="Calibri" w:hAnsi="Calibri" w:cs="Calibri"/>
          <w:sz w:val="24"/>
          <w:szCs w:val="24"/>
        </w:rPr>
      </w:pPr>
      <w:r w:rsidRPr="006202E2">
        <w:rPr>
          <w:rFonts w:ascii="Calibri" w:hAnsi="Calibri" w:cs="Calibri"/>
          <w:sz w:val="24"/>
          <w:szCs w:val="24"/>
        </w:rPr>
        <w:lastRenderedPageBreak/>
        <w:t xml:space="preserve">Phillips, I., Holder, J., &amp; Bundy, A. (2024). </w:t>
      </w:r>
      <w:r w:rsidRPr="006202E2">
        <w:rPr>
          <w:rFonts w:ascii="Calibri" w:hAnsi="Calibri" w:cs="Calibri"/>
          <w:i/>
          <w:iCs/>
          <w:sz w:val="24"/>
          <w:szCs w:val="24"/>
        </w:rPr>
        <w:t>Effective Mentoring a Resource and Guide for Mentors</w:t>
      </w:r>
      <w:r w:rsidRPr="006202E2">
        <w:rPr>
          <w:rFonts w:ascii="Calibri" w:hAnsi="Calibri" w:cs="Calibri"/>
          <w:sz w:val="24"/>
          <w:szCs w:val="24"/>
        </w:rPr>
        <w:t xml:space="preserve">. </w:t>
      </w:r>
      <w:hyperlink r:id="rId41" w:history="1">
        <w:r w:rsidRPr="006202E2">
          <w:rPr>
            <w:rStyle w:val="Hyperlink"/>
            <w:rFonts w:ascii="Calibri" w:hAnsi="Calibri" w:cs="Calibri"/>
            <w:sz w:val="24"/>
            <w:szCs w:val="24"/>
          </w:rPr>
          <w:t>https://eoe.leadershipacademy.nhs.uk/wp-content/uploads/sites/31/2024/08/060824-V2-Exec-Career-Mentoring-Resource-EoETalentLeadership.pdf</w:t>
        </w:r>
      </w:hyperlink>
    </w:p>
    <w:p w14:paraId="051C3C4F" w14:textId="77777777" w:rsidR="006202E2" w:rsidRPr="006202E2" w:rsidRDefault="006202E2" w:rsidP="00E27F47">
      <w:pPr>
        <w:spacing w:line="360" w:lineRule="auto"/>
        <w:ind w:left="720" w:hanging="720"/>
        <w:rPr>
          <w:rFonts w:ascii="Calibri" w:hAnsi="Calibri" w:cs="Calibri"/>
          <w:sz w:val="24"/>
          <w:szCs w:val="24"/>
        </w:rPr>
      </w:pPr>
      <w:r w:rsidRPr="006202E2">
        <w:rPr>
          <w:rFonts w:ascii="Calibri" w:hAnsi="Calibri" w:cs="Calibri"/>
          <w:sz w:val="24"/>
          <w:szCs w:val="24"/>
        </w:rPr>
        <w:t xml:space="preserve">Prummer, K., Human-Vogel, S., Graham, M. A., &amp; </w:t>
      </w:r>
      <w:proofErr w:type="spellStart"/>
      <w:r w:rsidRPr="006202E2">
        <w:rPr>
          <w:rFonts w:ascii="Calibri" w:hAnsi="Calibri" w:cs="Calibri"/>
          <w:sz w:val="24"/>
          <w:szCs w:val="24"/>
        </w:rPr>
        <w:t>Pittich</w:t>
      </w:r>
      <w:proofErr w:type="spellEnd"/>
      <w:r w:rsidRPr="006202E2">
        <w:rPr>
          <w:rFonts w:ascii="Calibri" w:hAnsi="Calibri" w:cs="Calibri"/>
          <w:sz w:val="24"/>
          <w:szCs w:val="24"/>
        </w:rPr>
        <w:t xml:space="preserve">, D. (2024). The role of mentoring in developing leaders’ emotional intelligence: exploring mentoring types, emotional intelligence, organizational factors, and gender. </w:t>
      </w:r>
      <w:r w:rsidRPr="006202E2">
        <w:rPr>
          <w:rFonts w:ascii="Calibri" w:hAnsi="Calibri" w:cs="Calibri"/>
          <w:i/>
          <w:iCs/>
          <w:sz w:val="24"/>
          <w:szCs w:val="24"/>
        </w:rPr>
        <w:t>Frontiers in Education</w:t>
      </w:r>
      <w:r w:rsidRPr="006202E2">
        <w:rPr>
          <w:rFonts w:ascii="Calibri" w:hAnsi="Calibri" w:cs="Calibri"/>
          <w:sz w:val="24"/>
          <w:szCs w:val="24"/>
        </w:rPr>
        <w:t xml:space="preserve">, </w:t>
      </w:r>
      <w:r w:rsidRPr="006202E2">
        <w:rPr>
          <w:rFonts w:ascii="Calibri" w:hAnsi="Calibri" w:cs="Calibri"/>
          <w:i/>
          <w:iCs/>
          <w:sz w:val="24"/>
          <w:szCs w:val="24"/>
        </w:rPr>
        <w:t>9</w:t>
      </w:r>
      <w:r w:rsidRPr="006202E2">
        <w:rPr>
          <w:rFonts w:ascii="Calibri" w:hAnsi="Calibri" w:cs="Calibri"/>
          <w:sz w:val="24"/>
          <w:szCs w:val="24"/>
        </w:rPr>
        <w:t xml:space="preserve">. </w:t>
      </w:r>
      <w:hyperlink r:id="rId42" w:history="1">
        <w:r w:rsidRPr="006202E2">
          <w:rPr>
            <w:rStyle w:val="Hyperlink"/>
            <w:rFonts w:ascii="Calibri" w:hAnsi="Calibri" w:cs="Calibri"/>
            <w:sz w:val="24"/>
            <w:szCs w:val="24"/>
          </w:rPr>
          <w:t>https://doi.org/10.3389/feduc.2024.1393660</w:t>
        </w:r>
      </w:hyperlink>
    </w:p>
    <w:p w14:paraId="274247B7" w14:textId="77777777" w:rsidR="006202E2" w:rsidRPr="006202E2" w:rsidRDefault="006202E2" w:rsidP="00C54F93">
      <w:pPr>
        <w:spacing w:line="360" w:lineRule="auto"/>
        <w:ind w:left="720" w:hanging="720"/>
        <w:rPr>
          <w:rFonts w:ascii="Calibri" w:hAnsi="Calibri" w:cs="Calibri"/>
          <w:sz w:val="24"/>
          <w:szCs w:val="24"/>
        </w:rPr>
      </w:pPr>
      <w:r w:rsidRPr="006202E2">
        <w:rPr>
          <w:rFonts w:ascii="Calibri" w:hAnsi="Calibri" w:cs="Calibri"/>
          <w:sz w:val="24"/>
          <w:szCs w:val="24"/>
        </w:rPr>
        <w:t xml:space="preserve">Richardson, C., Wicking, K., Biedermann, N., &amp; Langtree, T. (2023). Coaching in nursing: an Integrative Literature Review. </w:t>
      </w:r>
      <w:r w:rsidRPr="006202E2">
        <w:rPr>
          <w:rFonts w:ascii="Calibri" w:hAnsi="Calibri" w:cs="Calibri"/>
          <w:i/>
          <w:iCs/>
          <w:sz w:val="24"/>
          <w:szCs w:val="24"/>
        </w:rPr>
        <w:t>Nursing Open</w:t>
      </w:r>
      <w:r w:rsidRPr="006202E2">
        <w:rPr>
          <w:rFonts w:ascii="Calibri" w:hAnsi="Calibri" w:cs="Calibri"/>
          <w:sz w:val="24"/>
          <w:szCs w:val="24"/>
        </w:rPr>
        <w:t xml:space="preserve">, </w:t>
      </w:r>
      <w:r w:rsidRPr="006202E2">
        <w:rPr>
          <w:rFonts w:ascii="Calibri" w:hAnsi="Calibri" w:cs="Calibri"/>
          <w:i/>
          <w:iCs/>
          <w:sz w:val="24"/>
          <w:szCs w:val="24"/>
        </w:rPr>
        <w:t>10</w:t>
      </w:r>
      <w:r w:rsidRPr="006202E2">
        <w:rPr>
          <w:rFonts w:ascii="Calibri" w:hAnsi="Calibri" w:cs="Calibri"/>
          <w:sz w:val="24"/>
          <w:szCs w:val="24"/>
        </w:rPr>
        <w:t xml:space="preserve">(10), 6635–6649. </w:t>
      </w:r>
      <w:hyperlink r:id="rId43" w:history="1">
        <w:r w:rsidRPr="006202E2">
          <w:rPr>
            <w:rStyle w:val="Hyperlink"/>
            <w:rFonts w:ascii="Calibri" w:hAnsi="Calibri" w:cs="Calibri"/>
            <w:sz w:val="24"/>
            <w:szCs w:val="24"/>
          </w:rPr>
          <w:t>https://pmc.ncbi.nlm.nih.gov/articles/PMC10495732/</w:t>
        </w:r>
      </w:hyperlink>
    </w:p>
    <w:p w14:paraId="34C606FB" w14:textId="77777777" w:rsidR="006202E2" w:rsidRPr="006202E2" w:rsidRDefault="006202E2" w:rsidP="00C54F93">
      <w:pPr>
        <w:spacing w:line="360" w:lineRule="auto"/>
        <w:ind w:left="720" w:hanging="720"/>
        <w:rPr>
          <w:rFonts w:ascii="Calibri" w:hAnsi="Calibri" w:cs="Calibri"/>
          <w:sz w:val="24"/>
          <w:szCs w:val="24"/>
        </w:rPr>
      </w:pPr>
      <w:r w:rsidRPr="006202E2">
        <w:rPr>
          <w:rFonts w:ascii="Calibri" w:hAnsi="Calibri" w:cs="Calibri"/>
          <w:sz w:val="24"/>
          <w:szCs w:val="24"/>
        </w:rPr>
        <w:t>Rogers, C. R. (1992). The necessary and sufficient conditions of therapeutic personality change. </w:t>
      </w:r>
      <w:r w:rsidRPr="006202E2">
        <w:rPr>
          <w:rFonts w:ascii="Calibri" w:hAnsi="Calibri" w:cs="Calibri"/>
          <w:i/>
          <w:iCs/>
          <w:sz w:val="24"/>
          <w:szCs w:val="24"/>
        </w:rPr>
        <w:t>Journal of Consulting and Clinical Psychology</w:t>
      </w:r>
      <w:r w:rsidRPr="006202E2">
        <w:rPr>
          <w:rFonts w:ascii="Calibri" w:hAnsi="Calibri" w:cs="Calibri"/>
          <w:sz w:val="24"/>
          <w:szCs w:val="24"/>
        </w:rPr>
        <w:t>, </w:t>
      </w:r>
      <w:r w:rsidRPr="006202E2">
        <w:rPr>
          <w:rFonts w:ascii="Calibri" w:hAnsi="Calibri" w:cs="Calibri"/>
          <w:i/>
          <w:iCs/>
          <w:sz w:val="24"/>
          <w:szCs w:val="24"/>
        </w:rPr>
        <w:t>60</w:t>
      </w:r>
      <w:r w:rsidRPr="006202E2">
        <w:rPr>
          <w:rFonts w:ascii="Calibri" w:hAnsi="Calibri" w:cs="Calibri"/>
          <w:sz w:val="24"/>
          <w:szCs w:val="24"/>
        </w:rPr>
        <w:t xml:space="preserve">(6), 827–832. </w:t>
      </w:r>
      <w:hyperlink r:id="rId44" w:history="1">
        <w:r w:rsidRPr="006202E2">
          <w:rPr>
            <w:rStyle w:val="Hyperlink"/>
            <w:rFonts w:ascii="Calibri" w:hAnsi="Calibri" w:cs="Calibri"/>
            <w:sz w:val="24"/>
            <w:szCs w:val="24"/>
          </w:rPr>
          <w:t>https://doi-org.uwtsd.idm.oclc.org/10.1037/0022-006X.60.6.827</w:t>
        </w:r>
      </w:hyperlink>
    </w:p>
    <w:p w14:paraId="2C069A4F" w14:textId="77777777" w:rsidR="006202E2" w:rsidRPr="006202E2" w:rsidRDefault="006202E2">
      <w:pPr>
        <w:spacing w:line="360" w:lineRule="auto"/>
        <w:ind w:left="720"/>
        <w:rPr>
          <w:rFonts w:ascii="Calibri" w:hAnsi="Calibri" w:cs="Calibri"/>
          <w:sz w:val="24"/>
          <w:szCs w:val="24"/>
        </w:rPr>
      </w:pPr>
      <w:r w:rsidRPr="006202E2">
        <w:rPr>
          <w:rFonts w:ascii="Calibri" w:hAnsi="Calibri" w:cs="Calibri"/>
          <w:sz w:val="24"/>
          <w:szCs w:val="24"/>
        </w:rPr>
        <w:t xml:space="preserve">Schön, D. A. (1983). </w:t>
      </w:r>
      <w:r w:rsidRPr="006202E2">
        <w:rPr>
          <w:rFonts w:ascii="Calibri" w:hAnsi="Calibri" w:cs="Calibri"/>
          <w:i/>
          <w:iCs/>
          <w:sz w:val="24"/>
          <w:szCs w:val="24"/>
        </w:rPr>
        <w:t>The reflective practitioner: How professionals think in action</w:t>
      </w:r>
      <w:r w:rsidRPr="006202E2">
        <w:rPr>
          <w:rFonts w:ascii="Calibri" w:hAnsi="Calibri" w:cs="Calibri"/>
          <w:sz w:val="24"/>
          <w:szCs w:val="24"/>
        </w:rPr>
        <w:t>. Basic Books.</w:t>
      </w:r>
    </w:p>
    <w:p w14:paraId="145A9B59" w14:textId="77777777" w:rsidR="006202E2" w:rsidRPr="006202E2" w:rsidRDefault="006202E2" w:rsidP="00C54F93">
      <w:pPr>
        <w:spacing w:line="360" w:lineRule="auto"/>
        <w:ind w:left="720" w:hanging="720"/>
        <w:rPr>
          <w:rFonts w:ascii="Calibri" w:hAnsi="Calibri" w:cs="Calibri"/>
          <w:sz w:val="24"/>
          <w:szCs w:val="24"/>
        </w:rPr>
      </w:pPr>
      <w:r w:rsidRPr="006202E2">
        <w:rPr>
          <w:rFonts w:ascii="Calibri" w:hAnsi="Calibri" w:cs="Calibri"/>
          <w:sz w:val="24"/>
          <w:szCs w:val="24"/>
        </w:rPr>
        <w:t xml:space="preserve">Silva. (2025, October 23). </w:t>
      </w:r>
      <w:r w:rsidRPr="006202E2">
        <w:rPr>
          <w:rFonts w:ascii="Calibri" w:hAnsi="Calibri" w:cs="Calibri"/>
          <w:i/>
          <w:iCs/>
          <w:sz w:val="24"/>
          <w:szCs w:val="24"/>
        </w:rPr>
        <w:t>Nurturing success by developing a mentor–mentee relationship - British Journal of Nursing</w:t>
      </w:r>
      <w:r w:rsidRPr="006202E2">
        <w:rPr>
          <w:rFonts w:ascii="Calibri" w:hAnsi="Calibri" w:cs="Calibri"/>
          <w:sz w:val="24"/>
          <w:szCs w:val="24"/>
        </w:rPr>
        <w:t xml:space="preserve">. British Journal of Nursing. </w:t>
      </w:r>
      <w:hyperlink r:id="rId45" w:history="1">
        <w:r w:rsidRPr="006202E2">
          <w:rPr>
            <w:rStyle w:val="Hyperlink"/>
            <w:rFonts w:ascii="Calibri" w:hAnsi="Calibri" w:cs="Calibri"/>
            <w:sz w:val="24"/>
            <w:szCs w:val="24"/>
          </w:rPr>
          <w:t>https://www.britishjournalofnursing.com/content/top-ten-tips/nurturing-success-by-developing-a-mentor-mentee-relationship</w:t>
        </w:r>
      </w:hyperlink>
    </w:p>
    <w:p w14:paraId="73066638" w14:textId="77777777" w:rsidR="006202E2" w:rsidRPr="006202E2" w:rsidRDefault="006202E2" w:rsidP="00E27F47">
      <w:pPr>
        <w:spacing w:line="360" w:lineRule="auto"/>
        <w:ind w:left="720" w:hanging="720"/>
        <w:rPr>
          <w:rFonts w:ascii="Calibri" w:hAnsi="Calibri" w:cs="Calibri"/>
          <w:sz w:val="24"/>
          <w:szCs w:val="24"/>
        </w:rPr>
      </w:pPr>
      <w:r w:rsidRPr="006202E2">
        <w:rPr>
          <w:rFonts w:ascii="Calibri" w:hAnsi="Calibri" w:cs="Calibri"/>
          <w:sz w:val="24"/>
          <w:szCs w:val="24"/>
        </w:rPr>
        <w:t xml:space="preserve">Smythe, A., &amp; Carter, V. (2022). The Experiences and Perceptions of Newly Qualified Nurses in the UK: an Integrative Literature Review. </w:t>
      </w:r>
      <w:r w:rsidRPr="006202E2">
        <w:rPr>
          <w:rFonts w:ascii="Calibri" w:hAnsi="Calibri" w:cs="Calibri"/>
          <w:i/>
          <w:iCs/>
          <w:sz w:val="24"/>
          <w:szCs w:val="24"/>
        </w:rPr>
        <w:t>Nurse Education in Practice</w:t>
      </w:r>
      <w:r w:rsidRPr="006202E2">
        <w:rPr>
          <w:rFonts w:ascii="Calibri" w:hAnsi="Calibri" w:cs="Calibri"/>
          <w:sz w:val="24"/>
          <w:szCs w:val="24"/>
        </w:rPr>
        <w:t xml:space="preserve">, </w:t>
      </w:r>
      <w:r w:rsidRPr="006202E2">
        <w:rPr>
          <w:rFonts w:ascii="Calibri" w:hAnsi="Calibri" w:cs="Calibri"/>
          <w:i/>
          <w:iCs/>
          <w:sz w:val="24"/>
          <w:szCs w:val="24"/>
        </w:rPr>
        <w:t>62</w:t>
      </w:r>
      <w:r w:rsidRPr="006202E2">
        <w:rPr>
          <w:rFonts w:ascii="Calibri" w:hAnsi="Calibri" w:cs="Calibri"/>
          <w:sz w:val="24"/>
          <w:szCs w:val="24"/>
        </w:rPr>
        <w:t xml:space="preserve">(1). </w:t>
      </w:r>
      <w:hyperlink r:id="rId46" w:history="1">
        <w:r w:rsidRPr="006202E2">
          <w:rPr>
            <w:rStyle w:val="Hyperlink"/>
            <w:rFonts w:ascii="Calibri" w:hAnsi="Calibri" w:cs="Calibri"/>
            <w:sz w:val="24"/>
            <w:szCs w:val="24"/>
          </w:rPr>
          <w:t>https://doi.org/10.1016/j.nepr.2022.103338</w:t>
        </w:r>
      </w:hyperlink>
    </w:p>
    <w:p w14:paraId="578C57B8" w14:textId="77777777" w:rsidR="006202E2" w:rsidRPr="006202E2" w:rsidRDefault="006202E2" w:rsidP="00E27F47">
      <w:pPr>
        <w:spacing w:line="360" w:lineRule="auto"/>
        <w:ind w:left="720" w:hanging="720"/>
        <w:rPr>
          <w:rFonts w:ascii="Calibri" w:hAnsi="Calibri" w:cs="Calibri"/>
          <w:sz w:val="24"/>
          <w:szCs w:val="24"/>
        </w:rPr>
      </w:pPr>
      <w:r w:rsidRPr="006202E2">
        <w:rPr>
          <w:rFonts w:ascii="Calibri" w:hAnsi="Calibri" w:cs="Calibri"/>
          <w:sz w:val="24"/>
          <w:szCs w:val="24"/>
        </w:rPr>
        <w:t xml:space="preserve">Stojanovic´, M. (2021). Book Review: The adult learner: The definitive classic in adult education and human resource development by M. S. Knowles, E. F. Holton III, R. A. Swanson, &amp; P. A. Robinson. </w:t>
      </w:r>
      <w:r w:rsidRPr="006202E2">
        <w:rPr>
          <w:rFonts w:ascii="Calibri" w:hAnsi="Calibri" w:cs="Calibri"/>
          <w:i/>
          <w:iCs/>
          <w:sz w:val="24"/>
          <w:szCs w:val="24"/>
        </w:rPr>
        <w:t>Adult Education Quarterly</w:t>
      </w:r>
      <w:r w:rsidRPr="006202E2">
        <w:rPr>
          <w:rFonts w:ascii="Calibri" w:hAnsi="Calibri" w:cs="Calibri"/>
          <w:sz w:val="24"/>
          <w:szCs w:val="24"/>
        </w:rPr>
        <w:t xml:space="preserve">, </w:t>
      </w:r>
      <w:r w:rsidRPr="006202E2">
        <w:rPr>
          <w:rFonts w:ascii="Calibri" w:hAnsi="Calibri" w:cs="Calibri"/>
          <w:i/>
          <w:iCs/>
          <w:sz w:val="24"/>
          <w:szCs w:val="24"/>
        </w:rPr>
        <w:t>72</w:t>
      </w:r>
      <w:r w:rsidRPr="006202E2">
        <w:rPr>
          <w:rFonts w:ascii="Calibri" w:hAnsi="Calibri" w:cs="Calibri"/>
          <w:sz w:val="24"/>
          <w:szCs w:val="24"/>
        </w:rPr>
        <w:t xml:space="preserve">(2), 074171362110456. </w:t>
      </w:r>
      <w:hyperlink r:id="rId47" w:history="1">
        <w:r w:rsidRPr="006202E2">
          <w:rPr>
            <w:rStyle w:val="Hyperlink"/>
            <w:rFonts w:ascii="Calibri" w:hAnsi="Calibri" w:cs="Calibri"/>
            <w:sz w:val="24"/>
            <w:szCs w:val="24"/>
          </w:rPr>
          <w:t>https://doi.org/10.1177/07417136211045695</w:t>
        </w:r>
      </w:hyperlink>
    </w:p>
    <w:p w14:paraId="3E0E24E8" w14:textId="77777777" w:rsidR="006202E2" w:rsidRPr="006202E2" w:rsidRDefault="006202E2" w:rsidP="00C54F93">
      <w:pPr>
        <w:spacing w:line="360" w:lineRule="auto"/>
        <w:ind w:left="720" w:hanging="720"/>
        <w:rPr>
          <w:rFonts w:ascii="Calibri" w:hAnsi="Calibri" w:cs="Calibri"/>
          <w:sz w:val="24"/>
          <w:szCs w:val="24"/>
        </w:rPr>
      </w:pPr>
      <w:r w:rsidRPr="006202E2">
        <w:rPr>
          <w:rFonts w:ascii="Calibri" w:hAnsi="Calibri" w:cs="Calibri"/>
          <w:sz w:val="24"/>
          <w:szCs w:val="24"/>
        </w:rPr>
        <w:lastRenderedPageBreak/>
        <w:t xml:space="preserve">Straus, S. E., Johnson, M. O., Marquez, C., &amp; Feldman, M. D. (2013). Characteristics of Successful and Failed Mentoring Relationships. </w:t>
      </w:r>
      <w:r w:rsidRPr="006202E2">
        <w:rPr>
          <w:rFonts w:ascii="Calibri" w:hAnsi="Calibri" w:cs="Calibri"/>
          <w:i/>
          <w:iCs/>
          <w:sz w:val="24"/>
          <w:szCs w:val="24"/>
        </w:rPr>
        <w:t>Academic Medicine</w:t>
      </w:r>
      <w:r w:rsidRPr="006202E2">
        <w:rPr>
          <w:rFonts w:ascii="Calibri" w:hAnsi="Calibri" w:cs="Calibri"/>
          <w:sz w:val="24"/>
          <w:szCs w:val="24"/>
        </w:rPr>
        <w:t xml:space="preserve">, </w:t>
      </w:r>
      <w:r w:rsidRPr="006202E2">
        <w:rPr>
          <w:rFonts w:ascii="Calibri" w:hAnsi="Calibri" w:cs="Calibri"/>
          <w:i/>
          <w:iCs/>
          <w:sz w:val="24"/>
          <w:szCs w:val="24"/>
        </w:rPr>
        <w:t>88</w:t>
      </w:r>
      <w:r w:rsidRPr="006202E2">
        <w:rPr>
          <w:rFonts w:ascii="Calibri" w:hAnsi="Calibri" w:cs="Calibri"/>
          <w:sz w:val="24"/>
          <w:szCs w:val="24"/>
        </w:rPr>
        <w:t xml:space="preserve">(1), 82–89. </w:t>
      </w:r>
      <w:hyperlink r:id="rId48" w:history="1">
        <w:r w:rsidRPr="006202E2">
          <w:rPr>
            <w:rStyle w:val="Hyperlink"/>
            <w:rFonts w:ascii="Calibri" w:hAnsi="Calibri" w:cs="Calibri"/>
            <w:sz w:val="24"/>
            <w:szCs w:val="24"/>
          </w:rPr>
          <w:t>https://doi.org/10.1097/acm.0b013e31827647a0</w:t>
        </w:r>
      </w:hyperlink>
    </w:p>
    <w:p w14:paraId="3FAAA3CF" w14:textId="77777777" w:rsidR="006202E2" w:rsidRPr="006202E2" w:rsidRDefault="006202E2" w:rsidP="00C54F93">
      <w:pPr>
        <w:spacing w:line="360" w:lineRule="auto"/>
        <w:ind w:left="720" w:hanging="720"/>
        <w:rPr>
          <w:rFonts w:ascii="Calibri" w:hAnsi="Calibri" w:cs="Calibri"/>
          <w:sz w:val="24"/>
          <w:szCs w:val="24"/>
        </w:rPr>
      </w:pPr>
      <w:r w:rsidRPr="006202E2">
        <w:rPr>
          <w:rFonts w:ascii="Calibri" w:hAnsi="Calibri" w:cs="Calibri"/>
          <w:sz w:val="24"/>
          <w:szCs w:val="24"/>
        </w:rPr>
        <w:t xml:space="preserve">The Strategy Institute. (2025). </w:t>
      </w:r>
      <w:r w:rsidRPr="006202E2">
        <w:rPr>
          <w:rFonts w:ascii="Calibri" w:hAnsi="Calibri" w:cs="Calibri"/>
          <w:i/>
          <w:iCs/>
          <w:sz w:val="24"/>
          <w:szCs w:val="24"/>
        </w:rPr>
        <w:t>Strategy Implementation: Key Concepts for Organizational Success</w:t>
      </w:r>
      <w:r w:rsidRPr="006202E2">
        <w:rPr>
          <w:rFonts w:ascii="Calibri" w:hAnsi="Calibri" w:cs="Calibri"/>
          <w:sz w:val="24"/>
          <w:szCs w:val="24"/>
        </w:rPr>
        <w:t xml:space="preserve">. Thestrategyinstitute.org. </w:t>
      </w:r>
      <w:hyperlink r:id="rId49" w:history="1">
        <w:r w:rsidRPr="006202E2">
          <w:rPr>
            <w:rStyle w:val="Hyperlink"/>
            <w:rFonts w:ascii="Calibri" w:hAnsi="Calibri" w:cs="Calibri"/>
            <w:sz w:val="24"/>
            <w:szCs w:val="24"/>
          </w:rPr>
          <w:t>https://www.thestrategyinstitute.org/insights/strategy-implementation-key-concepts-for-organizational-success</w:t>
        </w:r>
      </w:hyperlink>
    </w:p>
    <w:p w14:paraId="105B19A3" w14:textId="77777777" w:rsidR="006202E2" w:rsidRPr="006202E2" w:rsidRDefault="006202E2" w:rsidP="006202E2">
      <w:pPr>
        <w:spacing w:line="360" w:lineRule="auto"/>
        <w:ind w:left="720" w:hanging="720"/>
        <w:rPr>
          <w:rFonts w:ascii="Calibri" w:hAnsi="Calibri" w:cs="Calibri"/>
          <w:sz w:val="24"/>
          <w:szCs w:val="24"/>
        </w:rPr>
      </w:pPr>
      <w:r w:rsidRPr="00D86C20">
        <w:rPr>
          <w:rFonts w:ascii="Calibri" w:hAnsi="Calibri" w:cs="Calibri"/>
          <w:sz w:val="24"/>
          <w:szCs w:val="24"/>
        </w:rPr>
        <w:t xml:space="preserve">Usmani, F. (2025, August 11). </w:t>
      </w:r>
      <w:r w:rsidRPr="00D86C20">
        <w:rPr>
          <w:rFonts w:ascii="Calibri" w:hAnsi="Calibri" w:cs="Calibri"/>
          <w:i/>
          <w:iCs/>
          <w:sz w:val="24"/>
          <w:szCs w:val="24"/>
        </w:rPr>
        <w:t>The OSCAR Model of Coaching and Mentoring | PM Study Circle</w:t>
      </w:r>
      <w:r w:rsidRPr="00D86C20">
        <w:rPr>
          <w:rFonts w:ascii="Calibri" w:hAnsi="Calibri" w:cs="Calibri"/>
          <w:sz w:val="24"/>
          <w:szCs w:val="24"/>
        </w:rPr>
        <w:t xml:space="preserve">. PM Study Circle. </w:t>
      </w:r>
      <w:hyperlink r:id="rId50" w:history="1">
        <w:r w:rsidRPr="00D86C20">
          <w:rPr>
            <w:rStyle w:val="Hyperlink"/>
            <w:rFonts w:ascii="Calibri" w:hAnsi="Calibri" w:cs="Calibri"/>
            <w:sz w:val="24"/>
            <w:szCs w:val="24"/>
          </w:rPr>
          <w:t>https://pmstudycircle.com/oscar-model/</w:t>
        </w:r>
      </w:hyperlink>
    </w:p>
    <w:p w14:paraId="11F3491A" w14:textId="77777777" w:rsidR="006202E2" w:rsidRPr="006202E2" w:rsidRDefault="006202E2" w:rsidP="00C54F93">
      <w:pPr>
        <w:spacing w:line="360" w:lineRule="auto"/>
        <w:ind w:left="720" w:hanging="720"/>
        <w:rPr>
          <w:rFonts w:ascii="Calibri" w:hAnsi="Calibri" w:cs="Calibri"/>
          <w:sz w:val="24"/>
          <w:szCs w:val="24"/>
        </w:rPr>
      </w:pPr>
      <w:r w:rsidRPr="006202E2">
        <w:rPr>
          <w:rFonts w:ascii="Calibri" w:hAnsi="Calibri" w:cs="Calibri"/>
          <w:sz w:val="24"/>
          <w:szCs w:val="24"/>
        </w:rPr>
        <w:t xml:space="preserve">Welsh Government. (2023). </w:t>
      </w:r>
      <w:r w:rsidRPr="006202E2">
        <w:rPr>
          <w:rFonts w:ascii="Calibri" w:hAnsi="Calibri" w:cs="Calibri"/>
          <w:i/>
          <w:iCs/>
          <w:sz w:val="24"/>
          <w:szCs w:val="24"/>
        </w:rPr>
        <w:t>National Workforce Implementation Plan: Addressing NHS Wales Workforce Challenges</w:t>
      </w:r>
      <w:r w:rsidRPr="006202E2">
        <w:rPr>
          <w:rFonts w:ascii="Calibri" w:hAnsi="Calibri" w:cs="Calibri"/>
          <w:sz w:val="24"/>
          <w:szCs w:val="24"/>
        </w:rPr>
        <w:t xml:space="preserve">. </w:t>
      </w:r>
      <w:hyperlink r:id="rId51" w:history="1">
        <w:r w:rsidRPr="006202E2">
          <w:rPr>
            <w:rStyle w:val="Hyperlink"/>
            <w:rFonts w:ascii="Calibri" w:hAnsi="Calibri" w:cs="Calibri"/>
            <w:sz w:val="24"/>
            <w:szCs w:val="24"/>
          </w:rPr>
          <w:t>https://www.gov.wales/sites/default/files/publications/2023-01/national-workforce-implementation-plan.pdf</w:t>
        </w:r>
      </w:hyperlink>
    </w:p>
    <w:p w14:paraId="3D48177A" w14:textId="77777777" w:rsidR="006202E2" w:rsidRPr="006202E2" w:rsidRDefault="006202E2" w:rsidP="00C54F93">
      <w:pPr>
        <w:spacing w:line="360" w:lineRule="auto"/>
        <w:ind w:left="720" w:hanging="720"/>
        <w:rPr>
          <w:rFonts w:ascii="Calibri" w:hAnsi="Calibri" w:cs="Calibri"/>
          <w:sz w:val="24"/>
          <w:szCs w:val="24"/>
        </w:rPr>
      </w:pPr>
      <w:r w:rsidRPr="006202E2">
        <w:rPr>
          <w:rFonts w:ascii="Calibri" w:hAnsi="Calibri" w:cs="Calibri"/>
          <w:sz w:val="24"/>
          <w:szCs w:val="24"/>
        </w:rPr>
        <w:t xml:space="preserve">Whitmore, J. (2017). </w:t>
      </w:r>
      <w:r w:rsidRPr="006202E2">
        <w:rPr>
          <w:rFonts w:ascii="Calibri" w:hAnsi="Calibri" w:cs="Calibri"/>
          <w:i/>
          <w:iCs/>
          <w:sz w:val="24"/>
          <w:szCs w:val="24"/>
        </w:rPr>
        <w:t xml:space="preserve">Coaching for Performance Fifth </w:t>
      </w:r>
      <w:proofErr w:type="spellStart"/>
      <w:proofErr w:type="gramStart"/>
      <w:r w:rsidRPr="006202E2">
        <w:rPr>
          <w:rFonts w:ascii="Calibri" w:hAnsi="Calibri" w:cs="Calibri"/>
          <w:i/>
          <w:iCs/>
          <w:sz w:val="24"/>
          <w:szCs w:val="24"/>
        </w:rPr>
        <w:t>Edition;The</w:t>
      </w:r>
      <w:proofErr w:type="spellEnd"/>
      <w:proofErr w:type="gramEnd"/>
      <w:r w:rsidRPr="006202E2">
        <w:rPr>
          <w:rFonts w:ascii="Calibri" w:hAnsi="Calibri" w:cs="Calibri"/>
          <w:i/>
          <w:iCs/>
          <w:sz w:val="24"/>
          <w:szCs w:val="24"/>
        </w:rPr>
        <w:t xml:space="preserve"> Principles and Practice of Coaching and Leadership Updated 25Th Anniversary Edition</w:t>
      </w:r>
      <w:r w:rsidRPr="006202E2">
        <w:rPr>
          <w:rFonts w:ascii="Calibri" w:hAnsi="Calibri" w:cs="Calibri"/>
          <w:sz w:val="24"/>
          <w:szCs w:val="24"/>
        </w:rPr>
        <w:t xml:space="preserve"> (5th ed.). Nicholas Brealey Publishing.</w:t>
      </w:r>
    </w:p>
    <w:p w14:paraId="11B98388" w14:textId="77777777" w:rsidR="006202E2" w:rsidRPr="006202E2" w:rsidRDefault="006202E2" w:rsidP="00C54F93">
      <w:pPr>
        <w:spacing w:line="360" w:lineRule="auto"/>
        <w:ind w:left="720" w:hanging="720"/>
        <w:rPr>
          <w:rFonts w:ascii="Calibri" w:hAnsi="Calibri" w:cs="Calibri"/>
          <w:sz w:val="24"/>
          <w:szCs w:val="24"/>
        </w:rPr>
      </w:pPr>
      <w:r w:rsidRPr="006202E2">
        <w:rPr>
          <w:rFonts w:ascii="Calibri" w:hAnsi="Calibri" w:cs="Calibri"/>
          <w:sz w:val="24"/>
          <w:szCs w:val="24"/>
        </w:rPr>
        <w:t xml:space="preserve">Youssef Jouali, </w:t>
      </w:r>
      <w:proofErr w:type="spellStart"/>
      <w:r w:rsidRPr="006202E2">
        <w:rPr>
          <w:rFonts w:ascii="Calibri" w:hAnsi="Calibri" w:cs="Calibri"/>
          <w:sz w:val="24"/>
          <w:szCs w:val="24"/>
        </w:rPr>
        <w:t>Jouali</w:t>
      </w:r>
      <w:proofErr w:type="spellEnd"/>
      <w:r w:rsidRPr="006202E2">
        <w:rPr>
          <w:rFonts w:ascii="Calibri" w:hAnsi="Calibri" w:cs="Calibri"/>
          <w:sz w:val="24"/>
          <w:szCs w:val="24"/>
        </w:rPr>
        <w:t xml:space="preserve">, J., &amp; Sara EL Aboudi. (2024). Strengthening resilience and coping through coaching: the impact of </w:t>
      </w:r>
      <w:proofErr w:type="spellStart"/>
      <w:r w:rsidRPr="006202E2">
        <w:rPr>
          <w:rFonts w:ascii="Calibri" w:hAnsi="Calibri" w:cs="Calibri"/>
          <w:sz w:val="24"/>
          <w:szCs w:val="24"/>
        </w:rPr>
        <w:t>behavioral</w:t>
      </w:r>
      <w:proofErr w:type="spellEnd"/>
      <w:r w:rsidRPr="006202E2">
        <w:rPr>
          <w:rFonts w:ascii="Calibri" w:hAnsi="Calibri" w:cs="Calibri"/>
          <w:sz w:val="24"/>
          <w:szCs w:val="24"/>
        </w:rPr>
        <w:t xml:space="preserve">, cognitive and emotional skills. </w:t>
      </w:r>
      <w:r w:rsidRPr="006202E2">
        <w:rPr>
          <w:rFonts w:ascii="Calibri" w:hAnsi="Calibri" w:cs="Calibri"/>
          <w:i/>
          <w:iCs/>
          <w:sz w:val="24"/>
          <w:szCs w:val="24"/>
        </w:rPr>
        <w:t>Environment and Social Psychology</w:t>
      </w:r>
      <w:r w:rsidRPr="006202E2">
        <w:rPr>
          <w:rFonts w:ascii="Calibri" w:hAnsi="Calibri" w:cs="Calibri"/>
          <w:sz w:val="24"/>
          <w:szCs w:val="24"/>
        </w:rPr>
        <w:t xml:space="preserve">, </w:t>
      </w:r>
      <w:r w:rsidRPr="006202E2">
        <w:rPr>
          <w:rFonts w:ascii="Calibri" w:hAnsi="Calibri" w:cs="Calibri"/>
          <w:i/>
          <w:iCs/>
          <w:sz w:val="24"/>
          <w:szCs w:val="24"/>
        </w:rPr>
        <w:t>9</w:t>
      </w:r>
      <w:r w:rsidRPr="006202E2">
        <w:rPr>
          <w:rFonts w:ascii="Calibri" w:hAnsi="Calibri" w:cs="Calibri"/>
          <w:sz w:val="24"/>
          <w:szCs w:val="24"/>
        </w:rPr>
        <w:t xml:space="preserve">(8). </w:t>
      </w:r>
      <w:hyperlink r:id="rId52" w:history="1">
        <w:r w:rsidRPr="006202E2">
          <w:rPr>
            <w:rStyle w:val="Hyperlink"/>
            <w:rFonts w:ascii="Calibri" w:hAnsi="Calibri" w:cs="Calibri"/>
            <w:sz w:val="24"/>
            <w:szCs w:val="24"/>
          </w:rPr>
          <w:t>https://doi.org/10.59429/esp.v9i8.2789</w:t>
        </w:r>
      </w:hyperlink>
    </w:p>
    <w:p w14:paraId="0EC58E06" w14:textId="77777777" w:rsidR="001B4B36" w:rsidRPr="001B4B36" w:rsidRDefault="001B4B36" w:rsidP="001B4B36">
      <w:pPr>
        <w:rPr>
          <w:rFonts w:ascii="Calibri" w:hAnsi="Calibri" w:cs="Calibri"/>
          <w:b/>
          <w:bCs/>
          <w:sz w:val="24"/>
          <w:szCs w:val="24"/>
        </w:rPr>
      </w:pPr>
    </w:p>
    <w:p w14:paraId="7ED67924" w14:textId="77777777" w:rsidR="004F36BF" w:rsidRPr="004F36BF" w:rsidRDefault="004F36BF" w:rsidP="004F36BF">
      <w:pPr>
        <w:rPr>
          <w:rFonts w:ascii="Calibri" w:hAnsi="Calibri" w:cs="Calibri"/>
          <w:b/>
          <w:bCs/>
          <w:sz w:val="24"/>
          <w:szCs w:val="24"/>
        </w:rPr>
      </w:pPr>
    </w:p>
    <w:p w14:paraId="3AE337ED" w14:textId="77777777" w:rsidR="00117E75" w:rsidRPr="00117E75" w:rsidRDefault="00117E75" w:rsidP="00117E75">
      <w:pPr>
        <w:rPr>
          <w:rFonts w:ascii="Calibri" w:hAnsi="Calibri" w:cs="Calibri"/>
          <w:b/>
          <w:bCs/>
          <w:sz w:val="24"/>
          <w:szCs w:val="24"/>
        </w:rPr>
      </w:pPr>
    </w:p>
    <w:p w14:paraId="1771A78C" w14:textId="4769A99A" w:rsidR="00C920BF" w:rsidRPr="00C920BF" w:rsidRDefault="00C920BF" w:rsidP="00C920BF">
      <w:pPr>
        <w:rPr>
          <w:rFonts w:ascii="Calibri" w:hAnsi="Calibri" w:cs="Calibri"/>
          <w:sz w:val="24"/>
          <w:szCs w:val="24"/>
        </w:rPr>
      </w:pPr>
    </w:p>
    <w:p w14:paraId="547FC3DE" w14:textId="77777777" w:rsidR="000933BD" w:rsidRPr="000933BD" w:rsidRDefault="000933BD" w:rsidP="000933BD">
      <w:pPr>
        <w:rPr>
          <w:rFonts w:ascii="Calibri" w:hAnsi="Calibri" w:cs="Calibri"/>
          <w:sz w:val="24"/>
          <w:szCs w:val="24"/>
        </w:rPr>
      </w:pPr>
    </w:p>
    <w:p w14:paraId="3BFA29F2" w14:textId="77777777" w:rsidR="00D86C20" w:rsidRPr="00D86C20" w:rsidRDefault="00D86C20" w:rsidP="00D86C20">
      <w:pPr>
        <w:rPr>
          <w:rFonts w:ascii="Calibri" w:hAnsi="Calibri" w:cs="Calibri"/>
          <w:sz w:val="24"/>
          <w:szCs w:val="24"/>
        </w:rPr>
      </w:pPr>
    </w:p>
    <w:p w14:paraId="308E3DCA" w14:textId="77777777" w:rsidR="007644CA" w:rsidRPr="007644CA" w:rsidRDefault="007644CA" w:rsidP="007644CA">
      <w:pPr>
        <w:rPr>
          <w:rFonts w:ascii="Calibri" w:hAnsi="Calibri" w:cs="Calibri"/>
          <w:b/>
          <w:bCs/>
          <w:sz w:val="24"/>
          <w:szCs w:val="24"/>
        </w:rPr>
      </w:pPr>
    </w:p>
    <w:p w14:paraId="6395996E" w14:textId="61562BE7" w:rsidR="002F3B19" w:rsidRDefault="002F3B19">
      <w:pPr>
        <w:rPr>
          <w:rFonts w:ascii="Calibri" w:hAnsi="Calibri" w:cs="Calibri"/>
          <w:sz w:val="24"/>
          <w:szCs w:val="24"/>
        </w:rPr>
      </w:pPr>
      <w:r>
        <w:rPr>
          <w:rFonts w:ascii="Calibri" w:hAnsi="Calibri" w:cs="Calibri"/>
          <w:sz w:val="24"/>
          <w:szCs w:val="24"/>
        </w:rPr>
        <w:br w:type="page"/>
      </w:r>
    </w:p>
    <w:p w14:paraId="41DF2CC9" w14:textId="45FC04F5" w:rsidR="000A2605" w:rsidRPr="002F3B19" w:rsidRDefault="002F3B19" w:rsidP="002F3B19">
      <w:pPr>
        <w:pStyle w:val="Heading1"/>
        <w:rPr>
          <w:rFonts w:ascii="Calibri" w:hAnsi="Calibri" w:cs="Calibri"/>
        </w:rPr>
      </w:pPr>
      <w:bookmarkStart w:id="15" w:name="_Toc224731603"/>
      <w:r w:rsidRPr="002F3B19">
        <w:rPr>
          <w:rFonts w:ascii="Calibri" w:hAnsi="Calibri" w:cs="Calibri"/>
        </w:rPr>
        <w:lastRenderedPageBreak/>
        <w:t>Appendices</w:t>
      </w:r>
      <w:bookmarkEnd w:id="15"/>
      <w:r w:rsidRPr="002F3B19">
        <w:rPr>
          <w:rFonts w:ascii="Calibri" w:hAnsi="Calibri" w:cs="Calibri"/>
        </w:rPr>
        <w:t xml:space="preserve"> </w:t>
      </w:r>
    </w:p>
    <w:p w14:paraId="571939BB" w14:textId="50CC4761" w:rsidR="002F3B19" w:rsidRPr="002F3B19" w:rsidRDefault="002F3B19" w:rsidP="002F3B19">
      <w:pPr>
        <w:pStyle w:val="Heading2"/>
        <w:rPr>
          <w:rFonts w:ascii="Calibri" w:hAnsi="Calibri" w:cs="Calibri"/>
        </w:rPr>
      </w:pPr>
      <w:bookmarkStart w:id="16" w:name="_Appendix_A"/>
      <w:bookmarkStart w:id="17" w:name="_Toc224731604"/>
      <w:bookmarkEnd w:id="16"/>
      <w:r w:rsidRPr="002F3B19">
        <w:rPr>
          <w:rFonts w:ascii="Calibri" w:hAnsi="Calibri" w:cs="Calibri"/>
        </w:rPr>
        <w:t>Appendix A</w:t>
      </w:r>
      <w:bookmarkEnd w:id="17"/>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450"/>
        <w:gridCol w:w="7560"/>
      </w:tblGrid>
      <w:tr w:rsidR="00E3584C" w:rsidRPr="00E3584C" w14:paraId="3F60A978" w14:textId="77777777">
        <w:trPr>
          <w:tblCellSpacing w:w="15" w:type="dxa"/>
        </w:trPr>
        <w:tc>
          <w:tcPr>
            <w:tcW w:w="0" w:type="auto"/>
            <w:tcBorders>
              <w:top w:val="single" w:sz="6" w:space="0" w:color="E6E6E6"/>
              <w:left w:val="single" w:sz="6" w:space="0" w:color="E6E6E6"/>
              <w:bottom w:val="single" w:sz="6" w:space="0" w:color="E6E6E6"/>
              <w:right w:val="single" w:sz="6" w:space="0" w:color="E6E6E6"/>
            </w:tcBorders>
            <w:shd w:val="clear" w:color="auto" w:fill="F5F5F5"/>
            <w:vAlign w:val="center"/>
            <w:hideMark/>
          </w:tcPr>
          <w:p w14:paraId="7FBF54E6" w14:textId="77777777" w:rsidR="00E3584C" w:rsidRPr="00E3584C" w:rsidRDefault="00E3584C" w:rsidP="00E3584C">
            <w:pPr>
              <w:rPr>
                <w:rFonts w:ascii="Calibri" w:hAnsi="Calibri" w:cs="Calibri"/>
                <w:b/>
                <w:bCs/>
              </w:rPr>
            </w:pPr>
            <w:r w:rsidRPr="00E3584C">
              <w:rPr>
                <w:rFonts w:ascii="Calibri" w:hAnsi="Calibri" w:cs="Calibri"/>
                <w:b/>
                <w:bCs/>
              </w:rPr>
              <w:t>PESTLE Factor</w:t>
            </w:r>
          </w:p>
        </w:tc>
        <w:tc>
          <w:tcPr>
            <w:tcW w:w="0" w:type="auto"/>
            <w:tcBorders>
              <w:top w:val="single" w:sz="6" w:space="0" w:color="E6E6E6"/>
              <w:left w:val="single" w:sz="6" w:space="0" w:color="E6E6E6"/>
              <w:bottom w:val="single" w:sz="6" w:space="0" w:color="E6E6E6"/>
              <w:right w:val="single" w:sz="6" w:space="0" w:color="E6E6E6"/>
            </w:tcBorders>
            <w:shd w:val="clear" w:color="auto" w:fill="F5F5F5"/>
            <w:vAlign w:val="center"/>
            <w:hideMark/>
          </w:tcPr>
          <w:p w14:paraId="6A28EEDE" w14:textId="6C9246B6" w:rsidR="00E3584C" w:rsidRPr="00E3584C" w:rsidRDefault="00E3584C" w:rsidP="00E3584C">
            <w:pPr>
              <w:rPr>
                <w:rFonts w:ascii="Calibri" w:hAnsi="Calibri" w:cs="Calibri"/>
                <w:b/>
                <w:bCs/>
              </w:rPr>
            </w:pPr>
            <w:r w:rsidRPr="00E3584C">
              <w:rPr>
                <w:rFonts w:ascii="Calibri" w:hAnsi="Calibri" w:cs="Calibri"/>
                <w:b/>
                <w:bCs/>
              </w:rPr>
              <w:t>Key Points</w:t>
            </w:r>
          </w:p>
        </w:tc>
      </w:tr>
      <w:tr w:rsidR="00E3584C" w:rsidRPr="00E3584C" w14:paraId="619082E4" w14:textId="77777777">
        <w:trPr>
          <w:tblCellSpacing w:w="15" w:type="dxa"/>
        </w:trPr>
        <w:tc>
          <w:tcPr>
            <w:tcW w:w="0" w:type="auto"/>
            <w:tcBorders>
              <w:top w:val="single" w:sz="6" w:space="0" w:color="E6E6E6"/>
              <w:left w:val="single" w:sz="6" w:space="0" w:color="E6E6E6"/>
              <w:bottom w:val="single" w:sz="6" w:space="0" w:color="E6E6E6"/>
              <w:right w:val="single" w:sz="6" w:space="0" w:color="E6E6E6"/>
            </w:tcBorders>
            <w:shd w:val="clear" w:color="auto" w:fill="F5F5F5"/>
            <w:vAlign w:val="center"/>
            <w:hideMark/>
          </w:tcPr>
          <w:p w14:paraId="7A522CDE" w14:textId="77777777" w:rsidR="00E3584C" w:rsidRPr="00E3584C" w:rsidRDefault="00E3584C" w:rsidP="00E3584C">
            <w:pPr>
              <w:rPr>
                <w:rFonts w:ascii="Calibri" w:hAnsi="Calibri" w:cs="Calibri"/>
                <w:b/>
                <w:bCs/>
              </w:rPr>
            </w:pPr>
            <w:r w:rsidRPr="00E3584C">
              <w:rPr>
                <w:rFonts w:ascii="Calibri" w:hAnsi="Calibri" w:cs="Calibri"/>
                <w:b/>
                <w:bCs/>
              </w:rPr>
              <w:t>Political</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3D903D68" w14:textId="77777777" w:rsidR="00E3584C" w:rsidRPr="00E3584C" w:rsidRDefault="00E3584C" w:rsidP="00E3584C">
            <w:pPr>
              <w:rPr>
                <w:rFonts w:ascii="Calibri" w:hAnsi="Calibri" w:cs="Calibri"/>
              </w:rPr>
            </w:pPr>
            <w:r w:rsidRPr="00E3584C">
              <w:rPr>
                <w:rFonts w:ascii="Calibri" w:hAnsi="Calibri" w:cs="Calibri"/>
              </w:rPr>
              <w:t xml:space="preserve">• NHS workforce policies influence staffing levels, workload, and support available for developmental activities. </w:t>
            </w:r>
            <w:r w:rsidRPr="00E3584C">
              <w:rPr>
                <w:rFonts w:ascii="Calibri" w:hAnsi="Calibri" w:cs="Calibri"/>
              </w:rPr>
              <w:br/>
              <w:t>• Government and Welsh/UK policy pressure to improve retention and staff wellbeing increases emphasis on coaching/mentoring as developmental tools.</w:t>
            </w:r>
          </w:p>
        </w:tc>
      </w:tr>
      <w:tr w:rsidR="00E3584C" w:rsidRPr="00E3584C" w14:paraId="37D693FB" w14:textId="77777777">
        <w:trPr>
          <w:tblCellSpacing w:w="15" w:type="dxa"/>
        </w:trPr>
        <w:tc>
          <w:tcPr>
            <w:tcW w:w="0" w:type="auto"/>
            <w:tcBorders>
              <w:top w:val="single" w:sz="6" w:space="0" w:color="E6E6E6"/>
              <w:left w:val="single" w:sz="6" w:space="0" w:color="E6E6E6"/>
              <w:bottom w:val="single" w:sz="6" w:space="0" w:color="E6E6E6"/>
              <w:right w:val="single" w:sz="6" w:space="0" w:color="E6E6E6"/>
            </w:tcBorders>
            <w:shd w:val="clear" w:color="auto" w:fill="F5F5F5"/>
            <w:vAlign w:val="center"/>
            <w:hideMark/>
          </w:tcPr>
          <w:p w14:paraId="7FFA42EF" w14:textId="77777777" w:rsidR="00E3584C" w:rsidRPr="00E3584C" w:rsidRDefault="00E3584C" w:rsidP="00E3584C">
            <w:pPr>
              <w:rPr>
                <w:rFonts w:ascii="Calibri" w:hAnsi="Calibri" w:cs="Calibri"/>
                <w:b/>
                <w:bCs/>
              </w:rPr>
            </w:pPr>
            <w:r w:rsidRPr="00E3584C">
              <w:rPr>
                <w:rFonts w:ascii="Calibri" w:hAnsi="Calibri" w:cs="Calibri"/>
                <w:b/>
                <w:bCs/>
              </w:rPr>
              <w:t>Economic</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3EE6D06C" w14:textId="77777777" w:rsidR="00E3584C" w:rsidRPr="00E3584C" w:rsidRDefault="00E3584C" w:rsidP="00E3584C">
            <w:pPr>
              <w:rPr>
                <w:rFonts w:ascii="Calibri" w:hAnsi="Calibri" w:cs="Calibri"/>
              </w:rPr>
            </w:pPr>
            <w:r w:rsidRPr="00E3584C">
              <w:rPr>
                <w:rFonts w:ascii="Calibri" w:hAnsi="Calibri" w:cs="Calibri"/>
              </w:rPr>
              <w:t xml:space="preserve">• Budget constraints and financial pressures limit time and resources for structured mentoring/coaching. </w:t>
            </w:r>
            <w:r w:rsidRPr="00E3584C">
              <w:rPr>
                <w:rFonts w:ascii="Calibri" w:hAnsi="Calibri" w:cs="Calibri"/>
              </w:rPr>
              <w:br/>
              <w:t>• Skill</w:t>
            </w:r>
            <w:r w:rsidRPr="00E3584C">
              <w:rPr>
                <w:rFonts w:ascii="Calibri" w:hAnsi="Calibri" w:cs="Calibri"/>
              </w:rPr>
              <w:noBreakHyphen/>
              <w:t>mix issues and shortages increase the need for rapid development of new staff through supportive interventions.</w:t>
            </w:r>
          </w:p>
        </w:tc>
      </w:tr>
      <w:tr w:rsidR="00E3584C" w:rsidRPr="00E3584C" w14:paraId="4358C32F" w14:textId="77777777">
        <w:trPr>
          <w:tblCellSpacing w:w="15" w:type="dxa"/>
        </w:trPr>
        <w:tc>
          <w:tcPr>
            <w:tcW w:w="0" w:type="auto"/>
            <w:tcBorders>
              <w:top w:val="single" w:sz="6" w:space="0" w:color="E6E6E6"/>
              <w:left w:val="single" w:sz="6" w:space="0" w:color="E6E6E6"/>
              <w:bottom w:val="single" w:sz="6" w:space="0" w:color="E6E6E6"/>
              <w:right w:val="single" w:sz="6" w:space="0" w:color="E6E6E6"/>
            </w:tcBorders>
            <w:shd w:val="clear" w:color="auto" w:fill="F5F5F5"/>
            <w:vAlign w:val="center"/>
            <w:hideMark/>
          </w:tcPr>
          <w:p w14:paraId="3DF7C85E" w14:textId="77777777" w:rsidR="00E3584C" w:rsidRPr="00E3584C" w:rsidRDefault="00E3584C" w:rsidP="00E3584C">
            <w:pPr>
              <w:rPr>
                <w:rFonts w:ascii="Calibri" w:hAnsi="Calibri" w:cs="Calibri"/>
                <w:b/>
                <w:bCs/>
              </w:rPr>
            </w:pPr>
            <w:r w:rsidRPr="00E3584C">
              <w:rPr>
                <w:rFonts w:ascii="Calibri" w:hAnsi="Calibri" w:cs="Calibri"/>
                <w:b/>
                <w:bCs/>
              </w:rPr>
              <w:t>Social</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65CEA33A" w14:textId="609938FD" w:rsidR="00E3584C" w:rsidRPr="00E3584C" w:rsidRDefault="00E3584C" w:rsidP="00E3584C">
            <w:pPr>
              <w:rPr>
                <w:rFonts w:ascii="Calibri" w:hAnsi="Calibri" w:cs="Calibri"/>
              </w:rPr>
            </w:pPr>
            <w:r w:rsidRPr="00E3584C">
              <w:rPr>
                <w:rFonts w:ascii="Calibri" w:hAnsi="Calibri" w:cs="Calibri"/>
              </w:rPr>
              <w:t xml:space="preserve">• Rising patient </w:t>
            </w:r>
            <w:r w:rsidR="00C31C27">
              <w:rPr>
                <w:rFonts w:ascii="Calibri" w:hAnsi="Calibri" w:cs="Calibri"/>
              </w:rPr>
              <w:t>severity</w:t>
            </w:r>
            <w:r w:rsidRPr="00E3584C">
              <w:rPr>
                <w:rFonts w:ascii="Calibri" w:hAnsi="Calibri" w:cs="Calibri"/>
              </w:rPr>
              <w:t xml:space="preserve"> and complex care needs increase pressure on staff, heightening the importance of emotional support, resilience-building, and reflective practice. </w:t>
            </w:r>
            <w:r w:rsidRPr="00E3584C">
              <w:rPr>
                <w:rFonts w:ascii="Calibri" w:hAnsi="Calibri" w:cs="Calibri"/>
              </w:rPr>
              <w:br/>
              <w:t>• Generational workforce differences encourage personalised developmental approaches (e.g., structured mentorship for newly qualified staff).</w:t>
            </w:r>
          </w:p>
        </w:tc>
      </w:tr>
      <w:tr w:rsidR="00E3584C" w:rsidRPr="00E3584C" w14:paraId="75836098" w14:textId="77777777">
        <w:trPr>
          <w:tblCellSpacing w:w="15" w:type="dxa"/>
        </w:trPr>
        <w:tc>
          <w:tcPr>
            <w:tcW w:w="0" w:type="auto"/>
            <w:tcBorders>
              <w:top w:val="single" w:sz="6" w:space="0" w:color="E6E6E6"/>
              <w:left w:val="single" w:sz="6" w:space="0" w:color="E6E6E6"/>
              <w:bottom w:val="single" w:sz="6" w:space="0" w:color="E6E6E6"/>
              <w:right w:val="single" w:sz="6" w:space="0" w:color="E6E6E6"/>
            </w:tcBorders>
            <w:shd w:val="clear" w:color="auto" w:fill="F5F5F5"/>
            <w:vAlign w:val="center"/>
            <w:hideMark/>
          </w:tcPr>
          <w:p w14:paraId="3F44B71E" w14:textId="77777777" w:rsidR="00E3584C" w:rsidRPr="00E3584C" w:rsidRDefault="00E3584C" w:rsidP="00E3584C">
            <w:pPr>
              <w:rPr>
                <w:rFonts w:ascii="Calibri" w:hAnsi="Calibri" w:cs="Calibri"/>
                <w:b/>
                <w:bCs/>
              </w:rPr>
            </w:pPr>
            <w:r w:rsidRPr="00E3584C">
              <w:rPr>
                <w:rFonts w:ascii="Calibri" w:hAnsi="Calibri" w:cs="Calibri"/>
                <w:b/>
                <w:bCs/>
              </w:rPr>
              <w:t>Technological</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4A31D9F5" w14:textId="25BEF99D" w:rsidR="00E3584C" w:rsidRPr="00E3584C" w:rsidRDefault="00E3584C" w:rsidP="00E3584C">
            <w:pPr>
              <w:rPr>
                <w:rFonts w:ascii="Calibri" w:hAnsi="Calibri" w:cs="Calibri"/>
              </w:rPr>
            </w:pPr>
            <w:r w:rsidRPr="00E3584C">
              <w:rPr>
                <w:rFonts w:ascii="Calibri" w:hAnsi="Calibri" w:cs="Calibri"/>
              </w:rPr>
              <w:t>• Increasing digital systems (EHRs, electronic handover tools) require continuous learning</w:t>
            </w:r>
            <w:r w:rsidR="005A2935">
              <w:rPr>
                <w:rFonts w:ascii="Calibri" w:hAnsi="Calibri" w:cs="Calibri"/>
              </w:rPr>
              <w:t>,</w:t>
            </w:r>
            <w:r w:rsidRPr="00E3584C">
              <w:rPr>
                <w:rFonts w:ascii="Calibri" w:hAnsi="Calibri" w:cs="Calibri"/>
              </w:rPr>
              <w:t xml:space="preserve"> coaching used to support skill development. </w:t>
            </w:r>
            <w:r w:rsidRPr="00E3584C">
              <w:rPr>
                <w:rFonts w:ascii="Calibri" w:hAnsi="Calibri" w:cs="Calibri"/>
              </w:rPr>
              <w:br/>
              <w:t>• Technology-enabled learning platforms support remote coaching/mentoring.</w:t>
            </w:r>
          </w:p>
        </w:tc>
      </w:tr>
      <w:tr w:rsidR="00E3584C" w:rsidRPr="00E3584C" w14:paraId="73790A9F" w14:textId="77777777">
        <w:trPr>
          <w:tblCellSpacing w:w="15" w:type="dxa"/>
        </w:trPr>
        <w:tc>
          <w:tcPr>
            <w:tcW w:w="0" w:type="auto"/>
            <w:tcBorders>
              <w:top w:val="single" w:sz="6" w:space="0" w:color="E6E6E6"/>
              <w:left w:val="single" w:sz="6" w:space="0" w:color="E6E6E6"/>
              <w:bottom w:val="single" w:sz="6" w:space="0" w:color="E6E6E6"/>
              <w:right w:val="single" w:sz="6" w:space="0" w:color="E6E6E6"/>
            </w:tcBorders>
            <w:shd w:val="clear" w:color="auto" w:fill="F5F5F5"/>
            <w:vAlign w:val="center"/>
            <w:hideMark/>
          </w:tcPr>
          <w:p w14:paraId="4C1DAA31" w14:textId="77777777" w:rsidR="00E3584C" w:rsidRPr="00E3584C" w:rsidRDefault="00E3584C" w:rsidP="00E3584C">
            <w:pPr>
              <w:rPr>
                <w:rFonts w:ascii="Calibri" w:hAnsi="Calibri" w:cs="Calibri"/>
                <w:b/>
                <w:bCs/>
              </w:rPr>
            </w:pPr>
            <w:r w:rsidRPr="00E3584C">
              <w:rPr>
                <w:rFonts w:ascii="Calibri" w:hAnsi="Calibri" w:cs="Calibri"/>
                <w:b/>
                <w:bCs/>
              </w:rPr>
              <w:t>Legal</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2917071F" w14:textId="0A9BFC55" w:rsidR="00E3584C" w:rsidRPr="00E3584C" w:rsidRDefault="00E3584C" w:rsidP="00E3584C">
            <w:pPr>
              <w:rPr>
                <w:rFonts w:ascii="Calibri" w:hAnsi="Calibri" w:cs="Calibri"/>
              </w:rPr>
            </w:pPr>
            <w:r w:rsidRPr="00E3584C">
              <w:rPr>
                <w:rFonts w:ascii="Calibri" w:hAnsi="Calibri" w:cs="Calibri"/>
              </w:rPr>
              <w:t xml:space="preserve">• Patient safety requirements and professional accountability (e.g., NMC standards) demand competent, well-supported staff. </w:t>
            </w:r>
            <w:r w:rsidRPr="00E3584C">
              <w:rPr>
                <w:rFonts w:ascii="Calibri" w:hAnsi="Calibri" w:cs="Calibri"/>
              </w:rPr>
              <w:br/>
              <w:t>• Duty</w:t>
            </w:r>
            <w:r w:rsidR="005A2935">
              <w:rPr>
                <w:rFonts w:ascii="Calibri" w:hAnsi="Calibri" w:cs="Calibri"/>
              </w:rPr>
              <w:t xml:space="preserve"> </w:t>
            </w:r>
            <w:r w:rsidRPr="00E3584C">
              <w:rPr>
                <w:rFonts w:ascii="Calibri" w:hAnsi="Calibri" w:cs="Calibri"/>
              </w:rPr>
              <w:t>of</w:t>
            </w:r>
            <w:r w:rsidR="005A2935">
              <w:rPr>
                <w:rFonts w:ascii="Calibri" w:hAnsi="Calibri" w:cs="Calibri"/>
              </w:rPr>
              <w:t xml:space="preserve"> </w:t>
            </w:r>
            <w:r w:rsidRPr="00E3584C">
              <w:rPr>
                <w:rFonts w:ascii="Calibri" w:hAnsi="Calibri" w:cs="Calibri"/>
              </w:rPr>
              <w:t>care requirements influence the need for clear boundaries, confidentiality, and ethical mentoring/coaching practice.</w:t>
            </w:r>
          </w:p>
        </w:tc>
      </w:tr>
      <w:tr w:rsidR="00E3584C" w:rsidRPr="00E3584C" w14:paraId="49F5CF66" w14:textId="77777777">
        <w:trPr>
          <w:tblCellSpacing w:w="15" w:type="dxa"/>
        </w:trPr>
        <w:tc>
          <w:tcPr>
            <w:tcW w:w="0" w:type="auto"/>
            <w:tcBorders>
              <w:top w:val="single" w:sz="6" w:space="0" w:color="E6E6E6"/>
              <w:left w:val="single" w:sz="6" w:space="0" w:color="E6E6E6"/>
              <w:bottom w:val="single" w:sz="6" w:space="0" w:color="E6E6E6"/>
              <w:right w:val="single" w:sz="6" w:space="0" w:color="E6E6E6"/>
            </w:tcBorders>
            <w:shd w:val="clear" w:color="auto" w:fill="F5F5F5"/>
            <w:vAlign w:val="center"/>
            <w:hideMark/>
          </w:tcPr>
          <w:p w14:paraId="05997837" w14:textId="77777777" w:rsidR="00E3584C" w:rsidRPr="00E3584C" w:rsidRDefault="00E3584C" w:rsidP="00E3584C">
            <w:pPr>
              <w:rPr>
                <w:rFonts w:ascii="Calibri" w:hAnsi="Calibri" w:cs="Calibri"/>
                <w:b/>
                <w:bCs/>
              </w:rPr>
            </w:pPr>
            <w:r w:rsidRPr="00E3584C">
              <w:rPr>
                <w:rFonts w:ascii="Calibri" w:hAnsi="Calibri" w:cs="Calibri"/>
                <w:b/>
                <w:bCs/>
              </w:rPr>
              <w:t>Environmental</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6BA59298" w14:textId="77777777" w:rsidR="00E3584C" w:rsidRPr="00E3584C" w:rsidRDefault="00E3584C" w:rsidP="00E3584C">
            <w:pPr>
              <w:rPr>
                <w:rFonts w:ascii="Calibri" w:hAnsi="Calibri" w:cs="Calibri"/>
              </w:rPr>
            </w:pPr>
            <w:r w:rsidRPr="00E3584C">
              <w:rPr>
                <w:rFonts w:ascii="Calibri" w:hAnsi="Calibri" w:cs="Calibri"/>
              </w:rPr>
              <w:t xml:space="preserve">• High-pressure ward environments limit time for reflective practice. </w:t>
            </w:r>
            <w:r w:rsidRPr="00E3584C">
              <w:rPr>
                <w:rFonts w:ascii="Calibri" w:hAnsi="Calibri" w:cs="Calibri"/>
              </w:rPr>
              <w:br/>
              <w:t>• Fatigue and burnout risk highlight the need for supportive interventions such as coaching and mentoring to improve resilience and wellbeing.</w:t>
            </w:r>
          </w:p>
        </w:tc>
      </w:tr>
    </w:tbl>
    <w:p w14:paraId="41D660A8" w14:textId="5846EE36" w:rsidR="002F3B19" w:rsidRDefault="002F3B19">
      <w:r>
        <w:br w:type="page"/>
      </w:r>
    </w:p>
    <w:p w14:paraId="342D7E03" w14:textId="730DA200" w:rsidR="002F3B19" w:rsidRDefault="002F3B19" w:rsidP="002F3B19">
      <w:pPr>
        <w:pStyle w:val="Heading2"/>
        <w:rPr>
          <w:rFonts w:ascii="Calibri" w:hAnsi="Calibri" w:cs="Calibri"/>
        </w:rPr>
      </w:pPr>
      <w:bookmarkStart w:id="18" w:name="_Appendix_B"/>
      <w:bookmarkStart w:id="19" w:name="_Toc224731605"/>
      <w:bookmarkEnd w:id="18"/>
      <w:r w:rsidRPr="002F3B19">
        <w:rPr>
          <w:rFonts w:ascii="Calibri" w:hAnsi="Calibri" w:cs="Calibri"/>
        </w:rPr>
        <w:lastRenderedPageBreak/>
        <w:t>Appendix B</w:t>
      </w:r>
      <w:bookmarkEnd w:id="19"/>
    </w:p>
    <w:tbl>
      <w:tblPr>
        <w:tblStyle w:val="PlainTable1"/>
        <w:tblW w:w="0" w:type="auto"/>
        <w:tblLook w:val="04A0" w:firstRow="1" w:lastRow="0" w:firstColumn="1" w:lastColumn="0" w:noHBand="0" w:noVBand="1"/>
      </w:tblPr>
      <w:tblGrid>
        <w:gridCol w:w="9016"/>
      </w:tblGrid>
      <w:tr w:rsidR="002972E9" w:rsidRPr="00E3584C" w14:paraId="67C04D49" w14:textId="77777777" w:rsidTr="002972E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4278"/>
              <w:gridCol w:w="4506"/>
            </w:tblGrid>
            <w:tr w:rsidR="002972E9" w:rsidRPr="00E3584C" w14:paraId="11DB7DDA" w14:textId="77777777" w:rsidTr="002972E9">
              <w:trPr>
                <w:tblCellSpacing w:w="15" w:type="dxa"/>
              </w:trPr>
              <w:tc>
                <w:tcPr>
                  <w:tcW w:w="4233" w:type="dxa"/>
                  <w:tcBorders>
                    <w:top w:val="single" w:sz="6" w:space="0" w:color="E6E6E6"/>
                    <w:left w:val="single" w:sz="6" w:space="0" w:color="E6E6E6"/>
                    <w:bottom w:val="single" w:sz="6" w:space="0" w:color="E6E6E6"/>
                    <w:right w:val="single" w:sz="6" w:space="0" w:color="E6E6E6"/>
                  </w:tcBorders>
                  <w:shd w:val="clear" w:color="auto" w:fill="F5F5F5"/>
                  <w:vAlign w:val="center"/>
                  <w:hideMark/>
                </w:tcPr>
                <w:p w14:paraId="676FD4BE" w14:textId="77777777" w:rsidR="002972E9" w:rsidRPr="00E3584C" w:rsidRDefault="002972E9" w:rsidP="00ED0E4A">
                  <w:pPr>
                    <w:rPr>
                      <w:rFonts w:ascii="Calibri" w:hAnsi="Calibri" w:cs="Calibri"/>
                      <w:b/>
                      <w:bCs/>
                    </w:rPr>
                  </w:pPr>
                  <w:r w:rsidRPr="00E3584C">
                    <w:rPr>
                      <w:rFonts w:ascii="Calibri" w:hAnsi="Calibri" w:cs="Calibri"/>
                      <w:b/>
                      <w:bCs/>
                    </w:rPr>
                    <w:t>Strengths</w:t>
                  </w:r>
                </w:p>
              </w:tc>
              <w:tc>
                <w:tcPr>
                  <w:tcW w:w="4461" w:type="dxa"/>
                  <w:tcBorders>
                    <w:top w:val="single" w:sz="6" w:space="0" w:color="E6E6E6"/>
                    <w:left w:val="single" w:sz="6" w:space="0" w:color="E6E6E6"/>
                    <w:bottom w:val="single" w:sz="6" w:space="0" w:color="E6E6E6"/>
                    <w:right w:val="single" w:sz="6" w:space="0" w:color="E6E6E6"/>
                  </w:tcBorders>
                  <w:shd w:val="clear" w:color="auto" w:fill="F5F5F5"/>
                  <w:vAlign w:val="center"/>
                  <w:hideMark/>
                </w:tcPr>
                <w:p w14:paraId="484172BC" w14:textId="77777777" w:rsidR="002972E9" w:rsidRPr="00E3584C" w:rsidRDefault="002972E9" w:rsidP="00ED0E4A">
                  <w:pPr>
                    <w:rPr>
                      <w:rFonts w:ascii="Calibri" w:hAnsi="Calibri" w:cs="Calibri"/>
                      <w:b/>
                      <w:bCs/>
                    </w:rPr>
                  </w:pPr>
                  <w:r w:rsidRPr="00E3584C">
                    <w:rPr>
                      <w:rFonts w:ascii="Calibri" w:hAnsi="Calibri" w:cs="Calibri"/>
                      <w:b/>
                      <w:bCs/>
                    </w:rPr>
                    <w:t>Weaknesses</w:t>
                  </w:r>
                </w:p>
              </w:tc>
            </w:tr>
            <w:tr w:rsidR="002972E9" w:rsidRPr="00E3584C" w14:paraId="0B781965" w14:textId="77777777" w:rsidTr="002972E9">
              <w:trPr>
                <w:tblCellSpacing w:w="15" w:type="dxa"/>
              </w:trPr>
              <w:tc>
                <w:tcPr>
                  <w:tcW w:w="4233" w:type="dxa"/>
                  <w:tcBorders>
                    <w:top w:val="single" w:sz="6" w:space="0" w:color="E6E6E6"/>
                    <w:left w:val="single" w:sz="6" w:space="0" w:color="E6E6E6"/>
                    <w:bottom w:val="single" w:sz="6" w:space="0" w:color="E6E6E6"/>
                    <w:right w:val="single" w:sz="6" w:space="0" w:color="E6E6E6"/>
                  </w:tcBorders>
                  <w:vAlign w:val="center"/>
                  <w:hideMark/>
                </w:tcPr>
                <w:p w14:paraId="2C77C8B9" w14:textId="77777777" w:rsidR="002972E9" w:rsidRPr="00E3584C" w:rsidRDefault="002972E9" w:rsidP="00ED0E4A">
                  <w:pPr>
                    <w:rPr>
                      <w:rFonts w:ascii="Calibri" w:hAnsi="Calibri" w:cs="Calibri"/>
                    </w:rPr>
                  </w:pPr>
                  <w:r w:rsidRPr="00E3584C">
                    <w:rPr>
                      <w:rFonts w:ascii="Calibri" w:hAnsi="Calibri" w:cs="Calibri"/>
                    </w:rPr>
                    <w:t xml:space="preserve">• Enhances clinical competence, critical thinking, and staff confidence. </w:t>
                  </w:r>
                  <w:r w:rsidRPr="00E3584C">
                    <w:rPr>
                      <w:rFonts w:ascii="Calibri" w:hAnsi="Calibri" w:cs="Calibri"/>
                    </w:rPr>
                    <w:br/>
                    <w:t>• Supports newly qualified nurses transitioning to high</w:t>
                  </w:r>
                  <w:r w:rsidRPr="00E3584C">
                    <w:rPr>
                      <w:rFonts w:ascii="Calibri" w:hAnsi="Calibri" w:cs="Calibri"/>
                    </w:rPr>
                    <w:noBreakHyphen/>
                    <w:t xml:space="preserve">pressure environments. </w:t>
                  </w:r>
                  <w:r w:rsidRPr="00E3584C">
                    <w:rPr>
                      <w:rFonts w:ascii="Calibri" w:hAnsi="Calibri" w:cs="Calibri"/>
                    </w:rPr>
                    <w:br/>
                    <w:t xml:space="preserve">• Aligns with NHS goals around staff retention and wellbeing. </w:t>
                  </w:r>
                  <w:r w:rsidRPr="00E3584C">
                    <w:rPr>
                      <w:rFonts w:ascii="Calibri" w:hAnsi="Calibri" w:cs="Calibri"/>
                    </w:rPr>
                    <w:br/>
                    <w:t>• Encourages reflective practice and leadership development.</w:t>
                  </w:r>
                </w:p>
              </w:tc>
              <w:tc>
                <w:tcPr>
                  <w:tcW w:w="4461" w:type="dxa"/>
                  <w:tcBorders>
                    <w:top w:val="single" w:sz="6" w:space="0" w:color="E6E6E6"/>
                    <w:left w:val="single" w:sz="6" w:space="0" w:color="E6E6E6"/>
                    <w:bottom w:val="single" w:sz="6" w:space="0" w:color="E6E6E6"/>
                    <w:right w:val="single" w:sz="6" w:space="0" w:color="E6E6E6"/>
                  </w:tcBorders>
                  <w:vAlign w:val="center"/>
                  <w:hideMark/>
                </w:tcPr>
                <w:p w14:paraId="0A5C2159" w14:textId="77777777" w:rsidR="002972E9" w:rsidRPr="00E3584C" w:rsidRDefault="002972E9" w:rsidP="00ED0E4A">
                  <w:pPr>
                    <w:rPr>
                      <w:rFonts w:ascii="Calibri" w:hAnsi="Calibri" w:cs="Calibri"/>
                    </w:rPr>
                  </w:pPr>
                  <w:r w:rsidRPr="00E3584C">
                    <w:rPr>
                      <w:rFonts w:ascii="Calibri" w:hAnsi="Calibri" w:cs="Calibri"/>
                    </w:rPr>
                    <w:t>• Limited time and staffing pressures reduce opportunities for high</w:t>
                  </w:r>
                  <w:r w:rsidRPr="00E3584C">
                    <w:rPr>
                      <w:rFonts w:ascii="Calibri" w:hAnsi="Calibri" w:cs="Calibri"/>
                    </w:rPr>
                    <w:noBreakHyphen/>
                    <w:t xml:space="preserve">quality mentoring/coaching. </w:t>
                  </w:r>
                  <w:r w:rsidRPr="00E3584C">
                    <w:rPr>
                      <w:rFonts w:ascii="Calibri" w:hAnsi="Calibri" w:cs="Calibri"/>
                    </w:rPr>
                    <w:br/>
                    <w:t xml:space="preserve">• Role confusion between coaching, mentoring, and supervision reduces effectiveness. </w:t>
                  </w:r>
                  <w:r w:rsidRPr="00E3584C">
                    <w:rPr>
                      <w:rFonts w:ascii="Calibri" w:hAnsi="Calibri" w:cs="Calibri"/>
                    </w:rPr>
                    <w:br/>
                    <w:t xml:space="preserve">• Newly qualified staff may find non-directive coaching challenging without adequate guidance. </w:t>
                  </w:r>
                  <w:r w:rsidRPr="00E3584C">
                    <w:rPr>
                      <w:rFonts w:ascii="Calibri" w:hAnsi="Calibri" w:cs="Calibri"/>
                    </w:rPr>
                    <w:br/>
                    <w:t>• Over</w:t>
                  </w:r>
                  <w:r w:rsidRPr="00E3584C">
                    <w:rPr>
                      <w:rFonts w:ascii="Calibri" w:hAnsi="Calibri" w:cs="Calibri"/>
                    </w:rPr>
                    <w:noBreakHyphen/>
                    <w:t>reliance on mentors can hinder independent decision</w:t>
                  </w:r>
                  <w:r w:rsidRPr="00E3584C">
                    <w:rPr>
                      <w:rFonts w:ascii="Calibri" w:hAnsi="Calibri" w:cs="Calibri"/>
                    </w:rPr>
                    <w:noBreakHyphen/>
                    <w:t>making.</w:t>
                  </w:r>
                </w:p>
              </w:tc>
            </w:tr>
          </w:tbl>
          <w:p w14:paraId="1972E4CD" w14:textId="77777777" w:rsidR="002972E9" w:rsidRPr="005A2935" w:rsidRDefault="002972E9" w:rsidP="00ED0E4A">
            <w:pPr>
              <w:rPr>
                <w:rFonts w:ascii="Calibri" w:hAnsi="Calibri" w:cs="Calibri"/>
                <w:vanish/>
              </w:rPr>
            </w:pPr>
          </w:p>
        </w:tc>
      </w:tr>
      <w:tr w:rsidR="002972E9" w14:paraId="00471C8B" w14:textId="77777777" w:rsidTr="002972E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4227"/>
              <w:gridCol w:w="4557"/>
            </w:tblGrid>
            <w:tr w:rsidR="002972E9" w:rsidRPr="00E3584C" w14:paraId="733D1770" w14:textId="77777777" w:rsidTr="00ED0E4A">
              <w:trPr>
                <w:tblCellSpacing w:w="15" w:type="dxa"/>
              </w:trPr>
              <w:tc>
                <w:tcPr>
                  <w:tcW w:w="0" w:type="auto"/>
                  <w:tcBorders>
                    <w:top w:val="single" w:sz="6" w:space="0" w:color="E6E6E6"/>
                    <w:left w:val="single" w:sz="6" w:space="0" w:color="E6E6E6"/>
                    <w:bottom w:val="single" w:sz="6" w:space="0" w:color="E6E6E6"/>
                    <w:right w:val="single" w:sz="6" w:space="0" w:color="E6E6E6"/>
                  </w:tcBorders>
                  <w:shd w:val="clear" w:color="auto" w:fill="F5F5F5"/>
                  <w:vAlign w:val="center"/>
                  <w:hideMark/>
                </w:tcPr>
                <w:p w14:paraId="5761C7EE" w14:textId="77777777" w:rsidR="002972E9" w:rsidRPr="00E3584C" w:rsidRDefault="002972E9" w:rsidP="00ED0E4A">
                  <w:pPr>
                    <w:rPr>
                      <w:rFonts w:ascii="Calibri" w:hAnsi="Calibri" w:cs="Calibri"/>
                      <w:b/>
                      <w:bCs/>
                    </w:rPr>
                  </w:pPr>
                  <w:r w:rsidRPr="00E3584C">
                    <w:rPr>
                      <w:rFonts w:ascii="Calibri" w:hAnsi="Calibri" w:cs="Calibri"/>
                      <w:b/>
                      <w:bCs/>
                    </w:rPr>
                    <w:t>Opportunities</w:t>
                  </w:r>
                </w:p>
              </w:tc>
              <w:tc>
                <w:tcPr>
                  <w:tcW w:w="0" w:type="auto"/>
                  <w:tcBorders>
                    <w:top w:val="single" w:sz="6" w:space="0" w:color="E6E6E6"/>
                    <w:left w:val="single" w:sz="6" w:space="0" w:color="E6E6E6"/>
                    <w:bottom w:val="single" w:sz="6" w:space="0" w:color="E6E6E6"/>
                    <w:right w:val="single" w:sz="6" w:space="0" w:color="E6E6E6"/>
                  </w:tcBorders>
                  <w:shd w:val="clear" w:color="auto" w:fill="F5F5F5"/>
                  <w:vAlign w:val="center"/>
                  <w:hideMark/>
                </w:tcPr>
                <w:p w14:paraId="5D3FCA34" w14:textId="77777777" w:rsidR="002972E9" w:rsidRPr="00E3584C" w:rsidRDefault="002972E9" w:rsidP="00ED0E4A">
                  <w:pPr>
                    <w:rPr>
                      <w:rFonts w:ascii="Calibri" w:hAnsi="Calibri" w:cs="Calibri"/>
                      <w:b/>
                      <w:bCs/>
                    </w:rPr>
                  </w:pPr>
                  <w:r w:rsidRPr="00E3584C">
                    <w:rPr>
                      <w:rFonts w:ascii="Calibri" w:hAnsi="Calibri" w:cs="Calibri"/>
                      <w:b/>
                      <w:bCs/>
                    </w:rPr>
                    <w:t>Threats</w:t>
                  </w:r>
                </w:p>
              </w:tc>
            </w:tr>
            <w:tr w:rsidR="002972E9" w:rsidRPr="00E3584C" w14:paraId="733E3256" w14:textId="77777777" w:rsidTr="00ED0E4A">
              <w:trPr>
                <w:tblCellSpacing w:w="15" w:type="dxa"/>
              </w:trPr>
              <w:tc>
                <w:tcPr>
                  <w:tcW w:w="0" w:type="auto"/>
                  <w:tcBorders>
                    <w:top w:val="single" w:sz="6" w:space="0" w:color="E6E6E6"/>
                    <w:left w:val="single" w:sz="6" w:space="0" w:color="E6E6E6"/>
                    <w:bottom w:val="single" w:sz="6" w:space="0" w:color="E6E6E6"/>
                    <w:right w:val="single" w:sz="6" w:space="0" w:color="E6E6E6"/>
                  </w:tcBorders>
                  <w:vAlign w:val="center"/>
                  <w:hideMark/>
                </w:tcPr>
                <w:p w14:paraId="09B908C5" w14:textId="6B51976A" w:rsidR="002972E9" w:rsidRPr="00E3584C" w:rsidRDefault="002972E9" w:rsidP="00ED0E4A">
                  <w:pPr>
                    <w:rPr>
                      <w:rFonts w:ascii="Calibri" w:hAnsi="Calibri" w:cs="Calibri"/>
                    </w:rPr>
                  </w:pPr>
                  <w:r w:rsidRPr="00E3584C">
                    <w:rPr>
                      <w:rFonts w:ascii="Calibri" w:hAnsi="Calibri" w:cs="Calibri"/>
                    </w:rPr>
                    <w:t xml:space="preserve">• Formalised frameworks (e.g. structured coaching programmes) could improve consistency. </w:t>
                  </w:r>
                  <w:r w:rsidRPr="00E3584C">
                    <w:rPr>
                      <w:rFonts w:ascii="Calibri" w:hAnsi="Calibri" w:cs="Calibri"/>
                    </w:rPr>
                    <w:br/>
                    <w:t xml:space="preserve">• Integration with organisational learning strategies can strengthen leadership pipelines. </w:t>
                  </w:r>
                  <w:r w:rsidRPr="00E3584C">
                    <w:rPr>
                      <w:rFonts w:ascii="Calibri" w:hAnsi="Calibri" w:cs="Calibri"/>
                    </w:rPr>
                    <w:br/>
                    <w:t>• Improved evaluation systems (e.g. feedback, reflective tools) can enhance programme effectiveness.</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1A922265" w14:textId="77777777" w:rsidR="002972E9" w:rsidRPr="00E3584C" w:rsidRDefault="002972E9" w:rsidP="00ED0E4A">
                  <w:pPr>
                    <w:rPr>
                      <w:rFonts w:ascii="Calibri" w:hAnsi="Calibri" w:cs="Calibri"/>
                    </w:rPr>
                  </w:pPr>
                  <w:r w:rsidRPr="00E3584C">
                    <w:rPr>
                      <w:rFonts w:ascii="Calibri" w:hAnsi="Calibri" w:cs="Calibri"/>
                    </w:rPr>
                    <w:t xml:space="preserve">• Increasing patient demand and workload may deprioritise developmental activities. </w:t>
                  </w:r>
                  <w:r w:rsidRPr="00E3584C">
                    <w:rPr>
                      <w:rFonts w:ascii="Calibri" w:hAnsi="Calibri" w:cs="Calibri"/>
                    </w:rPr>
                    <w:br/>
                    <w:t xml:space="preserve">• High turnover disrupts continuity of mentoring relationships. </w:t>
                  </w:r>
                  <w:r w:rsidRPr="00E3584C">
                    <w:rPr>
                      <w:rFonts w:ascii="Calibri" w:hAnsi="Calibri" w:cs="Calibri"/>
                    </w:rPr>
                    <w:br/>
                    <w:t xml:space="preserve">• Lack of organisational clarity may lead to inappropriate application of coaching/mentoring methods. </w:t>
                  </w:r>
                  <w:r w:rsidRPr="00E3584C">
                    <w:rPr>
                      <w:rFonts w:ascii="Calibri" w:hAnsi="Calibri" w:cs="Calibri"/>
                    </w:rPr>
                    <w:br/>
                    <w:t>• Structural constraints (shift patterns, limited supervision) reduce long-term impact.</w:t>
                  </w:r>
                </w:p>
              </w:tc>
            </w:tr>
          </w:tbl>
          <w:p w14:paraId="341E0F8B" w14:textId="77777777" w:rsidR="002972E9" w:rsidRPr="005A2935" w:rsidRDefault="002972E9">
            <w:pPr>
              <w:rPr>
                <w:rFonts w:ascii="Calibri" w:hAnsi="Calibri" w:cs="Calibri"/>
              </w:rPr>
            </w:pPr>
          </w:p>
        </w:tc>
      </w:tr>
    </w:tbl>
    <w:p w14:paraId="69F03C2C" w14:textId="338034BC" w:rsidR="0039299F" w:rsidRDefault="0039299F" w:rsidP="002972E9"/>
    <w:p w14:paraId="5873CD83" w14:textId="77777777" w:rsidR="0039299F" w:rsidRDefault="0039299F">
      <w:r>
        <w:br w:type="page"/>
      </w:r>
    </w:p>
    <w:p w14:paraId="7B3ECE60" w14:textId="5C381A81" w:rsidR="00E3584C" w:rsidRDefault="0039299F" w:rsidP="0039299F">
      <w:pPr>
        <w:pStyle w:val="Heading2"/>
        <w:rPr>
          <w:rFonts w:ascii="Calibri" w:hAnsi="Calibri" w:cs="Calibri"/>
        </w:rPr>
      </w:pPr>
      <w:bookmarkStart w:id="20" w:name="_Appendix_C"/>
      <w:bookmarkStart w:id="21" w:name="_Toc224731606"/>
      <w:bookmarkEnd w:id="20"/>
      <w:r w:rsidRPr="0039299F">
        <w:rPr>
          <w:rFonts w:ascii="Calibri" w:hAnsi="Calibri" w:cs="Calibri"/>
        </w:rPr>
        <w:lastRenderedPageBreak/>
        <w:t>Appendix C</w:t>
      </w:r>
      <w:bookmarkEnd w:id="21"/>
    </w:p>
    <w:p w14:paraId="2A6D47DF" w14:textId="77777777" w:rsidR="00F15676" w:rsidRDefault="00F15676" w:rsidP="00F15676">
      <w:r>
        <w:rPr>
          <w:rFonts w:ascii="Calibri" w:hAnsi="Calibri" w:cs="Calibri"/>
          <w:b/>
          <w:bCs/>
        </w:rPr>
        <w:t>Case Example: Mentoring in a Surgical Ward</w:t>
      </w:r>
      <w:r>
        <w:rPr>
          <w:b/>
          <w:bCs/>
        </w:rPr>
        <w:t xml:space="preserve"> </w:t>
      </w:r>
    </w:p>
    <w:p w14:paraId="3D6B109A" w14:textId="77777777" w:rsidR="00F15676" w:rsidRPr="00F15676" w:rsidRDefault="00F15676" w:rsidP="00F15676">
      <w:pPr>
        <w:rPr>
          <w:rFonts w:ascii="Calibri" w:hAnsi="Calibri" w:cs="Calibri"/>
          <w:color w:val="EE0000"/>
          <w:sz w:val="24"/>
          <w:szCs w:val="24"/>
        </w:rPr>
      </w:pPr>
      <w:r w:rsidRPr="00F15676">
        <w:rPr>
          <w:rFonts w:ascii="Calibri" w:hAnsi="Calibri" w:cs="Calibri"/>
          <w:b/>
          <w:bCs/>
          <w:color w:val="EE0000"/>
          <w:sz w:val="24"/>
          <w:szCs w:val="24"/>
        </w:rPr>
        <w:t>Case Study:</w:t>
      </w:r>
    </w:p>
    <w:p w14:paraId="4F68AE93" w14:textId="77777777" w:rsidR="00F15676" w:rsidRPr="00F15676" w:rsidRDefault="00F15676" w:rsidP="00F15676">
      <w:pPr>
        <w:rPr>
          <w:rFonts w:ascii="Calibri" w:hAnsi="Calibri" w:cs="Calibri"/>
          <w:color w:val="EE0000"/>
          <w:sz w:val="24"/>
          <w:szCs w:val="24"/>
        </w:rPr>
      </w:pPr>
      <w:r w:rsidRPr="00F15676">
        <w:rPr>
          <w:rFonts w:ascii="Calibri" w:hAnsi="Calibri" w:cs="Calibri"/>
          <w:color w:val="EE0000"/>
          <w:sz w:val="24"/>
          <w:szCs w:val="24"/>
        </w:rPr>
        <w:t xml:space="preserve">In a busy NHS surgical ward, a newly qualified nurse, Sarah, joined the team and was paired with an experienced mentor, Alex, as part of her induction. Alex, who held senior responsibilities, was aware of the need to maintain professional boundaries and foster a supportive learning environment, as highlighted by </w:t>
      </w:r>
      <w:proofErr w:type="spellStart"/>
      <w:r w:rsidRPr="00F15676">
        <w:rPr>
          <w:rFonts w:ascii="Calibri" w:hAnsi="Calibri" w:cs="Calibri"/>
          <w:color w:val="EE0000"/>
          <w:sz w:val="24"/>
          <w:szCs w:val="24"/>
        </w:rPr>
        <w:t>Omadeke</w:t>
      </w:r>
      <w:proofErr w:type="spellEnd"/>
      <w:r w:rsidRPr="00F15676">
        <w:rPr>
          <w:rFonts w:ascii="Calibri" w:hAnsi="Calibri" w:cs="Calibri"/>
          <w:color w:val="EE0000"/>
          <w:sz w:val="24"/>
          <w:szCs w:val="24"/>
        </w:rPr>
        <w:t xml:space="preserve"> (2024). From the outset, Alex established clear expectations and explained the limits of his role, ensuring Sarah understood the distinction between mentorship and line management.</w:t>
      </w:r>
    </w:p>
    <w:p w14:paraId="7DFE13F1" w14:textId="77777777" w:rsidR="00F15676" w:rsidRPr="00F15676" w:rsidRDefault="00F15676" w:rsidP="00F15676">
      <w:pPr>
        <w:rPr>
          <w:rFonts w:ascii="Calibri" w:hAnsi="Calibri" w:cs="Calibri"/>
          <w:color w:val="EE0000"/>
          <w:sz w:val="24"/>
          <w:szCs w:val="24"/>
        </w:rPr>
      </w:pPr>
      <w:r w:rsidRPr="00F15676">
        <w:rPr>
          <w:rFonts w:ascii="Calibri" w:hAnsi="Calibri" w:cs="Calibri"/>
          <w:color w:val="EE0000"/>
          <w:sz w:val="24"/>
          <w:szCs w:val="24"/>
        </w:rPr>
        <w:t xml:space="preserve">Alex adopted a developmental perspective, prioritising Sarah’s growth over organisational targets, consistent with Phillips </w:t>
      </w:r>
      <w:r w:rsidRPr="00F15676">
        <w:rPr>
          <w:rFonts w:ascii="Calibri" w:hAnsi="Calibri" w:cs="Calibri"/>
          <w:i/>
          <w:iCs/>
          <w:color w:val="EE0000"/>
          <w:sz w:val="24"/>
          <w:szCs w:val="24"/>
        </w:rPr>
        <w:t>et al.</w:t>
      </w:r>
      <w:r w:rsidRPr="00F15676">
        <w:rPr>
          <w:rFonts w:ascii="Calibri" w:hAnsi="Calibri" w:cs="Calibri"/>
          <w:color w:val="EE0000"/>
          <w:sz w:val="24"/>
          <w:szCs w:val="24"/>
        </w:rPr>
        <w:t xml:space="preserve"> (2024) and Clutterbuck (2014). He encouraged Sarah to openly discuss her anxieties and learning needs, particularly around clinical procedures she lacked confidence in. Alex demonstrated empathy, recognising Sarah’s stress and uncertainty, and provided psychological safety by listening without judgement, as advocated by Prummer </w:t>
      </w:r>
      <w:r w:rsidRPr="00F15676">
        <w:rPr>
          <w:rFonts w:ascii="Calibri" w:hAnsi="Calibri" w:cs="Calibri"/>
          <w:i/>
          <w:iCs/>
          <w:color w:val="EE0000"/>
          <w:sz w:val="24"/>
          <w:szCs w:val="24"/>
        </w:rPr>
        <w:t>et al.</w:t>
      </w:r>
      <w:r w:rsidRPr="00F15676">
        <w:rPr>
          <w:rFonts w:ascii="Calibri" w:hAnsi="Calibri" w:cs="Calibri"/>
          <w:color w:val="EE0000"/>
          <w:sz w:val="24"/>
          <w:szCs w:val="24"/>
        </w:rPr>
        <w:t xml:space="preserve"> (2024) and Hardie </w:t>
      </w:r>
      <w:r w:rsidRPr="00F15676">
        <w:rPr>
          <w:rFonts w:ascii="Calibri" w:hAnsi="Calibri" w:cs="Calibri"/>
          <w:i/>
          <w:iCs/>
          <w:color w:val="EE0000"/>
          <w:sz w:val="24"/>
          <w:szCs w:val="24"/>
        </w:rPr>
        <w:t>et al.</w:t>
      </w:r>
      <w:r w:rsidRPr="00F15676">
        <w:rPr>
          <w:rFonts w:ascii="Calibri" w:hAnsi="Calibri" w:cs="Calibri"/>
          <w:color w:val="EE0000"/>
          <w:sz w:val="24"/>
          <w:szCs w:val="24"/>
        </w:rPr>
        <w:t xml:space="preserve"> (2022).</w:t>
      </w:r>
    </w:p>
    <w:p w14:paraId="174FFCE3" w14:textId="77777777" w:rsidR="00F15676" w:rsidRPr="00F15676" w:rsidRDefault="00F15676" w:rsidP="00F15676">
      <w:pPr>
        <w:rPr>
          <w:rFonts w:ascii="Calibri" w:hAnsi="Calibri" w:cs="Calibri"/>
          <w:color w:val="EE0000"/>
          <w:sz w:val="24"/>
          <w:szCs w:val="24"/>
        </w:rPr>
      </w:pPr>
      <w:r w:rsidRPr="00F15676">
        <w:rPr>
          <w:rFonts w:ascii="Calibri" w:hAnsi="Calibri" w:cs="Calibri"/>
          <w:color w:val="EE0000"/>
          <w:sz w:val="24"/>
          <w:szCs w:val="24"/>
        </w:rPr>
        <w:t xml:space="preserve">During a busy shift, Sarah made a minor error in medication administration. Alex responded with a non-judgemental attitude, facilitating reflective discussion rather than criticism. This approach enabled Sarah to identify areas for improvement and reinforced the value of learning from mistakes, echoing Schon (1959). However, Alex also had to ensure compliance with clinical standards and patient safety, requiring a balance between support and accountability, as noted by </w:t>
      </w:r>
      <w:proofErr w:type="spellStart"/>
      <w:r w:rsidRPr="00F15676">
        <w:rPr>
          <w:rFonts w:ascii="Calibri" w:hAnsi="Calibri" w:cs="Calibri"/>
          <w:color w:val="EE0000"/>
          <w:sz w:val="24"/>
          <w:szCs w:val="24"/>
        </w:rPr>
        <w:t>Omadeke</w:t>
      </w:r>
      <w:proofErr w:type="spellEnd"/>
      <w:r w:rsidRPr="00F15676">
        <w:rPr>
          <w:rFonts w:ascii="Calibri" w:hAnsi="Calibri" w:cs="Calibri"/>
          <w:color w:val="EE0000"/>
          <w:sz w:val="24"/>
          <w:szCs w:val="24"/>
        </w:rPr>
        <w:t xml:space="preserve"> (2024).</w:t>
      </w:r>
    </w:p>
    <w:p w14:paraId="72A55F83" w14:textId="77777777" w:rsidR="00F15676" w:rsidRPr="00F15676" w:rsidRDefault="00F15676" w:rsidP="00F15676">
      <w:pPr>
        <w:rPr>
          <w:rFonts w:ascii="Calibri" w:hAnsi="Calibri" w:cs="Calibri"/>
          <w:color w:val="EE0000"/>
          <w:sz w:val="24"/>
          <w:szCs w:val="24"/>
        </w:rPr>
      </w:pPr>
      <w:r w:rsidRPr="00F15676">
        <w:rPr>
          <w:rFonts w:ascii="Calibri" w:hAnsi="Calibri" w:cs="Calibri"/>
          <w:color w:val="EE0000"/>
          <w:sz w:val="24"/>
          <w:szCs w:val="24"/>
        </w:rPr>
        <w:t xml:space="preserve">Alex’s belief in collaborative learning, aligned with contemporary mentoring theory (Youssef </w:t>
      </w:r>
      <w:proofErr w:type="spellStart"/>
      <w:r w:rsidRPr="00F15676">
        <w:rPr>
          <w:rFonts w:ascii="Calibri" w:hAnsi="Calibri" w:cs="Calibri"/>
          <w:color w:val="EE0000"/>
          <w:sz w:val="24"/>
          <w:szCs w:val="24"/>
        </w:rPr>
        <w:t>Jouali</w:t>
      </w:r>
      <w:proofErr w:type="spellEnd"/>
      <w:r w:rsidRPr="00F15676">
        <w:rPr>
          <w:rFonts w:ascii="Calibri" w:hAnsi="Calibri" w:cs="Calibri"/>
          <w:color w:val="EE0000"/>
          <w:sz w:val="24"/>
          <w:szCs w:val="24"/>
        </w:rPr>
        <w:t xml:space="preserve"> </w:t>
      </w:r>
      <w:r w:rsidRPr="00F15676">
        <w:rPr>
          <w:rFonts w:ascii="Calibri" w:hAnsi="Calibri" w:cs="Calibri"/>
          <w:i/>
          <w:iCs/>
          <w:color w:val="EE0000"/>
          <w:sz w:val="24"/>
          <w:szCs w:val="24"/>
        </w:rPr>
        <w:t>et al.</w:t>
      </w:r>
      <w:r w:rsidRPr="00F15676">
        <w:rPr>
          <w:rFonts w:ascii="Calibri" w:hAnsi="Calibri" w:cs="Calibri"/>
          <w:color w:val="EE0000"/>
          <w:sz w:val="24"/>
          <w:szCs w:val="24"/>
        </w:rPr>
        <w:t>, 2024), led him to involve Sarah in decision-making and encourage her autonomy. He used facilitative questioning and provided feedback that promoted critical thinking, moving beyond traditional knowledge transfer (</w:t>
      </w:r>
      <w:proofErr w:type="spellStart"/>
      <w:r w:rsidRPr="00F15676">
        <w:rPr>
          <w:rFonts w:ascii="Calibri" w:hAnsi="Calibri" w:cs="Calibri"/>
          <w:color w:val="EE0000"/>
          <w:sz w:val="24"/>
          <w:szCs w:val="24"/>
        </w:rPr>
        <w:t>Acas</w:t>
      </w:r>
      <w:proofErr w:type="spellEnd"/>
      <w:r w:rsidRPr="00F15676">
        <w:rPr>
          <w:rFonts w:ascii="Calibri" w:hAnsi="Calibri" w:cs="Calibri"/>
          <w:color w:val="EE0000"/>
          <w:sz w:val="24"/>
          <w:szCs w:val="24"/>
        </w:rPr>
        <w:t>, 2024).</w:t>
      </w:r>
    </w:p>
    <w:p w14:paraId="4D4E16A1" w14:textId="77777777" w:rsidR="00F15676" w:rsidRPr="00F15676" w:rsidRDefault="00F15676" w:rsidP="00F15676">
      <w:pPr>
        <w:rPr>
          <w:rFonts w:ascii="Calibri" w:hAnsi="Calibri" w:cs="Calibri"/>
          <w:color w:val="EE0000"/>
          <w:sz w:val="24"/>
          <w:szCs w:val="24"/>
        </w:rPr>
      </w:pPr>
      <w:r w:rsidRPr="00F15676">
        <w:rPr>
          <w:rFonts w:ascii="Calibri" w:hAnsi="Calibri" w:cs="Calibri"/>
          <w:color w:val="EE0000"/>
          <w:sz w:val="24"/>
          <w:szCs w:val="24"/>
        </w:rPr>
        <w:t>Despite Alex’s competencies, organisational factors posed challenges. Staff shortages and workload pressures limited the time available for mentoring, reflecting issues identified in NHS settings (Department of Health and Social Care, 2024). Alex advocated for protected mentoring time, but organisational constraints often required flexibility and prioritisation.</w:t>
      </w:r>
    </w:p>
    <w:p w14:paraId="47C70A03" w14:textId="77777777" w:rsidR="00F15676" w:rsidRPr="00F15676" w:rsidRDefault="00F15676" w:rsidP="00F15676">
      <w:pPr>
        <w:rPr>
          <w:rFonts w:ascii="Calibri" w:hAnsi="Calibri" w:cs="Calibri"/>
          <w:color w:val="EE0000"/>
          <w:sz w:val="24"/>
          <w:szCs w:val="24"/>
        </w:rPr>
      </w:pPr>
      <w:r w:rsidRPr="00F15676">
        <w:rPr>
          <w:rFonts w:ascii="Calibri" w:hAnsi="Calibri" w:cs="Calibri"/>
          <w:b/>
          <w:bCs/>
          <w:color w:val="EE0000"/>
          <w:sz w:val="24"/>
          <w:szCs w:val="24"/>
        </w:rPr>
        <w:t>Critical Reflection:</w:t>
      </w:r>
    </w:p>
    <w:p w14:paraId="39D7E1AB" w14:textId="77777777" w:rsidR="00F15676" w:rsidRPr="00F15676" w:rsidRDefault="00F15676" w:rsidP="00F15676">
      <w:pPr>
        <w:rPr>
          <w:rFonts w:ascii="Calibri" w:hAnsi="Calibri" w:cs="Calibri"/>
          <w:color w:val="EE0000"/>
          <w:sz w:val="24"/>
          <w:szCs w:val="24"/>
        </w:rPr>
      </w:pPr>
      <w:r w:rsidRPr="00F15676">
        <w:rPr>
          <w:rFonts w:ascii="Calibri" w:hAnsi="Calibri" w:cs="Calibri"/>
          <w:color w:val="EE0000"/>
          <w:sz w:val="24"/>
          <w:szCs w:val="24"/>
        </w:rPr>
        <w:t>This case illustrates the importance of integrating interpersonal skills, developmental attitudes, and learner-centred beliefs in effective mentoring. Alex’s approach supported Sarah’s professional development and confidence, contributing to improved patient care. However, the case also highlights the tension between mentoring ideals and organisational realities. While empathy, non-judgemental support, and collaborative learning were effective, Alex’s ability to demonstrate these was sometimes restricted by external pressures. The outcome suggests that ongoing organisational support is crucial in enabling mentors to fulfil their roles and maximise the benefits for staff and patients alike.</w:t>
      </w:r>
    </w:p>
    <w:p w14:paraId="1BCD34BF" w14:textId="77777777" w:rsidR="00F15676" w:rsidRPr="00F15676" w:rsidRDefault="00F15676" w:rsidP="00F15676"/>
    <w:sectPr w:rsidR="00F15676" w:rsidRPr="00F15676">
      <w:footerReference w:type="default" r:id="rId5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B1AAF52" w14:textId="77777777" w:rsidR="00C31620" w:rsidRDefault="00C31620" w:rsidP="00284CE4">
      <w:pPr>
        <w:spacing w:after="0" w:line="240" w:lineRule="auto"/>
      </w:pPr>
      <w:r>
        <w:separator/>
      </w:r>
    </w:p>
  </w:endnote>
  <w:endnote w:type="continuationSeparator" w:id="0">
    <w:p w14:paraId="0F36BB45" w14:textId="77777777" w:rsidR="00C31620" w:rsidRDefault="00C31620" w:rsidP="00284CE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81994887"/>
      <w:docPartObj>
        <w:docPartGallery w:val="Page Numbers (Bottom of Page)"/>
        <w:docPartUnique/>
      </w:docPartObj>
    </w:sdtPr>
    <w:sdtEndPr/>
    <w:sdtContent>
      <w:p w14:paraId="0DF9B8D1" w14:textId="20B04ADE" w:rsidR="00284CE4" w:rsidRDefault="00284CE4">
        <w:pPr>
          <w:pStyle w:val="Footer"/>
          <w:jc w:val="right"/>
        </w:pPr>
        <w:r>
          <w:fldChar w:fldCharType="begin"/>
        </w:r>
        <w:r>
          <w:instrText>PAGE   \* MERGEFORMAT</w:instrText>
        </w:r>
        <w:r>
          <w:fldChar w:fldCharType="separate"/>
        </w:r>
        <w:r>
          <w:t>2</w:t>
        </w:r>
        <w:r>
          <w:fldChar w:fldCharType="end"/>
        </w:r>
      </w:p>
    </w:sdtContent>
  </w:sdt>
  <w:p w14:paraId="73B89D0E" w14:textId="77777777" w:rsidR="00284CE4" w:rsidRDefault="00284CE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46AB5B1" w14:textId="77777777" w:rsidR="00C31620" w:rsidRDefault="00C31620" w:rsidP="00284CE4">
      <w:pPr>
        <w:spacing w:after="0" w:line="240" w:lineRule="auto"/>
      </w:pPr>
      <w:r>
        <w:separator/>
      </w:r>
    </w:p>
  </w:footnote>
  <w:footnote w:type="continuationSeparator" w:id="0">
    <w:p w14:paraId="0ECF0860" w14:textId="77777777" w:rsidR="00C31620" w:rsidRDefault="00C31620" w:rsidP="00284CE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73D282E"/>
    <w:multiLevelType w:val="multilevel"/>
    <w:tmpl w:val="5CA6E9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1F97EE0"/>
    <w:multiLevelType w:val="multilevel"/>
    <w:tmpl w:val="76D0AB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4E77B7B"/>
    <w:multiLevelType w:val="multilevel"/>
    <w:tmpl w:val="E0722D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A7C0F03"/>
    <w:multiLevelType w:val="multilevel"/>
    <w:tmpl w:val="44E2E8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41668A7"/>
    <w:multiLevelType w:val="multilevel"/>
    <w:tmpl w:val="4B3809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77711C6"/>
    <w:multiLevelType w:val="multilevel"/>
    <w:tmpl w:val="F67465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9006C92"/>
    <w:multiLevelType w:val="multilevel"/>
    <w:tmpl w:val="EC1EFD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3A55346"/>
    <w:multiLevelType w:val="multilevel"/>
    <w:tmpl w:val="D68EB6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C97105C"/>
    <w:multiLevelType w:val="multilevel"/>
    <w:tmpl w:val="AB9AA4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E0961B6"/>
    <w:multiLevelType w:val="multilevel"/>
    <w:tmpl w:val="80303A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EEB52FE"/>
    <w:multiLevelType w:val="multilevel"/>
    <w:tmpl w:val="46B868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5607ED2"/>
    <w:multiLevelType w:val="multilevel"/>
    <w:tmpl w:val="FF1C6C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C3D5CA0"/>
    <w:multiLevelType w:val="multilevel"/>
    <w:tmpl w:val="477A6D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D973C41"/>
    <w:multiLevelType w:val="multilevel"/>
    <w:tmpl w:val="9376811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7AF6944"/>
    <w:multiLevelType w:val="multilevel"/>
    <w:tmpl w:val="2EB073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7B72C19"/>
    <w:multiLevelType w:val="multilevel"/>
    <w:tmpl w:val="D60E7A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8B66793"/>
    <w:multiLevelType w:val="multilevel"/>
    <w:tmpl w:val="82E895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9C7499C"/>
    <w:multiLevelType w:val="multilevel"/>
    <w:tmpl w:val="63BC81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BD174E6"/>
    <w:multiLevelType w:val="multilevel"/>
    <w:tmpl w:val="FD28A1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7A880159"/>
    <w:multiLevelType w:val="multilevel"/>
    <w:tmpl w:val="BA8414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D993310"/>
    <w:multiLevelType w:val="multilevel"/>
    <w:tmpl w:val="317846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EC51383"/>
    <w:multiLevelType w:val="multilevel"/>
    <w:tmpl w:val="79426E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F8740AB"/>
    <w:multiLevelType w:val="multilevel"/>
    <w:tmpl w:val="4EB84C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FCE524E"/>
    <w:multiLevelType w:val="multilevel"/>
    <w:tmpl w:val="9A0AEA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3756675">
    <w:abstractNumId w:val="8"/>
  </w:num>
  <w:num w:numId="2" w16cid:durableId="1414476771">
    <w:abstractNumId w:val="10"/>
  </w:num>
  <w:num w:numId="3" w16cid:durableId="1550533485">
    <w:abstractNumId w:val="12"/>
  </w:num>
  <w:num w:numId="4" w16cid:durableId="1787044147">
    <w:abstractNumId w:val="16"/>
  </w:num>
  <w:num w:numId="5" w16cid:durableId="1633288494">
    <w:abstractNumId w:val="14"/>
  </w:num>
  <w:num w:numId="6" w16cid:durableId="1205602921">
    <w:abstractNumId w:val="19"/>
  </w:num>
  <w:num w:numId="7" w16cid:durableId="17895219">
    <w:abstractNumId w:val="23"/>
  </w:num>
  <w:num w:numId="8" w16cid:durableId="1150365161">
    <w:abstractNumId w:val="7"/>
  </w:num>
  <w:num w:numId="9" w16cid:durableId="1957522135">
    <w:abstractNumId w:val="22"/>
  </w:num>
  <w:num w:numId="10" w16cid:durableId="1634602942">
    <w:abstractNumId w:val="20"/>
  </w:num>
  <w:num w:numId="11" w16cid:durableId="462968022">
    <w:abstractNumId w:val="1"/>
  </w:num>
  <w:num w:numId="12" w16cid:durableId="397630469">
    <w:abstractNumId w:val="9"/>
  </w:num>
  <w:num w:numId="13" w16cid:durableId="1055814541">
    <w:abstractNumId w:val="17"/>
  </w:num>
  <w:num w:numId="14" w16cid:durableId="1963463271">
    <w:abstractNumId w:val="6"/>
  </w:num>
  <w:num w:numId="15" w16cid:durableId="136531871">
    <w:abstractNumId w:val="5"/>
  </w:num>
  <w:num w:numId="16" w16cid:durableId="2051490814">
    <w:abstractNumId w:val="13"/>
  </w:num>
  <w:num w:numId="17" w16cid:durableId="952519684">
    <w:abstractNumId w:val="0"/>
  </w:num>
  <w:num w:numId="18" w16cid:durableId="324018036">
    <w:abstractNumId w:val="15"/>
  </w:num>
  <w:num w:numId="19" w16cid:durableId="332879596">
    <w:abstractNumId w:val="4"/>
  </w:num>
  <w:num w:numId="20" w16cid:durableId="1240554019">
    <w:abstractNumId w:val="3"/>
  </w:num>
  <w:num w:numId="21" w16cid:durableId="687173231">
    <w:abstractNumId w:val="2"/>
  </w:num>
  <w:num w:numId="22" w16cid:durableId="1214469275">
    <w:abstractNumId w:val="21"/>
  </w:num>
  <w:num w:numId="23" w16cid:durableId="1950814926">
    <w:abstractNumId w:val="11"/>
  </w:num>
  <w:num w:numId="24" w16cid:durableId="694043177">
    <w:abstractNumId w:val="18"/>
  </w:num>
  <w:numIdMacAtCleanup w:val="1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4CE4"/>
    <w:rsid w:val="00001E1A"/>
    <w:rsid w:val="0000538C"/>
    <w:rsid w:val="00010F8E"/>
    <w:rsid w:val="00012171"/>
    <w:rsid w:val="00012C96"/>
    <w:rsid w:val="00013891"/>
    <w:rsid w:val="00014FF0"/>
    <w:rsid w:val="00016ED9"/>
    <w:rsid w:val="00020091"/>
    <w:rsid w:val="00022736"/>
    <w:rsid w:val="00022A65"/>
    <w:rsid w:val="0002353B"/>
    <w:rsid w:val="000275F5"/>
    <w:rsid w:val="000334E5"/>
    <w:rsid w:val="00035021"/>
    <w:rsid w:val="000355B9"/>
    <w:rsid w:val="000416A3"/>
    <w:rsid w:val="00043AEF"/>
    <w:rsid w:val="000449D4"/>
    <w:rsid w:val="00047B8E"/>
    <w:rsid w:val="000535EE"/>
    <w:rsid w:val="00053ACC"/>
    <w:rsid w:val="00054FA3"/>
    <w:rsid w:val="000562A6"/>
    <w:rsid w:val="000570CC"/>
    <w:rsid w:val="000577F2"/>
    <w:rsid w:val="00057E23"/>
    <w:rsid w:val="00062FE7"/>
    <w:rsid w:val="00066F50"/>
    <w:rsid w:val="000711B5"/>
    <w:rsid w:val="00084E8F"/>
    <w:rsid w:val="000933BD"/>
    <w:rsid w:val="000A22A3"/>
    <w:rsid w:val="000A2605"/>
    <w:rsid w:val="000A3E6A"/>
    <w:rsid w:val="000A43C3"/>
    <w:rsid w:val="000B14DD"/>
    <w:rsid w:val="000B2407"/>
    <w:rsid w:val="000B4491"/>
    <w:rsid w:val="000B452B"/>
    <w:rsid w:val="000B563B"/>
    <w:rsid w:val="000C0457"/>
    <w:rsid w:val="000C38A0"/>
    <w:rsid w:val="000C4061"/>
    <w:rsid w:val="000C7617"/>
    <w:rsid w:val="000D14CB"/>
    <w:rsid w:val="000D15D7"/>
    <w:rsid w:val="000D3C20"/>
    <w:rsid w:val="000D63D7"/>
    <w:rsid w:val="000D6BC0"/>
    <w:rsid w:val="000D703F"/>
    <w:rsid w:val="000D7BB7"/>
    <w:rsid w:val="000E0A1C"/>
    <w:rsid w:val="000E3230"/>
    <w:rsid w:val="000E3CAD"/>
    <w:rsid w:val="000E4501"/>
    <w:rsid w:val="000E7C41"/>
    <w:rsid w:val="000F29EF"/>
    <w:rsid w:val="000F43D0"/>
    <w:rsid w:val="000F5AB6"/>
    <w:rsid w:val="000F60E2"/>
    <w:rsid w:val="000F7278"/>
    <w:rsid w:val="000F7AB5"/>
    <w:rsid w:val="0010014B"/>
    <w:rsid w:val="00102732"/>
    <w:rsid w:val="001032BF"/>
    <w:rsid w:val="00104B47"/>
    <w:rsid w:val="00107181"/>
    <w:rsid w:val="00113A6E"/>
    <w:rsid w:val="0011472D"/>
    <w:rsid w:val="001151FC"/>
    <w:rsid w:val="00115955"/>
    <w:rsid w:val="00115CD3"/>
    <w:rsid w:val="00117E75"/>
    <w:rsid w:val="001259F7"/>
    <w:rsid w:val="00127488"/>
    <w:rsid w:val="00127D06"/>
    <w:rsid w:val="001305B9"/>
    <w:rsid w:val="00130A21"/>
    <w:rsid w:val="001316E0"/>
    <w:rsid w:val="001358D6"/>
    <w:rsid w:val="001409CE"/>
    <w:rsid w:val="0014212D"/>
    <w:rsid w:val="0014577B"/>
    <w:rsid w:val="0014787D"/>
    <w:rsid w:val="001541FB"/>
    <w:rsid w:val="0015476C"/>
    <w:rsid w:val="001552DF"/>
    <w:rsid w:val="00155749"/>
    <w:rsid w:val="00155A28"/>
    <w:rsid w:val="00156A99"/>
    <w:rsid w:val="00160AC1"/>
    <w:rsid w:val="001616B6"/>
    <w:rsid w:val="0016421E"/>
    <w:rsid w:val="001646A5"/>
    <w:rsid w:val="001669F7"/>
    <w:rsid w:val="001673F1"/>
    <w:rsid w:val="001734A3"/>
    <w:rsid w:val="00173A91"/>
    <w:rsid w:val="00173E8E"/>
    <w:rsid w:val="00173F37"/>
    <w:rsid w:val="0017703D"/>
    <w:rsid w:val="00181219"/>
    <w:rsid w:val="00181420"/>
    <w:rsid w:val="001816BE"/>
    <w:rsid w:val="00182D0F"/>
    <w:rsid w:val="00182F0D"/>
    <w:rsid w:val="00183B68"/>
    <w:rsid w:val="00184AEF"/>
    <w:rsid w:val="00185316"/>
    <w:rsid w:val="00185CD1"/>
    <w:rsid w:val="00192F1D"/>
    <w:rsid w:val="00194673"/>
    <w:rsid w:val="00195089"/>
    <w:rsid w:val="001A21EA"/>
    <w:rsid w:val="001A2C88"/>
    <w:rsid w:val="001A3E1D"/>
    <w:rsid w:val="001B09CF"/>
    <w:rsid w:val="001B2F97"/>
    <w:rsid w:val="001B3B32"/>
    <w:rsid w:val="001B3DC4"/>
    <w:rsid w:val="001B4B36"/>
    <w:rsid w:val="001B561D"/>
    <w:rsid w:val="001C2C2F"/>
    <w:rsid w:val="001C6273"/>
    <w:rsid w:val="001C64F5"/>
    <w:rsid w:val="001C6501"/>
    <w:rsid w:val="001D0B25"/>
    <w:rsid w:val="001E07A5"/>
    <w:rsid w:val="001E256D"/>
    <w:rsid w:val="001E754F"/>
    <w:rsid w:val="001F0799"/>
    <w:rsid w:val="001F17E8"/>
    <w:rsid w:val="001F1878"/>
    <w:rsid w:val="001F2464"/>
    <w:rsid w:val="001F3562"/>
    <w:rsid w:val="002020FE"/>
    <w:rsid w:val="002076DC"/>
    <w:rsid w:val="002142FB"/>
    <w:rsid w:val="0022091F"/>
    <w:rsid w:val="00220BFA"/>
    <w:rsid w:val="00224D5F"/>
    <w:rsid w:val="00225AB9"/>
    <w:rsid w:val="00225D1B"/>
    <w:rsid w:val="00226CF5"/>
    <w:rsid w:val="0023798D"/>
    <w:rsid w:val="002405FF"/>
    <w:rsid w:val="00242E61"/>
    <w:rsid w:val="0024404F"/>
    <w:rsid w:val="00245383"/>
    <w:rsid w:val="00245E5F"/>
    <w:rsid w:val="00251037"/>
    <w:rsid w:val="00252799"/>
    <w:rsid w:val="0025316D"/>
    <w:rsid w:val="002539F9"/>
    <w:rsid w:val="00254461"/>
    <w:rsid w:val="00255170"/>
    <w:rsid w:val="00256416"/>
    <w:rsid w:val="0025667C"/>
    <w:rsid w:val="00260C24"/>
    <w:rsid w:val="002610CC"/>
    <w:rsid w:val="00263A9A"/>
    <w:rsid w:val="002659E1"/>
    <w:rsid w:val="00270B19"/>
    <w:rsid w:val="002712BD"/>
    <w:rsid w:val="00277E7D"/>
    <w:rsid w:val="002804C8"/>
    <w:rsid w:val="002812C5"/>
    <w:rsid w:val="00284CE4"/>
    <w:rsid w:val="00285334"/>
    <w:rsid w:val="00285664"/>
    <w:rsid w:val="00286474"/>
    <w:rsid w:val="00287450"/>
    <w:rsid w:val="00292DEB"/>
    <w:rsid w:val="0029300B"/>
    <w:rsid w:val="002972E9"/>
    <w:rsid w:val="002A1144"/>
    <w:rsid w:val="002A19E1"/>
    <w:rsid w:val="002A3038"/>
    <w:rsid w:val="002A3800"/>
    <w:rsid w:val="002B1727"/>
    <w:rsid w:val="002B3141"/>
    <w:rsid w:val="002B36C4"/>
    <w:rsid w:val="002B39E2"/>
    <w:rsid w:val="002B4855"/>
    <w:rsid w:val="002B6ACF"/>
    <w:rsid w:val="002C73E7"/>
    <w:rsid w:val="002D08D9"/>
    <w:rsid w:val="002D6220"/>
    <w:rsid w:val="002D78F3"/>
    <w:rsid w:val="002E4311"/>
    <w:rsid w:val="002E4750"/>
    <w:rsid w:val="002E5C2F"/>
    <w:rsid w:val="002E6C0A"/>
    <w:rsid w:val="002F18ED"/>
    <w:rsid w:val="002F2E14"/>
    <w:rsid w:val="002F3308"/>
    <w:rsid w:val="002F3312"/>
    <w:rsid w:val="002F36ED"/>
    <w:rsid w:val="002F3B19"/>
    <w:rsid w:val="002F3C44"/>
    <w:rsid w:val="002F4738"/>
    <w:rsid w:val="002F5CBE"/>
    <w:rsid w:val="00300A23"/>
    <w:rsid w:val="0030102F"/>
    <w:rsid w:val="003012F3"/>
    <w:rsid w:val="00303455"/>
    <w:rsid w:val="003047C6"/>
    <w:rsid w:val="00313DFA"/>
    <w:rsid w:val="00314097"/>
    <w:rsid w:val="003177AB"/>
    <w:rsid w:val="0032354F"/>
    <w:rsid w:val="00324498"/>
    <w:rsid w:val="00324EA3"/>
    <w:rsid w:val="00325E52"/>
    <w:rsid w:val="00327AEE"/>
    <w:rsid w:val="00332D59"/>
    <w:rsid w:val="00336CCC"/>
    <w:rsid w:val="00340C95"/>
    <w:rsid w:val="0034267F"/>
    <w:rsid w:val="003436C0"/>
    <w:rsid w:val="00345423"/>
    <w:rsid w:val="00346311"/>
    <w:rsid w:val="003504D1"/>
    <w:rsid w:val="00352B3B"/>
    <w:rsid w:val="003531A3"/>
    <w:rsid w:val="00355F05"/>
    <w:rsid w:val="00357D84"/>
    <w:rsid w:val="003660C0"/>
    <w:rsid w:val="0037047C"/>
    <w:rsid w:val="00381CE5"/>
    <w:rsid w:val="003856E1"/>
    <w:rsid w:val="00387BD1"/>
    <w:rsid w:val="0039299F"/>
    <w:rsid w:val="003A0989"/>
    <w:rsid w:val="003A0E59"/>
    <w:rsid w:val="003A6B32"/>
    <w:rsid w:val="003A7D41"/>
    <w:rsid w:val="003C1F76"/>
    <w:rsid w:val="003C3D97"/>
    <w:rsid w:val="003C41EF"/>
    <w:rsid w:val="003D1ED5"/>
    <w:rsid w:val="003D46A6"/>
    <w:rsid w:val="003D650C"/>
    <w:rsid w:val="003E00F2"/>
    <w:rsid w:val="003E07FF"/>
    <w:rsid w:val="003E499C"/>
    <w:rsid w:val="003E76B4"/>
    <w:rsid w:val="003F266B"/>
    <w:rsid w:val="003F2B1E"/>
    <w:rsid w:val="003F36BE"/>
    <w:rsid w:val="003F3F3A"/>
    <w:rsid w:val="003F4838"/>
    <w:rsid w:val="003F499A"/>
    <w:rsid w:val="003F5DDB"/>
    <w:rsid w:val="00401377"/>
    <w:rsid w:val="0040182C"/>
    <w:rsid w:val="004035BA"/>
    <w:rsid w:val="00405477"/>
    <w:rsid w:val="00407224"/>
    <w:rsid w:val="0040774D"/>
    <w:rsid w:val="004111AE"/>
    <w:rsid w:val="00412248"/>
    <w:rsid w:val="00415169"/>
    <w:rsid w:val="004153C3"/>
    <w:rsid w:val="0042106E"/>
    <w:rsid w:val="004214D8"/>
    <w:rsid w:val="00423DDC"/>
    <w:rsid w:val="00423E88"/>
    <w:rsid w:val="00425EB8"/>
    <w:rsid w:val="00431E7E"/>
    <w:rsid w:val="0043274E"/>
    <w:rsid w:val="004379C2"/>
    <w:rsid w:val="00443894"/>
    <w:rsid w:val="004438D9"/>
    <w:rsid w:val="00444186"/>
    <w:rsid w:val="004457A9"/>
    <w:rsid w:val="00447F02"/>
    <w:rsid w:val="004502D4"/>
    <w:rsid w:val="00450A79"/>
    <w:rsid w:val="00450E5E"/>
    <w:rsid w:val="00451811"/>
    <w:rsid w:val="00451C6E"/>
    <w:rsid w:val="004525A4"/>
    <w:rsid w:val="00453ED0"/>
    <w:rsid w:val="004612B7"/>
    <w:rsid w:val="00465EBA"/>
    <w:rsid w:val="00472124"/>
    <w:rsid w:val="00472B57"/>
    <w:rsid w:val="00480853"/>
    <w:rsid w:val="004810BD"/>
    <w:rsid w:val="00490DA5"/>
    <w:rsid w:val="004A0250"/>
    <w:rsid w:val="004A0B9C"/>
    <w:rsid w:val="004A3C1A"/>
    <w:rsid w:val="004A678F"/>
    <w:rsid w:val="004B2C7A"/>
    <w:rsid w:val="004B3144"/>
    <w:rsid w:val="004B56AF"/>
    <w:rsid w:val="004B5F1F"/>
    <w:rsid w:val="004B63C1"/>
    <w:rsid w:val="004D0043"/>
    <w:rsid w:val="004D3053"/>
    <w:rsid w:val="004D6DC0"/>
    <w:rsid w:val="004E1B8A"/>
    <w:rsid w:val="004E1D1D"/>
    <w:rsid w:val="004E79FC"/>
    <w:rsid w:val="004F36BF"/>
    <w:rsid w:val="004F45E0"/>
    <w:rsid w:val="004F4A4A"/>
    <w:rsid w:val="004F7FD2"/>
    <w:rsid w:val="005058BB"/>
    <w:rsid w:val="00506383"/>
    <w:rsid w:val="0051079B"/>
    <w:rsid w:val="00511BAB"/>
    <w:rsid w:val="00512B83"/>
    <w:rsid w:val="005160C0"/>
    <w:rsid w:val="005163BF"/>
    <w:rsid w:val="005166A9"/>
    <w:rsid w:val="00520A56"/>
    <w:rsid w:val="00522DB6"/>
    <w:rsid w:val="00524722"/>
    <w:rsid w:val="00527F58"/>
    <w:rsid w:val="005337E5"/>
    <w:rsid w:val="00533B1A"/>
    <w:rsid w:val="00534C15"/>
    <w:rsid w:val="00535B14"/>
    <w:rsid w:val="00536EEA"/>
    <w:rsid w:val="00537051"/>
    <w:rsid w:val="00537C28"/>
    <w:rsid w:val="00537E37"/>
    <w:rsid w:val="005426C6"/>
    <w:rsid w:val="00543551"/>
    <w:rsid w:val="00544FC1"/>
    <w:rsid w:val="00545429"/>
    <w:rsid w:val="005509C8"/>
    <w:rsid w:val="00550C88"/>
    <w:rsid w:val="00552E88"/>
    <w:rsid w:val="00555E23"/>
    <w:rsid w:val="005573A8"/>
    <w:rsid w:val="00557B9B"/>
    <w:rsid w:val="005600DB"/>
    <w:rsid w:val="005618DC"/>
    <w:rsid w:val="00567B8E"/>
    <w:rsid w:val="00573685"/>
    <w:rsid w:val="00574796"/>
    <w:rsid w:val="00576E60"/>
    <w:rsid w:val="00580303"/>
    <w:rsid w:val="00580B82"/>
    <w:rsid w:val="00580FA0"/>
    <w:rsid w:val="00582ADA"/>
    <w:rsid w:val="00583296"/>
    <w:rsid w:val="00596D5B"/>
    <w:rsid w:val="005A1AE6"/>
    <w:rsid w:val="005A2935"/>
    <w:rsid w:val="005A47B8"/>
    <w:rsid w:val="005A56EA"/>
    <w:rsid w:val="005A681F"/>
    <w:rsid w:val="005A7E3B"/>
    <w:rsid w:val="005B0961"/>
    <w:rsid w:val="005B198D"/>
    <w:rsid w:val="005B33E5"/>
    <w:rsid w:val="005B533E"/>
    <w:rsid w:val="005B7014"/>
    <w:rsid w:val="005C049A"/>
    <w:rsid w:val="005C46FA"/>
    <w:rsid w:val="005D02A8"/>
    <w:rsid w:val="005D05D5"/>
    <w:rsid w:val="005D20F6"/>
    <w:rsid w:val="005D46F6"/>
    <w:rsid w:val="005D4A26"/>
    <w:rsid w:val="005D69D8"/>
    <w:rsid w:val="005E0C43"/>
    <w:rsid w:val="005E4FFB"/>
    <w:rsid w:val="005E59F6"/>
    <w:rsid w:val="005E7772"/>
    <w:rsid w:val="005F067B"/>
    <w:rsid w:val="005F0FE8"/>
    <w:rsid w:val="005F6162"/>
    <w:rsid w:val="005F6169"/>
    <w:rsid w:val="00600274"/>
    <w:rsid w:val="00602B4C"/>
    <w:rsid w:val="00602C16"/>
    <w:rsid w:val="00604006"/>
    <w:rsid w:val="00607DD7"/>
    <w:rsid w:val="00610493"/>
    <w:rsid w:val="00613C56"/>
    <w:rsid w:val="006166F7"/>
    <w:rsid w:val="00617C68"/>
    <w:rsid w:val="006202E2"/>
    <w:rsid w:val="006253D8"/>
    <w:rsid w:val="00625725"/>
    <w:rsid w:val="00625DB8"/>
    <w:rsid w:val="006273C8"/>
    <w:rsid w:val="00631CE0"/>
    <w:rsid w:val="0063208E"/>
    <w:rsid w:val="00642C61"/>
    <w:rsid w:val="00642F76"/>
    <w:rsid w:val="006442C8"/>
    <w:rsid w:val="00647F78"/>
    <w:rsid w:val="00650344"/>
    <w:rsid w:val="006559C7"/>
    <w:rsid w:val="00664ABC"/>
    <w:rsid w:val="006662F7"/>
    <w:rsid w:val="0066671B"/>
    <w:rsid w:val="00667E9A"/>
    <w:rsid w:val="006703D1"/>
    <w:rsid w:val="00674148"/>
    <w:rsid w:val="00674882"/>
    <w:rsid w:val="00675BF2"/>
    <w:rsid w:val="00676235"/>
    <w:rsid w:val="00685477"/>
    <w:rsid w:val="006860BE"/>
    <w:rsid w:val="006877A2"/>
    <w:rsid w:val="0069046E"/>
    <w:rsid w:val="006917FF"/>
    <w:rsid w:val="006945ED"/>
    <w:rsid w:val="006A18E9"/>
    <w:rsid w:val="006A4F80"/>
    <w:rsid w:val="006B358D"/>
    <w:rsid w:val="006B4450"/>
    <w:rsid w:val="006B6713"/>
    <w:rsid w:val="006C2A15"/>
    <w:rsid w:val="006C3A94"/>
    <w:rsid w:val="006D43B7"/>
    <w:rsid w:val="006E030B"/>
    <w:rsid w:val="006E0320"/>
    <w:rsid w:val="006E15EA"/>
    <w:rsid w:val="006E4FAF"/>
    <w:rsid w:val="006E512A"/>
    <w:rsid w:val="006E765E"/>
    <w:rsid w:val="006E7981"/>
    <w:rsid w:val="006E7E5F"/>
    <w:rsid w:val="006F31D2"/>
    <w:rsid w:val="006F411F"/>
    <w:rsid w:val="006F7AA7"/>
    <w:rsid w:val="00701E10"/>
    <w:rsid w:val="00702BD6"/>
    <w:rsid w:val="0070339F"/>
    <w:rsid w:val="007040E2"/>
    <w:rsid w:val="00704683"/>
    <w:rsid w:val="007047BB"/>
    <w:rsid w:val="0070543A"/>
    <w:rsid w:val="00705EB7"/>
    <w:rsid w:val="007113E7"/>
    <w:rsid w:val="007114E3"/>
    <w:rsid w:val="007119B8"/>
    <w:rsid w:val="00713D3A"/>
    <w:rsid w:val="00715DF2"/>
    <w:rsid w:val="007201A3"/>
    <w:rsid w:val="007240EC"/>
    <w:rsid w:val="007241D7"/>
    <w:rsid w:val="00724453"/>
    <w:rsid w:val="00724B0F"/>
    <w:rsid w:val="0072508E"/>
    <w:rsid w:val="007313F6"/>
    <w:rsid w:val="007320BD"/>
    <w:rsid w:val="00734239"/>
    <w:rsid w:val="00734339"/>
    <w:rsid w:val="00734D6E"/>
    <w:rsid w:val="00742583"/>
    <w:rsid w:val="00742CAC"/>
    <w:rsid w:val="007445AC"/>
    <w:rsid w:val="007470C8"/>
    <w:rsid w:val="00753F33"/>
    <w:rsid w:val="007567FF"/>
    <w:rsid w:val="00756F5A"/>
    <w:rsid w:val="00761568"/>
    <w:rsid w:val="00763FFB"/>
    <w:rsid w:val="007644CA"/>
    <w:rsid w:val="007656C3"/>
    <w:rsid w:val="00767441"/>
    <w:rsid w:val="00771168"/>
    <w:rsid w:val="00771D49"/>
    <w:rsid w:val="007735A2"/>
    <w:rsid w:val="00783667"/>
    <w:rsid w:val="00784A2A"/>
    <w:rsid w:val="00785CE3"/>
    <w:rsid w:val="00786944"/>
    <w:rsid w:val="00786CD3"/>
    <w:rsid w:val="00787A74"/>
    <w:rsid w:val="00787D83"/>
    <w:rsid w:val="00790833"/>
    <w:rsid w:val="00793804"/>
    <w:rsid w:val="007A18C0"/>
    <w:rsid w:val="007A3962"/>
    <w:rsid w:val="007A4B25"/>
    <w:rsid w:val="007A7959"/>
    <w:rsid w:val="007B3726"/>
    <w:rsid w:val="007B53A1"/>
    <w:rsid w:val="007C0415"/>
    <w:rsid w:val="007C4A7B"/>
    <w:rsid w:val="007C4CBA"/>
    <w:rsid w:val="007C576B"/>
    <w:rsid w:val="007C748C"/>
    <w:rsid w:val="007C78ED"/>
    <w:rsid w:val="007D0DA7"/>
    <w:rsid w:val="007D51D3"/>
    <w:rsid w:val="007E266E"/>
    <w:rsid w:val="007E4AE6"/>
    <w:rsid w:val="007E7137"/>
    <w:rsid w:val="007E7F00"/>
    <w:rsid w:val="007F2905"/>
    <w:rsid w:val="007F2E37"/>
    <w:rsid w:val="007F513E"/>
    <w:rsid w:val="007F62C4"/>
    <w:rsid w:val="007F7F14"/>
    <w:rsid w:val="008011F0"/>
    <w:rsid w:val="0080127F"/>
    <w:rsid w:val="00803A09"/>
    <w:rsid w:val="00804723"/>
    <w:rsid w:val="00806A2E"/>
    <w:rsid w:val="00811F37"/>
    <w:rsid w:val="008134AE"/>
    <w:rsid w:val="00817C40"/>
    <w:rsid w:val="0082267A"/>
    <w:rsid w:val="00824026"/>
    <w:rsid w:val="00824179"/>
    <w:rsid w:val="00825311"/>
    <w:rsid w:val="008254EC"/>
    <w:rsid w:val="0082638F"/>
    <w:rsid w:val="008276D7"/>
    <w:rsid w:val="00830FEA"/>
    <w:rsid w:val="00840217"/>
    <w:rsid w:val="00840C61"/>
    <w:rsid w:val="0084196F"/>
    <w:rsid w:val="00842FB7"/>
    <w:rsid w:val="008447A4"/>
    <w:rsid w:val="00844DE9"/>
    <w:rsid w:val="00845331"/>
    <w:rsid w:val="00847396"/>
    <w:rsid w:val="008475D9"/>
    <w:rsid w:val="008515B1"/>
    <w:rsid w:val="00852429"/>
    <w:rsid w:val="0085314A"/>
    <w:rsid w:val="00854D4B"/>
    <w:rsid w:val="00854F46"/>
    <w:rsid w:val="00856B27"/>
    <w:rsid w:val="008578C4"/>
    <w:rsid w:val="00857EB8"/>
    <w:rsid w:val="008619CE"/>
    <w:rsid w:val="00861F73"/>
    <w:rsid w:val="008621A4"/>
    <w:rsid w:val="00866554"/>
    <w:rsid w:val="008672F2"/>
    <w:rsid w:val="00867CA8"/>
    <w:rsid w:val="00870064"/>
    <w:rsid w:val="008717A1"/>
    <w:rsid w:val="008745E4"/>
    <w:rsid w:val="00876859"/>
    <w:rsid w:val="008840CA"/>
    <w:rsid w:val="00885BBB"/>
    <w:rsid w:val="00887BAD"/>
    <w:rsid w:val="0089005F"/>
    <w:rsid w:val="00892225"/>
    <w:rsid w:val="008928C7"/>
    <w:rsid w:val="00893288"/>
    <w:rsid w:val="00896C6F"/>
    <w:rsid w:val="00896E0E"/>
    <w:rsid w:val="00897773"/>
    <w:rsid w:val="008A1433"/>
    <w:rsid w:val="008A2482"/>
    <w:rsid w:val="008A69A6"/>
    <w:rsid w:val="008A6DFA"/>
    <w:rsid w:val="008A7729"/>
    <w:rsid w:val="008B2DBC"/>
    <w:rsid w:val="008B3707"/>
    <w:rsid w:val="008B506A"/>
    <w:rsid w:val="008C0BC5"/>
    <w:rsid w:val="008C5193"/>
    <w:rsid w:val="008C78E4"/>
    <w:rsid w:val="008D0713"/>
    <w:rsid w:val="008D14AF"/>
    <w:rsid w:val="008D3365"/>
    <w:rsid w:val="008D529A"/>
    <w:rsid w:val="008D679F"/>
    <w:rsid w:val="008D6F7D"/>
    <w:rsid w:val="008F3579"/>
    <w:rsid w:val="008F661E"/>
    <w:rsid w:val="00901338"/>
    <w:rsid w:val="009015C7"/>
    <w:rsid w:val="009049F4"/>
    <w:rsid w:val="009052A3"/>
    <w:rsid w:val="009067E9"/>
    <w:rsid w:val="00906FBE"/>
    <w:rsid w:val="009074D0"/>
    <w:rsid w:val="00912214"/>
    <w:rsid w:val="009161A5"/>
    <w:rsid w:val="0091635A"/>
    <w:rsid w:val="00920512"/>
    <w:rsid w:val="00924FCC"/>
    <w:rsid w:val="00932F50"/>
    <w:rsid w:val="009373E7"/>
    <w:rsid w:val="00942CA8"/>
    <w:rsid w:val="00944608"/>
    <w:rsid w:val="009449B8"/>
    <w:rsid w:val="00946BF2"/>
    <w:rsid w:val="0095142C"/>
    <w:rsid w:val="00951556"/>
    <w:rsid w:val="00952D51"/>
    <w:rsid w:val="009533F8"/>
    <w:rsid w:val="00960198"/>
    <w:rsid w:val="009603CC"/>
    <w:rsid w:val="0096320F"/>
    <w:rsid w:val="00963653"/>
    <w:rsid w:val="00965003"/>
    <w:rsid w:val="009651E5"/>
    <w:rsid w:val="009666B1"/>
    <w:rsid w:val="00971D97"/>
    <w:rsid w:val="00974E06"/>
    <w:rsid w:val="00976364"/>
    <w:rsid w:val="00976EEE"/>
    <w:rsid w:val="00977C2E"/>
    <w:rsid w:val="00977C47"/>
    <w:rsid w:val="00984793"/>
    <w:rsid w:val="009863FB"/>
    <w:rsid w:val="00986639"/>
    <w:rsid w:val="009872E9"/>
    <w:rsid w:val="009921B4"/>
    <w:rsid w:val="00993226"/>
    <w:rsid w:val="009933FD"/>
    <w:rsid w:val="009A08FF"/>
    <w:rsid w:val="009A35F6"/>
    <w:rsid w:val="009B680C"/>
    <w:rsid w:val="009C01CC"/>
    <w:rsid w:val="009C2B2C"/>
    <w:rsid w:val="009D3F8A"/>
    <w:rsid w:val="009D7108"/>
    <w:rsid w:val="009D7603"/>
    <w:rsid w:val="009D7C6A"/>
    <w:rsid w:val="009D7C7E"/>
    <w:rsid w:val="009D7CD8"/>
    <w:rsid w:val="009E351F"/>
    <w:rsid w:val="009E3B85"/>
    <w:rsid w:val="009E42A9"/>
    <w:rsid w:val="009F0FC7"/>
    <w:rsid w:val="009F1334"/>
    <w:rsid w:val="009F2736"/>
    <w:rsid w:val="009F3F0D"/>
    <w:rsid w:val="009F4856"/>
    <w:rsid w:val="009F50BA"/>
    <w:rsid w:val="009F5EF2"/>
    <w:rsid w:val="009F7DE0"/>
    <w:rsid w:val="00A01227"/>
    <w:rsid w:val="00A019DE"/>
    <w:rsid w:val="00A104AE"/>
    <w:rsid w:val="00A10677"/>
    <w:rsid w:val="00A11A64"/>
    <w:rsid w:val="00A13984"/>
    <w:rsid w:val="00A168B5"/>
    <w:rsid w:val="00A20EC6"/>
    <w:rsid w:val="00A2263C"/>
    <w:rsid w:val="00A22EB8"/>
    <w:rsid w:val="00A32A65"/>
    <w:rsid w:val="00A3421A"/>
    <w:rsid w:val="00A443C4"/>
    <w:rsid w:val="00A44537"/>
    <w:rsid w:val="00A46627"/>
    <w:rsid w:val="00A478CB"/>
    <w:rsid w:val="00A513EF"/>
    <w:rsid w:val="00A53636"/>
    <w:rsid w:val="00A536B8"/>
    <w:rsid w:val="00A54404"/>
    <w:rsid w:val="00A56CA1"/>
    <w:rsid w:val="00A61B42"/>
    <w:rsid w:val="00A635A5"/>
    <w:rsid w:val="00A63F93"/>
    <w:rsid w:val="00A70A1C"/>
    <w:rsid w:val="00A7332D"/>
    <w:rsid w:val="00A73E49"/>
    <w:rsid w:val="00A765BA"/>
    <w:rsid w:val="00A812B3"/>
    <w:rsid w:val="00A831F2"/>
    <w:rsid w:val="00A851A7"/>
    <w:rsid w:val="00A90822"/>
    <w:rsid w:val="00A9097B"/>
    <w:rsid w:val="00A91DB3"/>
    <w:rsid w:val="00A91DD6"/>
    <w:rsid w:val="00A9266F"/>
    <w:rsid w:val="00A93C4A"/>
    <w:rsid w:val="00A97407"/>
    <w:rsid w:val="00AA09DA"/>
    <w:rsid w:val="00AA0C86"/>
    <w:rsid w:val="00AA3D07"/>
    <w:rsid w:val="00AA73D9"/>
    <w:rsid w:val="00AB1CE2"/>
    <w:rsid w:val="00AB345F"/>
    <w:rsid w:val="00AB58C4"/>
    <w:rsid w:val="00AB5DD8"/>
    <w:rsid w:val="00AB7F0D"/>
    <w:rsid w:val="00AC0C65"/>
    <w:rsid w:val="00AC10F8"/>
    <w:rsid w:val="00AC26FB"/>
    <w:rsid w:val="00AC2CCA"/>
    <w:rsid w:val="00AC6F4A"/>
    <w:rsid w:val="00AC7917"/>
    <w:rsid w:val="00AD0159"/>
    <w:rsid w:val="00AD45DB"/>
    <w:rsid w:val="00AD4ECB"/>
    <w:rsid w:val="00AD7C83"/>
    <w:rsid w:val="00AE2A27"/>
    <w:rsid w:val="00AE4C80"/>
    <w:rsid w:val="00AE7BD4"/>
    <w:rsid w:val="00AF39BE"/>
    <w:rsid w:val="00AF4F99"/>
    <w:rsid w:val="00AF52AD"/>
    <w:rsid w:val="00AF6631"/>
    <w:rsid w:val="00AF69CC"/>
    <w:rsid w:val="00B003DC"/>
    <w:rsid w:val="00B0147E"/>
    <w:rsid w:val="00B017AA"/>
    <w:rsid w:val="00B025AD"/>
    <w:rsid w:val="00B02FD3"/>
    <w:rsid w:val="00B05E83"/>
    <w:rsid w:val="00B06051"/>
    <w:rsid w:val="00B06FCD"/>
    <w:rsid w:val="00B11047"/>
    <w:rsid w:val="00B11ACD"/>
    <w:rsid w:val="00B161F1"/>
    <w:rsid w:val="00B217A6"/>
    <w:rsid w:val="00B2392C"/>
    <w:rsid w:val="00B27369"/>
    <w:rsid w:val="00B31A52"/>
    <w:rsid w:val="00B36137"/>
    <w:rsid w:val="00B3799F"/>
    <w:rsid w:val="00B40D0A"/>
    <w:rsid w:val="00B42B1A"/>
    <w:rsid w:val="00B42B9E"/>
    <w:rsid w:val="00B43EAB"/>
    <w:rsid w:val="00B44DB9"/>
    <w:rsid w:val="00B44DEF"/>
    <w:rsid w:val="00B51A30"/>
    <w:rsid w:val="00B52F1E"/>
    <w:rsid w:val="00B5472B"/>
    <w:rsid w:val="00B5537A"/>
    <w:rsid w:val="00B55F0B"/>
    <w:rsid w:val="00B56797"/>
    <w:rsid w:val="00B57D01"/>
    <w:rsid w:val="00B71B80"/>
    <w:rsid w:val="00B7208E"/>
    <w:rsid w:val="00B75A1A"/>
    <w:rsid w:val="00B77549"/>
    <w:rsid w:val="00B85CE0"/>
    <w:rsid w:val="00B91DB8"/>
    <w:rsid w:val="00B93472"/>
    <w:rsid w:val="00B96526"/>
    <w:rsid w:val="00BA0CA6"/>
    <w:rsid w:val="00BA691B"/>
    <w:rsid w:val="00BB07CF"/>
    <w:rsid w:val="00BB1461"/>
    <w:rsid w:val="00BB1D62"/>
    <w:rsid w:val="00BB2AFD"/>
    <w:rsid w:val="00BB3CA4"/>
    <w:rsid w:val="00BB46F4"/>
    <w:rsid w:val="00BB63CC"/>
    <w:rsid w:val="00BB7452"/>
    <w:rsid w:val="00BB7EC4"/>
    <w:rsid w:val="00BB7F67"/>
    <w:rsid w:val="00BC7B79"/>
    <w:rsid w:val="00BD5082"/>
    <w:rsid w:val="00BD624B"/>
    <w:rsid w:val="00BE00B6"/>
    <w:rsid w:val="00BE09C5"/>
    <w:rsid w:val="00BE35C3"/>
    <w:rsid w:val="00BE5A74"/>
    <w:rsid w:val="00BF0EFA"/>
    <w:rsid w:val="00BF338A"/>
    <w:rsid w:val="00BF4A41"/>
    <w:rsid w:val="00C00285"/>
    <w:rsid w:val="00C02CA9"/>
    <w:rsid w:val="00C04630"/>
    <w:rsid w:val="00C05024"/>
    <w:rsid w:val="00C065A8"/>
    <w:rsid w:val="00C10F58"/>
    <w:rsid w:val="00C11649"/>
    <w:rsid w:val="00C12DF8"/>
    <w:rsid w:val="00C1378A"/>
    <w:rsid w:val="00C17020"/>
    <w:rsid w:val="00C17816"/>
    <w:rsid w:val="00C20A79"/>
    <w:rsid w:val="00C23FF5"/>
    <w:rsid w:val="00C31620"/>
    <w:rsid w:val="00C31C27"/>
    <w:rsid w:val="00C330B7"/>
    <w:rsid w:val="00C3382C"/>
    <w:rsid w:val="00C34ACA"/>
    <w:rsid w:val="00C364F7"/>
    <w:rsid w:val="00C36E5B"/>
    <w:rsid w:val="00C42EB9"/>
    <w:rsid w:val="00C45BEB"/>
    <w:rsid w:val="00C531E8"/>
    <w:rsid w:val="00C54F93"/>
    <w:rsid w:val="00C610F3"/>
    <w:rsid w:val="00C6564B"/>
    <w:rsid w:val="00C66DD2"/>
    <w:rsid w:val="00C733B1"/>
    <w:rsid w:val="00C737F8"/>
    <w:rsid w:val="00C74829"/>
    <w:rsid w:val="00C74ED9"/>
    <w:rsid w:val="00C80157"/>
    <w:rsid w:val="00C81B3B"/>
    <w:rsid w:val="00C83C5A"/>
    <w:rsid w:val="00C8432E"/>
    <w:rsid w:val="00C8483B"/>
    <w:rsid w:val="00C856EB"/>
    <w:rsid w:val="00C90936"/>
    <w:rsid w:val="00C90C60"/>
    <w:rsid w:val="00C910F8"/>
    <w:rsid w:val="00C91E07"/>
    <w:rsid w:val="00C920BF"/>
    <w:rsid w:val="00C92373"/>
    <w:rsid w:val="00C95F59"/>
    <w:rsid w:val="00C966A4"/>
    <w:rsid w:val="00C96B5A"/>
    <w:rsid w:val="00CA00F2"/>
    <w:rsid w:val="00CA13BB"/>
    <w:rsid w:val="00CA178E"/>
    <w:rsid w:val="00CA185D"/>
    <w:rsid w:val="00CA1CE8"/>
    <w:rsid w:val="00CA2EC6"/>
    <w:rsid w:val="00CA314A"/>
    <w:rsid w:val="00CA4C94"/>
    <w:rsid w:val="00CA6DB8"/>
    <w:rsid w:val="00CA7BFA"/>
    <w:rsid w:val="00CB0BE2"/>
    <w:rsid w:val="00CB704B"/>
    <w:rsid w:val="00CB762A"/>
    <w:rsid w:val="00CC05B2"/>
    <w:rsid w:val="00CC2142"/>
    <w:rsid w:val="00CC288C"/>
    <w:rsid w:val="00CC341A"/>
    <w:rsid w:val="00CC6589"/>
    <w:rsid w:val="00CD3DCC"/>
    <w:rsid w:val="00CD5C55"/>
    <w:rsid w:val="00CD652B"/>
    <w:rsid w:val="00CE260A"/>
    <w:rsid w:val="00CE6388"/>
    <w:rsid w:val="00CE6A22"/>
    <w:rsid w:val="00CE7DBE"/>
    <w:rsid w:val="00CF15A0"/>
    <w:rsid w:val="00CF343C"/>
    <w:rsid w:val="00CF5D70"/>
    <w:rsid w:val="00CF5E01"/>
    <w:rsid w:val="00D0441C"/>
    <w:rsid w:val="00D052BE"/>
    <w:rsid w:val="00D07A30"/>
    <w:rsid w:val="00D1272B"/>
    <w:rsid w:val="00D13802"/>
    <w:rsid w:val="00D13A9B"/>
    <w:rsid w:val="00D13F22"/>
    <w:rsid w:val="00D1420B"/>
    <w:rsid w:val="00D14E4D"/>
    <w:rsid w:val="00D17D73"/>
    <w:rsid w:val="00D213AA"/>
    <w:rsid w:val="00D238C3"/>
    <w:rsid w:val="00D2484E"/>
    <w:rsid w:val="00D26AF0"/>
    <w:rsid w:val="00D26FA6"/>
    <w:rsid w:val="00D27147"/>
    <w:rsid w:val="00D315B2"/>
    <w:rsid w:val="00D34857"/>
    <w:rsid w:val="00D505E3"/>
    <w:rsid w:val="00D53F7B"/>
    <w:rsid w:val="00D559E2"/>
    <w:rsid w:val="00D55CC7"/>
    <w:rsid w:val="00D572B6"/>
    <w:rsid w:val="00D647AE"/>
    <w:rsid w:val="00D663C2"/>
    <w:rsid w:val="00D66E85"/>
    <w:rsid w:val="00D676B7"/>
    <w:rsid w:val="00D73E59"/>
    <w:rsid w:val="00D74962"/>
    <w:rsid w:val="00D75A57"/>
    <w:rsid w:val="00D80375"/>
    <w:rsid w:val="00D804C4"/>
    <w:rsid w:val="00D82240"/>
    <w:rsid w:val="00D83228"/>
    <w:rsid w:val="00D8471E"/>
    <w:rsid w:val="00D84E99"/>
    <w:rsid w:val="00D86271"/>
    <w:rsid w:val="00D86C20"/>
    <w:rsid w:val="00D9229B"/>
    <w:rsid w:val="00D937CE"/>
    <w:rsid w:val="00D93F41"/>
    <w:rsid w:val="00D9512D"/>
    <w:rsid w:val="00DA2F23"/>
    <w:rsid w:val="00DA4BD7"/>
    <w:rsid w:val="00DA7A44"/>
    <w:rsid w:val="00DB0468"/>
    <w:rsid w:val="00DB0878"/>
    <w:rsid w:val="00DC7782"/>
    <w:rsid w:val="00DE0760"/>
    <w:rsid w:val="00DE4927"/>
    <w:rsid w:val="00DF0226"/>
    <w:rsid w:val="00DF1A79"/>
    <w:rsid w:val="00DF2952"/>
    <w:rsid w:val="00DF2ABE"/>
    <w:rsid w:val="00DF2BEE"/>
    <w:rsid w:val="00DF5E2D"/>
    <w:rsid w:val="00E0432E"/>
    <w:rsid w:val="00E0434D"/>
    <w:rsid w:val="00E04A8E"/>
    <w:rsid w:val="00E06B8B"/>
    <w:rsid w:val="00E077D1"/>
    <w:rsid w:val="00E077E5"/>
    <w:rsid w:val="00E11A5A"/>
    <w:rsid w:val="00E11E0D"/>
    <w:rsid w:val="00E12506"/>
    <w:rsid w:val="00E15E8B"/>
    <w:rsid w:val="00E166D7"/>
    <w:rsid w:val="00E16C28"/>
    <w:rsid w:val="00E20C29"/>
    <w:rsid w:val="00E23AE1"/>
    <w:rsid w:val="00E25961"/>
    <w:rsid w:val="00E26E52"/>
    <w:rsid w:val="00E27B36"/>
    <w:rsid w:val="00E27F47"/>
    <w:rsid w:val="00E3096F"/>
    <w:rsid w:val="00E3115A"/>
    <w:rsid w:val="00E312D0"/>
    <w:rsid w:val="00E3152F"/>
    <w:rsid w:val="00E3584C"/>
    <w:rsid w:val="00E4283D"/>
    <w:rsid w:val="00E50E3C"/>
    <w:rsid w:val="00E511EB"/>
    <w:rsid w:val="00E52DE8"/>
    <w:rsid w:val="00E541AC"/>
    <w:rsid w:val="00E577B5"/>
    <w:rsid w:val="00E60A86"/>
    <w:rsid w:val="00E60CD8"/>
    <w:rsid w:val="00E65F1D"/>
    <w:rsid w:val="00E677B0"/>
    <w:rsid w:val="00E70B01"/>
    <w:rsid w:val="00E718D0"/>
    <w:rsid w:val="00E727C0"/>
    <w:rsid w:val="00E74A95"/>
    <w:rsid w:val="00E7686E"/>
    <w:rsid w:val="00E813F2"/>
    <w:rsid w:val="00E8262F"/>
    <w:rsid w:val="00E866BF"/>
    <w:rsid w:val="00E86CC4"/>
    <w:rsid w:val="00E9246C"/>
    <w:rsid w:val="00E93862"/>
    <w:rsid w:val="00E93A6E"/>
    <w:rsid w:val="00E940BE"/>
    <w:rsid w:val="00E95233"/>
    <w:rsid w:val="00EA3271"/>
    <w:rsid w:val="00EA32DD"/>
    <w:rsid w:val="00EB0061"/>
    <w:rsid w:val="00EB0AE7"/>
    <w:rsid w:val="00EB0F87"/>
    <w:rsid w:val="00EB14D7"/>
    <w:rsid w:val="00EB4021"/>
    <w:rsid w:val="00EB773A"/>
    <w:rsid w:val="00EC14D9"/>
    <w:rsid w:val="00EC1540"/>
    <w:rsid w:val="00EC1676"/>
    <w:rsid w:val="00EC3FA9"/>
    <w:rsid w:val="00EC47F1"/>
    <w:rsid w:val="00EC6252"/>
    <w:rsid w:val="00ED453E"/>
    <w:rsid w:val="00ED6799"/>
    <w:rsid w:val="00EE0B78"/>
    <w:rsid w:val="00EF0734"/>
    <w:rsid w:val="00EF1326"/>
    <w:rsid w:val="00EF297A"/>
    <w:rsid w:val="00F00A23"/>
    <w:rsid w:val="00F019D9"/>
    <w:rsid w:val="00F05472"/>
    <w:rsid w:val="00F064F6"/>
    <w:rsid w:val="00F1012F"/>
    <w:rsid w:val="00F14E0B"/>
    <w:rsid w:val="00F15676"/>
    <w:rsid w:val="00F178FF"/>
    <w:rsid w:val="00F24993"/>
    <w:rsid w:val="00F25510"/>
    <w:rsid w:val="00F27256"/>
    <w:rsid w:val="00F27D58"/>
    <w:rsid w:val="00F30362"/>
    <w:rsid w:val="00F31BFD"/>
    <w:rsid w:val="00F35BBF"/>
    <w:rsid w:val="00F40168"/>
    <w:rsid w:val="00F4019A"/>
    <w:rsid w:val="00F419DC"/>
    <w:rsid w:val="00F525E6"/>
    <w:rsid w:val="00F55A41"/>
    <w:rsid w:val="00F5722B"/>
    <w:rsid w:val="00F619E8"/>
    <w:rsid w:val="00F648EF"/>
    <w:rsid w:val="00F66B12"/>
    <w:rsid w:val="00F67480"/>
    <w:rsid w:val="00F70241"/>
    <w:rsid w:val="00F71F40"/>
    <w:rsid w:val="00F7429E"/>
    <w:rsid w:val="00F742D0"/>
    <w:rsid w:val="00F75949"/>
    <w:rsid w:val="00F77174"/>
    <w:rsid w:val="00F900A8"/>
    <w:rsid w:val="00F910B1"/>
    <w:rsid w:val="00F913FD"/>
    <w:rsid w:val="00F922A5"/>
    <w:rsid w:val="00F943DA"/>
    <w:rsid w:val="00F96F09"/>
    <w:rsid w:val="00FA05EA"/>
    <w:rsid w:val="00FA0E2D"/>
    <w:rsid w:val="00FA5C91"/>
    <w:rsid w:val="00FA61B3"/>
    <w:rsid w:val="00FB43BB"/>
    <w:rsid w:val="00FB46F5"/>
    <w:rsid w:val="00FC624E"/>
    <w:rsid w:val="00FC641B"/>
    <w:rsid w:val="00FD0174"/>
    <w:rsid w:val="00FD08FA"/>
    <w:rsid w:val="00FD2A81"/>
    <w:rsid w:val="00FD4E4D"/>
    <w:rsid w:val="00FE058C"/>
    <w:rsid w:val="00FE0F44"/>
    <w:rsid w:val="00FE2D6E"/>
    <w:rsid w:val="00FE2DB2"/>
    <w:rsid w:val="00FE3BBC"/>
    <w:rsid w:val="00FE5273"/>
    <w:rsid w:val="00FE65F3"/>
    <w:rsid w:val="00FE6EF0"/>
    <w:rsid w:val="00FF5A33"/>
    <w:rsid w:val="00FF64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3"/>
    <o:shapelayout v:ext="edit">
      <o:idmap v:ext="edit" data="1"/>
    </o:shapelayout>
  </w:shapeDefaults>
  <w:decimalSymbol w:val="."/>
  <w:listSeparator w:val=","/>
  <w14:docId w14:val="6DCB29C0"/>
  <w15:chartTrackingRefBased/>
  <w15:docId w15:val="{C093D821-59B7-4EE8-9AD9-B20EFF9F06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84CE4"/>
    <w:rPr>
      <w:kern w:val="0"/>
      <w14:ligatures w14:val="none"/>
    </w:rPr>
  </w:style>
  <w:style w:type="paragraph" w:styleId="Heading1">
    <w:name w:val="heading 1"/>
    <w:basedOn w:val="Normal"/>
    <w:next w:val="Normal"/>
    <w:link w:val="Heading1Char"/>
    <w:uiPriority w:val="9"/>
    <w:qFormat/>
    <w:rsid w:val="00284CE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284CE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284CE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84CE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84CE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84CE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84CE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84CE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84CE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84CE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284CE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84CE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84CE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84CE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84CE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84CE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84CE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84CE4"/>
    <w:rPr>
      <w:rFonts w:eastAsiaTheme="majorEastAsia" w:cstheme="majorBidi"/>
      <w:color w:val="272727" w:themeColor="text1" w:themeTint="D8"/>
    </w:rPr>
  </w:style>
  <w:style w:type="paragraph" w:styleId="Title">
    <w:name w:val="Title"/>
    <w:basedOn w:val="Normal"/>
    <w:next w:val="Normal"/>
    <w:link w:val="TitleChar"/>
    <w:uiPriority w:val="10"/>
    <w:qFormat/>
    <w:rsid w:val="00284CE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84CE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84CE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84CE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84CE4"/>
    <w:pPr>
      <w:spacing w:before="160"/>
      <w:jc w:val="center"/>
    </w:pPr>
    <w:rPr>
      <w:i/>
      <w:iCs/>
      <w:color w:val="404040" w:themeColor="text1" w:themeTint="BF"/>
    </w:rPr>
  </w:style>
  <w:style w:type="character" w:customStyle="1" w:styleId="QuoteChar">
    <w:name w:val="Quote Char"/>
    <w:basedOn w:val="DefaultParagraphFont"/>
    <w:link w:val="Quote"/>
    <w:uiPriority w:val="29"/>
    <w:rsid w:val="00284CE4"/>
    <w:rPr>
      <w:i/>
      <w:iCs/>
      <w:color w:val="404040" w:themeColor="text1" w:themeTint="BF"/>
    </w:rPr>
  </w:style>
  <w:style w:type="paragraph" w:styleId="ListParagraph">
    <w:name w:val="List Paragraph"/>
    <w:basedOn w:val="Normal"/>
    <w:uiPriority w:val="34"/>
    <w:qFormat/>
    <w:rsid w:val="00284CE4"/>
    <w:pPr>
      <w:ind w:left="720"/>
      <w:contextualSpacing/>
    </w:pPr>
  </w:style>
  <w:style w:type="character" w:styleId="IntenseEmphasis">
    <w:name w:val="Intense Emphasis"/>
    <w:basedOn w:val="DefaultParagraphFont"/>
    <w:uiPriority w:val="21"/>
    <w:qFormat/>
    <w:rsid w:val="00284CE4"/>
    <w:rPr>
      <w:i/>
      <w:iCs/>
      <w:color w:val="0F4761" w:themeColor="accent1" w:themeShade="BF"/>
    </w:rPr>
  </w:style>
  <w:style w:type="paragraph" w:styleId="IntenseQuote">
    <w:name w:val="Intense Quote"/>
    <w:basedOn w:val="Normal"/>
    <w:next w:val="Normal"/>
    <w:link w:val="IntenseQuoteChar"/>
    <w:uiPriority w:val="30"/>
    <w:qFormat/>
    <w:rsid w:val="00284CE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84CE4"/>
    <w:rPr>
      <w:i/>
      <w:iCs/>
      <w:color w:val="0F4761" w:themeColor="accent1" w:themeShade="BF"/>
    </w:rPr>
  </w:style>
  <w:style w:type="character" w:styleId="IntenseReference">
    <w:name w:val="Intense Reference"/>
    <w:basedOn w:val="DefaultParagraphFont"/>
    <w:uiPriority w:val="32"/>
    <w:qFormat/>
    <w:rsid w:val="00284CE4"/>
    <w:rPr>
      <w:b/>
      <w:bCs/>
      <w:smallCaps/>
      <w:color w:val="0F4761" w:themeColor="accent1" w:themeShade="BF"/>
      <w:spacing w:val="5"/>
    </w:rPr>
  </w:style>
  <w:style w:type="paragraph" w:styleId="TOCHeading">
    <w:name w:val="TOC Heading"/>
    <w:basedOn w:val="Heading1"/>
    <w:next w:val="Normal"/>
    <w:uiPriority w:val="39"/>
    <w:unhideWhenUsed/>
    <w:qFormat/>
    <w:rsid w:val="00284CE4"/>
    <w:pPr>
      <w:spacing w:before="240" w:after="0"/>
      <w:outlineLvl w:val="9"/>
    </w:pPr>
    <w:rPr>
      <w:sz w:val="32"/>
      <w:szCs w:val="32"/>
      <w:lang w:eastAsia="en-GB"/>
    </w:rPr>
  </w:style>
  <w:style w:type="paragraph" w:styleId="Header">
    <w:name w:val="header"/>
    <w:basedOn w:val="Normal"/>
    <w:link w:val="HeaderChar"/>
    <w:uiPriority w:val="99"/>
    <w:unhideWhenUsed/>
    <w:rsid w:val="00284CE4"/>
    <w:pPr>
      <w:tabs>
        <w:tab w:val="center" w:pos="4513"/>
        <w:tab w:val="right" w:pos="9026"/>
      </w:tabs>
      <w:spacing w:after="0" w:line="240" w:lineRule="auto"/>
    </w:pPr>
  </w:style>
  <w:style w:type="character" w:customStyle="1" w:styleId="HeaderChar">
    <w:name w:val="Header Char"/>
    <w:basedOn w:val="DefaultParagraphFont"/>
    <w:link w:val="Header"/>
    <w:uiPriority w:val="99"/>
    <w:rsid w:val="00284CE4"/>
    <w:rPr>
      <w:kern w:val="0"/>
      <w14:ligatures w14:val="none"/>
    </w:rPr>
  </w:style>
  <w:style w:type="paragraph" w:styleId="Footer">
    <w:name w:val="footer"/>
    <w:basedOn w:val="Normal"/>
    <w:link w:val="FooterChar"/>
    <w:uiPriority w:val="99"/>
    <w:unhideWhenUsed/>
    <w:rsid w:val="00284CE4"/>
    <w:pPr>
      <w:tabs>
        <w:tab w:val="center" w:pos="4513"/>
        <w:tab w:val="right" w:pos="9026"/>
      </w:tabs>
      <w:spacing w:after="0" w:line="240" w:lineRule="auto"/>
    </w:pPr>
  </w:style>
  <w:style w:type="character" w:customStyle="1" w:styleId="FooterChar">
    <w:name w:val="Footer Char"/>
    <w:basedOn w:val="DefaultParagraphFont"/>
    <w:link w:val="Footer"/>
    <w:uiPriority w:val="99"/>
    <w:rsid w:val="00284CE4"/>
    <w:rPr>
      <w:kern w:val="0"/>
      <w14:ligatures w14:val="none"/>
    </w:rPr>
  </w:style>
  <w:style w:type="paragraph" w:styleId="TOC1">
    <w:name w:val="toc 1"/>
    <w:basedOn w:val="Normal"/>
    <w:next w:val="Normal"/>
    <w:autoRedefine/>
    <w:uiPriority w:val="39"/>
    <w:unhideWhenUsed/>
    <w:rsid w:val="00284CE4"/>
    <w:pPr>
      <w:spacing w:after="100"/>
    </w:pPr>
  </w:style>
  <w:style w:type="character" w:styleId="Hyperlink">
    <w:name w:val="Hyperlink"/>
    <w:basedOn w:val="DefaultParagraphFont"/>
    <w:uiPriority w:val="99"/>
    <w:unhideWhenUsed/>
    <w:rsid w:val="00284CE4"/>
    <w:rPr>
      <w:color w:val="467886" w:themeColor="hyperlink"/>
      <w:u w:val="single"/>
    </w:rPr>
  </w:style>
  <w:style w:type="character" w:styleId="UnresolvedMention">
    <w:name w:val="Unresolved Mention"/>
    <w:basedOn w:val="DefaultParagraphFont"/>
    <w:uiPriority w:val="99"/>
    <w:semiHidden/>
    <w:unhideWhenUsed/>
    <w:rsid w:val="00870064"/>
    <w:rPr>
      <w:color w:val="605E5C"/>
      <w:shd w:val="clear" w:color="auto" w:fill="E1DFDD"/>
    </w:rPr>
  </w:style>
  <w:style w:type="paragraph" w:styleId="TOC2">
    <w:name w:val="toc 2"/>
    <w:basedOn w:val="Normal"/>
    <w:next w:val="Normal"/>
    <w:autoRedefine/>
    <w:uiPriority w:val="39"/>
    <w:unhideWhenUsed/>
    <w:rsid w:val="002B1727"/>
    <w:pPr>
      <w:spacing w:after="100"/>
      <w:ind w:left="220"/>
    </w:pPr>
  </w:style>
  <w:style w:type="paragraph" w:styleId="NormalWeb">
    <w:name w:val="Normal (Web)"/>
    <w:basedOn w:val="Normal"/>
    <w:uiPriority w:val="99"/>
    <w:semiHidden/>
    <w:unhideWhenUsed/>
    <w:rsid w:val="00E3584C"/>
    <w:pPr>
      <w:spacing w:before="100" w:beforeAutospacing="1" w:after="100" w:afterAutospacing="1" w:line="240" w:lineRule="auto"/>
    </w:pPr>
    <w:rPr>
      <w:rFonts w:ascii="Times New Roman" w:eastAsiaTheme="minorEastAsia" w:hAnsi="Times New Roman" w:cs="Times New Roman"/>
      <w:sz w:val="24"/>
      <w:szCs w:val="24"/>
      <w:lang w:eastAsia="en-GB"/>
    </w:rPr>
  </w:style>
  <w:style w:type="character" w:styleId="Emphasis">
    <w:name w:val="Emphasis"/>
    <w:basedOn w:val="DefaultParagraphFont"/>
    <w:uiPriority w:val="20"/>
    <w:qFormat/>
    <w:rsid w:val="00E3584C"/>
    <w:rPr>
      <w:i/>
      <w:iCs/>
    </w:rPr>
  </w:style>
  <w:style w:type="character" w:styleId="Strong">
    <w:name w:val="Strong"/>
    <w:basedOn w:val="DefaultParagraphFont"/>
    <w:uiPriority w:val="22"/>
    <w:qFormat/>
    <w:rsid w:val="00E3584C"/>
    <w:rPr>
      <w:b/>
      <w:bCs/>
    </w:rPr>
  </w:style>
  <w:style w:type="character" w:styleId="HTMLCode">
    <w:name w:val="HTML Code"/>
    <w:basedOn w:val="DefaultParagraphFont"/>
    <w:uiPriority w:val="99"/>
    <w:semiHidden/>
    <w:unhideWhenUsed/>
    <w:rsid w:val="00E3584C"/>
    <w:rPr>
      <w:rFonts w:ascii="Courier New" w:eastAsiaTheme="minorEastAsia" w:hAnsi="Courier New" w:cs="Courier New"/>
      <w:sz w:val="20"/>
      <w:szCs w:val="20"/>
    </w:rPr>
  </w:style>
  <w:style w:type="table" w:styleId="TableGrid">
    <w:name w:val="Table Grid"/>
    <w:basedOn w:val="TableNormal"/>
    <w:uiPriority w:val="39"/>
    <w:rsid w:val="002972E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2972E9"/>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books.google.co.uk/books?id=2qV0ZIjJ3eAC&amp;printsec=frontcover#v=onepage&amp;q&amp;f=false" TargetMode="External"/><Relationship Id="rId18" Type="http://schemas.openxmlformats.org/officeDocument/2006/relationships/hyperlink" Target="https://www.gov.uk/government/news/government-to-tackle-nhs-workforce-crisis-with-refreshed-plan" TargetMode="External"/><Relationship Id="rId26" Type="http://schemas.openxmlformats.org/officeDocument/2006/relationships/hyperlink" Target="https://doi.org/10.1186/s12909-022-03892-9" TargetMode="External"/><Relationship Id="rId39" Type="http://schemas.openxmlformats.org/officeDocument/2006/relationships/hyperlink" Target="https://hbr.org/2024/06/the-importance-of-setting-boundaries-with-your-mentor" TargetMode="External"/><Relationship Id="rId21" Type="http://schemas.openxmlformats.org/officeDocument/2006/relationships/hyperlink" Target="https://doi.org/10.53841/bpstcp.2018.14.2.124" TargetMode="External"/><Relationship Id="rId34" Type="http://schemas.openxmlformats.org/officeDocument/2006/relationships/hyperlink" Target="https://www.simplypsychology.org/bandura.html" TargetMode="External"/><Relationship Id="rId42" Type="http://schemas.openxmlformats.org/officeDocument/2006/relationships/hyperlink" Target="https://doi.org/10.3389/feduc.2024.1393660" TargetMode="External"/><Relationship Id="rId47" Type="http://schemas.openxmlformats.org/officeDocument/2006/relationships/hyperlink" Target="https://doi.org/10.1177/07417136211045695" TargetMode="External"/><Relationship Id="rId50" Type="http://schemas.openxmlformats.org/officeDocument/2006/relationships/hyperlink" Target="https://pmstudycircle.com/oscar-model/" TargetMode="External"/><Relationship Id="rId55" Type="http://schemas.openxmlformats.org/officeDocument/2006/relationships/theme" Target="theme/theme1.xml"/><Relationship Id="rId7" Type="http://schemas.openxmlformats.org/officeDocument/2006/relationships/image" Target="media/image1.jpeg"/><Relationship Id="rId2" Type="http://schemas.openxmlformats.org/officeDocument/2006/relationships/styles" Target="styles.xml"/><Relationship Id="rId16" Type="http://schemas.openxmlformats.org/officeDocument/2006/relationships/hyperlink" Target="https://doi.org/10.2478/ijhrd-2025-0002" TargetMode="External"/><Relationship Id="rId29" Type="http://schemas.openxmlformats.org/officeDocument/2006/relationships/hyperlink" Target="https://invictusleadership.co.uk/news-%26-resources/f/the-grow-model-a-critical-review-within-organisations" TargetMode="External"/><Relationship Id="rId11" Type="http://schemas.openxmlformats.org/officeDocument/2006/relationships/hyperlink" Target="https://www.disruptiveleadership.institute/grow_model/" TargetMode="External"/><Relationship Id="rId24" Type="http://schemas.openxmlformats.org/officeDocument/2006/relationships/hyperlink" Target="https://doi.org/10.1007/s10671-019-09251-8" TargetMode="External"/><Relationship Id="rId32" Type="http://schemas.openxmlformats.org/officeDocument/2006/relationships/hyperlink" Target="https://doi.org/10.1002/hrdq.21548" TargetMode="External"/><Relationship Id="rId37" Type="http://schemas.openxmlformats.org/officeDocument/2006/relationships/hyperlink" Target="https://www.nursingtimes.net/leadership/building-effective-healthcare-teams-the-role-of-team-coaching-23-01-2025/" TargetMode="External"/><Relationship Id="rId40" Type="http://schemas.openxmlformats.org/officeDocument/2006/relationships/hyperlink" Target="https://doi.org/10.4081/ripppo.2024.722" TargetMode="External"/><Relationship Id="rId45" Type="http://schemas.openxmlformats.org/officeDocument/2006/relationships/hyperlink" Target="https://www.britishjournalofnursing.com/content/top-ten-tips/nurturing-success-by-developing-a-mentor-mentee-relationship" TargetMode="External"/><Relationship Id="rId53"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doi.org/10.1108/01437730710823860" TargetMode="External"/><Relationship Id="rId19" Type="http://schemas.openxmlformats.org/officeDocument/2006/relationships/hyperlink" Target="https://doi-org.uwtsd.idm.oclc.org/10.1037/a0029279" TargetMode="External"/><Relationship Id="rId31" Type="http://schemas.openxmlformats.org/officeDocument/2006/relationships/hyperlink" Target="https://doi.org/10.4324/9781315816951" TargetMode="External"/><Relationship Id="rId44" Type="http://schemas.openxmlformats.org/officeDocument/2006/relationships/hyperlink" Target="https://doi-org.uwtsd.idm.oclc.org/10.1037/0022-006X.60.6.827" TargetMode="External"/><Relationship Id="rId52" Type="http://schemas.openxmlformats.org/officeDocument/2006/relationships/hyperlink" Target="https://doi.org/10.59429/esp.v9i8.2789" TargetMode="External"/><Relationship Id="rId4" Type="http://schemas.openxmlformats.org/officeDocument/2006/relationships/webSettings" Target="webSettings.xml"/><Relationship Id="rId9" Type="http://schemas.openxmlformats.org/officeDocument/2006/relationships/hyperlink" Target="https://doi.org/10.1111/j.1365-2923.2009.03546.x" TargetMode="External"/><Relationship Id="rId14" Type="http://schemas.openxmlformats.org/officeDocument/2006/relationships/hyperlink" Target="https://pubmed.ncbi.nlm.nih.gov/29318730/" TargetMode="External"/><Relationship Id="rId22" Type="http://schemas.openxmlformats.org/officeDocument/2006/relationships/hyperlink" Target="https://doi.org/10.1080/14697017.2013.805159" TargetMode="External"/><Relationship Id="rId27" Type="http://schemas.openxmlformats.org/officeDocument/2006/relationships/hyperlink" Target="https://doi.org/10.3102/003465430298487" TargetMode="External"/><Relationship Id="rId30" Type="http://schemas.openxmlformats.org/officeDocument/2006/relationships/hyperlink" Target="https://doi.org/10.1108/ijmce-03-2021-0054" TargetMode="External"/><Relationship Id="rId35" Type="http://schemas.openxmlformats.org/officeDocument/2006/relationships/hyperlink" Target="https://doi.org/10.1080/10872981.2023.2289262" TargetMode="External"/><Relationship Id="rId43" Type="http://schemas.openxmlformats.org/officeDocument/2006/relationships/hyperlink" Target="https://pmc.ncbi.nlm.nih.gov/articles/PMC10495732/" TargetMode="External"/><Relationship Id="rId48" Type="http://schemas.openxmlformats.org/officeDocument/2006/relationships/hyperlink" Target="https://doi.org/10.1097/acm.0b013e31827647a0" TargetMode="External"/><Relationship Id="rId8" Type="http://schemas.openxmlformats.org/officeDocument/2006/relationships/hyperlink" Target="https://doi.org/10.1016/j.tate.2025.105228" TargetMode="External"/><Relationship Id="rId51" Type="http://schemas.openxmlformats.org/officeDocument/2006/relationships/hyperlink" Target="https://www.gov.wales/sites/default/files/publications/2023-01/national-workforce-implementation-plan.pdf" TargetMode="External"/><Relationship Id="rId3" Type="http://schemas.openxmlformats.org/officeDocument/2006/relationships/settings" Target="settings.xml"/><Relationship Id="rId12" Type="http://schemas.openxmlformats.org/officeDocument/2006/relationships/hyperlink" Target="https://doi.org/10.1007/978-981-96-5670-7_1" TargetMode="External"/><Relationship Id="rId17" Type="http://schemas.openxmlformats.org/officeDocument/2006/relationships/hyperlink" Target="https://www.cipd.org/en/knowledge/factsheets/coaching-mentoring-factsheet/" TargetMode="External"/><Relationship Id="rId25" Type="http://schemas.openxmlformats.org/officeDocument/2006/relationships/hyperlink" Target="https://doi.org/10.1136/bmj.q2207" TargetMode="External"/><Relationship Id="rId33" Type="http://schemas.openxmlformats.org/officeDocument/2006/relationships/hyperlink" Target="https://doi.org/10.2147/jhl.s482087" TargetMode="External"/><Relationship Id="rId38" Type="http://schemas.openxmlformats.org/officeDocument/2006/relationships/hyperlink" Target="https://www.nmc.org.uk/globalassets/sitedocuments/standards/supporting-information-for-reflection-in-nursing-and-midwifery-practice.pdf" TargetMode="External"/><Relationship Id="rId46" Type="http://schemas.openxmlformats.org/officeDocument/2006/relationships/hyperlink" Target="https://doi.org/10.1016/j.nepr.2022.103338" TargetMode="External"/><Relationship Id="rId20" Type="http://schemas.openxmlformats.org/officeDocument/2006/relationships/hyperlink" Target="https://doi.org/10.1080/03054980701425706" TargetMode="External"/><Relationship Id="rId41" Type="http://schemas.openxmlformats.org/officeDocument/2006/relationships/hyperlink" Target="https://eoe.leadershipacademy.nhs.uk/wp-content/uploads/sites/31/2024/08/060824-V2-Exec-Career-Mentoring-Resource-EoETalentLeadership.pdf" TargetMode="External"/><Relationship Id="rId54"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www.businessballs.com/coaching-and-mentoring/oscar-model-of-coaching/" TargetMode="External"/><Relationship Id="rId23" Type="http://schemas.openxmlformats.org/officeDocument/2006/relationships/hyperlink" Target="https://doi.org/10.1007/978-3-030-81938-5_69" TargetMode="External"/><Relationship Id="rId28" Type="http://schemas.openxmlformats.org/officeDocument/2006/relationships/hyperlink" Target="https://doi.org/10.51798/sijis.v6i1.888" TargetMode="External"/><Relationship Id="rId36" Type="http://schemas.openxmlformats.org/officeDocument/2006/relationships/hyperlink" Target="https://positivepsychology.com/goal-setting-theory/" TargetMode="External"/><Relationship Id="rId49" Type="http://schemas.openxmlformats.org/officeDocument/2006/relationships/hyperlink" Target="https://www.thestrategyinstitute.org/insights/strategy-implementation-key-concepts-for-organizational-succes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29556</TotalTime>
  <Pages>28</Pages>
  <Words>7515</Words>
  <Characters>52157</Characters>
  <Application>Microsoft Office Word</Application>
  <DocSecurity>0</DocSecurity>
  <Lines>899</Lines>
  <Paragraphs>281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59391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Jessica Rudall</dc:creator>
  <cp:keywords/>
  <dc:description/>
  <cp:lastModifiedBy>Jessica Rudall</cp:lastModifiedBy>
  <cp:revision>1014</cp:revision>
  <dcterms:created xsi:type="dcterms:W3CDTF">2026-02-07T21:46:00Z</dcterms:created>
  <dcterms:modified xsi:type="dcterms:W3CDTF">2026-03-18T22:04:00Z</dcterms:modified>
</cp:coreProperties>
</file>