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029507" w14:textId="77777777" w:rsidR="00AF4CBF" w:rsidRPr="003E147F" w:rsidRDefault="00AF4CBF" w:rsidP="00AF4CBF">
      <w:pPr>
        <w:rPr>
          <w:rFonts w:ascii="Arial" w:hAnsi="Arial" w:cs="Arial"/>
        </w:rPr>
      </w:pPr>
    </w:p>
    <w:p w14:paraId="7A2D8338" w14:textId="77777777" w:rsidR="00AF4CBF" w:rsidRPr="003E147F" w:rsidRDefault="00AF4CBF" w:rsidP="00AF4CBF">
      <w:pPr>
        <w:jc w:val="center"/>
        <w:rPr>
          <w:rFonts w:ascii="Arial" w:hAnsi="Arial" w:cs="Arial"/>
          <w:sz w:val="28"/>
          <w:szCs w:val="28"/>
        </w:rPr>
      </w:pPr>
      <w:r w:rsidRPr="003E147F">
        <w:rPr>
          <w:rFonts w:ascii="Arial" w:hAnsi="Arial" w:cs="Arial"/>
          <w:sz w:val="28"/>
          <w:szCs w:val="28"/>
        </w:rPr>
        <w:t>Student name: Bianca Stefania Postelnicu</w:t>
      </w:r>
    </w:p>
    <w:p w14:paraId="3F0FF81A" w14:textId="77777777" w:rsidR="00AF4CBF" w:rsidRPr="003E147F" w:rsidRDefault="00AF4CBF" w:rsidP="00AF4CBF">
      <w:pPr>
        <w:jc w:val="center"/>
        <w:rPr>
          <w:rFonts w:ascii="Arial" w:hAnsi="Arial" w:cs="Arial"/>
          <w:sz w:val="28"/>
          <w:szCs w:val="28"/>
        </w:rPr>
      </w:pPr>
    </w:p>
    <w:p w14:paraId="62ADC18E" w14:textId="77777777" w:rsidR="00AF4CBF" w:rsidRPr="003E147F" w:rsidRDefault="00AF4CBF" w:rsidP="00AF4CBF">
      <w:pPr>
        <w:jc w:val="center"/>
        <w:rPr>
          <w:rFonts w:ascii="Arial" w:hAnsi="Arial" w:cs="Arial"/>
          <w:sz w:val="28"/>
          <w:szCs w:val="28"/>
        </w:rPr>
      </w:pPr>
      <w:r w:rsidRPr="003E147F">
        <w:rPr>
          <w:rFonts w:ascii="Arial" w:hAnsi="Arial" w:cs="Arial"/>
          <w:sz w:val="28"/>
          <w:szCs w:val="28"/>
        </w:rPr>
        <w:t>Student number: 2223852</w:t>
      </w:r>
    </w:p>
    <w:p w14:paraId="3EE742B2" w14:textId="77777777" w:rsidR="00AF4CBF" w:rsidRPr="003E147F" w:rsidRDefault="00AF4CBF" w:rsidP="00AF4CBF">
      <w:pPr>
        <w:jc w:val="center"/>
        <w:rPr>
          <w:rFonts w:ascii="Arial" w:hAnsi="Arial" w:cs="Arial"/>
          <w:sz w:val="28"/>
          <w:szCs w:val="28"/>
        </w:rPr>
      </w:pPr>
    </w:p>
    <w:p w14:paraId="48F685E6" w14:textId="77777777" w:rsidR="00AF4CBF" w:rsidRPr="003E147F" w:rsidRDefault="00AF4CBF" w:rsidP="00AF4CBF">
      <w:pPr>
        <w:jc w:val="center"/>
        <w:rPr>
          <w:rFonts w:ascii="Arial" w:hAnsi="Arial" w:cs="Arial"/>
          <w:sz w:val="28"/>
          <w:szCs w:val="28"/>
        </w:rPr>
      </w:pPr>
      <w:r w:rsidRPr="003E147F">
        <w:rPr>
          <w:rFonts w:ascii="Arial" w:hAnsi="Arial" w:cs="Arial"/>
          <w:sz w:val="28"/>
          <w:szCs w:val="28"/>
        </w:rPr>
        <w:t>Programmes:</w:t>
      </w:r>
    </w:p>
    <w:p w14:paraId="347B9D3A" w14:textId="77777777" w:rsidR="00AF4CBF" w:rsidRPr="003E147F" w:rsidRDefault="00AF4CBF" w:rsidP="00AF4CBF">
      <w:pPr>
        <w:jc w:val="center"/>
        <w:rPr>
          <w:rFonts w:ascii="Arial" w:hAnsi="Arial" w:cs="Arial"/>
          <w:sz w:val="28"/>
          <w:szCs w:val="28"/>
        </w:rPr>
      </w:pPr>
      <w:r w:rsidRPr="003E147F">
        <w:rPr>
          <w:rFonts w:ascii="Arial" w:hAnsi="Arial" w:cs="Arial"/>
          <w:sz w:val="28"/>
          <w:szCs w:val="28"/>
        </w:rPr>
        <w:t>BA  International Hotel Management</w:t>
      </w:r>
    </w:p>
    <w:p w14:paraId="054B774A" w14:textId="77777777" w:rsidR="00AF4CBF" w:rsidRPr="003E147F" w:rsidRDefault="00AF4CBF" w:rsidP="00AF4CBF">
      <w:pPr>
        <w:jc w:val="center"/>
        <w:rPr>
          <w:rFonts w:ascii="Arial" w:hAnsi="Arial" w:cs="Arial"/>
          <w:sz w:val="28"/>
          <w:szCs w:val="28"/>
        </w:rPr>
      </w:pPr>
    </w:p>
    <w:p w14:paraId="3B2C14B8" w14:textId="77777777" w:rsidR="00AF4CBF" w:rsidRPr="003E147F" w:rsidRDefault="00AF4CBF" w:rsidP="00AF4CBF">
      <w:pPr>
        <w:jc w:val="center"/>
        <w:rPr>
          <w:rFonts w:ascii="Arial" w:hAnsi="Arial" w:cs="Arial"/>
          <w:sz w:val="28"/>
          <w:szCs w:val="28"/>
        </w:rPr>
      </w:pPr>
      <w:r w:rsidRPr="003E147F">
        <w:rPr>
          <w:rFonts w:ascii="Arial" w:hAnsi="Arial" w:cs="Arial"/>
          <w:sz w:val="28"/>
          <w:szCs w:val="28"/>
        </w:rPr>
        <w:t>Module:</w:t>
      </w:r>
    </w:p>
    <w:p w14:paraId="2523B195" w14:textId="00B7EF74" w:rsidR="00AF4CBF" w:rsidRPr="003E147F" w:rsidRDefault="00AF4CBF" w:rsidP="00AF4CBF">
      <w:pPr>
        <w:jc w:val="center"/>
        <w:rPr>
          <w:rFonts w:ascii="Arial" w:hAnsi="Arial" w:cs="Arial"/>
          <w:sz w:val="28"/>
          <w:szCs w:val="28"/>
        </w:rPr>
      </w:pPr>
      <w:r w:rsidRPr="003E147F">
        <w:rPr>
          <w:rFonts w:ascii="Arial" w:hAnsi="Arial" w:cs="Arial"/>
          <w:sz w:val="28"/>
          <w:szCs w:val="28"/>
        </w:rPr>
        <w:t xml:space="preserve">Managing </w:t>
      </w:r>
      <w:r w:rsidR="00125791">
        <w:rPr>
          <w:rFonts w:ascii="Arial" w:hAnsi="Arial" w:cs="Arial"/>
          <w:sz w:val="28"/>
          <w:szCs w:val="28"/>
        </w:rPr>
        <w:t>Food &amp; Beverage Operations</w:t>
      </w:r>
    </w:p>
    <w:p w14:paraId="656079B1" w14:textId="77777777" w:rsidR="00AF4CBF" w:rsidRPr="003E147F" w:rsidRDefault="00AF4CBF" w:rsidP="00AF4CBF">
      <w:pPr>
        <w:jc w:val="center"/>
        <w:rPr>
          <w:rFonts w:ascii="Arial" w:hAnsi="Arial" w:cs="Arial"/>
          <w:sz w:val="28"/>
          <w:szCs w:val="28"/>
        </w:rPr>
      </w:pPr>
    </w:p>
    <w:p w14:paraId="41296FF7" w14:textId="77777777" w:rsidR="00AF4CBF" w:rsidRPr="003E147F" w:rsidRDefault="00AF4CBF" w:rsidP="00AF4CBF">
      <w:pPr>
        <w:jc w:val="center"/>
        <w:rPr>
          <w:rFonts w:ascii="Arial" w:hAnsi="Arial" w:cs="Arial"/>
          <w:sz w:val="28"/>
          <w:szCs w:val="28"/>
        </w:rPr>
      </w:pPr>
      <w:r w:rsidRPr="003E147F">
        <w:rPr>
          <w:rFonts w:ascii="Arial" w:hAnsi="Arial" w:cs="Arial"/>
          <w:sz w:val="28"/>
          <w:szCs w:val="28"/>
        </w:rPr>
        <w:t>Module code:</w:t>
      </w:r>
    </w:p>
    <w:p w14:paraId="6DB92973" w14:textId="32C157EF" w:rsidR="00AF4CBF" w:rsidRPr="003E147F" w:rsidRDefault="00AF4CBF" w:rsidP="00AF4CBF">
      <w:pPr>
        <w:jc w:val="center"/>
        <w:rPr>
          <w:rFonts w:ascii="Arial" w:hAnsi="Arial" w:cs="Arial"/>
          <w:sz w:val="28"/>
          <w:szCs w:val="28"/>
        </w:rPr>
      </w:pPr>
      <w:r w:rsidRPr="003E147F">
        <w:rPr>
          <w:rFonts w:ascii="Arial" w:hAnsi="Arial" w:cs="Arial"/>
          <w:sz w:val="28"/>
          <w:szCs w:val="28"/>
        </w:rPr>
        <w:t>BMIH6002</w:t>
      </w:r>
    </w:p>
    <w:p w14:paraId="73780EFE" w14:textId="77777777" w:rsidR="00AF4CBF" w:rsidRPr="003E147F" w:rsidRDefault="00AF4CBF" w:rsidP="00AF4CBF">
      <w:pPr>
        <w:jc w:val="center"/>
        <w:rPr>
          <w:rFonts w:ascii="Arial" w:hAnsi="Arial" w:cs="Arial"/>
          <w:sz w:val="28"/>
          <w:szCs w:val="28"/>
        </w:rPr>
      </w:pPr>
    </w:p>
    <w:p w14:paraId="5FE42DF8" w14:textId="77777777" w:rsidR="00AF4CBF" w:rsidRPr="003E147F" w:rsidRDefault="00AF4CBF" w:rsidP="00AF4CBF">
      <w:pPr>
        <w:jc w:val="center"/>
        <w:rPr>
          <w:rFonts w:ascii="Arial" w:hAnsi="Arial" w:cs="Arial"/>
          <w:sz w:val="28"/>
          <w:szCs w:val="28"/>
        </w:rPr>
      </w:pPr>
    </w:p>
    <w:p w14:paraId="4FC45B22" w14:textId="77777777" w:rsidR="00AF4CBF" w:rsidRPr="003E147F" w:rsidRDefault="00AF4CBF" w:rsidP="00AF4CBF">
      <w:pPr>
        <w:jc w:val="center"/>
        <w:rPr>
          <w:rFonts w:ascii="Arial" w:hAnsi="Arial" w:cs="Arial"/>
          <w:sz w:val="28"/>
          <w:szCs w:val="28"/>
        </w:rPr>
      </w:pPr>
    </w:p>
    <w:p w14:paraId="3AE9119A" w14:textId="77777777" w:rsidR="00AF4CBF" w:rsidRPr="003E147F" w:rsidRDefault="00AF4CBF" w:rsidP="00AF4CBF">
      <w:pPr>
        <w:jc w:val="center"/>
        <w:rPr>
          <w:rFonts w:ascii="Arial" w:hAnsi="Arial" w:cs="Arial"/>
          <w:sz w:val="28"/>
          <w:szCs w:val="28"/>
        </w:rPr>
      </w:pPr>
      <w:r w:rsidRPr="003E147F">
        <w:rPr>
          <w:rFonts w:ascii="Arial" w:hAnsi="Arial" w:cs="Arial"/>
          <w:sz w:val="28"/>
          <w:szCs w:val="28"/>
        </w:rPr>
        <w:t>DoubleTree by Hilton Southampton</w:t>
      </w:r>
    </w:p>
    <w:p w14:paraId="1A550A27" w14:textId="77777777" w:rsidR="00AF4CBF" w:rsidRPr="003E147F" w:rsidRDefault="00AF4CBF" w:rsidP="00AF4CBF">
      <w:pPr>
        <w:jc w:val="center"/>
        <w:rPr>
          <w:rFonts w:ascii="Arial" w:hAnsi="Arial" w:cs="Arial"/>
          <w:sz w:val="28"/>
          <w:szCs w:val="28"/>
        </w:rPr>
      </w:pPr>
    </w:p>
    <w:p w14:paraId="522F25D2" w14:textId="77777777" w:rsidR="00AF4CBF" w:rsidRPr="003E147F" w:rsidRDefault="00AF4CBF" w:rsidP="00AF4CBF">
      <w:pPr>
        <w:jc w:val="center"/>
        <w:rPr>
          <w:rFonts w:ascii="Arial" w:hAnsi="Arial" w:cs="Arial"/>
          <w:sz w:val="28"/>
          <w:szCs w:val="28"/>
        </w:rPr>
      </w:pPr>
      <w:r w:rsidRPr="003E147F">
        <w:rPr>
          <w:rFonts w:ascii="Arial" w:hAnsi="Arial" w:cs="Arial"/>
          <w:sz w:val="28"/>
          <w:szCs w:val="28"/>
        </w:rPr>
        <w:t>Reflective Learning Log – Food and Beverage Department</w:t>
      </w:r>
    </w:p>
    <w:p w14:paraId="7DFC46A5" w14:textId="77777777" w:rsidR="00AF4CBF" w:rsidRPr="003E147F" w:rsidRDefault="00AF4CBF" w:rsidP="00AF4CBF">
      <w:pPr>
        <w:jc w:val="center"/>
        <w:rPr>
          <w:rFonts w:ascii="Arial" w:hAnsi="Arial" w:cs="Arial"/>
          <w:sz w:val="28"/>
          <w:szCs w:val="28"/>
        </w:rPr>
      </w:pPr>
    </w:p>
    <w:p w14:paraId="4B733F67" w14:textId="77777777" w:rsidR="00AF4CBF" w:rsidRPr="003E147F" w:rsidRDefault="00AF4CBF" w:rsidP="00AF4CBF">
      <w:pPr>
        <w:jc w:val="center"/>
        <w:rPr>
          <w:rFonts w:ascii="Arial" w:hAnsi="Arial" w:cs="Arial"/>
          <w:sz w:val="28"/>
          <w:szCs w:val="28"/>
        </w:rPr>
      </w:pPr>
    </w:p>
    <w:p w14:paraId="1F5425F7" w14:textId="77777777" w:rsidR="00AF4CBF" w:rsidRPr="00D30D0B" w:rsidRDefault="00AF4CBF" w:rsidP="00AF4CBF">
      <w:pPr>
        <w:rPr>
          <w:rFonts w:ascii="Arial" w:hAnsi="Arial" w:cs="Arial"/>
        </w:rPr>
      </w:pPr>
    </w:p>
    <w:p w14:paraId="7A413C82" w14:textId="77777777" w:rsidR="00AF4CBF" w:rsidRPr="00D30D0B" w:rsidRDefault="00AF4CBF" w:rsidP="00AF4CBF">
      <w:pPr>
        <w:rPr>
          <w:rFonts w:ascii="Arial" w:hAnsi="Arial" w:cs="Arial"/>
        </w:rPr>
      </w:pPr>
    </w:p>
    <w:p w14:paraId="291BEE22" w14:textId="77777777" w:rsidR="00AF4CBF" w:rsidRDefault="00AF4CBF" w:rsidP="00AF4CBF"/>
    <w:p w14:paraId="30B803AC" w14:textId="77777777" w:rsidR="00AF4CBF" w:rsidRDefault="00AF4CBF" w:rsidP="00AF4CBF"/>
    <w:p w14:paraId="475D6BD8" w14:textId="77777777" w:rsidR="00AF4CBF" w:rsidRDefault="00AF4CBF" w:rsidP="00AF4CBF"/>
    <w:p w14:paraId="0F0FECD9" w14:textId="77777777" w:rsidR="003E147F" w:rsidRDefault="003E147F" w:rsidP="00AF4CBF"/>
    <w:p w14:paraId="65FF0FBD" w14:textId="77777777" w:rsidR="00AF4CBF" w:rsidRPr="003E147F" w:rsidRDefault="00AF4CBF" w:rsidP="00AF4CBF">
      <w:pPr>
        <w:rPr>
          <w:b/>
          <w:bCs/>
        </w:rPr>
      </w:pPr>
      <w:r w:rsidRPr="003E147F">
        <w:rPr>
          <w:b/>
          <w:bCs/>
        </w:rPr>
        <w:lastRenderedPageBreak/>
        <w:t>Introduction</w:t>
      </w:r>
    </w:p>
    <w:p w14:paraId="050BB070" w14:textId="77777777" w:rsidR="00AF4CBF" w:rsidRDefault="00AF4CBF" w:rsidP="00AF4CBF">
      <w:r>
        <w:t>During my ten-week placement at DoubleTree by Hilton Southampton, I spent five weeks rotating through different departments. This log focuses on my time in the Food and Beverage sector. The department handles breakfast (served on a self-service basis in the restaurant), bar lunch, conference meals, and room service. The team had to stay in sync with the kitchen and front desk, especially when things got busy. While working there, I wanted to understand how supervisors guide the shift, become faster and more accurate with billing tasks such as opening tabs, and consider where CSR could be applied in day-to-day service.</w:t>
      </w:r>
    </w:p>
    <w:p w14:paraId="2C7C65F2" w14:textId="77777777" w:rsidR="00AF4CBF" w:rsidRDefault="00AF4CBF" w:rsidP="00AF4CBF"/>
    <w:p w14:paraId="3B5FC3AA" w14:textId="77777777" w:rsidR="00AF4CBF" w:rsidRPr="00A54DEA" w:rsidRDefault="00AF4CBF" w:rsidP="00AF4CBF">
      <w:pPr>
        <w:rPr>
          <w:b/>
          <w:bCs/>
          <w:sz w:val="28"/>
          <w:szCs w:val="28"/>
        </w:rPr>
      </w:pPr>
      <w:r w:rsidRPr="00A54DEA">
        <w:rPr>
          <w:b/>
          <w:bCs/>
          <w:sz w:val="28"/>
          <w:szCs w:val="28"/>
        </w:rPr>
        <w:t>Section 1: Role Reflection</w:t>
      </w:r>
    </w:p>
    <w:p w14:paraId="63E226EC" w14:textId="77777777" w:rsidR="00AF4CBF" w:rsidRDefault="00AF4CBF" w:rsidP="00AF4CBF">
      <w:r>
        <w:t>To critically reflect on my placement experience, I applied Gibbs’ Reflective Cycle (1988). This model allowed me to analyse specific service situations and understand how my actions shaped outcomes.</w:t>
      </w:r>
    </w:p>
    <w:p w14:paraId="75FC2796" w14:textId="704F1954" w:rsidR="00AF4CBF" w:rsidRPr="003E147F" w:rsidRDefault="003E147F" w:rsidP="00AF4CBF">
      <w:pPr>
        <w:rPr>
          <w:b/>
          <w:bCs/>
        </w:rPr>
      </w:pPr>
      <w:r>
        <w:rPr>
          <w:b/>
          <w:bCs/>
        </w:rPr>
        <w:t xml:space="preserve">        </w:t>
      </w:r>
      <w:r w:rsidR="00AF4CBF" w:rsidRPr="003E147F">
        <w:rPr>
          <w:b/>
          <w:bCs/>
        </w:rPr>
        <w:t>1.</w:t>
      </w:r>
      <w:r w:rsidR="00AF4CBF" w:rsidRPr="003E147F">
        <w:rPr>
          <w:b/>
          <w:bCs/>
        </w:rPr>
        <w:tab/>
        <w:t xml:space="preserve">Description (What happened?) </w:t>
      </w:r>
    </w:p>
    <w:p w14:paraId="6587AF5C" w14:textId="77777777" w:rsidR="00AF4CBF" w:rsidRDefault="00AF4CBF" w:rsidP="00AF4CBF">
      <w:r>
        <w:t>In F&amp;B, I worked across different parts of the service. Most of the time, I was welcoming guests, helping with clearing and resetting tables, and dealing with dietary needs. One task that stood out was the restaurant tab process Hilton uses. I had to collect the DBB list from reception, confirm room numbers, check credit or allowances in the POS, and then get the guest to sign the bill. There were several steps, and it took some time before I felt like I was doing it properly, especially when the service got hectic during dinner.</w:t>
      </w:r>
    </w:p>
    <w:p w14:paraId="215F3EA8" w14:textId="6C8E55E4" w:rsidR="00AF4CBF" w:rsidRPr="003E147F" w:rsidRDefault="003E147F" w:rsidP="00AF4CBF">
      <w:pPr>
        <w:rPr>
          <w:b/>
          <w:bCs/>
        </w:rPr>
      </w:pPr>
      <w:r w:rsidRPr="003E147F">
        <w:rPr>
          <w:b/>
          <w:bCs/>
        </w:rPr>
        <w:t xml:space="preserve">        </w:t>
      </w:r>
      <w:r w:rsidR="00AF4CBF" w:rsidRPr="003E147F">
        <w:rPr>
          <w:b/>
          <w:bCs/>
        </w:rPr>
        <w:t>2.</w:t>
      </w:r>
      <w:r w:rsidR="00AF4CBF" w:rsidRPr="003E147F">
        <w:rPr>
          <w:b/>
          <w:bCs/>
        </w:rPr>
        <w:tab/>
        <w:t xml:space="preserve">Feelings (What was I thinking and feeling?) </w:t>
      </w:r>
    </w:p>
    <w:p w14:paraId="5DF36B87" w14:textId="77777777" w:rsidR="00AF4CBF" w:rsidRDefault="00AF4CBF" w:rsidP="00AF4CBF">
      <w:r>
        <w:t>I observed that effective supervisors strike a balance between logistical control and emotional intelligence. Their ability to remain calm under pressure and communicate stood out. According to Ohlsson et al. (2020) and Stainbock (2019), these qualities are essential in fast-paced service settings. I noticed that I could manage pressure well and remain detail-oriented during tasks like allergen management, but I felt less confident asserting myself when coordinating with more senior staff.</w:t>
      </w:r>
    </w:p>
    <w:p w14:paraId="5E70F23B" w14:textId="0AC95087" w:rsidR="00AF4CBF" w:rsidRPr="003E147F" w:rsidRDefault="003E147F" w:rsidP="00AF4CBF">
      <w:pPr>
        <w:rPr>
          <w:b/>
          <w:bCs/>
        </w:rPr>
      </w:pPr>
      <w:r w:rsidRPr="003E147F">
        <w:rPr>
          <w:b/>
          <w:bCs/>
        </w:rPr>
        <w:t xml:space="preserve">        </w:t>
      </w:r>
      <w:r w:rsidR="00AF4CBF" w:rsidRPr="003E147F">
        <w:rPr>
          <w:b/>
          <w:bCs/>
        </w:rPr>
        <w:t>3.</w:t>
      </w:r>
      <w:r w:rsidR="00AF4CBF" w:rsidRPr="003E147F">
        <w:rPr>
          <w:b/>
          <w:bCs/>
        </w:rPr>
        <w:tab/>
        <w:t xml:space="preserve">Evaluation (What was good or bad?) </w:t>
      </w:r>
    </w:p>
    <w:p w14:paraId="2E09B99F" w14:textId="77777777" w:rsidR="00AF4CBF" w:rsidRDefault="00AF4CBF" w:rsidP="00AF4CBF">
      <w:r>
        <w:t>One morning, during a busy breakfast shift, our supervisor calmly reassigned tasks, delegating allergen enquiries to me, ensuring both service flow and guest safety. In contrast, on a day when no supervisor was present, billing confusion led to guest complaints. These experiences showed the direct impact of supervision on team performance and guest satisfaction.</w:t>
      </w:r>
    </w:p>
    <w:p w14:paraId="7008FF7D" w14:textId="77777777" w:rsidR="003E147F" w:rsidRDefault="003E147F" w:rsidP="00AF4CBF"/>
    <w:p w14:paraId="4622C9B9" w14:textId="697FC6FD" w:rsidR="00AF4CBF" w:rsidRPr="003E147F" w:rsidRDefault="003E147F" w:rsidP="00AF4CBF">
      <w:pPr>
        <w:rPr>
          <w:b/>
          <w:bCs/>
        </w:rPr>
      </w:pPr>
      <w:r w:rsidRPr="003E147F">
        <w:rPr>
          <w:b/>
          <w:bCs/>
        </w:rPr>
        <w:lastRenderedPageBreak/>
        <w:t xml:space="preserve">        </w:t>
      </w:r>
      <w:r w:rsidR="00AF4CBF" w:rsidRPr="003E147F">
        <w:rPr>
          <w:b/>
          <w:bCs/>
        </w:rPr>
        <w:t>4.</w:t>
      </w:r>
      <w:r w:rsidR="00AF4CBF" w:rsidRPr="003E147F">
        <w:rPr>
          <w:b/>
          <w:bCs/>
        </w:rPr>
        <w:tab/>
        <w:t>Analysis and Conclusion (What did I learn?)</w:t>
      </w:r>
    </w:p>
    <w:p w14:paraId="3FA1AA8E" w14:textId="77777777" w:rsidR="00AF4CBF" w:rsidRDefault="00AF4CBF" w:rsidP="00AF4CBF">
      <w:r>
        <w:t>These moments made me realise the importance of proactive leadership and clear delegation. I recognised that improving my assertiveness and leadership awareness would help me contribute more effectively to team coordination.</w:t>
      </w:r>
    </w:p>
    <w:p w14:paraId="3818D617" w14:textId="34EF75E4" w:rsidR="00AF4CBF" w:rsidRPr="00F532D5" w:rsidRDefault="00F532D5" w:rsidP="00AF4CBF">
      <w:pPr>
        <w:rPr>
          <w:b/>
          <w:bCs/>
        </w:rPr>
      </w:pPr>
      <w:r w:rsidRPr="00F532D5">
        <w:rPr>
          <w:b/>
          <w:bCs/>
        </w:rPr>
        <w:t xml:space="preserve">        </w:t>
      </w:r>
      <w:r w:rsidR="00AF4CBF" w:rsidRPr="00F532D5">
        <w:rPr>
          <w:b/>
          <w:bCs/>
        </w:rPr>
        <w:t>5.</w:t>
      </w:r>
      <w:r w:rsidR="00AF4CBF" w:rsidRPr="00F532D5">
        <w:rPr>
          <w:b/>
          <w:bCs/>
        </w:rPr>
        <w:tab/>
        <w:t xml:space="preserve">Action Plan </w:t>
      </w:r>
    </w:p>
    <w:p w14:paraId="2BD9F54B" w14:textId="405C5D26" w:rsidR="00AF4CBF" w:rsidRDefault="00AF4CBF" w:rsidP="00AF4CBF">
      <w:r>
        <w:t>1.</w:t>
      </w:r>
      <w:r w:rsidR="00F532D5">
        <w:t xml:space="preserve">   </w:t>
      </w:r>
      <w:r>
        <w:t>Take a short situational leadership course</w:t>
      </w:r>
    </w:p>
    <w:p w14:paraId="63A3F5EA" w14:textId="21582C14" w:rsidR="00AF4CBF" w:rsidRDefault="00AF4CBF" w:rsidP="00AF4CBF">
      <w:r>
        <w:t>2.</w:t>
      </w:r>
      <w:r w:rsidR="00F532D5">
        <w:t xml:space="preserve">   </w:t>
      </w:r>
      <w:r>
        <w:t>Shadow my line manager weekly</w:t>
      </w:r>
    </w:p>
    <w:p w14:paraId="241E10A3" w14:textId="5EA6D154" w:rsidR="00AF4CBF" w:rsidRDefault="00AF4CBF" w:rsidP="00AF4CBF">
      <w:r>
        <w:t>3.</w:t>
      </w:r>
      <w:r w:rsidR="00F532D5">
        <w:t xml:space="preserve">   </w:t>
      </w:r>
      <w:r>
        <w:t>Lead brief pre-shift meetings for practice</w:t>
      </w:r>
    </w:p>
    <w:p w14:paraId="30711602" w14:textId="77777777" w:rsidR="00AF4CBF" w:rsidRDefault="00AF4CBF" w:rsidP="00AF4CBF"/>
    <w:p w14:paraId="7D660791" w14:textId="77777777" w:rsidR="00AF4CBF" w:rsidRPr="00A54DEA" w:rsidRDefault="00AF4CBF" w:rsidP="00AF4CBF">
      <w:pPr>
        <w:rPr>
          <w:b/>
          <w:bCs/>
          <w:sz w:val="28"/>
          <w:szCs w:val="28"/>
        </w:rPr>
      </w:pPr>
      <w:r w:rsidRPr="00A54DEA">
        <w:rPr>
          <w:b/>
          <w:bCs/>
          <w:sz w:val="28"/>
          <w:szCs w:val="28"/>
        </w:rPr>
        <w:t>Section 2: Development Journey</w:t>
      </w:r>
    </w:p>
    <w:p w14:paraId="4E3D3265" w14:textId="77777777" w:rsidR="00AF4CBF" w:rsidRPr="005F36A5" w:rsidRDefault="00AF4CBF" w:rsidP="00AF4CBF">
      <w:pPr>
        <w:rPr>
          <w:b/>
          <w:bCs/>
        </w:rPr>
      </w:pPr>
      <w:r w:rsidRPr="005F36A5">
        <w:rPr>
          <w:b/>
          <w:bCs/>
        </w:rPr>
        <w:t>Comparison with Level 4 Placement</w:t>
      </w:r>
    </w:p>
    <w:p w14:paraId="1CC33C1D" w14:textId="77777777" w:rsidR="00AF4CBF" w:rsidRDefault="00AF4CBF" w:rsidP="00AF4CBF">
      <w:r>
        <w:t>In my first-year placement, I worked in a small independent hotel with a limited guest profile and less formal service procedures. Compared to Hilton Southampton, that setting felt simpler. At Hilton, strict brand standards of operation (SOPs) and a more diverse clientele meant that communication and precision were far more important (Rutherford and O’Fallon, 2006).</w:t>
      </w:r>
    </w:p>
    <w:p w14:paraId="08E5DBD6" w14:textId="77777777" w:rsidR="00AF4CBF" w:rsidRDefault="00AF4CBF" w:rsidP="00AF4CBF">
      <w:r>
        <w:t>For the Food and Beverage Operations module, we had an assignment where I created a basic menu during that first placement. I did not consider dietary needs at the time, partly because the hotel did not place much focus on this, and I overlooked it. Reflecting on this now, after gaining experience at Hilton, I understand that many guests expect more: gluten-free, vegan, and allergy-conscious choices, especially at breakfast.</w:t>
      </w:r>
    </w:p>
    <w:p w14:paraId="752F562A" w14:textId="77777777" w:rsidR="00AF4CBF" w:rsidRPr="005F36A5" w:rsidRDefault="00AF4CBF" w:rsidP="00AF4CBF">
      <w:pPr>
        <w:rPr>
          <w:b/>
          <w:bCs/>
        </w:rPr>
      </w:pPr>
      <w:r w:rsidRPr="005F36A5">
        <w:rPr>
          <w:b/>
          <w:bCs/>
        </w:rPr>
        <w:t>Learning from Modules</w:t>
      </w:r>
    </w:p>
    <w:p w14:paraId="340976A7" w14:textId="77777777" w:rsidR="00AF4CBF" w:rsidRDefault="00AF4CBF" w:rsidP="00AF4CBF">
      <w:r>
        <w:t>In the same module, Food and Beverage Operations, we covered layout and menu planning. That helped me notice how Hilton organises its breakfast stations. The pancake machine, for instance, is positioned at the end of the line to maintain the flow.</w:t>
      </w:r>
    </w:p>
    <w:p w14:paraId="6A19C5FF" w14:textId="77777777" w:rsidR="00AF4CBF" w:rsidRDefault="00AF4CBF" w:rsidP="00AF4CBF">
      <w:r>
        <w:t>In Sustainable Hospitality, I wrote about how Jetwing Vil Uyana utilises CSR, including local food and renewable energy. Hilton still has room to grow in these areas (Jetwing Hotels, 2024).</w:t>
      </w:r>
    </w:p>
    <w:p w14:paraId="79CDC5F6" w14:textId="77777777" w:rsidR="00AF4CBF" w:rsidRDefault="00AF4CBF" w:rsidP="00AF4CBF"/>
    <w:p w14:paraId="7E269ABF" w14:textId="77777777" w:rsidR="00A54DEA" w:rsidRDefault="00A54DEA" w:rsidP="00AF4CBF">
      <w:pPr>
        <w:rPr>
          <w:b/>
          <w:bCs/>
          <w:sz w:val="28"/>
          <w:szCs w:val="28"/>
        </w:rPr>
      </w:pPr>
    </w:p>
    <w:p w14:paraId="17700FF4" w14:textId="77777777" w:rsidR="00A54DEA" w:rsidRDefault="00A54DEA" w:rsidP="00AF4CBF">
      <w:pPr>
        <w:rPr>
          <w:b/>
          <w:bCs/>
          <w:sz w:val="28"/>
          <w:szCs w:val="28"/>
        </w:rPr>
      </w:pPr>
    </w:p>
    <w:p w14:paraId="22BE41CD" w14:textId="77777777" w:rsidR="00A54DEA" w:rsidRDefault="00A54DEA" w:rsidP="00AF4CBF">
      <w:pPr>
        <w:rPr>
          <w:b/>
          <w:bCs/>
          <w:sz w:val="28"/>
          <w:szCs w:val="28"/>
        </w:rPr>
      </w:pPr>
    </w:p>
    <w:p w14:paraId="66307802" w14:textId="4120CF52" w:rsidR="00AF4CBF" w:rsidRPr="00A54DEA" w:rsidRDefault="00AF4CBF" w:rsidP="00AF4CBF">
      <w:pPr>
        <w:rPr>
          <w:b/>
          <w:bCs/>
          <w:sz w:val="28"/>
          <w:szCs w:val="28"/>
        </w:rPr>
      </w:pPr>
      <w:r w:rsidRPr="00A54DEA">
        <w:rPr>
          <w:b/>
          <w:bCs/>
          <w:sz w:val="28"/>
          <w:szCs w:val="28"/>
        </w:rPr>
        <w:lastRenderedPageBreak/>
        <w:t>Section 3: Service Improvement Proposal</w:t>
      </w:r>
    </w:p>
    <w:p w14:paraId="6C78D87D" w14:textId="77777777" w:rsidR="00AF4CBF" w:rsidRPr="00D75F34" w:rsidRDefault="00AF4CBF" w:rsidP="00AF4CBF">
      <w:pPr>
        <w:rPr>
          <w:b/>
          <w:bCs/>
        </w:rPr>
      </w:pPr>
      <w:r w:rsidRPr="00D75F34">
        <w:rPr>
          <w:b/>
          <w:bCs/>
        </w:rPr>
        <w:t>Identified Problem</w:t>
      </w:r>
    </w:p>
    <w:p w14:paraId="73162599" w14:textId="77777777" w:rsidR="00AF4CBF" w:rsidRDefault="00AF4CBF" w:rsidP="00AF4CBF">
      <w:r>
        <w:t>During breakfast service, one consistent challenge was the breakdown of the dishwasher in the F&amp;B area. Without it, staff had to clean mugs and glassware manually, which significantly slowed down the process. This caused delays in table turnover and resulted in situations where guests had to wait for clean cups to be served. It also meant that fewer team members were available to reset tables or attend to guests, making the service feel disorganised at times.</w:t>
      </w:r>
    </w:p>
    <w:p w14:paraId="33AD57E4" w14:textId="0A18511A" w:rsidR="00AF4CBF" w:rsidRPr="00CB4CD3" w:rsidRDefault="00AF4CBF" w:rsidP="00AF4CBF">
      <w:pPr>
        <w:rPr>
          <w:b/>
          <w:bCs/>
          <w:sz w:val="28"/>
          <w:szCs w:val="28"/>
        </w:rPr>
      </w:pPr>
      <w:r w:rsidRPr="00CB4CD3">
        <w:rPr>
          <w:b/>
          <w:bCs/>
          <w:sz w:val="28"/>
          <w:szCs w:val="28"/>
        </w:rPr>
        <w:t>Justification Through Observation</w:t>
      </w:r>
    </w:p>
    <w:p w14:paraId="1C11A2AB" w14:textId="77777777" w:rsidR="00AF4CBF" w:rsidRDefault="00AF4CBF" w:rsidP="00AF4CBF">
      <w:r>
        <w:t>A few of my colleagues mentioned how frustrating this was, especially during busy shifts. I noticed that it would create pressure for the team as tasks continued to accumulate. The supervisors attempted to keep things moving by switching people around, but without working equipment, progress was limited. In some cases, the pressure led to standards slipping, especially in terms of how clean things looked or how quickly we could reset a table. For a hotel like Hilton, where people expect consistency, even small gaps like this can make a difference.</w:t>
      </w:r>
    </w:p>
    <w:p w14:paraId="6B9A2F9E" w14:textId="77777777" w:rsidR="00AF4CBF" w:rsidRPr="00D75F34" w:rsidRDefault="00AF4CBF" w:rsidP="00AF4CBF">
      <w:pPr>
        <w:rPr>
          <w:b/>
          <w:bCs/>
        </w:rPr>
      </w:pPr>
      <w:r w:rsidRPr="00D75F34">
        <w:rPr>
          <w:b/>
          <w:bCs/>
        </w:rPr>
        <w:t>Improvement Plan</w:t>
      </w:r>
    </w:p>
    <w:p w14:paraId="1521B4C4" w14:textId="52C2C3F5" w:rsidR="00AF4CBF" w:rsidRDefault="00D75F34" w:rsidP="00AF4CBF">
      <w:r>
        <w:t xml:space="preserve">        </w:t>
      </w:r>
      <w:r w:rsidR="00AF4CBF">
        <w:t>1.</w:t>
      </w:r>
      <w:r w:rsidR="00AF4CBF">
        <w:tab/>
        <w:t>Set up a preventative maintenance routine to catch minor issues before they lead to major equipment breakdowns (Uzoigwe, 2024).</w:t>
      </w:r>
    </w:p>
    <w:p w14:paraId="49207A20" w14:textId="0A9D5FE9" w:rsidR="00AF4CBF" w:rsidRDefault="00D75F34" w:rsidP="00AF4CBF">
      <w:r>
        <w:t xml:space="preserve">        </w:t>
      </w:r>
      <w:r w:rsidR="00AF4CBF">
        <w:t>2.</w:t>
      </w:r>
      <w:r w:rsidR="00AF4CBF">
        <w:tab/>
        <w:t>Maintain an emergency supply of mugs and glassware in storage to accommodate high-demand periods or unexpected failures.</w:t>
      </w:r>
    </w:p>
    <w:p w14:paraId="7DF9FCEE" w14:textId="1C03E2F1" w:rsidR="00AF4CBF" w:rsidRDefault="00D75F34" w:rsidP="00AF4CBF">
      <w:r>
        <w:t xml:space="preserve">        </w:t>
      </w:r>
      <w:r w:rsidR="00AF4CBF">
        <w:t>3.</w:t>
      </w:r>
      <w:r w:rsidR="00AF4CBF">
        <w:tab/>
        <w:t>Crosstrain servers and kitchen porters so they can support each other more flexibly when problems like this happen (ASET, 2024).</w:t>
      </w:r>
    </w:p>
    <w:p w14:paraId="7A693875" w14:textId="7C030B6C" w:rsidR="00AF4CBF" w:rsidRPr="00CB4CD3" w:rsidRDefault="00AF4CBF" w:rsidP="00AF4CBF">
      <w:pPr>
        <w:rPr>
          <w:b/>
          <w:bCs/>
          <w:sz w:val="28"/>
          <w:szCs w:val="28"/>
        </w:rPr>
      </w:pPr>
      <w:r w:rsidRPr="00CB4CD3">
        <w:rPr>
          <w:b/>
          <w:bCs/>
          <w:sz w:val="28"/>
          <w:szCs w:val="28"/>
        </w:rPr>
        <w:t>Improving Performance Criteria</w:t>
      </w:r>
    </w:p>
    <w:p w14:paraId="31A7E667" w14:textId="77777777" w:rsidR="00AF4CBF" w:rsidRDefault="00AF4CBF" w:rsidP="00AF4CBF">
      <w:r>
        <w:t>Having basic troubleshooting knowledge and being prepared with a contingency setup can reduce delays. According to Ali et al. (2017), well-trained staff with technical and procedural awareness tend to manage service interruptions more efficiently, thereby maintaining guest satisfaction even under pressure.</w:t>
      </w:r>
    </w:p>
    <w:p w14:paraId="113EC7AD" w14:textId="72E8699C" w:rsidR="00AF4CBF" w:rsidRPr="00CB4CD3" w:rsidRDefault="00AF4CBF" w:rsidP="00AF4CBF">
      <w:pPr>
        <w:rPr>
          <w:b/>
          <w:bCs/>
          <w:sz w:val="28"/>
          <w:szCs w:val="28"/>
        </w:rPr>
      </w:pPr>
      <w:r w:rsidRPr="00CB4CD3">
        <w:rPr>
          <w:b/>
          <w:bCs/>
          <w:sz w:val="28"/>
          <w:szCs w:val="28"/>
        </w:rPr>
        <w:t xml:space="preserve">Corporate Social Responsibility  </w:t>
      </w:r>
    </w:p>
    <w:p w14:paraId="307EEB8D" w14:textId="77777777" w:rsidR="00AF4CBF" w:rsidRDefault="00AF4CBF" w:rsidP="00AF4CBF">
      <w:r>
        <w:t xml:space="preserve">During my research into CSR models, Jetwing Vil Uyana stood out for its approach to integrating sustainability into the hospitality sector. Their setup includes artificial wetlands for wastewater treatment, biomass boilers, solar panels, biodiversity initiatives, and even food grown through community-supported organic farming. Their purpose extends beyond appearance; they contribute to actual processes and exceed </w:t>
      </w:r>
      <w:r>
        <w:lastRenderedPageBreak/>
        <w:t xml:space="preserve">the requirements of EarthCheck or Green Key. What drew my attention most was how CSR fits into their core operations. </w:t>
      </w:r>
    </w:p>
    <w:p w14:paraId="101F4071" w14:textId="77777777" w:rsidR="00AF4CBF" w:rsidRDefault="00AF4CBF" w:rsidP="00AF4CBF">
      <w:r>
        <w:t>At Hilton Southampton, things looked different. The F&amp;B department ran smoothly in terms of logistics, but I did not see much tied to sustainability. There were no visible systems in place for handling food waste, no signs indicating where food was sourced, and no information about reducing energy use. As Camilleri (2020) mentions, big hotel chains sometimes struggle to localise their CSR efforts because of scale. But even small steps can make a difference. Khatter et al. (2019) discuss how changes such as composting, partnering with regional farms, or updating digital menus to showcase corporate social responsibility commitments can shift things in the right direction.</w:t>
      </w:r>
    </w:p>
    <w:p w14:paraId="19F7D5B7" w14:textId="77777777" w:rsidR="00AF4CBF" w:rsidRDefault="00AF4CBF" w:rsidP="00AF4CBF">
      <w:r>
        <w:t>Training could also help. Staff inductions and digital platforms are opportunities to bring CSR into the daily routine. Ma et al. (2024) suggest that subtle visual cues and reminders can linger with guests and impact their perception of a brand.</w:t>
      </w:r>
    </w:p>
    <w:p w14:paraId="53CE9CD4" w14:textId="77777777" w:rsidR="00AF4CBF" w:rsidRDefault="00AF4CBF" w:rsidP="00AF4CBF">
      <w:r>
        <w:t>Jetwing Vil Uyana illustrates that ethical responsibility and effective hotel management can coexist. Their model makes the case for practical sustainability, something Hilton could build toward with clearer goals and better integration.</w:t>
      </w:r>
    </w:p>
    <w:p w14:paraId="38635891" w14:textId="77777777" w:rsidR="00AF4CBF" w:rsidRDefault="00AF4CBF" w:rsidP="00AF4CBF"/>
    <w:p w14:paraId="56498D90" w14:textId="77777777" w:rsidR="00AF4CBF" w:rsidRPr="004168F1" w:rsidRDefault="00AF4CBF" w:rsidP="00AF4CBF">
      <w:pPr>
        <w:rPr>
          <w:b/>
          <w:bCs/>
          <w:sz w:val="28"/>
          <w:szCs w:val="28"/>
        </w:rPr>
      </w:pPr>
      <w:r w:rsidRPr="004168F1">
        <w:rPr>
          <w:b/>
          <w:bCs/>
          <w:sz w:val="28"/>
          <w:szCs w:val="28"/>
        </w:rPr>
        <w:t>Conclusion</w:t>
      </w:r>
    </w:p>
    <w:p w14:paraId="5EC8B3D0" w14:textId="77777777" w:rsidR="00AF4CBF" w:rsidRDefault="00AF4CBF" w:rsidP="00AF4CBF">
      <w:r>
        <w:t>My time at DoubleTree by Hilton Southampton provided me with the opportunity to develop hands-on skills in food and beverage service and gain a deeper understanding of what adequate supervision entails in practice. I saw how clear procedures and strong leadership made a real difference during busy shifts. Reflecting on CSR in practice also prompted me to recognise areas where sustainability could be more effectively integrated into day-to-day tasks. Looking back, I met all my learning goals and feel more prepared to support both smooth service and more responsible hospitality in future roles.</w:t>
      </w:r>
    </w:p>
    <w:p w14:paraId="54A71EFC" w14:textId="77777777" w:rsidR="00AF4CBF" w:rsidRDefault="00AF4CBF" w:rsidP="00AF4CBF"/>
    <w:p w14:paraId="2A5C7D05" w14:textId="77777777" w:rsidR="00AF4CBF" w:rsidRDefault="00AF4CBF" w:rsidP="00AF4CBF"/>
    <w:p w14:paraId="3934E9A1" w14:textId="77777777" w:rsidR="00AF4CBF" w:rsidRDefault="00AF4CBF" w:rsidP="00AF4CBF"/>
    <w:p w14:paraId="3DF3A3E6" w14:textId="77777777" w:rsidR="00AF4CBF" w:rsidRDefault="00AF4CBF" w:rsidP="00AF4CBF"/>
    <w:p w14:paraId="53091B26" w14:textId="77777777" w:rsidR="00FB5CC4" w:rsidRDefault="00FB5CC4" w:rsidP="00AF4CBF"/>
    <w:p w14:paraId="44707CE5" w14:textId="77777777" w:rsidR="00FB5CC4" w:rsidRDefault="00FB5CC4" w:rsidP="00AF4CBF"/>
    <w:p w14:paraId="46592C1F" w14:textId="77777777" w:rsidR="00FB5CC4" w:rsidRDefault="00FB5CC4" w:rsidP="00AF4CBF"/>
    <w:p w14:paraId="711E2B16" w14:textId="77777777" w:rsidR="00FB5CC4" w:rsidRDefault="00FB5CC4" w:rsidP="00AF4CBF"/>
    <w:p w14:paraId="525BEBDD" w14:textId="571E4372" w:rsidR="00FB5CC4" w:rsidRPr="00FB5CC4" w:rsidRDefault="00FB5CC4" w:rsidP="00AF4CBF">
      <w:pPr>
        <w:rPr>
          <w:b/>
          <w:bCs/>
          <w:sz w:val="28"/>
          <w:szCs w:val="28"/>
        </w:rPr>
      </w:pPr>
      <w:r w:rsidRPr="00FB5CC4">
        <w:rPr>
          <w:b/>
          <w:bCs/>
          <w:sz w:val="28"/>
          <w:szCs w:val="28"/>
        </w:rPr>
        <w:lastRenderedPageBreak/>
        <w:t xml:space="preserve">References </w:t>
      </w:r>
    </w:p>
    <w:p w14:paraId="4B7DF4BE" w14:textId="26CE3E61" w:rsidR="00FB5CC4" w:rsidRDefault="00FB5CC4" w:rsidP="00AF4CBF">
      <w:r>
        <w:t xml:space="preserve">Ali, F., Hussain, K., Konar, R. and Jeon, H.M., (2017). The effect of technical and functional quality on guests’ perceived hotel service quality and satisfaction: A SEM-PLS analysis. Journal of Quality Assurance in Hospitality &amp; Tourism, 18(3), pp.354-378. https://doi.org/10.1080/1528008X.2016.1230037 </w:t>
      </w:r>
    </w:p>
    <w:p w14:paraId="3A22F211" w14:textId="019D5F20" w:rsidR="00FB5CC4" w:rsidRDefault="00FB5CC4" w:rsidP="00AF4CBF">
      <w:r>
        <w:t xml:space="preserve">ASET, (2024). Good Practice Guide for Work-based and Placement Learning in Higher Education. https://www.asetonline.org/wp-content/uploads/2024/04/ASET-Good-Practice-Guide-Work-based-and-Placement-Learning.pdf </w:t>
      </w:r>
    </w:p>
    <w:p w14:paraId="69AD563B" w14:textId="5BC22A98" w:rsidR="00FB5CC4" w:rsidRDefault="00FB5CC4" w:rsidP="00AF4CBF">
      <w:r>
        <w:t xml:space="preserve">Camilleri, M.A., (2020). Strategic corporate social responsibility in tourism and hospitality. https://doi.org/10.1002/sd.2059 </w:t>
      </w:r>
    </w:p>
    <w:p w14:paraId="39D21064" w14:textId="7DF21A45" w:rsidR="00FB5CC4" w:rsidRDefault="00FB5CC4" w:rsidP="00AF4CBF">
      <w:r>
        <w:t>Gibbs, G., (1988). Learning by Doing: A guide to teaching and learning methods. Oxford: Further Education Unit, Oxford Polytechnic</w:t>
      </w:r>
    </w:p>
    <w:p w14:paraId="4ACBA8F0" w14:textId="0025540B" w:rsidR="00FB5CC4" w:rsidRDefault="00FB5CC4" w:rsidP="00AF4CBF">
      <w:r>
        <w:t xml:space="preserve">Jetwing Hotels, </w:t>
      </w:r>
      <w:r w:rsidR="00204252">
        <w:t>(</w:t>
      </w:r>
      <w:r>
        <w:t>2024</w:t>
      </w:r>
      <w:r w:rsidR="00204252">
        <w:t>)</w:t>
      </w:r>
      <w:r>
        <w:t xml:space="preserve">. Jetwing Travels SRI LANKA, Sustainability Report 2024. https://jetwingtravels.com/wp-content/uploads/2024/09/Sustainability-Report-2024.pdf </w:t>
      </w:r>
    </w:p>
    <w:p w14:paraId="021CEC83" w14:textId="752C62B4" w:rsidR="00FB5CC4" w:rsidRDefault="00FB5CC4" w:rsidP="00AF4CBF">
      <w:r>
        <w:t xml:space="preserve">Khatter, A., McGrath, M., Pyke, J., White, L. and Lockstone-Binney, L., </w:t>
      </w:r>
      <w:r w:rsidR="00204252">
        <w:t>(</w:t>
      </w:r>
      <w:r>
        <w:t>2019</w:t>
      </w:r>
      <w:r w:rsidR="00204252">
        <w:t>)</w:t>
      </w:r>
      <w:r>
        <w:t xml:space="preserve">. Analysis of hotels’ environmentally sustainable policies and practices: Sustainability and corporate social responsibility in hospitality and tourism. International Journal of Contemporary Hospitality Management, 31(6), pp.2394-2410. https://www.proquest.com/scholarly-journals/analysis-hotels-environmentally-sustainable/docview/2283771475/se-2?accountid=130472 </w:t>
      </w:r>
    </w:p>
    <w:p w14:paraId="2AAA1197" w14:textId="47E67601" w:rsidR="00FB5CC4" w:rsidRDefault="00FB5CC4" w:rsidP="00AF4CBF">
      <w:r>
        <w:t xml:space="preserve">Ma, Z., Brugni, T.V., Hector, H. and Sauer, B., </w:t>
      </w:r>
      <w:r w:rsidR="00204252">
        <w:t>(</w:t>
      </w:r>
      <w:r>
        <w:t>2024</w:t>
      </w:r>
      <w:r w:rsidR="00204252">
        <w:t>)</w:t>
      </w:r>
      <w:r>
        <w:t xml:space="preserve">. The Power of Responsibility: Unlocking the Potential of CSR in Hospitality’s Fight against Food Waste. Sustainability, 16(7), p.2847 https://doi.org/10.3390/su16072847 </w:t>
      </w:r>
    </w:p>
    <w:p w14:paraId="5971A9F2" w14:textId="01EC4AE6" w:rsidR="00FB5CC4" w:rsidRDefault="00FB5CC4" w:rsidP="00AF4CBF">
      <w:r>
        <w:t xml:space="preserve">Ohlsson, A., Alvinius, A. and Larsson, G., </w:t>
      </w:r>
      <w:r w:rsidR="00204252">
        <w:t>(</w:t>
      </w:r>
      <w:r>
        <w:t>2020</w:t>
      </w:r>
      <w:r w:rsidR="00204252">
        <w:t>)</w:t>
      </w:r>
      <w:r>
        <w:t xml:space="preserve">. Smooth power: identifying high-level leadership skills promoting organizational adaptability. International Journal of Organization Theory &amp; Behavior, 23(4), pp.297-313. https://www.proquest.com/scholarly-journals/smooth-power-identifying-high-level-leadership/docview/2499019328/se-2?accountid=130472 </w:t>
      </w:r>
    </w:p>
    <w:p w14:paraId="006082A7" w14:textId="28A36799" w:rsidR="00FB5CC4" w:rsidRDefault="00FB5CC4" w:rsidP="00AF4CBF">
      <w:r>
        <w:t xml:space="preserve">Rutherford, D.G., O'Fallon, M.J. and Rutherford, D.G. </w:t>
      </w:r>
      <w:r w:rsidR="00204252">
        <w:t>(</w:t>
      </w:r>
      <w:r>
        <w:t>2006</w:t>
      </w:r>
      <w:r w:rsidR="00204252">
        <w:t>)</w:t>
      </w:r>
      <w:r>
        <w:t xml:space="preserve">, Hotel Management and Operations, John Wiley &amp; Sons, Incorporated, New York. https://ebookcentral.proquest.com/lib/trinity/detail.action?docID=257559 </w:t>
      </w:r>
    </w:p>
    <w:p w14:paraId="1180F4BF" w14:textId="271D7787" w:rsidR="00FB5CC4" w:rsidRDefault="00FB5CC4" w:rsidP="00AF4CBF">
      <w:r>
        <w:t xml:space="preserve">Steinbock, E., </w:t>
      </w:r>
      <w:r w:rsidR="00204252">
        <w:t>(</w:t>
      </w:r>
      <w:r>
        <w:t>2019</w:t>
      </w:r>
      <w:r w:rsidR="00204252">
        <w:t>)</w:t>
      </w:r>
      <w:r>
        <w:t xml:space="preserve">. Emotional intelligence competencies for success in early hospitality careers. Iowa State University. https://www.proquest.com/dissertations-theses/emotional-intelligence-competencies-success-early/docview/2362994251/se-2?accountid=130472 </w:t>
      </w:r>
    </w:p>
    <w:p w14:paraId="1B3A0015" w14:textId="76396343" w:rsidR="00FB5CC4" w:rsidRDefault="00FB5CC4" w:rsidP="00AF4CBF">
      <w:r>
        <w:lastRenderedPageBreak/>
        <w:t xml:space="preserve">Uzoigwe, D.O., </w:t>
      </w:r>
      <w:r w:rsidR="00AD34F5">
        <w:t>(</w:t>
      </w:r>
      <w:r>
        <w:t>2024</w:t>
      </w:r>
      <w:r w:rsidR="00AD34F5">
        <w:t>)</w:t>
      </w:r>
      <w:r>
        <w:t>. Evaluating the Effectiveness of Reliability-Centered Maintenance Programs in Food and Beverage Manufacturing Facilities; A. https://www.academia.edu/download/112353289/204_232.pdf</w:t>
      </w:r>
    </w:p>
    <w:sectPr w:rsidR="00FB5C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9C9"/>
    <w:rsid w:val="00125791"/>
    <w:rsid w:val="00204252"/>
    <w:rsid w:val="003319C9"/>
    <w:rsid w:val="003E147F"/>
    <w:rsid w:val="004168F1"/>
    <w:rsid w:val="005C1554"/>
    <w:rsid w:val="005F36A5"/>
    <w:rsid w:val="007B7D00"/>
    <w:rsid w:val="00A54DEA"/>
    <w:rsid w:val="00AD34F5"/>
    <w:rsid w:val="00AF4CBF"/>
    <w:rsid w:val="00CB4CD3"/>
    <w:rsid w:val="00D75F34"/>
    <w:rsid w:val="00F532D5"/>
    <w:rsid w:val="00FB5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9FCEA"/>
  <w15:chartTrackingRefBased/>
  <w15:docId w15:val="{3CDBCE54-7E0B-4373-967D-559C83369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9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19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19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9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9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9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9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9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9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9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19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19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9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9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9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9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9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9C9"/>
    <w:rPr>
      <w:rFonts w:eastAsiaTheme="majorEastAsia" w:cstheme="majorBidi"/>
      <w:color w:val="272727" w:themeColor="text1" w:themeTint="D8"/>
    </w:rPr>
  </w:style>
  <w:style w:type="paragraph" w:styleId="Title">
    <w:name w:val="Title"/>
    <w:basedOn w:val="Normal"/>
    <w:next w:val="Normal"/>
    <w:link w:val="TitleChar"/>
    <w:uiPriority w:val="10"/>
    <w:qFormat/>
    <w:rsid w:val="003319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9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9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9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9C9"/>
    <w:pPr>
      <w:spacing w:before="160"/>
      <w:jc w:val="center"/>
    </w:pPr>
    <w:rPr>
      <w:i/>
      <w:iCs/>
      <w:color w:val="404040" w:themeColor="text1" w:themeTint="BF"/>
    </w:rPr>
  </w:style>
  <w:style w:type="character" w:customStyle="1" w:styleId="QuoteChar">
    <w:name w:val="Quote Char"/>
    <w:basedOn w:val="DefaultParagraphFont"/>
    <w:link w:val="Quote"/>
    <w:uiPriority w:val="29"/>
    <w:rsid w:val="003319C9"/>
    <w:rPr>
      <w:i/>
      <w:iCs/>
      <w:color w:val="404040" w:themeColor="text1" w:themeTint="BF"/>
    </w:rPr>
  </w:style>
  <w:style w:type="paragraph" w:styleId="ListParagraph">
    <w:name w:val="List Paragraph"/>
    <w:basedOn w:val="Normal"/>
    <w:uiPriority w:val="34"/>
    <w:qFormat/>
    <w:rsid w:val="003319C9"/>
    <w:pPr>
      <w:ind w:left="720"/>
      <w:contextualSpacing/>
    </w:pPr>
  </w:style>
  <w:style w:type="character" w:styleId="IntenseEmphasis">
    <w:name w:val="Intense Emphasis"/>
    <w:basedOn w:val="DefaultParagraphFont"/>
    <w:uiPriority w:val="21"/>
    <w:qFormat/>
    <w:rsid w:val="003319C9"/>
    <w:rPr>
      <w:i/>
      <w:iCs/>
      <w:color w:val="0F4761" w:themeColor="accent1" w:themeShade="BF"/>
    </w:rPr>
  </w:style>
  <w:style w:type="paragraph" w:styleId="IntenseQuote">
    <w:name w:val="Intense Quote"/>
    <w:basedOn w:val="Normal"/>
    <w:next w:val="Normal"/>
    <w:link w:val="IntenseQuoteChar"/>
    <w:uiPriority w:val="30"/>
    <w:qFormat/>
    <w:rsid w:val="003319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9C9"/>
    <w:rPr>
      <w:i/>
      <w:iCs/>
      <w:color w:val="0F4761" w:themeColor="accent1" w:themeShade="BF"/>
    </w:rPr>
  </w:style>
  <w:style w:type="character" w:styleId="IntenseReference">
    <w:name w:val="Intense Reference"/>
    <w:basedOn w:val="DefaultParagraphFont"/>
    <w:uiPriority w:val="32"/>
    <w:qFormat/>
    <w:rsid w:val="003319C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1692</Words>
  <Characters>9645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Postelnicu (2223852)</dc:creator>
  <cp:keywords/>
  <dc:description/>
  <cp:lastModifiedBy>Bianca Postelnicu (2223852)</cp:lastModifiedBy>
  <cp:revision>12</cp:revision>
  <dcterms:created xsi:type="dcterms:W3CDTF">2025-06-16T08:29:00Z</dcterms:created>
  <dcterms:modified xsi:type="dcterms:W3CDTF">2025-06-16T08:48:00Z</dcterms:modified>
</cp:coreProperties>
</file>